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rPr>
      </w:pPr>
      <w:r>
        <w:rPr>
          <w:rFonts w:hint="eastAsia" w:ascii="Times New Roman" w:hAnsi="Times New Roman" w:eastAsia="方正小标宋简体"/>
          <w:sz w:val="44"/>
        </w:rPr>
        <w:t>202</w:t>
      </w:r>
      <w:r>
        <w:rPr>
          <w:rFonts w:hint="eastAsia" w:ascii="Times New Roman" w:hAnsi="Times New Roman" w:eastAsia="方正小标宋简体"/>
          <w:sz w:val="44"/>
          <w:lang w:val="en-US" w:eastAsia="zh-CN"/>
        </w:rPr>
        <w:t>1</w:t>
      </w:r>
      <w:r>
        <w:rPr>
          <w:rFonts w:hint="eastAsia" w:ascii="Times New Roman" w:hAnsi="Times New Roman" w:eastAsia="方正小标宋简体"/>
          <w:sz w:val="44"/>
        </w:rPr>
        <w:t>年文昌湖区经济发展局政府信息公开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rPr>
      </w:pPr>
      <w:r>
        <w:rPr>
          <w:rFonts w:hint="eastAsia" w:ascii="Times New Roman" w:hAnsi="Times New Roman" w:eastAsia="方正小标宋简体"/>
          <w:sz w:val="44"/>
        </w:rPr>
        <w:t>工作年度报告</w:t>
      </w:r>
      <w:bookmarkStart w:id="0" w:name="_GoBack"/>
      <w:bookmarkEnd w:id="0"/>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ascii="Times New Roman" w:hAnsi="Times New Roman" w:eastAsia="仿宋_GB2312" w:cs="Times New Roman"/>
          <w:sz w:val="32"/>
          <w:szCs w:val="32"/>
        </w:rPr>
      </w:pP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ascii="Times New Roman" w:hAnsi="Times New Roman" w:eastAsia="仿宋_GB2312" w:cs="Times New Roman"/>
        </w:rPr>
      </w:pPr>
      <w:r>
        <w:rPr>
          <w:rFonts w:ascii="Times New Roman" w:hAnsi="Times New Roman" w:eastAsia="仿宋_GB2312" w:cs="Times New Roman"/>
          <w:sz w:val="32"/>
          <w:szCs w:val="32"/>
        </w:rPr>
        <w:t>根据《中华人民共和国政府信息公开条例》、《关于政府信息公开工作年度报告有关事项的通知》等文件要求，现向社会公布</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年淄博市文昌湖省级旅游度假区经济发展局信息公开年度报告。报告中相关数据的计算期限为202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年1月1日起至202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年12月31日止。</w:t>
      </w:r>
    </w:p>
    <w:p>
      <w:pPr>
        <w:pStyle w:val="3"/>
        <w:keepNext w:val="0"/>
        <w:keepLines w:val="0"/>
        <w:pageBreakBefore w:val="0"/>
        <w:widowControl/>
        <w:suppressLineNumbers w:val="0"/>
        <w:kinsoku/>
        <w:wordWrap/>
        <w:overflowPunct/>
        <w:topLinePunct w:val="0"/>
        <w:autoSpaceDN/>
        <w:bidi w:val="0"/>
        <w:adjustRightInd/>
        <w:snapToGrid/>
        <w:spacing w:beforeAutospacing="0" w:afterAutospacing="0" w:line="600" w:lineRule="exact"/>
        <w:ind w:left="0" w:firstLine="640" w:firstLineChars="200"/>
        <w:textAlignment w:val="auto"/>
        <w:rPr>
          <w:rFonts w:ascii="Times New Roman" w:hAnsi="Times New Roman" w:eastAsia="仿宋_GB2312" w:cs="Times New Roman"/>
        </w:rPr>
      </w:pPr>
      <w:r>
        <w:rPr>
          <w:rFonts w:hint="eastAsia" w:ascii="黑体" w:hAnsi="宋体" w:eastAsia="黑体" w:cs="黑体"/>
          <w:sz w:val="32"/>
          <w:szCs w:val="32"/>
        </w:rPr>
        <w:t>1. 总体情况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sz w:val="32"/>
          <w:szCs w:val="32"/>
        </w:rPr>
        <w:t>（1）</w:t>
      </w:r>
      <w:r>
        <w:rPr>
          <w:rFonts w:hint="eastAsia" w:ascii="楷体_GB2312" w:hAnsi="楷体_GB2312" w:eastAsia="楷体_GB2312" w:cs="楷体_GB2312"/>
          <w:sz w:val="32"/>
          <w:szCs w:val="32"/>
        </w:rPr>
        <w:t>政府信息公开的组织领导和制度建设情况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度，文昌湖区经济发展局紧紧围绕区工委管委会重大决策部署和社会关切事项，深入贯彻《中华人民共和国政府信息公开条例》、《山东省政府信息公开办法》精神，高度重视政府信息公开事务，积极稳妥推进完善政府信息公开工作。成立了以局长赵迎春同志任组长，副局长孔健同志任副组长，综合科相关工作人员为成员的政府信息公开领导小组，下设政府信息公开领导小组办公室。按照局领导小组领导、综合科牵头、各业务科室各司其职的原则，研究部署政府信息公开工作，重点抓贯彻落实。局领导小组定期召开政务公开会议，听取并调度各科室政务信息公开落实情况汇报，以完善制度机制、推进重点领域信息公开、加强公开平台建设、落实政务公开工作要点为工作重点，进一步加大政务公开工作推进力度，在做好政府信息主动公开的同时，做好依申请公开工作，不断提高政府信息公开工作的针对性和时效性。有效保障了公民、法人和社会组织的知情权、参与权，为推进阳光行政、法制行政建设发挥了重要作用。</w:t>
      </w:r>
    </w:p>
    <w:p>
      <w:pPr>
        <w:pStyle w:val="2"/>
        <w:rPr>
          <w:rFonts w:hint="eastAsia" w:eastAsia="宋体"/>
          <w:lang w:eastAsia="zh-CN"/>
        </w:rPr>
      </w:pPr>
      <w:r>
        <w:rPr>
          <w:rFonts w:hint="eastAsia" w:eastAsia="宋体"/>
          <w:lang w:eastAsia="zh-CN"/>
        </w:rPr>
        <w:drawing>
          <wp:inline distT="0" distB="0" distL="114300" distR="114300">
            <wp:extent cx="5269865" cy="3187700"/>
            <wp:effectExtent l="0" t="0" r="6985" b="12700"/>
            <wp:docPr id="2" name="图片 2" descr="政务公开年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政务公开年报1"/>
                    <pic:cNvPicPr>
                      <a:picLocks noChangeAspect="1"/>
                    </pic:cNvPicPr>
                  </pic:nvPicPr>
                  <pic:blipFill>
                    <a:blip r:embed="rId4"/>
                    <a:stretch>
                      <a:fillRect/>
                    </a:stretch>
                  </pic:blipFill>
                  <pic:spPr>
                    <a:xfrm>
                      <a:off x="0" y="0"/>
                      <a:ext cx="5269865" cy="318770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w:t>
      </w:r>
      <w:r>
        <w:rPr>
          <w:rFonts w:hint="eastAsia" w:ascii="楷体_GB2312" w:hAnsi="楷体_GB2312" w:eastAsia="楷体_GB2312" w:cs="楷体_GB2312"/>
          <w:sz w:val="32"/>
          <w:szCs w:val="32"/>
        </w:rPr>
        <w:t>主动公开政府信息以及公开平台建设情况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600" w:lineRule="exact"/>
        <w:ind w:left="0" w:firstLine="640" w:firstLineChars="200"/>
        <w:jc w:val="both"/>
        <w:textAlignment w:val="auto"/>
        <w:rPr>
          <w:rFonts w:ascii="Times New Roman" w:hAnsi="Times New Roman" w:eastAsia="仿宋_GB2312" w:cs="Times New Roman"/>
        </w:rPr>
      </w:pPr>
      <w:r>
        <w:rPr>
          <w:rFonts w:hint="eastAsia" w:ascii="Times New Roman" w:hAnsi="Times New Roman" w:eastAsia="仿宋_GB2312" w:cs="Times New Roman"/>
          <w:sz w:val="32"/>
          <w:szCs w:val="32"/>
        </w:rPr>
        <w:t>我局将重点工作开展情况以及相关的法规文件主动在文昌湖区政务公开网上公示（http://www.sdwenchanghu.gov.cn/gongkai/），让群众了解我局的日常工作和相关情况，不断加强政府信息公开工作的制度建设，在实践中不断完善主动公开和依申请公开、政务公开评议、政务公开工作责任追究等工作制度。我局政府信息公开范围主要有：机构职能、政策法规、重大决策预公开、重大建设项目等方面涉及本部门相关信息。</w:t>
      </w:r>
    </w:p>
    <w:p>
      <w:pPr>
        <w:rPr>
          <w:rFonts w:hint="eastAsia" w:eastAsia="宋体"/>
          <w:lang w:eastAsia="zh-CN"/>
        </w:rPr>
      </w:pPr>
      <w:r>
        <w:rPr>
          <w:rFonts w:hint="eastAsia" w:eastAsia="宋体"/>
          <w:lang w:eastAsia="zh-CN"/>
        </w:rPr>
        <w:drawing>
          <wp:inline distT="0" distB="0" distL="114300" distR="114300">
            <wp:extent cx="5265420" cy="2790825"/>
            <wp:effectExtent l="0" t="0" r="11430" b="9525"/>
            <wp:docPr id="3" name="图片 3" descr="政务公开年报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政务公开年报2"/>
                    <pic:cNvPicPr>
                      <a:picLocks noChangeAspect="1"/>
                    </pic:cNvPicPr>
                  </pic:nvPicPr>
                  <pic:blipFill>
                    <a:blip r:embed="rId5"/>
                    <a:stretch>
                      <a:fillRect/>
                    </a:stretch>
                  </pic:blipFill>
                  <pic:spPr>
                    <a:xfrm>
                      <a:off x="0" y="0"/>
                      <a:ext cx="5265420" cy="2790825"/>
                    </a:xfrm>
                    <a:prstGeom prst="rect">
                      <a:avLst/>
                    </a:prstGeom>
                  </pic:spPr>
                </pic:pic>
              </a:graphicData>
            </a:graphic>
          </wp:inline>
        </w:drawing>
      </w:r>
    </w:p>
    <w:p>
      <w:pPr>
        <w:pStyle w:val="2"/>
        <w:rPr>
          <w:rFonts w:hint="eastAsia"/>
          <w:lang w:eastAsia="zh-CN"/>
        </w:rPr>
      </w:pPr>
      <w:r>
        <w:rPr>
          <w:rFonts w:hint="eastAsia"/>
          <w:lang w:eastAsia="zh-CN"/>
        </w:rPr>
        <w:drawing>
          <wp:inline distT="0" distB="0" distL="114300" distR="114300">
            <wp:extent cx="5271770" cy="3429635"/>
            <wp:effectExtent l="0" t="0" r="5080" b="18415"/>
            <wp:docPr id="4" name="图片 4" descr="政务公开年报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务公开年报3"/>
                    <pic:cNvPicPr>
                      <a:picLocks noChangeAspect="1"/>
                    </pic:cNvPicPr>
                  </pic:nvPicPr>
                  <pic:blipFill>
                    <a:blip r:embed="rId6"/>
                    <a:stretch>
                      <a:fillRect/>
                    </a:stretch>
                  </pic:blipFill>
                  <pic:spPr>
                    <a:xfrm>
                      <a:off x="0" y="0"/>
                      <a:ext cx="5271770" cy="34296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宋体" w:eastAsia="仿宋_GB2312" w:cs="黑体"/>
          <w:sz w:val="32"/>
          <w:szCs w:val="32"/>
          <w:lang w:eastAsia="zh-CN"/>
        </w:rPr>
      </w:pPr>
      <w:r>
        <w:rPr>
          <w:rFonts w:ascii="Times New Roman" w:hAnsi="Times New Roman" w:eastAsia="仿宋_GB2312" w:cs="Times New Roman"/>
          <w:sz w:val="32"/>
          <w:szCs w:val="32"/>
        </w:rPr>
        <w:t>截至</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年12月底，本年度文昌湖区经济发展局共主动公开政府信息</w:t>
      </w:r>
      <w:r>
        <w:rPr>
          <w:rFonts w:hint="eastAsia" w:ascii="Times New Roman" w:hAnsi="Times New Roman" w:eastAsia="仿宋_GB2312" w:cs="Times New Roman"/>
          <w:sz w:val="32"/>
          <w:szCs w:val="32"/>
          <w:lang w:val="en-US" w:eastAsia="zh-CN"/>
        </w:rPr>
        <w:t>81</w:t>
      </w:r>
      <w:r>
        <w:rPr>
          <w:rFonts w:hint="eastAsia" w:ascii="Times New Roman" w:hAnsi="Times New Roman" w:eastAsia="仿宋_GB2312" w:cs="Times New Roman"/>
          <w:sz w:val="32"/>
          <w:szCs w:val="32"/>
        </w:rPr>
        <w:t>条，无信息公开申请、行政复议、行政诉讼等事项。</w:t>
      </w:r>
      <w:r>
        <w:rPr>
          <w:rFonts w:hint="eastAsia" w:ascii="Times New Roman" w:hAnsi="Times New Roman" w:eastAsia="仿宋_GB2312" w:cs="Times New Roman"/>
          <w:sz w:val="32"/>
          <w:szCs w:val="32"/>
          <w:lang w:eastAsia="zh-CN"/>
        </w:rPr>
        <w:t>主动公开的信息可通过淄博文昌湖省级旅游度假区官方网站查询。</w:t>
      </w:r>
    </w:p>
    <w:p>
      <w:pPr>
        <w:pStyle w:val="3"/>
        <w:keepNext w:val="0"/>
        <w:keepLines w:val="0"/>
        <w:widowControl/>
        <w:suppressLineNumbers w:val="0"/>
        <w:ind w:left="0" w:firstLine="640"/>
      </w:pPr>
      <w:r>
        <w:rPr>
          <w:rFonts w:ascii="黑体" w:hAnsi="宋体" w:eastAsia="黑体" w:cs="黑体"/>
          <w:sz w:val="32"/>
          <w:szCs w:val="32"/>
        </w:rPr>
        <w:t>2. </w:t>
      </w:r>
      <w:r>
        <w:rPr>
          <w:rFonts w:hint="eastAsia" w:ascii="黑体" w:hAnsi="宋体" w:eastAsia="黑体" w:cs="黑体"/>
          <w:sz w:val="32"/>
          <w:szCs w:val="32"/>
        </w:rPr>
        <w:t>主动公开政府信息情况</w:t>
      </w:r>
    </w:p>
    <w:tbl>
      <w:tblPr>
        <w:tblStyle w:val="4"/>
        <w:tblW w:w="84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579"/>
        <w:gridCol w:w="1985"/>
        <w:gridCol w:w="2030"/>
        <w:gridCol w:w="18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3" w:hRule="atLeast"/>
          <w:jc w:val="center"/>
        </w:trPr>
        <w:tc>
          <w:tcPr>
            <w:tcW w:w="842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信息内容</w:t>
            </w:r>
          </w:p>
        </w:tc>
        <w:tc>
          <w:tcPr>
            <w:tcW w:w="198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宋体"/>
                <w:lang w:eastAsia="zh-CN"/>
              </w:rPr>
            </w:pPr>
            <w:r>
              <w:rPr>
                <w:rFonts w:hint="eastAsia" w:ascii="宋体" w:hAnsi="宋体" w:eastAsia="宋体" w:cs="宋体"/>
                <w:sz w:val="24"/>
                <w:szCs w:val="24"/>
              </w:rPr>
              <w:t>本年</w:t>
            </w:r>
            <w:r>
              <w:rPr>
                <w:rFonts w:hint="eastAsia" w:ascii="宋体" w:hAnsi="宋体" w:cs="宋体"/>
                <w:sz w:val="24"/>
                <w:szCs w:val="24"/>
                <w:lang w:eastAsia="zh-CN"/>
              </w:rPr>
              <w:t>制发件数</w:t>
            </w:r>
          </w:p>
        </w:tc>
        <w:tc>
          <w:tcPr>
            <w:tcW w:w="203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宋体"/>
                <w:lang w:eastAsia="zh-CN"/>
              </w:rPr>
            </w:pPr>
            <w:r>
              <w:rPr>
                <w:rFonts w:hint="eastAsia" w:ascii="宋体" w:hAnsi="宋体" w:eastAsia="宋体" w:cs="宋体"/>
                <w:sz w:val="24"/>
                <w:szCs w:val="24"/>
              </w:rPr>
              <w:t>本年</w:t>
            </w:r>
            <w:r>
              <w:rPr>
                <w:rFonts w:hint="eastAsia" w:ascii="宋体" w:hAnsi="宋体" w:cs="宋体"/>
                <w:sz w:val="24"/>
                <w:szCs w:val="24"/>
                <w:lang w:eastAsia="zh-CN"/>
              </w:rPr>
              <w:t>废止件数</w:t>
            </w:r>
          </w:p>
        </w:tc>
        <w:tc>
          <w:tcPr>
            <w:tcW w:w="18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宋体"/>
                <w:lang w:eastAsia="zh-CN"/>
              </w:rPr>
            </w:pPr>
            <w:r>
              <w:rPr>
                <w:rFonts w:hint="eastAsia"/>
                <w:lang w:eastAsia="zh-CN"/>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8"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规章</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0</w:t>
            </w:r>
          </w:p>
        </w:tc>
        <w:tc>
          <w:tcPr>
            <w:tcW w:w="2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0</w:t>
            </w:r>
          </w:p>
        </w:tc>
        <w:tc>
          <w:tcPr>
            <w:tcW w:w="18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3"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规范性文件</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0</w:t>
            </w:r>
          </w:p>
        </w:tc>
        <w:tc>
          <w:tcPr>
            <w:tcW w:w="203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0</w:t>
            </w:r>
          </w:p>
        </w:tc>
        <w:tc>
          <w:tcPr>
            <w:tcW w:w="18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9" w:hRule="atLeast"/>
          <w:jc w:val="center"/>
        </w:trPr>
        <w:tc>
          <w:tcPr>
            <w:tcW w:w="842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3"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信息内容</w:t>
            </w:r>
          </w:p>
        </w:tc>
        <w:tc>
          <w:tcPr>
            <w:tcW w:w="5841"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宋体"/>
                <w:lang w:eastAsia="zh-CN"/>
              </w:rPr>
            </w:pPr>
            <w:r>
              <w:rPr>
                <w:rFonts w:hint="eastAsia"/>
                <w:lang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4"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行政许可</w:t>
            </w:r>
          </w:p>
        </w:tc>
        <w:tc>
          <w:tcPr>
            <w:tcW w:w="584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rPr>
                <w:rFonts w:hint="default"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08" w:hRule="atLeast"/>
          <w:jc w:val="center"/>
        </w:trPr>
        <w:tc>
          <w:tcPr>
            <w:tcW w:w="842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81"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信息内容</w:t>
            </w:r>
          </w:p>
        </w:tc>
        <w:tc>
          <w:tcPr>
            <w:tcW w:w="5841"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宋体"/>
                <w:lang w:eastAsia="zh-CN"/>
              </w:rPr>
            </w:pPr>
            <w:r>
              <w:rPr>
                <w:rFonts w:hint="eastAsia"/>
                <w:lang w:eastAsia="zh-CN"/>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行政处罚</w:t>
            </w:r>
          </w:p>
        </w:tc>
        <w:tc>
          <w:tcPr>
            <w:tcW w:w="584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9"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行政强制</w:t>
            </w:r>
          </w:p>
        </w:tc>
        <w:tc>
          <w:tcPr>
            <w:tcW w:w="5841"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rPr>
                <w:rFonts w:hint="eastAsia" w:eastAsia="宋体"/>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1" w:hRule="atLeast"/>
          <w:jc w:val="center"/>
        </w:trPr>
        <w:tc>
          <w:tcPr>
            <w:tcW w:w="842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信息内容</w:t>
            </w:r>
          </w:p>
        </w:tc>
        <w:tc>
          <w:tcPr>
            <w:tcW w:w="5841"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eastAsia="宋体"/>
                <w:lang w:eastAsia="zh-CN"/>
              </w:rPr>
            </w:pPr>
            <w:r>
              <w:rPr>
                <w:rFonts w:hint="eastAsia"/>
                <w:lang w:eastAsia="zh-CN"/>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97" w:hRule="atLeast"/>
          <w:jc w:val="center"/>
        </w:trPr>
        <w:tc>
          <w:tcPr>
            <w:tcW w:w="257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行政事业性收费</w:t>
            </w:r>
          </w:p>
        </w:tc>
        <w:tc>
          <w:tcPr>
            <w:tcW w:w="198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4"/>
                <w:szCs w:val="24"/>
              </w:rPr>
              <w:t>0</w:t>
            </w:r>
          </w:p>
        </w:tc>
        <w:tc>
          <w:tcPr>
            <w:tcW w:w="385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4"/>
                <w:szCs w:val="24"/>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pPr>
      <w:r>
        <w:t>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pPr>
      <w:r>
        <w:rPr>
          <w:rFonts w:hint="eastAsia" w:ascii="黑体" w:hAnsi="宋体" w:eastAsia="黑体" w:cs="黑体"/>
          <w:sz w:val="32"/>
          <w:szCs w:val="32"/>
        </w:rPr>
        <w:t>    3.收到和处理政府信息公开申请情况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jc w:val="center"/>
        <w:textAlignment w:val="auto"/>
      </w:pPr>
      <w:r>
        <w:t> </w:t>
      </w:r>
    </w:p>
    <w:tbl>
      <w:tblPr>
        <w:tblStyle w:val="4"/>
        <w:tblW w:w="939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36"/>
        <w:gridCol w:w="1511"/>
        <w:gridCol w:w="543"/>
        <w:gridCol w:w="2054"/>
        <w:gridCol w:w="552"/>
        <w:gridCol w:w="688"/>
        <w:gridCol w:w="687"/>
        <w:gridCol w:w="688"/>
        <w:gridCol w:w="688"/>
        <w:gridCol w:w="690"/>
        <w:gridCol w:w="66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7" w:hRule="atLeast"/>
        </w:trPr>
        <w:tc>
          <w:tcPr>
            <w:tcW w:w="4744" w:type="dxa"/>
            <w:gridSpan w:val="4"/>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（本列数据的勾稽关系为：第一项加第二项之和，等于第三项加第四项之和）</w:t>
            </w:r>
          </w:p>
        </w:tc>
        <w:tc>
          <w:tcPr>
            <w:tcW w:w="4654"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30" w:hRule="atLeast"/>
        </w:trPr>
        <w:tc>
          <w:tcPr>
            <w:tcW w:w="4744" w:type="dxa"/>
            <w:gridSpan w:val="4"/>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52"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自然人</w:t>
            </w:r>
          </w:p>
        </w:tc>
        <w:tc>
          <w:tcPr>
            <w:tcW w:w="3441"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法人或其他组织</w:t>
            </w:r>
          </w:p>
        </w:tc>
        <w:tc>
          <w:tcPr>
            <w:tcW w:w="661"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125" w:hRule="atLeast"/>
        </w:trPr>
        <w:tc>
          <w:tcPr>
            <w:tcW w:w="4744" w:type="dxa"/>
            <w:gridSpan w:val="4"/>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52"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商业企业</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科研机构</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社会公益组织</w:t>
            </w:r>
          </w:p>
        </w:tc>
        <w:tc>
          <w:tcPr>
            <w:tcW w:w="6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法律服务机构</w:t>
            </w:r>
          </w:p>
        </w:tc>
        <w:tc>
          <w:tcPr>
            <w:tcW w:w="69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其他</w:t>
            </w:r>
          </w:p>
        </w:tc>
        <w:tc>
          <w:tcPr>
            <w:tcW w:w="661"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48" w:hRule="atLeast"/>
        </w:trPr>
        <w:tc>
          <w:tcPr>
            <w:tcW w:w="4744"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一、本年新收政府信息公开申请数量</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8" w:hRule="atLeast"/>
        </w:trPr>
        <w:tc>
          <w:tcPr>
            <w:tcW w:w="4744"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21"/>
                <w:szCs w:val="21"/>
              </w:rPr>
              <w:t>二、上年结转政府信息公开申请数量</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7" w:hRule="atLeast"/>
        </w:trPr>
        <w:tc>
          <w:tcPr>
            <w:tcW w:w="63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三、本年度办理结果</w:t>
            </w:r>
          </w:p>
        </w:tc>
        <w:tc>
          <w:tcPr>
            <w:tcW w:w="410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（一）予以公开</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410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（二）部分公开（区分处理的，只计这一情形，不计其他情形）</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9"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（三）不予公开</w:t>
            </w: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1．属于国家秘密</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5"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2．其他法律行政法规禁止公开</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8"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3．危及“三安全一稳定”</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6"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4．保护第三方合法权益</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5"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5．属于三类内部事务信息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08"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6．属于四类过程性信息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4"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7．属于行政执法案卷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8．属于行政查询事项</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1"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（四）无法提供</w:t>
            </w: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1．本机关不掌握相关政府信息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7"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2．没有现成信息需要另行制作</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3．补正后申请内容仍不明确</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2"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（五）不予处理</w:t>
            </w: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1．信访举报投诉类申请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44"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2．重复申请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82"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3．要求提供公开出版物</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5"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eastAsia" w:ascii="宋体" w:hAnsi="宋体" w:eastAsia="宋体" w:cs="宋体"/>
                <w:sz w:val="18"/>
                <w:szCs w:val="18"/>
              </w:rPr>
              <w:t>4．无正当理由大量反复申请</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44" w:hRule="atLeast"/>
        </w:trPr>
        <w:tc>
          <w:tcPr>
            <w:tcW w:w="63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1511"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2597"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ind w:left="180" w:hanging="180"/>
            </w:pPr>
            <w:r>
              <w:rPr>
                <w:rFonts w:hint="eastAsia" w:ascii="宋体" w:hAnsi="宋体" w:eastAsia="宋体" w:cs="宋体"/>
                <w:sz w:val="18"/>
                <w:szCs w:val="18"/>
              </w:rPr>
              <w:t>5．要求行政机关确认或重新出具已获取信息</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trPr>
        <w:tc>
          <w:tcPr>
            <w:tcW w:w="636" w:type="dxa"/>
            <w:vMerge w:val="restart"/>
            <w:tcBorders>
              <w:top w:val="nil"/>
              <w:left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default" w:ascii="Calibri" w:hAnsi="Calibri" w:cs="Calibri"/>
                <w:sz w:val="21"/>
                <w:szCs w:val="21"/>
              </w:rPr>
              <w:t> </w:t>
            </w:r>
          </w:p>
        </w:tc>
        <w:tc>
          <w:tcPr>
            <w:tcW w:w="2054" w:type="dxa"/>
            <w:gridSpan w:val="2"/>
            <w:vMerge w:val="restart"/>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（六）其他处理</w:t>
            </w:r>
          </w:p>
        </w:tc>
        <w:tc>
          <w:tcPr>
            <w:tcW w:w="20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rPr>
                <w:rFonts w:hint="eastAsia" w:ascii="宋体" w:hAnsi="宋体" w:eastAsia="宋体" w:cs="宋体"/>
                <w:sz w:val="18"/>
                <w:szCs w:val="18"/>
                <w:lang w:val="en-US" w:eastAsia="zh-CN"/>
              </w:rPr>
            </w:pPr>
            <w:r>
              <w:rPr>
                <w:rFonts w:hint="eastAsia" w:ascii="宋体" w:hAnsi="宋体" w:cs="宋体"/>
                <w:sz w:val="18"/>
                <w:szCs w:val="18"/>
                <w:lang w:val="en-US" w:eastAsia="zh-CN"/>
              </w:rPr>
              <w:t>1</w:t>
            </w:r>
            <w:r>
              <w:rPr>
                <w:rFonts w:hint="eastAsia" w:ascii="宋体" w:hAnsi="宋体" w:eastAsia="宋体" w:cs="宋体"/>
                <w:sz w:val="18"/>
                <w:szCs w:val="18"/>
              </w:rPr>
              <w:t>．</w:t>
            </w:r>
            <w:r>
              <w:rPr>
                <w:rFonts w:hint="eastAsia" w:ascii="宋体" w:hAnsi="宋体" w:cs="宋体"/>
                <w:sz w:val="18"/>
                <w:szCs w:val="18"/>
                <w:lang w:val="en-US" w:eastAsia="zh-CN"/>
              </w:rPr>
              <w:t>申请人无正当理由逾期不补正、行政机关不再处理其政府信息公开申请</w:t>
            </w:r>
          </w:p>
        </w:tc>
        <w:tc>
          <w:tcPr>
            <w:tcW w:w="552" w:type="dxa"/>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88" w:type="dxa"/>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87" w:type="dxa"/>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688" w:type="dxa"/>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88" w:type="dxa"/>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90" w:type="dxa"/>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61" w:type="dxa"/>
            <w:tcBorders>
              <w:top w:val="nil"/>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trPr>
        <w:tc>
          <w:tcPr>
            <w:tcW w:w="636" w:type="dxa"/>
            <w:vMerge w:val="continue"/>
            <w:tcBorders>
              <w:left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p>
        </w:tc>
        <w:tc>
          <w:tcPr>
            <w:tcW w:w="2054" w:type="dxa"/>
            <w:gridSpan w:val="2"/>
            <w:vMerge w:val="continue"/>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p>
        </w:tc>
        <w:tc>
          <w:tcPr>
            <w:tcW w:w="20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rPr>
                <w:rFonts w:hint="eastAsia" w:ascii="宋体" w:hAnsi="宋体" w:eastAsia="宋体" w:cs="宋体"/>
                <w:sz w:val="18"/>
                <w:szCs w:val="18"/>
                <w:lang w:val="en-US" w:eastAsia="zh-CN"/>
              </w:rPr>
            </w:pPr>
            <w:r>
              <w:rPr>
                <w:rFonts w:hint="eastAsia" w:ascii="宋体" w:hAnsi="宋体" w:cs="宋体"/>
                <w:sz w:val="18"/>
                <w:szCs w:val="18"/>
                <w:lang w:val="en-US" w:eastAsia="zh-CN"/>
              </w:rPr>
              <w:t>2</w:t>
            </w:r>
            <w:r>
              <w:rPr>
                <w:rFonts w:hint="eastAsia" w:ascii="宋体" w:hAnsi="宋体" w:eastAsia="宋体" w:cs="宋体"/>
                <w:sz w:val="18"/>
                <w:szCs w:val="18"/>
              </w:rPr>
              <w:t>．</w:t>
            </w:r>
            <w:r>
              <w:rPr>
                <w:rFonts w:hint="eastAsia" w:ascii="宋体" w:hAnsi="宋体" w:cs="宋体"/>
                <w:sz w:val="18"/>
                <w:szCs w:val="18"/>
                <w:lang w:val="en-US" w:eastAsia="zh-CN"/>
              </w:rPr>
              <w:t>申请人逾期未按收费通知要求缴纳费用、行政机关不再处理其政府信息公开申请</w:t>
            </w:r>
          </w:p>
        </w:tc>
        <w:tc>
          <w:tcPr>
            <w:tcW w:w="552" w:type="dxa"/>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88" w:type="dxa"/>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87" w:type="dxa"/>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88" w:type="dxa"/>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88" w:type="dxa"/>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90" w:type="dxa"/>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c>
          <w:tcPr>
            <w:tcW w:w="661" w:type="dxa"/>
            <w:tcBorders>
              <w:left w:val="nil"/>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4" w:hRule="atLeast"/>
        </w:trPr>
        <w:tc>
          <w:tcPr>
            <w:tcW w:w="636" w:type="dxa"/>
            <w:vMerge w:val="continue"/>
            <w:tcBorders>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rPr>
                <w:rFonts w:hint="eastAsia" w:ascii="宋体" w:hAnsi="宋体" w:eastAsia="宋体" w:cs="宋体"/>
                <w:sz w:val="18"/>
                <w:szCs w:val="18"/>
              </w:rPr>
            </w:pPr>
          </w:p>
        </w:tc>
        <w:tc>
          <w:tcPr>
            <w:tcW w:w="2054" w:type="dxa"/>
            <w:gridSpan w:val="2"/>
            <w:vMerge w:val="continue"/>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rPr>
                <w:rFonts w:hint="eastAsia" w:ascii="宋体" w:hAnsi="宋体" w:eastAsia="宋体" w:cs="宋体"/>
                <w:sz w:val="18"/>
                <w:szCs w:val="18"/>
              </w:rPr>
            </w:pPr>
          </w:p>
        </w:tc>
        <w:tc>
          <w:tcPr>
            <w:tcW w:w="205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rPr>
                <w:rFonts w:hint="eastAsia" w:ascii="宋体" w:hAnsi="宋体" w:eastAsia="宋体" w:cs="宋体"/>
                <w:sz w:val="18"/>
                <w:szCs w:val="18"/>
                <w:lang w:val="en-US" w:eastAsia="zh-CN"/>
              </w:rPr>
            </w:pPr>
            <w:r>
              <w:rPr>
                <w:rFonts w:hint="eastAsia" w:ascii="宋体" w:hAnsi="宋体" w:cs="宋体"/>
                <w:sz w:val="18"/>
                <w:szCs w:val="18"/>
                <w:lang w:val="en-US" w:eastAsia="zh-CN"/>
              </w:rPr>
              <w:t>3</w:t>
            </w:r>
            <w:r>
              <w:rPr>
                <w:rFonts w:hint="eastAsia" w:ascii="宋体" w:hAnsi="宋体" w:eastAsia="宋体" w:cs="宋体"/>
                <w:sz w:val="18"/>
                <w:szCs w:val="18"/>
              </w:rPr>
              <w:t>．</w:t>
            </w:r>
            <w:r>
              <w:rPr>
                <w:rFonts w:hint="eastAsia" w:ascii="宋体" w:hAnsi="宋体" w:cs="宋体"/>
                <w:sz w:val="18"/>
                <w:szCs w:val="18"/>
                <w:lang w:val="en-US" w:eastAsia="zh-CN"/>
              </w:rPr>
              <w:t>其他</w:t>
            </w:r>
          </w:p>
        </w:tc>
        <w:tc>
          <w:tcPr>
            <w:tcW w:w="552"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cs="宋体"/>
                <w:sz w:val="21"/>
                <w:szCs w:val="21"/>
                <w:lang w:val="en-US" w:eastAsia="zh-CN"/>
              </w:rPr>
            </w:pPr>
            <w:r>
              <w:rPr>
                <w:rFonts w:hint="eastAsia" w:ascii="宋体" w:hAnsi="宋体" w:cs="宋体"/>
                <w:sz w:val="21"/>
                <w:szCs w:val="21"/>
                <w:lang w:val="en-US" w:eastAsia="zh-CN"/>
              </w:rPr>
              <w:t>0</w:t>
            </w:r>
          </w:p>
        </w:tc>
        <w:tc>
          <w:tcPr>
            <w:tcW w:w="688"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eastAsia" w:ascii="宋体" w:hAnsi="宋体" w:cs="宋体"/>
                <w:sz w:val="21"/>
                <w:szCs w:val="21"/>
                <w:lang w:val="en-US" w:eastAsia="zh-CN"/>
              </w:rPr>
            </w:pPr>
            <w:r>
              <w:rPr>
                <w:rFonts w:hint="eastAsia" w:ascii="宋体" w:hAnsi="宋体" w:cs="宋体"/>
                <w:sz w:val="21"/>
                <w:szCs w:val="21"/>
                <w:lang w:val="en-US" w:eastAsia="zh-CN"/>
              </w:rPr>
              <w:t>0</w:t>
            </w:r>
          </w:p>
        </w:tc>
        <w:tc>
          <w:tcPr>
            <w:tcW w:w="687"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688"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688"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690"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ascii="宋体" w:hAnsi="宋体" w:cs="宋体"/>
                <w:sz w:val="21"/>
                <w:szCs w:val="21"/>
                <w:lang w:val="en-US" w:eastAsia="zh-CN"/>
              </w:rPr>
            </w:pPr>
            <w:r>
              <w:rPr>
                <w:rFonts w:hint="eastAsia" w:ascii="宋体" w:hAnsi="宋体" w:cs="宋体"/>
                <w:sz w:val="21"/>
                <w:szCs w:val="21"/>
                <w:lang w:val="en-US" w:eastAsia="zh-CN"/>
              </w:rPr>
              <w:t>0</w:t>
            </w:r>
          </w:p>
        </w:tc>
        <w:tc>
          <w:tcPr>
            <w:tcW w:w="661" w:type="dxa"/>
            <w:tcBorders>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rPr>
                <w:rFonts w:hint="default" w:ascii="宋体" w:hAnsi="宋体" w:cs="宋体"/>
                <w:sz w:val="21"/>
                <w:szCs w:val="21"/>
                <w:lang w:val="en-US" w:eastAsia="zh-CN"/>
              </w:rPr>
            </w:pPr>
            <w:r>
              <w:rPr>
                <w:rFonts w:hint="eastAsia" w:ascii="宋体" w:hAnsi="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14" w:hRule="atLeast"/>
        </w:trPr>
        <w:tc>
          <w:tcPr>
            <w:tcW w:w="63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pStyle w:val="3"/>
              <w:keepNext w:val="0"/>
              <w:keepLines w:val="0"/>
              <w:widowControl/>
              <w:suppressLineNumbers w:val="0"/>
            </w:pPr>
            <w:r>
              <w:rPr>
                <w:rFonts w:hint="default" w:ascii="Calibri" w:hAnsi="Calibri" w:cs="Calibri"/>
                <w:sz w:val="21"/>
                <w:szCs w:val="21"/>
              </w:rPr>
              <w:t> </w:t>
            </w:r>
          </w:p>
        </w:tc>
        <w:tc>
          <w:tcPr>
            <w:tcW w:w="4108"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（七）总计</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2" w:hRule="atLeast"/>
        </w:trPr>
        <w:tc>
          <w:tcPr>
            <w:tcW w:w="4744"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四、结转下年度继续办理</w:t>
            </w:r>
          </w:p>
        </w:tc>
        <w:tc>
          <w:tcPr>
            <w:tcW w:w="5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9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c>
          <w:tcPr>
            <w:tcW w:w="6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1"/>
        <w:textAlignment w:val="auto"/>
      </w:pPr>
      <w:r>
        <w:rPr>
          <w:rFonts w:hint="eastAsia" w:ascii="黑体" w:hAnsi="宋体" w:eastAsia="黑体" w:cs="黑体"/>
          <w:sz w:val="32"/>
          <w:szCs w:val="32"/>
        </w:rPr>
        <w:t> 4. 政府信息公开行政复议、行政诉讼情况</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1"/>
        <w:jc w:val="center"/>
        <w:textAlignment w:val="auto"/>
      </w:pPr>
      <w:r>
        <w:t> </w:t>
      </w:r>
    </w:p>
    <w:tbl>
      <w:tblPr>
        <w:tblStyle w:val="4"/>
        <w:tblW w:w="1020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8"/>
        <w:gridCol w:w="708"/>
        <w:gridCol w:w="709"/>
        <w:gridCol w:w="682"/>
        <w:gridCol w:w="594"/>
        <w:gridCol w:w="709"/>
        <w:gridCol w:w="709"/>
        <w:gridCol w:w="709"/>
        <w:gridCol w:w="708"/>
        <w:gridCol w:w="567"/>
        <w:gridCol w:w="737"/>
        <w:gridCol w:w="764"/>
        <w:gridCol w:w="767"/>
        <w:gridCol w:w="709"/>
        <w:gridCol w:w="4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72" w:hRule="atLeast"/>
        </w:trPr>
        <w:tc>
          <w:tcPr>
            <w:tcW w:w="3401"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行政复议</w:t>
            </w:r>
          </w:p>
        </w:tc>
        <w:tc>
          <w:tcPr>
            <w:tcW w:w="6805"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3" w:hRule="atLeast"/>
        </w:trPr>
        <w:tc>
          <w:tcPr>
            <w:tcW w:w="708"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结果维持</w:t>
            </w:r>
          </w:p>
        </w:tc>
        <w:tc>
          <w:tcPr>
            <w:tcW w:w="708"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结果纠正</w:t>
            </w:r>
          </w:p>
        </w:tc>
        <w:tc>
          <w:tcPr>
            <w:tcW w:w="709"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其他结果</w:t>
            </w:r>
          </w:p>
        </w:tc>
        <w:tc>
          <w:tcPr>
            <w:tcW w:w="682"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尚未审结</w:t>
            </w:r>
          </w:p>
        </w:tc>
        <w:tc>
          <w:tcPr>
            <w:tcW w:w="5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总计</w:t>
            </w:r>
          </w:p>
        </w:tc>
        <w:tc>
          <w:tcPr>
            <w:tcW w:w="3402"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未经复议直接起诉</w:t>
            </w:r>
          </w:p>
        </w:tc>
        <w:tc>
          <w:tcPr>
            <w:tcW w:w="3403"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08"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682"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结果维持</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结果纠正</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其他结果</w:t>
            </w:r>
          </w:p>
        </w:tc>
        <w:tc>
          <w:tcPr>
            <w:tcW w:w="70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尚未审结</w:t>
            </w:r>
          </w:p>
        </w:tc>
        <w:tc>
          <w:tcPr>
            <w:tcW w:w="5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总计</w:t>
            </w:r>
          </w:p>
        </w:tc>
        <w:tc>
          <w:tcPr>
            <w:tcW w:w="73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结果维持</w:t>
            </w:r>
          </w:p>
        </w:tc>
        <w:tc>
          <w:tcPr>
            <w:tcW w:w="76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结果纠正</w:t>
            </w:r>
          </w:p>
        </w:tc>
        <w:tc>
          <w:tcPr>
            <w:tcW w:w="76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其他结果</w:t>
            </w:r>
          </w:p>
        </w:tc>
        <w:tc>
          <w:tcPr>
            <w:tcW w:w="7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尚未审结</w:t>
            </w:r>
          </w:p>
        </w:tc>
        <w:tc>
          <w:tcPr>
            <w:tcW w:w="42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jc w:val="center"/>
            </w:pPr>
            <w:r>
              <w:rPr>
                <w:rFonts w:hint="eastAsia" w:ascii="宋体" w:hAnsi="宋体" w:eastAsia="宋体" w:cs="宋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5" w:hRule="atLeast"/>
        </w:trPr>
        <w:tc>
          <w:tcPr>
            <w:tcW w:w="708"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0</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18"/>
                <w:szCs w:val="18"/>
              </w:rPr>
              <w:t>0</w:t>
            </w:r>
          </w:p>
        </w:tc>
        <w:tc>
          <w:tcPr>
            <w:tcW w:w="6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5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0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5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3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6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6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7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c>
          <w:tcPr>
            <w:tcW w:w="42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Pr>
            <w:r>
              <w:rPr>
                <w:rFonts w:hint="eastAsia" w:ascii="宋体" w:hAnsi="宋体" w:eastAsia="宋体" w:cs="宋体"/>
                <w:sz w:val="21"/>
                <w:szCs w:val="21"/>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textAlignment w:val="auto"/>
      </w:pPr>
      <w:r>
        <w:rPr>
          <w:rFonts w:hint="eastAsia" w:ascii="黑体" w:hAnsi="宋体" w:eastAsia="黑体" w:cs="黑体"/>
          <w:sz w:val="32"/>
          <w:szCs w:val="32"/>
        </w:rPr>
        <w:t xml:space="preserve"> 5. 存在的主要问题及改进情况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仿宋_GB2312" w:cs="Times New Roman"/>
        </w:rPr>
      </w:pPr>
      <w:r>
        <w:rPr>
          <w:rFonts w:ascii="Times New Roman" w:hAnsi="Times New Roman" w:eastAsia="仿宋_GB2312" w:cs="Times New Roman"/>
          <w:sz w:val="32"/>
          <w:szCs w:val="32"/>
        </w:rPr>
        <w:t>我局政务公开工作取得了明显的成效，但仍存在一些需要改进的方面：一是主要政务公开的内容还需进一步扩大，政务公开项目还需进一步完善。二是信息公开需更及时有效。今年我局拟采取以下措施，进一步改善信息公开工作：</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sz w:val="32"/>
          <w:szCs w:val="32"/>
        </w:rPr>
        <w:t>1.提高认识，按照“公开为原则，不公开为例外”的总体要求，及时提供，确保政府信息公开工作有效运作，使公民、法人或者其他组织获得政府公开信息服务。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ascii="Times New Roman" w:hAnsi="Times New Roman" w:eastAsia="仿宋_GB2312" w:cs="Times New Roman"/>
        </w:rPr>
      </w:pPr>
      <w:r>
        <w:rPr>
          <w:rFonts w:hint="eastAsia" w:ascii="Times New Roman" w:hAnsi="Times New Roman" w:eastAsia="仿宋_GB2312" w:cs="Times New Roman"/>
          <w:sz w:val="32"/>
          <w:szCs w:val="32"/>
        </w:rPr>
        <w:t>2.按照便民、利民、惠民的要求，进一步扩大政务公开内容，提高行政服务水平。</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pPr>
      <w:r>
        <w:rPr>
          <w:rFonts w:hint="eastAsia" w:ascii="Times New Roman" w:hAnsi="Times New Roman" w:eastAsia="仿宋_GB2312" w:cs="Times New Roman"/>
          <w:sz w:val="32"/>
          <w:szCs w:val="32"/>
        </w:rPr>
        <w:t>3.信息公开多样化、便捷化。一方面充分利用好文昌湖区管委会门户网站等平台，实现政务信息公开化，为公众提供更多便利；另一方面，通过开设公开栏、宣传展板、图板等多种公开方式，更好地为经济社会发展和人民群众服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textAlignment w:val="auto"/>
      </w:pPr>
      <w:r>
        <w:rPr>
          <w:rFonts w:hint="eastAsia" w:ascii="黑体" w:hAnsi="宋体" w:eastAsia="黑体" w:cs="黑体"/>
          <w:sz w:val="32"/>
          <w:szCs w:val="32"/>
        </w:rPr>
        <w:t>6. 其他需要报告的事项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0"/>
        <w:textAlignment w:val="auto"/>
      </w:pPr>
      <w:r>
        <w:rPr>
          <w:rFonts w:hint="eastAsia" w:asci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z w:val="44"/>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A0204"/>
    <w:charset w:val="00"/>
    <w:family w:val="auto"/>
    <w:pitch w:val="default"/>
    <w:sig w:usb0="E00002FF" w:usb1="4000045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516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2022-01-18T03:30:42Z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8EE0036F7898461F95B32E4FB3708459</vt:lpwstr>
  </property>
</Properties>
</file>