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11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财政预决算领域基层政务公开标准目录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3240"/>
        <w:gridCol w:w="1800"/>
        <w:gridCol w:w="1620"/>
        <w:gridCol w:w="900"/>
        <w:gridCol w:w="180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32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32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政府预算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一般公共预算：①一般公共预算收入表。②一般公共预算支出表。③一般公共预算本级支出表。④一般公共预算本级基本支出表。⑤一般公共预算税收返还和转移支付表。⑥政府一般债务限额和余额情况表。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《预算法》、《政府信息公开条例》、《财政部关于印发&lt;地方预决算公开操作规程的通知&gt;》、《财政部关于印发&lt;地方政府债务信息公开办法（试行）&gt;的通知》等法律法规和文件规定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本级人民代表大会或其常务委员会批准后20日内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■财政部门网站公开平台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政府性基金预算：①政府性基金收入表。②政府性基金支出表。③本级政府性基金支出表。④政府性基金转移支付表。⑤政府专项债务限额和余额情况表。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政府预算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国有资本经营预算：①国有资本经营预算收入表。②国有资本经营预算支出表。③本级国有资本经营预算支出表。④对下安排转移支付的应当公开国有资本经营预算转移支付表。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《预算法》、《政府信息公开条例》、《财政部关于印发&lt;地方预决算公开操作规程的通知&gt;》、《财政部关于印发&lt;地方政府债务信息公开办法（试行）&gt;的通知》等法律法规和文件规定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本级人民代表大会或其常务委员会批准后20日内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■财政部门网站公开平台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社会保险基金预算：①社会保险基金收入表。②社会保险基金支出表。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地方一般公共预算、政府性基金预算、国有资本经营预算和社会保险基金预算报表中涉及本级支出的，应当公开到功能分类项级科目。本级一般公共预算基本支出应当公开到经济性质分类款级科目，专项转移支付应当分地区、分项目公开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对财政转移支付安排、举借政府债务等重要事项进行解释、说明，并公开重大政策和重点项目等绩效目标。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地方本级汇总的一般公共预算“三公”经费，包括预算总额，以及“因公出国（境）费”“公务用车购置及运行费”（区分“公务用车购置费”“公务用车运行费”两项）、“公务接待费”分项数额，并对增减变化情况进行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top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政府预算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地方政府债务限额、余额、使用安排及还本付息等信息，包括：①随同预算公开上一年度本地区、本级及所属地区地方政府债务限额及余额（或余额预计执行数），以及本地区和本级上一年度地方政府债券（含再融资债券）发行及还本付息额（或预计执行数）、本年度地方政府债券还本付息预算数等；②随同调整预算公开当年本地区及本级地方政府债务限额、本级新增地方政府债券资金使用安排等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《预算法》、《政府信息公开条例》、《财政部关于印发&lt;地方预决算公开操作规程的通知&gt;》、《财政部关于印发&lt;地方政府债务信息公开办法（试行）&gt;的通知》等法律法规和文件规定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本级人民代表大会或其常务委员会批准后20日内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■财政部门网站公开平台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没有数据的表格应当列出空表并说明。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决算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一般公共预算：①一般公共预算收入表。②一般公共预算支出表。③一般公共预算本级支出表。④一般公共预算本级基本支出表。⑤一般公共预算税收返还和转移支付表。⑥政府一般债务限额和余额情况表。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《预算法》、《政府信息公开条例》、《财政部关于印发&lt;地方预决算公开操作规程的通知&gt;》、《财政部关于印发&lt;地方政府债务信息公开办法（试行）&gt;的通知》等法律法规和文件规定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本级人民代表大会或其常务委员会批准后20日内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■财政部门网站公开平台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政府性基金预算：①政府性基金收入表。②政府性基金支出表。③本级政府性基金支出表。④政府性基金转移支付表。⑤政府专项债务限额和余额情况表。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国有资本经营预算：①国有资本经营预算收入表。②国有资本经营预算支出表。③本级国有资本经营预算支出表。④对下安排转移支付的应当公开国有资本经营预算转移支付表。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社会保险基金预算：①社会保险基金收入表。②社会保险基金支出表。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地方一般公共预算、政府性基金预算、国有资本经营预算和社会保险基金预算报表中涉及本级支出的，应当公开到功能分类项级科目。本级一般公共预算基本支出应当公开到经济性质分类款级科目，专项转移支付应当分地区、分项目公开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政府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决算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对财政转移支付安排、举借政府债务、预算绩效工作开展情况等重要事项进行解释、说明，并公开重大政策和重点项目绩效执行结果。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本级人民代表大会或其常务委员会批准后20日内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■财政部门网站公开平台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地方本级汇总的一般公共预算“三公”经费，包括预算总额，以及“因公出国（境）费”“公务用车购置及运行费”（区分“公务用车购置费”“公务用车运行费”两项）“公务接待费”分项数额，并对增减变化情况（与预算对比）进行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地方政府债务限额、余额、使用安排及还本付息等信息，包括：上年末本地区、本级及所属地区地方政府债务限额、余额决算数，地方政府债券发行、还本付息决算数，以及债券资金使用安排等。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没有数据的表格应当列出空表并说明。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部门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预算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收支总体情况表：①部门收支总体情况表。②部门收入总体情况表。③部门支出总体情况表。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《预算法》、《政府信息公开条例》、《财政部关于印发&lt;地方预决算公开操作规程的通知&gt;》等法律法规和文件规定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本级政府财政部门批复后20日内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■部门网站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财政拨款收支情况表：①财政拨款收支总体情况表。②一般公共预算支出情况表。③一般公共预算基本支出情况表。④一般公共预算“三公”经费支出情况表。⑤政府性基金预算支出情况表。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一般公共预算支出情况表公开到功能分类项级科目。一般公共预算基本支出表公开到经济分类款级科目。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一般公共预算“三公”经费支出表按“因公出国（境）费”“公务用车购置及运行费”“公务接待费”公开，其中，“公务用车购置及运行费”应当细化到“公务用车购置费”“公务用车运行费”两个项目，并对增减变化情况进行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部门职责、机构设置情况、预算收支增减变化、机关运行经费安排以及政府采购（主要包括部门政府采购预算总金额和货物、工程、服务采购的预算金额）等情况的说明，并对专业性较强的名词进行解释。结合工作进展情况，逐步公开国有资产占用、重点项目预算的绩效目标等情况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没有数据的表格应当列出空表并说明。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部门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决算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收支总体情况表：①部门收支总体情况表。②部门收入总体情况表。③部门支出总体情况表。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《预算法》、《政府信息公开条例》、《财政部关于印发&lt;地方预决算公开操作规程的通知&gt;》等法律法规和文件规定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本级政府财政部门批复后20日内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■部门网站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财政拨款收支情况表：①财政拨款收支总体情况表。②一般公共预算支出情况表。③一般公共预算基本支出情况表。④一般公共预算“三公”经费支出情况表。⑤政府性基金预算支出情况表。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一般公共预算支出情况表公开到功能分类项级科目。一般公共预算基本支出表公开到经济分类款级科目。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一般公共预算“三公”经费支出表按“因公出国（境）费”“公务用车购置及运行费”“公务接待费”公开，其中，“公务用车购置及运行费”应当细化到“公务用车购置费”“公务用车运行费”两个项目，并对增减变化情况（与预算对比）进行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财政预决算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部门</w:t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决算</w:t>
            </w: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部门职责、机构设置情况、决算收支增减变化、机关运行经费安排以及政府采购（主要包括部门政府采购支出总金额，货物、工程、服务的采购金额，授予中小企业的合同金额及占政府采购支出总金额的比重）等情况的说明，并对专业性较强的名词进行解释。结合工作进展情况，逐步公开国有资产占用、绩效评价结果等情况。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《预算法》、《政府信息公开条例》、《财政部关于印发&lt;地方预决算公开操作规程的通知&gt;》等法律法规和文件规定</w:t>
            </w:r>
          </w:p>
        </w:tc>
        <w:tc>
          <w:tcPr>
            <w:tcW w:w="162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本级政府财政部门批复后20日内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eastAsia="zh-CN"/>
              </w:rPr>
              <w:t>财审统计管理服务中心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■部门网站</w:t>
            </w:r>
          </w:p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■政府网站</w:t>
            </w:r>
          </w:p>
          <w:p>
            <w:pPr>
              <w:widowControl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  <w:noWrap w:val="0"/>
            <w:vAlign w:val="center"/>
          </w:tcPr>
          <w:p>
            <w:pPr>
              <w:widowControl/>
              <w:textAlignment w:val="center"/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</w:rPr>
              <w:t>没有数据的表格应当列出空表并说明。</w:t>
            </w: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Times New Roman"/>
                <w:color w:val="000000"/>
                <w:sz w:val="18"/>
                <w:szCs w:val="18"/>
              </w:rPr>
            </w:pPr>
          </w:p>
        </w:tc>
      </w:tr>
    </w:tbl>
    <w:p>
      <w:pPr>
        <w:jc w:val="center"/>
        <w:rPr>
          <w:rFonts w:ascii="Times New Roman" w:hAnsi="Times New Roman" w:eastAsia="方正小标宋_GBK" w:cs="Times New Roman"/>
          <w:color w:val="FF0000"/>
          <w:sz w:val="28"/>
          <w:szCs w:val="28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9A4E01"/>
    <w:rsid w:val="01AE2943"/>
    <w:rsid w:val="0F9A4E01"/>
    <w:rsid w:val="3932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2020-11-16T09:14:00Z</dcterms:created>
  <dc:creator>Administrator</dc:creator>
  <cp:lastModifiedBy>哼哼哈嘿</cp:lastModifiedBy>
  <dcterms:modified xsi:type="dcterms:W3CDTF">2020-12-26T03:26:08Z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