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22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涉农补贴领域基层政务公开标准目录</w:t>
      </w:r>
      <w:bookmarkEnd w:id="0"/>
    </w:p>
    <w:tbl>
      <w:tblPr>
        <w:tblStyle w:val="3"/>
        <w:tblW w:w="15300" w:type="dxa"/>
        <w:tblInd w:w="-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2340"/>
        <w:gridCol w:w="2880"/>
        <w:gridCol w:w="1260"/>
        <w:gridCol w:w="1260"/>
        <w:gridCol w:w="1440"/>
        <w:gridCol w:w="720"/>
        <w:gridCol w:w="709"/>
        <w:gridCol w:w="11"/>
        <w:gridCol w:w="540"/>
        <w:gridCol w:w="720"/>
        <w:gridCol w:w="720"/>
        <w:gridCol w:w="540"/>
      </w:tblGrid>
      <w:tr>
        <w:trPr>
          <w:cantSplit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农业生产发展资金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耕地地力保护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政策依据；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申请指南：包括补贴对象、补贴范围、补贴标准、申请程序、申请材料、咨询电话、受理单位、办理时限、联系方式等；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补贴结果；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监督渠道：包括举报电话、地址等。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《农业生产发展资金管理办法》、《财政部 农业部关于全面推开农业“三项补贴”改革工作的通知》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信息形成或者变更之日起20个工作日内。法律、法规对政府信息公开的期限另有规定的，从其规定。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  <w:t>农业农村综合服务中心</w:t>
            </w:r>
            <w:bookmarkStart w:id="1" w:name="_GoBack"/>
            <w:bookmarkEnd w:id="1"/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 xml:space="preserve">■政府网站 </w:t>
            </w:r>
          </w:p>
          <w:p>
            <w:pPr>
              <w:spacing w:line="240" w:lineRule="exact"/>
              <w:jc w:val="lef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93D7C"/>
    <w:rsid w:val="39593D7C"/>
    <w:rsid w:val="5051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2020-11-17T07:39:00Z</dcterms:created>
  <dc:creator>Administrator</dc:creator>
  <cp:lastModifiedBy>哼哼哈嘿</cp:lastModifiedBy>
  <dcterms:modified xsi:type="dcterms:W3CDTF">2020-12-15T08:23:45Z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