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cs="Times New Roman"/>
          <w:b w:val="0"/>
          <w:bCs w:val="0"/>
          <w:sz w:val="30"/>
        </w:rPr>
      </w:pPr>
      <w:bookmarkStart w:id="0" w:name="_Toc24724724"/>
      <w:r>
        <w:rPr>
          <w:rFonts w:hint="eastAsia" w:ascii="方正小标宋_GBK" w:hAnsi="方正小标宋_GBK" w:eastAsia="方正小标宋_GBK" w:cs="Times New Roman"/>
          <w:b w:val="0"/>
          <w:bCs w:val="0"/>
          <w:sz w:val="30"/>
        </w:rPr>
        <w:t>卫生健康领域基层政务公开标准目录</w:t>
      </w:r>
      <w:bookmarkEnd w:id="0"/>
    </w:p>
    <w:tbl>
      <w:tblPr>
        <w:tblStyle w:val="3"/>
        <w:tblW w:w="15588" w:type="dxa"/>
        <w:tblInd w:w="-8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188"/>
        <w:gridCol w:w="4140"/>
        <w:gridCol w:w="1800"/>
        <w:gridCol w:w="1440"/>
        <w:gridCol w:w="720"/>
        <w:gridCol w:w="1080"/>
        <w:gridCol w:w="720"/>
        <w:gridCol w:w="720"/>
        <w:gridCol w:w="596"/>
        <w:gridCol w:w="720"/>
        <w:gridCol w:w="540"/>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1908"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41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80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72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080"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316"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04"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188"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4140" w:type="dxa"/>
            <w:vMerge w:val="continue"/>
            <w:noWrap w:val="0"/>
            <w:vAlign w:val="center"/>
          </w:tcPr>
          <w:p>
            <w:pPr>
              <w:widowControl/>
              <w:jc w:val="left"/>
              <w:rPr>
                <w:rFonts w:ascii="黑体" w:hAnsi="宋体" w:eastAsia="黑体" w:cs="宋体"/>
                <w:color w:val="000000"/>
                <w:kern w:val="0"/>
                <w:sz w:val="22"/>
              </w:rPr>
            </w:pPr>
          </w:p>
        </w:tc>
        <w:tc>
          <w:tcPr>
            <w:tcW w:w="1800"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720" w:type="dxa"/>
            <w:vMerge w:val="continue"/>
            <w:noWrap w:val="0"/>
            <w:vAlign w:val="center"/>
          </w:tcPr>
          <w:p>
            <w:pPr>
              <w:widowControl/>
              <w:jc w:val="left"/>
              <w:rPr>
                <w:rFonts w:ascii="黑体" w:hAnsi="宋体" w:eastAsia="黑体" w:cs="宋体"/>
                <w:color w:val="000000"/>
                <w:kern w:val="0"/>
                <w:sz w:val="22"/>
              </w:rPr>
            </w:pPr>
          </w:p>
        </w:tc>
        <w:tc>
          <w:tcPr>
            <w:tcW w:w="1080" w:type="dxa"/>
            <w:vMerge w:val="continue"/>
            <w:noWrap w:val="0"/>
            <w:vAlign w:val="center"/>
          </w:tcPr>
          <w:p>
            <w:pPr>
              <w:widowControl/>
              <w:jc w:val="left"/>
              <w:rPr>
                <w:rFonts w:ascii="黑体" w:hAnsi="宋体" w:eastAsia="黑体" w:cs="宋体"/>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96"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eastAsia="仿宋_GB2312" w:cs="Times New Roman"/>
                <w:color w:val="000000"/>
                <w:sz w:val="18"/>
                <w:szCs w:val="18"/>
              </w:rPr>
              <w:t>1</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独生子女父母奖励</w:t>
            </w:r>
          </w:p>
          <w:p>
            <w:pPr>
              <w:jc w:val="cente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【法律】《中华人民共和国人口与计划生育法》（中华人民共和国主席令第41号2015年12月27日修正）</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eastAsia="zh-CN"/>
              </w:rPr>
              <w:t>卫计办</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7"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农村部分计划生育家庭奖励扶助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【部门规章及规范性文件】《国务院关于印发国家基本公共服务体系“十二五”规划的通知》（国发﹝2012﹞29号）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【部门规章及规范性文件】《关于开展对农 村部分计划生育家庭实行奖励扶助制度试点工作意见》（国办发〔2004〕21号）</w:t>
            </w:r>
          </w:p>
          <w:p>
            <w:pP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【部门规章及规范性文件】《关于调整全国农村部分计划生育家庭奖励扶助和计划生育家庭特别扶助标准的通知》（财教〔2011〕623号）</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【部门规章及规范性文件】《关于印发全国农村部分计划生育家庭奖励扶助制度管理规范的通知》（人口厅发〔2006〕122号）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卫计办</w:t>
            </w:r>
            <w:bookmarkStart w:id="1" w:name="_GoBack"/>
            <w:bookmarkEnd w:id="1"/>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40" w:type="dxa"/>
            <w:vMerge w:val="restart"/>
            <w:noWrap w:val="0"/>
            <w:vAlign w:val="center"/>
          </w:tcPr>
          <w:p>
            <w:pPr>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w:t>
            </w:r>
          </w:p>
        </w:tc>
        <w:tc>
          <w:tcPr>
            <w:tcW w:w="720" w:type="dxa"/>
            <w:vMerge w:val="restart"/>
            <w:noWrap w:val="0"/>
            <w:vAlign w:val="center"/>
          </w:tcPr>
          <w:p>
            <w:pPr>
              <w:jc w:val="center"/>
              <w:rPr>
                <w:rFonts w:hint="eastAsia" w:ascii="仿宋_GB2312" w:hAnsi="宋体" w:eastAsia="仿宋_GB2312" w:cs="宋体"/>
                <w:bCs/>
                <w:color w:val="000000"/>
                <w:sz w:val="18"/>
                <w:szCs w:val="18"/>
              </w:rPr>
            </w:pPr>
            <w:r>
              <w:rPr>
                <w:rFonts w:hint="eastAsia" w:ascii="仿宋_GB2312" w:hAnsi="宋体" w:eastAsia="仿宋_GB2312" w:cs="Times New Roman"/>
                <w:bCs/>
                <w:color w:val="000000"/>
                <w:sz w:val="18"/>
                <w:szCs w:val="18"/>
              </w:rPr>
              <w:t>行政</w:t>
            </w:r>
            <w:r>
              <w:rPr>
                <w:rFonts w:hint="eastAsia" w:ascii="仿宋_GB2312" w:hAnsi="宋体" w:eastAsia="仿宋_GB2312" w:cs="Times New Roman"/>
                <w:bCs/>
                <w:color w:val="000000"/>
                <w:sz w:val="18"/>
                <w:szCs w:val="18"/>
                <w:lang w:eastAsia="zh-CN"/>
              </w:rPr>
              <w:t>给付</w:t>
            </w:r>
            <w:r>
              <w:rPr>
                <w:rFonts w:hint="eastAsia" w:ascii="仿宋_GB2312" w:hAnsi="宋体" w:eastAsia="仿宋_GB2312" w:cs="Times New Roman"/>
                <w:bCs/>
                <w:color w:val="000000"/>
                <w:sz w:val="18"/>
                <w:szCs w:val="18"/>
              </w:rPr>
              <w:t>类事项</w:t>
            </w:r>
          </w:p>
        </w:tc>
        <w:tc>
          <w:tcPr>
            <w:tcW w:w="1188"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计划生育家庭特别扶助</w:t>
            </w:r>
          </w:p>
        </w:tc>
        <w:tc>
          <w:tcPr>
            <w:tcW w:w="4140" w:type="dxa"/>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【法律】《中华人民共和国人口与计划生育法》（中华人民共和国主席令第41号2015年12月27日修正）</w:t>
            </w:r>
          </w:p>
          <w:p>
            <w:pP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lang w:val="en-US" w:eastAsia="zh-CN"/>
              </w:rPr>
              <w:t>【部门规章及规范性文件】《关于印发全国独生子女伤残死亡家庭特别扶助制度试点方案的通知》（国人口发〔2007〕78 号）</w:t>
            </w:r>
          </w:p>
        </w:tc>
        <w:tc>
          <w:tcPr>
            <w:tcW w:w="144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卫生健康中心</w:t>
            </w:r>
          </w:p>
        </w:tc>
        <w:tc>
          <w:tcPr>
            <w:tcW w:w="1080" w:type="dxa"/>
            <w:vMerge w:val="restart"/>
            <w:noWrap w:val="0"/>
            <w:vAlign w:val="center"/>
          </w:tcPr>
          <w:p>
            <w:pP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96"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sz w:val="18"/>
                <w:szCs w:val="18"/>
              </w:rPr>
            </w:pPr>
          </w:p>
        </w:tc>
        <w:tc>
          <w:tcPr>
            <w:tcW w:w="540" w:type="dxa"/>
            <w:vMerge w:val="restart"/>
            <w:noWrap w:val="0"/>
            <w:vAlign w:val="center"/>
          </w:tcPr>
          <w:p>
            <w:pPr>
              <w:jc w:val="center"/>
              <w:rPr>
                <w:rFonts w:hint="eastAsia" w:ascii="仿宋_GB2312" w:hAnsi="宋体" w:eastAsia="仿宋_GB2312" w:cs="宋体"/>
                <w:color w:val="000000"/>
                <w:sz w:val="18"/>
                <w:szCs w:val="18"/>
              </w:rPr>
            </w:pPr>
          </w:p>
        </w:tc>
        <w:tc>
          <w:tcPr>
            <w:tcW w:w="664" w:type="dxa"/>
            <w:vMerge w:val="restart"/>
            <w:noWrap w:val="0"/>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申请材料</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受理范围及条件</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办理流程</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96" w:type="dxa"/>
            <w:vMerge w:val="continue"/>
            <w:noWrap w:val="0"/>
            <w:vAlign w:val="center"/>
          </w:tcPr>
          <w:p>
            <w:pPr>
              <w:jc w:val="center"/>
              <w:rPr>
                <w:rFonts w:hint="eastAsia" w:ascii="仿宋_GB2312" w:hAnsi="宋体" w:eastAsia="仿宋_GB2312" w:cs="Times New Roman"/>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540" w:type="dxa"/>
            <w:vMerge w:val="continue"/>
            <w:noWrap w:val="0"/>
            <w:vAlign w:val="center"/>
          </w:tcPr>
          <w:p>
            <w:pPr>
              <w:jc w:val="center"/>
              <w:rPr>
                <w:rFonts w:hint="eastAsia" w:ascii="仿宋_GB2312" w:hAnsi="宋体" w:eastAsia="仿宋_GB2312" w:cs="Times New Roman"/>
                <w:color w:val="000000"/>
                <w:sz w:val="18"/>
                <w:szCs w:val="18"/>
              </w:rPr>
            </w:pPr>
          </w:p>
        </w:tc>
        <w:tc>
          <w:tcPr>
            <w:tcW w:w="664" w:type="dxa"/>
            <w:vMerge w:val="continue"/>
            <w:noWrap w:val="0"/>
            <w:vAlign w:val="center"/>
          </w:tcPr>
          <w:p>
            <w:pPr>
              <w:jc w:val="cente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rPr>
                <w:rFonts w:hint="eastAsia" w:ascii="仿宋_GB2312" w:hAnsi="宋体" w:eastAsia="仿宋_GB2312" w:cs="宋体"/>
                <w:bCs/>
                <w:color w:val="000000"/>
                <w:sz w:val="18"/>
                <w:szCs w:val="18"/>
              </w:rPr>
            </w:pPr>
          </w:p>
        </w:tc>
        <w:tc>
          <w:tcPr>
            <w:tcW w:w="1188" w:type="dxa"/>
            <w:vMerge w:val="continue"/>
            <w:noWrap w:val="0"/>
            <w:vAlign w:val="center"/>
          </w:tcPr>
          <w:p>
            <w:pPr>
              <w:rPr>
                <w:rFonts w:hint="eastAsia" w:ascii="仿宋_GB2312" w:hAnsi="宋体" w:eastAsia="仿宋_GB2312" w:cs="宋体"/>
                <w:color w:val="000000"/>
                <w:sz w:val="18"/>
                <w:szCs w:val="18"/>
              </w:rPr>
            </w:pPr>
          </w:p>
        </w:tc>
        <w:tc>
          <w:tcPr>
            <w:tcW w:w="4140" w:type="dxa"/>
            <w:noWrap w:val="0"/>
            <w:vAlign w:val="center"/>
          </w:tcPr>
          <w:p>
            <w:pP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eastAsia="zh-CN"/>
              </w:rPr>
              <w:t>咨询投诉渠道</w:t>
            </w:r>
          </w:p>
        </w:tc>
        <w:tc>
          <w:tcPr>
            <w:tcW w:w="1800" w:type="dxa"/>
            <w:vMerge w:val="continue"/>
            <w:noWrap w:val="0"/>
            <w:vAlign w:val="center"/>
          </w:tcPr>
          <w:p>
            <w:pPr>
              <w:rPr>
                <w:rFonts w:hint="eastAsia" w:ascii="仿宋_GB2312" w:hAnsi="宋体" w:eastAsia="仿宋_GB2312" w:cs="宋体"/>
                <w:color w:val="000000"/>
                <w:sz w:val="18"/>
                <w:szCs w:val="18"/>
              </w:rPr>
            </w:pPr>
          </w:p>
        </w:tc>
        <w:tc>
          <w:tcPr>
            <w:tcW w:w="144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96" w:type="dxa"/>
            <w:vMerge w:val="continue"/>
            <w:noWrap w:val="0"/>
            <w:vAlign w:val="center"/>
          </w:tcPr>
          <w:p>
            <w:pPr>
              <w:jc w:val="center"/>
              <w:rPr>
                <w:rFonts w:hint="eastAsia" w:ascii="仿宋_GB2312" w:hAnsi="宋体" w:eastAsia="仿宋_GB2312" w:cs="宋体"/>
                <w:color w:val="000000"/>
                <w:sz w:val="18"/>
                <w:szCs w:val="18"/>
              </w:rPr>
            </w:pPr>
          </w:p>
        </w:tc>
        <w:tc>
          <w:tcPr>
            <w:tcW w:w="720" w:type="dxa"/>
            <w:vMerge w:val="continue"/>
            <w:noWrap w:val="0"/>
            <w:vAlign w:val="center"/>
          </w:tcPr>
          <w:p>
            <w:pPr>
              <w:jc w:val="center"/>
              <w:rPr>
                <w:rFonts w:hint="eastAsia" w:ascii="仿宋_GB2312" w:hAnsi="宋体" w:eastAsia="仿宋_GB2312" w:cs="宋体"/>
                <w:color w:val="000000"/>
                <w:sz w:val="18"/>
                <w:szCs w:val="18"/>
              </w:rPr>
            </w:pPr>
          </w:p>
        </w:tc>
        <w:tc>
          <w:tcPr>
            <w:tcW w:w="540" w:type="dxa"/>
            <w:vMerge w:val="continue"/>
            <w:noWrap w:val="0"/>
            <w:vAlign w:val="center"/>
          </w:tcPr>
          <w:p>
            <w:pPr>
              <w:jc w:val="center"/>
              <w:rPr>
                <w:rFonts w:hint="eastAsia" w:ascii="仿宋_GB2312" w:hAnsi="宋体" w:eastAsia="仿宋_GB2312" w:cs="宋体"/>
                <w:color w:val="000000"/>
                <w:sz w:val="18"/>
                <w:szCs w:val="18"/>
              </w:rPr>
            </w:pPr>
          </w:p>
        </w:tc>
        <w:tc>
          <w:tcPr>
            <w:tcW w:w="664" w:type="dxa"/>
            <w:vMerge w:val="continue"/>
            <w:noWrap w:val="0"/>
            <w:vAlign w:val="center"/>
          </w:tcPr>
          <w:p>
            <w:pPr>
              <w:jc w:val="center"/>
              <w:rPr>
                <w:rFonts w:hint="eastAsia"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540" w:type="dxa"/>
            <w:vMerge w:val="restart"/>
            <w:noWrap w:val="0"/>
            <w:vAlign w:val="center"/>
          </w:tcPr>
          <w:p>
            <w:pPr>
              <w:jc w:val="center"/>
              <w:rPr>
                <w:rFonts w:hint="eastAsia" w:ascii="仿宋_GB2312" w:hAnsi="宋体" w:eastAsia="仿宋_GB2312" w:cs="Times New Roman"/>
                <w:color w:val="000000"/>
                <w:sz w:val="18"/>
                <w:szCs w:val="18"/>
                <w:lang w:val="en-US" w:eastAsia="zh-CN"/>
              </w:rPr>
            </w:pPr>
            <w:r>
              <w:rPr>
                <w:rFonts w:hint="eastAsia" w:ascii="仿宋_GB2312" w:hAnsi="宋体" w:eastAsia="仿宋_GB2312" w:cs="Times New Roman"/>
                <w:color w:val="000000"/>
                <w:sz w:val="18"/>
                <w:szCs w:val="18"/>
                <w:lang w:val="en-US" w:eastAsia="zh-CN"/>
              </w:rPr>
              <w:t>4</w:t>
            </w:r>
          </w:p>
        </w:tc>
        <w:tc>
          <w:tcPr>
            <w:tcW w:w="720" w:type="dxa"/>
            <w:vMerge w:val="restart"/>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行政备案类事项</w:t>
            </w:r>
          </w:p>
        </w:tc>
        <w:tc>
          <w:tcPr>
            <w:tcW w:w="1188" w:type="dxa"/>
            <w:vMerge w:val="restart"/>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生育登记服务</w:t>
            </w:r>
          </w:p>
        </w:tc>
        <w:tc>
          <w:tcPr>
            <w:tcW w:w="4140" w:type="dxa"/>
            <w:noWrap w:val="0"/>
            <w:vAlign w:val="center"/>
          </w:tcPr>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 xml:space="preserve">法律法规和政策文件 </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【部门规章及规范性文件】《国家卫生健康委办公厅关于做好生育登记服务工作的指导意见》（国卫办指导发〔2016〕20号）</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卫生健康中心</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办事指南，包括：适用范围、办理依据、办理条件、申办材料、办理方式、办理流程、办理时限、收费依据及标准、结果送达、咨询方式、监督投诉渠道、办理地址和时间、办理进程、结果查询</w:t>
            </w:r>
          </w:p>
        </w:tc>
        <w:tc>
          <w:tcPr>
            <w:tcW w:w="1800" w:type="dxa"/>
            <w:vMerge w:val="continue"/>
            <w:noWrap w:val="0"/>
            <w:vAlign w:val="center"/>
          </w:tcPr>
          <w:p>
            <w:pPr>
              <w:rPr>
                <w:rFonts w:ascii="仿宋_GB2312" w:hAnsi="宋体" w:eastAsia="仿宋_GB2312" w:cs="Times New Roman"/>
                <w:color w:val="000000"/>
                <w:sz w:val="18"/>
                <w:szCs w:val="18"/>
              </w:rPr>
            </w:pPr>
          </w:p>
        </w:tc>
        <w:tc>
          <w:tcPr>
            <w:tcW w:w="144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108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596" w:type="dxa"/>
            <w:vMerge w:val="continue"/>
            <w:noWrap w:val="0"/>
            <w:vAlign w:val="center"/>
          </w:tcPr>
          <w:p>
            <w:pPr>
              <w:rPr>
                <w:rFonts w:ascii="仿宋_GB2312" w:hAnsi="宋体" w:eastAsia="仿宋_GB2312" w:cs="Times New Roman"/>
                <w:color w:val="000000"/>
                <w:sz w:val="18"/>
                <w:szCs w:val="18"/>
              </w:rPr>
            </w:pPr>
          </w:p>
        </w:tc>
        <w:tc>
          <w:tcPr>
            <w:tcW w:w="720" w:type="dxa"/>
            <w:vMerge w:val="continue"/>
            <w:noWrap w:val="0"/>
            <w:vAlign w:val="center"/>
          </w:tcPr>
          <w:p>
            <w:pPr>
              <w:rPr>
                <w:rFonts w:ascii="仿宋_GB2312" w:hAnsi="宋体" w:eastAsia="仿宋_GB2312" w:cs="Times New Roman"/>
                <w:color w:val="000000"/>
                <w:sz w:val="18"/>
                <w:szCs w:val="18"/>
              </w:rPr>
            </w:pPr>
          </w:p>
        </w:tc>
        <w:tc>
          <w:tcPr>
            <w:tcW w:w="540" w:type="dxa"/>
            <w:vMerge w:val="continue"/>
            <w:noWrap w:val="0"/>
            <w:vAlign w:val="center"/>
          </w:tcPr>
          <w:p>
            <w:pPr>
              <w:rPr>
                <w:rFonts w:ascii="仿宋_GB2312" w:hAnsi="宋体" w:eastAsia="仿宋_GB2312" w:cs="Times New Roman"/>
                <w:color w:val="000000"/>
                <w:sz w:val="18"/>
                <w:szCs w:val="18"/>
              </w:rPr>
            </w:pPr>
          </w:p>
        </w:tc>
        <w:tc>
          <w:tcPr>
            <w:tcW w:w="664" w:type="dxa"/>
            <w:vMerge w:val="continue"/>
            <w:noWrap w:val="0"/>
            <w:vAlign w:val="center"/>
          </w:tcPr>
          <w:p>
            <w:pPr>
              <w:rPr>
                <w:rFonts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trPr>
        <w:tc>
          <w:tcPr>
            <w:tcW w:w="540" w:type="dxa"/>
            <w:vMerge w:val="restart"/>
            <w:noWrap w:val="0"/>
            <w:vAlign w:val="center"/>
          </w:tcPr>
          <w:p>
            <w:pPr>
              <w:jc w:val="center"/>
              <w:rPr>
                <w:rFonts w:hint="eastAsia" w:eastAsia="宋体"/>
                <w:lang w:val="en-US" w:eastAsia="zh-CN"/>
              </w:rPr>
            </w:pPr>
            <w:r>
              <w:rPr>
                <w:rFonts w:hint="eastAsia" w:ascii="仿宋_GB2312" w:hAnsi="宋体" w:eastAsia="仿宋_GB2312" w:cs="Times New Roman"/>
                <w:color w:val="000000"/>
                <w:sz w:val="18"/>
                <w:szCs w:val="18"/>
                <w:lang w:val="en-US" w:eastAsia="zh-CN"/>
              </w:rPr>
              <w:t>5</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严重精神障碍患者管理</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【部门规章及规范性文件】《国家基本公共卫生服务规范（第三版）》（国卫基层发〔2017〕13号）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2017年国家基本公共卫生服务项目工作的通知》（国卫基层发〔2017〕46号）</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2018年国家基本公共卫生服务项目工作的通知》（国卫基层发〔2018〕18号）</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卫生健康中心</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2" w:hRule="atLeast"/>
        </w:trPr>
        <w:tc>
          <w:tcPr>
            <w:tcW w:w="540" w:type="dxa"/>
            <w:vMerge w:val="restart"/>
            <w:noWrap w:val="0"/>
            <w:vAlign w:val="center"/>
          </w:tcPr>
          <w:p>
            <w:pPr>
              <w:jc w:val="center"/>
              <w:rPr>
                <w:rFonts w:hint="default" w:eastAsia="宋体"/>
                <w:lang w:val="en-US" w:eastAsia="zh-CN"/>
              </w:rPr>
            </w:pPr>
            <w:r>
              <w:rPr>
                <w:rFonts w:hint="eastAsia" w:ascii="仿宋_GB2312" w:hAnsi="宋体" w:eastAsia="仿宋_GB2312" w:cs="Times New Roman"/>
                <w:color w:val="000000"/>
                <w:sz w:val="18"/>
                <w:szCs w:val="18"/>
                <w:lang w:val="en-US" w:eastAsia="zh-CN"/>
              </w:rPr>
              <w:t>6</w:t>
            </w:r>
          </w:p>
        </w:tc>
        <w:tc>
          <w:tcPr>
            <w:tcW w:w="720" w:type="dxa"/>
            <w:vMerge w:val="restart"/>
            <w:noWrap w:val="0"/>
            <w:vAlign w:val="center"/>
          </w:tcPr>
          <w:p>
            <w:pPr>
              <w:jc w:val="center"/>
              <w:rPr>
                <w:rFonts w:hint="eastAsia" w:eastAsia="宋体"/>
                <w:lang w:eastAsia="zh-CN"/>
              </w:rPr>
            </w:pPr>
            <w:r>
              <w:rPr>
                <w:rFonts w:hint="eastAsia" w:ascii="仿宋_GB2312" w:hAnsi="宋体" w:eastAsia="仿宋_GB2312" w:cs="Times New Roman"/>
                <w:color w:val="000000"/>
                <w:sz w:val="18"/>
                <w:szCs w:val="18"/>
                <w:lang w:eastAsia="zh-CN"/>
              </w:rPr>
              <w:t>公共卫生服务事项</w:t>
            </w:r>
          </w:p>
        </w:tc>
        <w:tc>
          <w:tcPr>
            <w:tcW w:w="1188" w:type="dxa"/>
            <w:vMerge w:val="restart"/>
            <w:noWrap w:val="0"/>
            <w:vAlign w:val="center"/>
          </w:tcPr>
          <w:p>
            <w:pPr>
              <w:jc w:val="center"/>
            </w:pPr>
            <w:r>
              <w:rPr>
                <w:rFonts w:hint="eastAsia" w:ascii="仿宋_GB2312" w:hAnsi="宋体" w:eastAsia="仿宋_GB2312" w:cs="Times New Roman"/>
                <w:color w:val="000000"/>
                <w:sz w:val="18"/>
                <w:szCs w:val="18"/>
                <w:lang w:val="en-US" w:eastAsia="zh-CN"/>
              </w:rPr>
              <w:t>免费孕前优生健康检查</w:t>
            </w: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法律法规和政策文件</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【部门规章及规范性文件】《国家人口计生委、财政部关于开展国家免费孕前优生健康检查项目试点工作的通知》 （国人口发〔2010〕29号）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【部门规章及规范性文件】《国家卫生计生委办公厅关于做好2016年国家免费孕前优生健康检查项目工作的通知》（国卫办妇幼函〔2016〕894号）</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【部门规章及规范性文件】《关于做好 2019年基本公共卫生服务项目工作的通知》</w:t>
            </w:r>
          </w:p>
          <w:p>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【部门规章及规范性文件】《新划入基本公共卫生服务相关工作规范（2019 版）》</w:t>
            </w:r>
          </w:p>
        </w:tc>
        <w:tc>
          <w:tcPr>
            <w:tcW w:w="144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自信息形成或者变更之日起</w:t>
            </w:r>
            <w:r>
              <w:rPr>
                <w:rFonts w:hint="eastAsia" w:ascii="仿宋_GB2312" w:hAnsi="宋体" w:eastAsia="仿宋_GB2312" w:cs="Times New Roman"/>
                <w:color w:val="000000"/>
                <w:sz w:val="18"/>
                <w:szCs w:val="18"/>
                <w:lang w:val="en-US" w:eastAsia="zh-CN"/>
              </w:rPr>
              <w:t>20</w:t>
            </w:r>
            <w:r>
              <w:rPr>
                <w:rFonts w:hint="eastAsia" w:ascii="仿宋_GB2312" w:hAnsi="宋体" w:eastAsia="仿宋_GB2312" w:cs="Times New Roman"/>
                <w:color w:val="000000"/>
                <w:sz w:val="18"/>
                <w:szCs w:val="18"/>
              </w:rPr>
              <w:t>个工作日内予以公开</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eastAsia="zh-CN"/>
              </w:rPr>
              <w:t>卫生健康中心</w:t>
            </w:r>
          </w:p>
        </w:tc>
        <w:tc>
          <w:tcPr>
            <w:tcW w:w="1080" w:type="dxa"/>
            <w:vMerge w:val="restart"/>
            <w:noWrap w:val="0"/>
            <w:vAlign w:val="center"/>
          </w:tcPr>
          <w:p>
            <w:pP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 xml:space="preserve">■政府网站     </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96"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c>
          <w:tcPr>
            <w:tcW w:w="72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540"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p>
        </w:tc>
        <w:tc>
          <w:tcPr>
            <w:tcW w:w="664" w:type="dxa"/>
            <w:vMerge w:val="restart"/>
            <w:noWrap w:val="0"/>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trPr>
        <w:tc>
          <w:tcPr>
            <w:tcW w:w="540" w:type="dxa"/>
            <w:vMerge w:val="continue"/>
            <w:noWrap w:val="0"/>
            <w:vAlign w:val="center"/>
          </w:tcPr>
          <w:p/>
        </w:tc>
        <w:tc>
          <w:tcPr>
            <w:tcW w:w="720" w:type="dxa"/>
            <w:vMerge w:val="continue"/>
            <w:noWrap w:val="0"/>
            <w:vAlign w:val="center"/>
          </w:tcPr>
          <w:p/>
        </w:tc>
        <w:tc>
          <w:tcPr>
            <w:tcW w:w="1188" w:type="dxa"/>
            <w:vMerge w:val="continue"/>
            <w:noWrap w:val="0"/>
            <w:vAlign w:val="center"/>
          </w:tc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服务对象</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服务机构信息，包括名称、地点、服务时间</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服务项目和内容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服务流程</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2"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服务要求</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5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188" w:type="dxa"/>
            <w:vMerge w:val="continue"/>
            <w:noWrap w:val="0"/>
            <w:vAlign w:val="center"/>
          </w:tcPr>
          <w:p>
            <w:pPr>
              <w:rPr>
                <w:rFonts w:hint="eastAsia" w:ascii="仿宋_GB2312" w:hAnsi="宋体" w:eastAsia="仿宋_GB2312" w:cs="Times New Roman"/>
                <w:color w:val="000000"/>
                <w:sz w:val="18"/>
                <w:szCs w:val="18"/>
              </w:rPr>
            </w:pPr>
          </w:p>
        </w:tc>
        <w:tc>
          <w:tcPr>
            <w:tcW w:w="41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投诉举报电话以及网上投诉渠道</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4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108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96" w:type="dxa"/>
            <w:vMerge w:val="continue"/>
            <w:noWrap w:val="0"/>
            <w:vAlign w:val="center"/>
          </w:tcPr>
          <w:p>
            <w:pPr>
              <w:rPr>
                <w:rFonts w:hint="eastAsia" w:ascii="仿宋_GB2312" w:hAnsi="宋体" w:eastAsia="仿宋_GB2312" w:cs="Times New Roman"/>
                <w:color w:val="000000"/>
                <w:sz w:val="18"/>
                <w:szCs w:val="18"/>
              </w:rPr>
            </w:pPr>
          </w:p>
        </w:tc>
        <w:tc>
          <w:tcPr>
            <w:tcW w:w="720" w:type="dxa"/>
            <w:vMerge w:val="continue"/>
            <w:noWrap w:val="0"/>
            <w:vAlign w:val="center"/>
          </w:tcPr>
          <w:p>
            <w:pPr>
              <w:rPr>
                <w:rFonts w:hint="eastAsia" w:ascii="仿宋_GB2312" w:hAnsi="宋体" w:eastAsia="仿宋_GB2312" w:cs="Times New Roman"/>
                <w:color w:val="000000"/>
                <w:sz w:val="18"/>
                <w:szCs w:val="18"/>
              </w:rPr>
            </w:pPr>
          </w:p>
        </w:tc>
        <w:tc>
          <w:tcPr>
            <w:tcW w:w="540" w:type="dxa"/>
            <w:vMerge w:val="continue"/>
            <w:noWrap w:val="0"/>
            <w:vAlign w:val="center"/>
          </w:tcPr>
          <w:p>
            <w:pPr>
              <w:rPr>
                <w:rFonts w:hint="eastAsia" w:ascii="仿宋_GB2312" w:hAnsi="宋体" w:eastAsia="仿宋_GB2312" w:cs="Times New Roman"/>
                <w:color w:val="000000"/>
                <w:sz w:val="18"/>
                <w:szCs w:val="18"/>
              </w:rPr>
            </w:pPr>
          </w:p>
        </w:tc>
        <w:tc>
          <w:tcPr>
            <w:tcW w:w="664" w:type="dxa"/>
            <w:vMerge w:val="continue"/>
            <w:noWrap w:val="0"/>
            <w:vAlign w:val="center"/>
          </w:tcPr>
          <w:p>
            <w:pPr>
              <w:rPr>
                <w:rFonts w:hint="eastAsia" w:ascii="仿宋_GB2312" w:hAnsi="宋体" w:eastAsia="仿宋_GB2312" w:cs="Times New Roman"/>
                <w:color w:val="000000"/>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538BD"/>
    <w:rsid w:val="236538BD"/>
    <w:rsid w:val="32FF170D"/>
    <w:rsid w:val="5F98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2020-11-18T03:16:00Z</dcterms:created>
  <dc:creator>Administrator</dc:creator>
  <cp:lastModifiedBy>哼哼哈嘿</cp:lastModifiedBy>
  <dcterms:modified xsi:type="dcterms:W3CDTF">2020-12-15T08:18:56Z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