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231"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文昌湖区人社局</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年度“双随机、一公开”抽查计划</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935"/>
        <w:gridCol w:w="5970"/>
        <w:gridCol w:w="843"/>
        <w:gridCol w:w="941"/>
        <w:gridCol w:w="1268"/>
        <w:gridCol w:w="1187"/>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4"/>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序号</w:t>
            </w:r>
          </w:p>
        </w:tc>
        <w:tc>
          <w:tcPr>
            <w:tcW w:w="1935" w:type="dxa"/>
            <w:vAlign w:val="center"/>
          </w:tcPr>
          <w:p>
            <w:pPr>
              <w:pStyle w:val="4"/>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抽查事项</w:t>
            </w:r>
          </w:p>
        </w:tc>
        <w:tc>
          <w:tcPr>
            <w:tcW w:w="5970" w:type="dxa"/>
            <w:vAlign w:val="center"/>
          </w:tcPr>
          <w:p>
            <w:pPr>
              <w:pStyle w:val="4"/>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抽查内容</w:t>
            </w:r>
          </w:p>
        </w:tc>
        <w:tc>
          <w:tcPr>
            <w:tcW w:w="843" w:type="dxa"/>
            <w:vAlign w:val="center"/>
          </w:tcPr>
          <w:p>
            <w:pPr>
              <w:pStyle w:val="4"/>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发起部门</w:t>
            </w:r>
          </w:p>
        </w:tc>
        <w:tc>
          <w:tcPr>
            <w:tcW w:w="941" w:type="dxa"/>
            <w:vAlign w:val="center"/>
          </w:tcPr>
          <w:p>
            <w:pPr>
              <w:pStyle w:val="4"/>
              <w:jc w:val="center"/>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配合</w:t>
            </w:r>
          </w:p>
          <w:p>
            <w:pPr>
              <w:pStyle w:val="4"/>
              <w:jc w:val="center"/>
              <w:rPr>
                <w:rFonts w:hint="default"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部门</w:t>
            </w:r>
          </w:p>
        </w:tc>
        <w:tc>
          <w:tcPr>
            <w:tcW w:w="1268" w:type="dxa"/>
            <w:vAlign w:val="center"/>
          </w:tcPr>
          <w:p>
            <w:pPr>
              <w:pStyle w:val="4"/>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检查主体</w:t>
            </w:r>
          </w:p>
        </w:tc>
        <w:tc>
          <w:tcPr>
            <w:tcW w:w="1187" w:type="dxa"/>
            <w:vAlign w:val="center"/>
          </w:tcPr>
          <w:p>
            <w:pPr>
              <w:pStyle w:val="4"/>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检查时间</w:t>
            </w:r>
          </w:p>
        </w:tc>
        <w:tc>
          <w:tcPr>
            <w:tcW w:w="1213" w:type="dxa"/>
            <w:vAlign w:val="center"/>
          </w:tcPr>
          <w:p>
            <w:pPr>
              <w:pStyle w:val="4"/>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抽查比例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5" w:hRule="atLeast"/>
        </w:trPr>
        <w:tc>
          <w:tcPr>
            <w:tcW w:w="705" w:type="dxa"/>
            <w:vAlign w:val="center"/>
          </w:tcPr>
          <w:p>
            <w:pPr>
              <w:pStyle w:val="4"/>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1</w:t>
            </w:r>
          </w:p>
        </w:tc>
        <w:tc>
          <w:tcPr>
            <w:tcW w:w="1935" w:type="dxa"/>
            <w:vAlign w:val="center"/>
          </w:tcPr>
          <w:p>
            <w:pPr>
              <w:pStyle w:val="4"/>
              <w:jc w:val="both"/>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劳动保护情况的</w:t>
            </w:r>
            <w:r>
              <w:rPr>
                <w:rFonts w:hint="eastAsia" w:ascii="仿宋_GB2312" w:hAnsi="仿宋_GB2312" w:cs="仿宋_GB2312"/>
                <w:sz w:val="21"/>
                <w:szCs w:val="21"/>
                <w:vertAlign w:val="baseline"/>
                <w:lang w:val="en-US" w:eastAsia="zh-CN"/>
              </w:rPr>
              <w:t>检查</w:t>
            </w:r>
          </w:p>
        </w:tc>
        <w:tc>
          <w:tcPr>
            <w:tcW w:w="5970" w:type="dxa"/>
            <w:vAlign w:val="center"/>
          </w:tcPr>
          <w:p>
            <w:pPr>
              <w:tabs>
                <w:tab w:val="left" w:pos="2183"/>
              </w:tabs>
              <w:bidi w:val="0"/>
              <w:jc w:val="both"/>
              <w:rPr>
                <w:rFonts w:hint="eastAsia" w:ascii="仿宋_GB2312" w:hAnsi="宋体" w:eastAsia="仿宋_GB2312" w:cs="宋体"/>
                <w:color w:val="000000"/>
                <w:kern w:val="2"/>
                <w:sz w:val="21"/>
                <w:szCs w:val="21"/>
                <w:lang w:val="en-US" w:eastAsia="zh-CN" w:bidi="ar"/>
              </w:rPr>
            </w:pPr>
            <w:r>
              <w:rPr>
                <w:rFonts w:hint="eastAsia" w:ascii="仿宋_GB2312" w:hAnsi="宋体" w:eastAsia="仿宋_GB2312" w:cs="宋体"/>
                <w:color w:val="000000"/>
                <w:kern w:val="2"/>
                <w:sz w:val="21"/>
                <w:szCs w:val="21"/>
                <w:lang w:val="en-US" w:eastAsia="zh-CN" w:bidi="ar"/>
              </w:rPr>
              <w:t>对怀孕7个月以上的女职工延长劳动时间或安排夜班劳动；女职工产假不满法定天数；安排哺乳未满一周岁婴儿的女职工延长劳动时间或者安排夜班劳动；</w:t>
            </w:r>
          </w:p>
          <w:p>
            <w:pPr>
              <w:tabs>
                <w:tab w:val="left" w:pos="2183"/>
              </w:tabs>
              <w:bidi w:val="0"/>
              <w:jc w:val="both"/>
              <w:rPr>
                <w:rFonts w:hint="eastAsia" w:ascii="仿宋_GB2312" w:hAnsi="宋体" w:eastAsia="仿宋_GB2312" w:cs="宋体"/>
                <w:color w:val="000000"/>
                <w:kern w:val="2"/>
                <w:sz w:val="21"/>
                <w:szCs w:val="21"/>
                <w:lang w:val="en-US" w:eastAsia="zh-CN" w:bidi="ar"/>
              </w:rPr>
            </w:pPr>
            <w:r>
              <w:rPr>
                <w:rFonts w:hint="eastAsia" w:ascii="仿宋_GB2312" w:hAnsi="宋体" w:eastAsia="仿宋_GB2312" w:cs="宋体"/>
                <w:color w:val="000000"/>
                <w:kern w:val="2"/>
                <w:sz w:val="21"/>
                <w:szCs w:val="21"/>
                <w:lang w:val="en-US" w:eastAsia="zh-CN" w:bidi="ar"/>
              </w:rPr>
              <w:t>2.单位或个人是否为不满16周岁的未成年人介绍就业；职业中介机构是否为不满16周岁的未成年人介绍就业；无营业执照、被依法吊销营业执照的单位以及未依法登记、备案的单位是否为不满16周岁未成年人介绍就业；</w:t>
            </w:r>
          </w:p>
          <w:p>
            <w:pPr>
              <w:tabs>
                <w:tab w:val="left" w:pos="2183"/>
              </w:tabs>
              <w:bidi w:val="0"/>
              <w:jc w:val="both"/>
              <w:rPr>
                <w:rFonts w:hint="eastAsia" w:ascii="仿宋_GB2312" w:hAnsi="宋体" w:eastAsia="仿宋_GB2312" w:cs="宋体"/>
                <w:color w:val="000000"/>
                <w:kern w:val="2"/>
                <w:sz w:val="21"/>
                <w:szCs w:val="21"/>
                <w:lang w:val="en-US" w:eastAsia="zh-CN" w:bidi="ar"/>
              </w:rPr>
            </w:pPr>
            <w:r>
              <w:rPr>
                <w:rFonts w:hint="eastAsia" w:ascii="仿宋_GB2312" w:hAnsi="宋体" w:eastAsia="仿宋_GB2312" w:cs="宋体"/>
                <w:color w:val="000000"/>
                <w:kern w:val="2"/>
                <w:sz w:val="21"/>
                <w:szCs w:val="21"/>
                <w:lang w:val="en-US" w:eastAsia="zh-CN" w:bidi="ar"/>
              </w:rPr>
              <w:t>3.用人单位是否在使用有毒物品作业场所使用童工；用人单位是否存在使用童工情形；用人单位是否存在使用童工经劳动保障部门责令限期改正后逾期不将童工送交其父母或者其他监护人的情形；无营业执照、被依法吊销营业执照的单位以及未依法登记、备案的单位是否使用童工；</w:t>
            </w:r>
          </w:p>
          <w:p>
            <w:pPr>
              <w:tabs>
                <w:tab w:val="left" w:pos="2183"/>
              </w:tabs>
              <w:bidi w:val="0"/>
              <w:jc w:val="both"/>
              <w:rPr>
                <w:rFonts w:hint="eastAsia" w:eastAsia="仿宋_GB2312"/>
                <w:lang w:eastAsia="zh-CN"/>
              </w:rPr>
            </w:pPr>
            <w:r>
              <w:rPr>
                <w:rFonts w:hint="eastAsia" w:ascii="仿宋_GB2312" w:hAnsi="宋体" w:eastAsia="仿宋_GB2312" w:cs="宋体"/>
                <w:color w:val="000000"/>
                <w:kern w:val="2"/>
                <w:sz w:val="21"/>
                <w:szCs w:val="21"/>
                <w:lang w:val="en-US" w:eastAsia="zh-CN" w:bidi="ar"/>
              </w:rPr>
              <w:t>4.用人单位是否存在高温条件下违反规定安排劳动者作业的情形；用人单位是否存在高温条件下不按规定支付高温津贴的情形。</w:t>
            </w:r>
          </w:p>
        </w:tc>
        <w:tc>
          <w:tcPr>
            <w:tcW w:w="843" w:type="dxa"/>
            <w:vAlign w:val="center"/>
          </w:tcPr>
          <w:p>
            <w:pPr>
              <w:pStyle w:val="4"/>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val="en-US" w:eastAsia="zh-CN"/>
              </w:rPr>
              <w:t>人社部门</w:t>
            </w:r>
          </w:p>
        </w:tc>
        <w:tc>
          <w:tcPr>
            <w:tcW w:w="941" w:type="dxa"/>
            <w:vAlign w:val="center"/>
          </w:tcPr>
          <w:p>
            <w:pPr>
              <w:pStyle w:val="4"/>
              <w:jc w:val="center"/>
              <w:rPr>
                <w:rFonts w:hint="default"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无</w:t>
            </w:r>
          </w:p>
        </w:tc>
        <w:tc>
          <w:tcPr>
            <w:tcW w:w="1268" w:type="dxa"/>
            <w:vAlign w:val="center"/>
          </w:tcPr>
          <w:p>
            <w:pPr>
              <w:pStyle w:val="4"/>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val="en-US" w:eastAsia="zh-CN"/>
              </w:rPr>
              <w:t>文昌湖区人力资源和社会保障局</w:t>
            </w:r>
          </w:p>
        </w:tc>
        <w:tc>
          <w:tcPr>
            <w:tcW w:w="1187" w:type="dxa"/>
            <w:vAlign w:val="center"/>
          </w:tcPr>
          <w:p>
            <w:pPr>
              <w:pStyle w:val="4"/>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val="en-US" w:eastAsia="zh-CN"/>
              </w:rPr>
              <w:t>6月-11月</w:t>
            </w:r>
          </w:p>
        </w:tc>
        <w:tc>
          <w:tcPr>
            <w:tcW w:w="1213" w:type="dxa"/>
            <w:vAlign w:val="center"/>
          </w:tcPr>
          <w:p>
            <w:pPr>
              <w:pStyle w:val="4"/>
              <w:jc w:val="both"/>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5%，其中：</w:t>
            </w:r>
          </w:p>
          <w:p>
            <w:pPr>
              <w:pStyle w:val="4"/>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val="en-US" w:eastAsia="zh-CN"/>
              </w:rPr>
              <w:t xml:space="preserve">B类2%，C类3%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4"/>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2</w:t>
            </w:r>
          </w:p>
        </w:tc>
        <w:tc>
          <w:tcPr>
            <w:tcW w:w="1935" w:type="dxa"/>
            <w:vAlign w:val="center"/>
          </w:tcPr>
          <w:p>
            <w:pPr>
              <w:pStyle w:val="4"/>
              <w:jc w:val="both"/>
              <w:rPr>
                <w:rFonts w:hint="default" w:ascii="仿宋_GB2312" w:hAnsi="仿宋_GB2312" w:eastAsia="仿宋_GB2312" w:cs="仿宋_GB2312"/>
                <w:sz w:val="21"/>
                <w:szCs w:val="21"/>
                <w:vertAlign w:val="baseline"/>
                <w:lang w:val="en-US"/>
              </w:rPr>
            </w:pPr>
            <w:r>
              <w:rPr>
                <w:rFonts w:hint="eastAsia" w:ascii="仿宋_GB2312" w:hAnsi="仿宋_GB2312" w:eastAsia="仿宋_GB2312" w:cs="仿宋_GB2312"/>
                <w:sz w:val="21"/>
                <w:szCs w:val="21"/>
                <w:vertAlign w:val="baseline"/>
                <w:lang w:val="en-US" w:eastAsia="zh-CN"/>
              </w:rPr>
              <w:t>劳动合同订立情况的检查</w:t>
            </w:r>
          </w:p>
        </w:tc>
        <w:tc>
          <w:tcPr>
            <w:tcW w:w="5970" w:type="dxa"/>
            <w:vAlign w:val="center"/>
          </w:tcPr>
          <w:p>
            <w:pPr>
              <w:pStyle w:val="4"/>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1.用人单位是否与依法与劳动者订立书面劳动合同；</w:t>
            </w:r>
          </w:p>
          <w:p>
            <w:pPr>
              <w:pStyle w:val="4"/>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2.用人单位是否将劳动合同文本交付劳动者；</w:t>
            </w:r>
          </w:p>
          <w:p>
            <w:pPr>
              <w:pStyle w:val="4"/>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3.用人单位是否违反劳动合同法规定约定试用期；</w:t>
            </w:r>
          </w:p>
          <w:p>
            <w:pPr>
              <w:pStyle w:val="4"/>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4.用人单位解除或者终止劳动合同，是否依照劳动合同法规定向劳动者支付经济补偿；</w:t>
            </w:r>
          </w:p>
          <w:p>
            <w:pPr>
              <w:pStyle w:val="4"/>
              <w:jc w:val="both"/>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lang w:val="en-US" w:eastAsia="zh-CN"/>
              </w:rPr>
              <w:t>5.用人单位是否按照劳动合同法规定向劳动者出具解除或者终止劳动合同的书面证明；</w:t>
            </w:r>
          </w:p>
        </w:tc>
        <w:tc>
          <w:tcPr>
            <w:tcW w:w="843" w:type="dxa"/>
            <w:vAlign w:val="center"/>
          </w:tcPr>
          <w:p>
            <w:pPr>
              <w:pStyle w:val="4"/>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val="en-US" w:eastAsia="zh-CN"/>
              </w:rPr>
              <w:t>人社部门</w:t>
            </w:r>
          </w:p>
        </w:tc>
        <w:tc>
          <w:tcPr>
            <w:tcW w:w="941" w:type="dxa"/>
            <w:vAlign w:val="center"/>
          </w:tcPr>
          <w:p>
            <w:pPr>
              <w:pStyle w:val="4"/>
              <w:jc w:val="center"/>
              <w:rPr>
                <w:rFonts w:hint="default"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无</w:t>
            </w:r>
          </w:p>
        </w:tc>
        <w:tc>
          <w:tcPr>
            <w:tcW w:w="1268" w:type="dxa"/>
            <w:vAlign w:val="center"/>
          </w:tcPr>
          <w:p>
            <w:pPr>
              <w:pStyle w:val="4"/>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val="en-US" w:eastAsia="zh-CN"/>
              </w:rPr>
              <w:t>文昌湖区人力资源和社会保障局</w:t>
            </w:r>
          </w:p>
        </w:tc>
        <w:tc>
          <w:tcPr>
            <w:tcW w:w="1187" w:type="dxa"/>
            <w:vAlign w:val="center"/>
          </w:tcPr>
          <w:p>
            <w:pPr>
              <w:pStyle w:val="4"/>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val="en-US" w:eastAsia="zh-CN"/>
              </w:rPr>
              <w:t>6月-11月</w:t>
            </w:r>
          </w:p>
        </w:tc>
        <w:tc>
          <w:tcPr>
            <w:tcW w:w="1213" w:type="dxa"/>
            <w:vAlign w:val="center"/>
          </w:tcPr>
          <w:p>
            <w:pPr>
              <w:pStyle w:val="4"/>
              <w:jc w:val="both"/>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5%，其中：</w:t>
            </w:r>
          </w:p>
          <w:p>
            <w:pPr>
              <w:pStyle w:val="4"/>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val="en-US" w:eastAsia="zh-CN"/>
              </w:rPr>
              <w:t xml:space="preserve">B类2%，C类3%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4"/>
              <w:jc w:val="center"/>
              <w:rPr>
                <w:rFonts w:hint="default"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3</w:t>
            </w:r>
          </w:p>
        </w:tc>
        <w:tc>
          <w:tcPr>
            <w:tcW w:w="1935" w:type="dxa"/>
            <w:vAlign w:val="center"/>
          </w:tcPr>
          <w:p>
            <w:pPr>
              <w:pStyle w:val="4"/>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对用人单位支付劳动者工资和执行最低工资标准的情况的检查</w:t>
            </w:r>
          </w:p>
        </w:tc>
        <w:tc>
          <w:tcPr>
            <w:tcW w:w="5970" w:type="dxa"/>
            <w:vAlign w:val="center"/>
          </w:tcPr>
          <w:p>
            <w:pPr>
              <w:pStyle w:val="4"/>
              <w:jc w:val="both"/>
              <w:rPr>
                <w:rFonts w:hint="eastAsia" w:ascii="仿宋_GB2312" w:hAnsi="仿宋_GB2312" w:eastAsia="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1.</w:t>
            </w:r>
            <w:r>
              <w:rPr>
                <w:rFonts w:hint="eastAsia" w:ascii="仿宋_GB2312" w:hAnsi="仿宋_GB2312" w:eastAsia="仿宋_GB2312" w:cs="仿宋_GB2312"/>
                <w:sz w:val="21"/>
                <w:szCs w:val="21"/>
                <w:vertAlign w:val="baseline"/>
                <w:lang w:val="en-US" w:eastAsia="zh-CN"/>
              </w:rPr>
              <w:t>未按照劳动合同的约定或者国家规定及时足额支付劳动报酬；</w:t>
            </w:r>
            <w:r>
              <w:rPr>
                <w:rFonts w:hint="eastAsia" w:ascii="仿宋_GB2312" w:hAnsi="仿宋_GB2312" w:cs="仿宋_GB2312"/>
                <w:sz w:val="21"/>
                <w:szCs w:val="21"/>
                <w:vertAlign w:val="baseline"/>
                <w:lang w:val="en-US" w:eastAsia="zh-CN"/>
              </w:rPr>
              <w:t>2.</w:t>
            </w:r>
            <w:r>
              <w:rPr>
                <w:rFonts w:hint="eastAsia" w:ascii="仿宋_GB2312" w:hAnsi="仿宋_GB2312" w:eastAsia="仿宋_GB2312" w:cs="仿宋_GB2312"/>
                <w:sz w:val="21"/>
                <w:szCs w:val="21"/>
                <w:vertAlign w:val="baseline"/>
                <w:lang w:val="en-US" w:eastAsia="zh-CN"/>
              </w:rPr>
              <w:t>低于当地最低工资标准支付劳动者工资；</w:t>
            </w:r>
            <w:r>
              <w:rPr>
                <w:rFonts w:hint="eastAsia" w:ascii="仿宋_GB2312" w:hAnsi="仿宋_GB2312" w:cs="仿宋_GB2312"/>
                <w:sz w:val="21"/>
                <w:szCs w:val="21"/>
                <w:vertAlign w:val="baseline"/>
                <w:lang w:val="en-US" w:eastAsia="zh-CN"/>
              </w:rPr>
              <w:t>3.</w:t>
            </w:r>
            <w:r>
              <w:rPr>
                <w:rFonts w:hint="eastAsia" w:ascii="仿宋_GB2312" w:hAnsi="仿宋_GB2312" w:eastAsia="仿宋_GB2312" w:cs="仿宋_GB2312"/>
                <w:sz w:val="21"/>
                <w:szCs w:val="21"/>
                <w:vertAlign w:val="baseline"/>
                <w:lang w:val="en-US" w:eastAsia="zh-CN"/>
              </w:rPr>
              <w:t>安排加班不支付加班费；</w:t>
            </w:r>
            <w:r>
              <w:rPr>
                <w:rFonts w:hint="eastAsia" w:ascii="仿宋_GB2312" w:hAnsi="仿宋_GB2312" w:cs="仿宋_GB2312"/>
                <w:sz w:val="21"/>
                <w:szCs w:val="21"/>
                <w:vertAlign w:val="baseline"/>
                <w:lang w:val="en-US" w:eastAsia="zh-CN"/>
              </w:rPr>
              <w:t>4.</w:t>
            </w:r>
            <w:r>
              <w:rPr>
                <w:rFonts w:hint="eastAsia" w:ascii="仿宋_GB2312" w:hAnsi="仿宋_GB2312" w:eastAsia="仿宋_GB2312" w:cs="仿宋_GB2312"/>
                <w:sz w:val="21"/>
                <w:szCs w:val="21"/>
                <w:vertAlign w:val="baseline"/>
                <w:lang w:val="en-US" w:eastAsia="zh-CN"/>
              </w:rPr>
              <w:t>用人单位是否依照劳动合同法的规定向劳动者每月支付两倍的工资或者赔偿金。</w:t>
            </w:r>
          </w:p>
        </w:tc>
        <w:tc>
          <w:tcPr>
            <w:tcW w:w="843" w:type="dxa"/>
            <w:vAlign w:val="center"/>
          </w:tcPr>
          <w:p>
            <w:pPr>
              <w:pStyle w:val="4"/>
              <w:jc w:val="center"/>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人社部门</w:t>
            </w:r>
          </w:p>
        </w:tc>
        <w:tc>
          <w:tcPr>
            <w:tcW w:w="941" w:type="dxa"/>
            <w:vAlign w:val="center"/>
          </w:tcPr>
          <w:p>
            <w:pPr>
              <w:pStyle w:val="4"/>
              <w:jc w:val="center"/>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住建</w:t>
            </w:r>
          </w:p>
          <w:p>
            <w:pPr>
              <w:pStyle w:val="4"/>
              <w:jc w:val="center"/>
              <w:rPr>
                <w:rFonts w:hint="default"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部门</w:t>
            </w:r>
          </w:p>
        </w:tc>
        <w:tc>
          <w:tcPr>
            <w:tcW w:w="1268" w:type="dxa"/>
            <w:vAlign w:val="center"/>
          </w:tcPr>
          <w:p>
            <w:pPr>
              <w:pStyle w:val="4"/>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val="en-US" w:eastAsia="zh-CN"/>
              </w:rPr>
              <w:t>文昌湖区人力资源和社会保障局</w:t>
            </w:r>
            <w:bookmarkStart w:id="0" w:name="_GoBack"/>
            <w:bookmarkEnd w:id="0"/>
          </w:p>
        </w:tc>
        <w:tc>
          <w:tcPr>
            <w:tcW w:w="1187" w:type="dxa"/>
            <w:vAlign w:val="center"/>
          </w:tcPr>
          <w:p>
            <w:pPr>
              <w:pStyle w:val="4"/>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val="en-US" w:eastAsia="zh-CN"/>
              </w:rPr>
              <w:t>6月-11月</w:t>
            </w:r>
          </w:p>
        </w:tc>
        <w:tc>
          <w:tcPr>
            <w:tcW w:w="1213" w:type="dxa"/>
            <w:vAlign w:val="center"/>
          </w:tcPr>
          <w:p>
            <w:pPr>
              <w:pStyle w:val="4"/>
              <w:jc w:val="both"/>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5%，其中：</w:t>
            </w:r>
          </w:p>
          <w:p>
            <w:pPr>
              <w:pStyle w:val="4"/>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val="en-US" w:eastAsia="zh-CN"/>
              </w:rPr>
              <w:t xml:space="preserve">B类2%，C类3% </w:t>
            </w:r>
          </w:p>
        </w:tc>
      </w:tr>
    </w:tbl>
    <w:p>
      <w:pPr>
        <w:pStyle w:val="4"/>
        <w:ind w:firstLine="231" w:firstLineChars="0"/>
        <w:jc w:val="center"/>
        <w:rPr>
          <w:rFonts w:hint="eastAsia" w:ascii="方正小标宋简体" w:hAnsi="方正小标宋简体" w:eastAsia="方正小标宋简体" w:cs="方正小标宋简体"/>
          <w:sz w:val="44"/>
          <w:szCs w:val="44"/>
        </w:rPr>
      </w:pPr>
    </w:p>
    <w:p>
      <w:pPr>
        <w:pStyle w:val="4"/>
        <w:ind w:firstLine="231" w:firstLineChars="0"/>
        <w:jc w:val="center"/>
        <w:rPr>
          <w:rFonts w:hint="default" w:ascii="方正小标宋简体" w:hAnsi="方正小标宋简体" w:eastAsia="方正小标宋简体" w:cs="方正小标宋简体"/>
          <w:sz w:val="44"/>
          <w:szCs w:val="4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iOTNmNDUwYmViZDQ3NTliMmE1OWU4OWMzMzQ3ZTkifQ=="/>
  </w:docVars>
  <w:rsids>
    <w:rsidRoot w:val="4D9F79E2"/>
    <w:rsid w:val="00671E0F"/>
    <w:rsid w:val="021D04ED"/>
    <w:rsid w:val="12EF2FA5"/>
    <w:rsid w:val="1D2C3B08"/>
    <w:rsid w:val="289F6037"/>
    <w:rsid w:val="331F55C4"/>
    <w:rsid w:val="48142DC6"/>
    <w:rsid w:val="4D9F79E2"/>
    <w:rsid w:val="4DB83A96"/>
    <w:rsid w:val="5B955129"/>
    <w:rsid w:val="5FAE5456"/>
    <w:rsid w:val="62855416"/>
    <w:rsid w:val="663A05C2"/>
    <w:rsid w:val="67073C47"/>
    <w:rsid w:val="6F3E3623"/>
    <w:rsid w:val="7099501A"/>
    <w:rsid w:val="7CC33F68"/>
    <w:rsid w:val="7F0C6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仿宋_GB2312"/>
      <w:kern w:val="2"/>
      <w:sz w:val="32"/>
      <w:szCs w:val="32"/>
      <w:lang w:val="en-US" w:eastAsia="zh-CN" w:bidi="ar-SA"/>
    </w:rPr>
  </w:style>
  <w:style w:type="paragraph" w:styleId="3">
    <w:name w:val="heading 1"/>
    <w:basedOn w:val="1"/>
    <w:next w:val="1"/>
    <w:link w:val="8"/>
    <w:qFormat/>
    <w:uiPriority w:val="0"/>
    <w:pPr>
      <w:keepNext/>
      <w:keepLines/>
      <w:spacing w:before="340" w:beforeLines="0" w:beforeAutospacing="0" w:after="330" w:afterLines="0" w:afterAutospacing="0" w:line="576" w:lineRule="auto"/>
      <w:jc w:val="center"/>
      <w:outlineLvl w:val="0"/>
    </w:pPr>
    <w:rPr>
      <w:rFonts w:eastAsia="方正小标宋简体" w:asciiTheme="minorAscii" w:hAnsiTheme="minorAscii" w:cstheme="minorBidi"/>
      <w:kern w:val="44"/>
      <w:sz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Calibri Light" w:hAnsi="Calibri Light" w:eastAsia="宋体"/>
      <w:sz w:val="24"/>
    </w:rPr>
  </w:style>
  <w:style w:type="paragraph" w:styleId="4">
    <w:name w:val="Body Text"/>
    <w:basedOn w:val="1"/>
    <w:qFormat/>
    <w:uiPriority w:val="0"/>
    <w:pPr>
      <w:spacing w:after="120" w:afterLines="0" w:afterAutospacing="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1 Char"/>
    <w:link w:val="3"/>
    <w:qFormat/>
    <w:uiPriority w:val="0"/>
    <w:rPr>
      <w:rFonts w:eastAsia="方正小标宋简体" w:asciiTheme="minorAscii" w:hAnsiTheme="minorAscii" w:cstheme="minorBidi"/>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781</Words>
  <Characters>814</Characters>
  <Lines>0</Lines>
  <Paragraphs>0</Paragraphs>
  <TotalTime>0</TotalTime>
  <ScaleCrop>false</ScaleCrop>
  <LinksUpToDate>false</LinksUpToDate>
  <CharactersWithSpaces>817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2022-12-28T03:48:00Z</dcterms:created>
  <dc:creator>孙鱼</dc:creator>
  <cp:lastModifiedBy>Administrator</cp:lastModifiedBy>
  <cp:lastPrinted>2022-12-28T05:35:00Z</cp:lastPrinted>
  <dcterms:modified xsi:type="dcterms:W3CDTF">2023-06-13T06:29:25Z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6AAA0E0D8C11484E86C418E61EC5BACE</vt:lpwstr>
  </property>
</Properties>
</file>