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文昌湖区综合行政执法局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2021年度“双随机、一公开”抽查工作计划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565"/>
        <w:gridCol w:w="1771"/>
        <w:gridCol w:w="1771"/>
        <w:gridCol w:w="1771"/>
        <w:gridCol w:w="1771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56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抽查类别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抽查事项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检查对象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事项类别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检查时间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检查主体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977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56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市容市貌管理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fill="FFFFFF"/>
              </w:rPr>
              <w:t>店外（占道）经营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fill="FFFFFF"/>
              </w:rPr>
              <w:t>店外（占道）经营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fill="FFFFFF"/>
              </w:rPr>
              <w:t>一般检查事项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fill="FFFFFF"/>
              </w:rPr>
              <w:t>1月—12月</w:t>
            </w:r>
          </w:p>
        </w:tc>
        <w:tc>
          <w:tcPr>
            <w:tcW w:w="1771" w:type="dxa"/>
            <w:tcBorders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fill="FFFFFF"/>
              </w:rPr>
              <w:t>区级相关部门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31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重度酒精过敏症患者</cp:lastModifiedBy>
  <dcterms:modified xsi:type="dcterms:W3CDTF">2021-09-08T02:10:54Z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B98E0A8312334805BA0395857BE985FC</vt:lpwstr>
  </property>
</Properties>
</file>