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淄博市萌山水库管理中心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sz w:val="36"/>
          <w:szCs w:val="36"/>
        </w:rPr>
      </w:pPr>
      <w:r>
        <w:rPr>
          <w:rFonts w:hint="default" w:ascii="Times New Roman" w:hAnsi="Times New Roman" w:eastAsia="方正小标宋简体" w:cs="Times New Roman"/>
          <w:b w:val="0"/>
          <w:bCs/>
          <w:sz w:val="44"/>
          <w:szCs w:val="44"/>
          <w:lang w:val="en-US" w:eastAsia="zh-CN"/>
        </w:rPr>
        <w:t>2021年</w:t>
      </w:r>
      <w:r>
        <w:rPr>
          <w:rFonts w:hint="default" w:ascii="Times New Roman" w:hAnsi="Times New Roman" w:eastAsia="方正小标宋简体" w:cs="Times New Roman"/>
          <w:b w:val="0"/>
          <w:bCs/>
          <w:sz w:val="44"/>
          <w:szCs w:val="44"/>
        </w:rPr>
        <w:t>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本年度报告是根据《中华人民共和国政府信息公开条例》（中华人民共和国国务院令第711号，以下简称《条例》）</w:t>
      </w:r>
      <w:r>
        <w:rPr>
          <w:rFonts w:hint="eastAsia" w:ascii="Times New Roman" w:hAnsi="Times New Roman" w:eastAsia="仿宋_GB2312" w:cs="Times New Roman"/>
          <w:sz w:val="32"/>
          <w:szCs w:val="32"/>
          <w:lang w:val="en-US" w:eastAsia="zh-CN"/>
        </w:rPr>
        <w:t>、《国务院办公厅政府信息与政务公开办公室关于政府、信息公开工作年度报告有关事项的通知》（国办公开办函〔2019〕60号）</w:t>
      </w:r>
      <w:r>
        <w:rPr>
          <w:rFonts w:hint="default" w:ascii="Times New Roman" w:hAnsi="Times New Roman" w:eastAsia="仿宋_GB2312" w:cs="Times New Roman"/>
          <w:sz w:val="32"/>
          <w:szCs w:val="32"/>
          <w:lang w:val="en-US" w:eastAsia="zh-CN"/>
        </w:rPr>
        <w:t>，特向社会公布淄博市萌山水库管理中心2021年政府信息公开工作年度报告。</w:t>
      </w:r>
      <w:r>
        <w:rPr>
          <w:rFonts w:hint="eastAsia" w:ascii="Times New Roman" w:hAnsi="Times New Roman" w:eastAsia="仿宋_GB2312" w:cs="Times New Roman"/>
          <w:sz w:val="32"/>
          <w:szCs w:val="32"/>
          <w:lang w:val="en-US" w:eastAsia="zh-CN"/>
        </w:rPr>
        <w:t>报告主要包括：总体情况、主动公开政府信息情况、收到和处理政府信息公开申请情况、因政府信息公开被申请行政复议和提起行政诉讼情况、政府信息公开工作存在主要问题及改进情况和其他需要报告事项。本报告中所列数据的统计期限自2021年1月1日起至2021年12月31日止。报告的电子版可在淄博文昌湖省级旅游度假区管理委员会政府网站下载。如对本报告有任何疑问，请与淄博市萌山水库管理中心综合科联系（地址：淄博市周村区萌水镇防汛路1号，电话：0533—6884023，电子邮箱：ziboshimsslglc@zb.shandong.cn）。</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在区工委、管委会的正确领导下，我中心认真贯彻落实《中华人民共和国政府信息公开条例》和《山东省政府信息公开办法》的有关规定，坚持“以公开为常态，以不公开为例外”的原则，深化重点领域信息公开，完善政务公开制度规范，提升政务公开工作水平，有效保障了群众的知情权、参与权、监督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（一）加强组织领导和工作部署。</w:t>
      </w:r>
      <w:r>
        <w:rPr>
          <w:rFonts w:hint="eastAsia" w:ascii="Times New Roman" w:hAnsi="Times New Roman" w:eastAsia="仿宋_GB2312" w:cs="Times New Roman"/>
          <w:sz w:val="32"/>
          <w:szCs w:val="32"/>
          <w:lang w:val="en-US" w:eastAsia="zh-CN"/>
        </w:rPr>
        <w:t>建立了由一把手亲自抓，综合科协调具体工作，各科室联动的政府信息公开工作机制，并安排专人开展日常工作，定期汇报信息公开工作进度，形成了主体明确、责任到位、任务落实、齐抓共管的工作格局，确保了政府信息公开各项工作措施得到落实。同时，严格按照区工委、管委会的要求开展各项工作，每项工作都由分管领导具体部署，并安排专人跟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进一步加大政府信息公开力度</w:t>
      </w:r>
      <w:r>
        <w:rPr>
          <w:rFonts w:hint="eastAsia" w:ascii="楷体_GB2312" w:hAnsi="楷体_GB2312" w:eastAsia="楷体_GB2312" w:cs="楷体_GB2312"/>
          <w:sz w:val="32"/>
          <w:szCs w:val="32"/>
          <w:lang w:val="en-US" w:eastAsia="zh-CN"/>
        </w:rPr>
        <w:t>。</w:t>
      </w:r>
      <w:r>
        <w:rPr>
          <w:rFonts w:hint="default" w:ascii="Times New Roman" w:hAnsi="Times New Roman" w:eastAsia="仿宋_GB2312" w:cs="Times New Roman"/>
          <w:sz w:val="32"/>
          <w:szCs w:val="32"/>
          <w:lang w:val="en-US" w:eastAsia="zh-CN"/>
        </w:rPr>
        <w:t>按照区</w:t>
      </w:r>
      <w:r>
        <w:rPr>
          <w:rFonts w:hint="eastAsia" w:ascii="Times New Roman" w:hAnsi="Times New Roman" w:eastAsia="仿宋_GB2312" w:cs="Times New Roman"/>
          <w:sz w:val="32"/>
          <w:szCs w:val="32"/>
          <w:lang w:val="en-US" w:eastAsia="zh-CN"/>
        </w:rPr>
        <w:t>工委、</w:t>
      </w:r>
      <w:r>
        <w:rPr>
          <w:rFonts w:hint="default" w:ascii="Times New Roman" w:hAnsi="Times New Roman" w:eastAsia="仿宋_GB2312" w:cs="Times New Roman"/>
          <w:sz w:val="32"/>
          <w:szCs w:val="32"/>
          <w:lang w:val="en-US" w:eastAsia="zh-CN"/>
        </w:rPr>
        <w:t>管委会的要求，结合实际，我</w:t>
      </w:r>
      <w:r>
        <w:rPr>
          <w:rFonts w:hint="eastAsia"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lang w:val="en-US" w:eastAsia="zh-CN"/>
        </w:rPr>
        <w:t>制定了</w:t>
      </w:r>
      <w:r>
        <w:rPr>
          <w:rFonts w:hint="eastAsia" w:ascii="Times New Roman" w:hAnsi="Times New Roman" w:eastAsia="仿宋_GB2312" w:cs="Times New Roman"/>
          <w:sz w:val="32"/>
          <w:szCs w:val="32"/>
          <w:lang w:val="en-US" w:eastAsia="zh-CN"/>
        </w:rPr>
        <w:t>各项制度</w:t>
      </w:r>
      <w:r>
        <w:rPr>
          <w:rFonts w:hint="default" w:ascii="Times New Roman" w:hAnsi="Times New Roman" w:eastAsia="仿宋_GB2312" w:cs="Times New Roman"/>
          <w:sz w:val="32"/>
          <w:szCs w:val="32"/>
          <w:lang w:val="en-US" w:eastAsia="zh-CN"/>
        </w:rPr>
        <w:t>，明确了信息公开的程序和保密审查要求。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val="en-US" w:eastAsia="zh-CN"/>
        </w:rPr>
        <w:t>不断完善政府信息公开载体建设</w:t>
      </w:r>
      <w:r>
        <w:rPr>
          <w:rFonts w:hint="eastAsia" w:ascii="楷体_GB2312" w:hAnsi="楷体_GB2312" w:eastAsia="楷体_GB2312" w:cs="楷体_GB2312"/>
          <w:sz w:val="32"/>
          <w:szCs w:val="32"/>
          <w:lang w:val="en-US" w:eastAsia="zh-CN"/>
        </w:rPr>
        <w:t>。</w:t>
      </w:r>
      <w:r>
        <w:rPr>
          <w:rFonts w:hint="default" w:ascii="Times New Roman" w:hAnsi="Times New Roman" w:eastAsia="仿宋_GB2312" w:cs="Times New Roman"/>
          <w:sz w:val="32"/>
          <w:szCs w:val="32"/>
          <w:lang w:val="en-US" w:eastAsia="zh-CN"/>
        </w:rPr>
        <w:t>一是梳理我</w:t>
      </w:r>
      <w:r>
        <w:rPr>
          <w:rFonts w:hint="eastAsia"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lang w:val="en-US" w:eastAsia="zh-CN"/>
        </w:rPr>
        <w:t>管理制度和程序，精简多余环节，提高办事效率。二是充分利用网络信息技术，主动公开与我</w:t>
      </w:r>
      <w:r>
        <w:rPr>
          <w:rFonts w:hint="eastAsia"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lang w:val="en-US" w:eastAsia="zh-CN"/>
        </w:rPr>
        <w:t>工作相关的信息内容，积极推进电子政务，探索网上办事的工作方式，让服务对象及时了解办理状态和结果，减少麻烦。对于群众来信中反映的问题，法律和政策有明文规定可办理的及时给予办理；反映的问题有一定的道理，经过努力能够解决问题的，积极采取措施，创造条件，抓紧解决；超出法律和现行政策规定的问题，或因受客观条件限制，一时难以解决的问题，向群众说明情况，解释清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二、主动公开政府信息情况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sz w:val="32"/>
          <w:szCs w:val="32"/>
        </w:rPr>
      </w:pP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72"/>
        <w:gridCol w:w="2160"/>
        <w:gridCol w:w="215"/>
        <w:gridCol w:w="2017"/>
        <w:gridCol w:w="13"/>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7"/>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3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2232"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本年制发件数</w:t>
            </w:r>
          </w:p>
        </w:tc>
        <w:tc>
          <w:tcPr>
            <w:tcW w:w="2232"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本年废止件数</w:t>
            </w:r>
          </w:p>
        </w:tc>
        <w:tc>
          <w:tcPr>
            <w:tcW w:w="2235"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32" w:type="dxa"/>
            <w:vAlign w:val="center"/>
          </w:tcPr>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规章</w:t>
            </w:r>
          </w:p>
        </w:tc>
        <w:tc>
          <w:tcPr>
            <w:tcW w:w="2232"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32"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35"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32" w:type="dxa"/>
            <w:vAlign w:val="center"/>
          </w:tcPr>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行政</w:t>
            </w:r>
            <w:r>
              <w:rPr>
                <w:rFonts w:hint="default" w:ascii="Times New Roman" w:hAnsi="Times New Roman" w:eastAsia="仿宋_GB2312" w:cs="Times New Roman"/>
                <w:sz w:val="24"/>
                <w:szCs w:val="24"/>
              </w:rPr>
              <w:t>规范性文件</w:t>
            </w:r>
          </w:p>
        </w:tc>
        <w:tc>
          <w:tcPr>
            <w:tcW w:w="2232"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32"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35"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7"/>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304"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t>信息内容</w:t>
            </w:r>
          </w:p>
        </w:tc>
        <w:tc>
          <w:tcPr>
            <w:tcW w:w="6627" w:type="dxa"/>
            <w:gridSpan w:val="5"/>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仿宋_GB2312" w:cs="Times New Roman"/>
                <w:sz w:val="24"/>
                <w:szCs w:val="24"/>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304" w:type="dxa"/>
            <w:gridSpan w:val="2"/>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仿宋_GB2312" w:cs="Times New Roman"/>
                <w:sz w:val="24"/>
                <w:szCs w:val="24"/>
                <w:lang w:val="en-US" w:eastAsia="zh-CN"/>
              </w:rPr>
              <w:t>行政许可</w:t>
            </w:r>
          </w:p>
        </w:tc>
        <w:tc>
          <w:tcPr>
            <w:tcW w:w="2375"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030"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c>
          <w:tcPr>
            <w:tcW w:w="222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7"/>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304"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t>信息内容</w:t>
            </w:r>
          </w:p>
        </w:tc>
        <w:tc>
          <w:tcPr>
            <w:tcW w:w="6627" w:type="dxa"/>
            <w:gridSpan w:val="5"/>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仿宋_GB2312" w:cs="Times New Roman"/>
                <w:sz w:val="24"/>
                <w:szCs w:val="24"/>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304" w:type="dxa"/>
            <w:gridSpan w:val="2"/>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t>行政处罚</w:t>
            </w:r>
          </w:p>
        </w:tc>
        <w:tc>
          <w:tcPr>
            <w:tcW w:w="6627" w:type="dxa"/>
            <w:gridSpan w:val="5"/>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304" w:type="dxa"/>
            <w:gridSpan w:val="2"/>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t>行政强制</w:t>
            </w:r>
          </w:p>
        </w:tc>
        <w:tc>
          <w:tcPr>
            <w:tcW w:w="6627" w:type="dxa"/>
            <w:gridSpan w:val="5"/>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7"/>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eastAsia="黑体"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304" w:type="dxa"/>
            <w:gridSpan w:val="2"/>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t>信息内容</w:t>
            </w:r>
          </w:p>
        </w:tc>
        <w:tc>
          <w:tcPr>
            <w:tcW w:w="6627" w:type="dxa"/>
            <w:gridSpan w:val="5"/>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仿宋_GB2312" w:cs="Times New Roman"/>
                <w:sz w:val="24"/>
                <w:szCs w:val="24"/>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304" w:type="dxa"/>
            <w:gridSpan w:val="2"/>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t>行政事业性收费</w:t>
            </w:r>
          </w:p>
        </w:tc>
        <w:tc>
          <w:tcPr>
            <w:tcW w:w="6627" w:type="dxa"/>
            <w:gridSpan w:val="5"/>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三、</w:t>
      </w:r>
      <w:r>
        <w:rPr>
          <w:rFonts w:hint="default" w:ascii="Times New Roman" w:hAnsi="Times New Roman" w:eastAsia="黑体" w:cs="Times New Roman"/>
          <w:b w:val="0"/>
          <w:bCs/>
          <w:sz w:val="32"/>
          <w:szCs w:val="32"/>
          <w:lang w:val="en-US" w:eastAsia="zh-CN"/>
        </w:rPr>
        <w:t>收到和处理政府信息公开申请情况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sz w:val="32"/>
          <w:szCs w:val="32"/>
          <w:lang w:val="en-US" w:eastAsia="zh-CN"/>
        </w:rPr>
      </w:pPr>
    </w:p>
    <w:tbl>
      <w:tblPr>
        <w:tblStyle w:val="6"/>
        <w:tblW w:w="970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714"/>
        <w:gridCol w:w="2597"/>
        <w:gridCol w:w="663"/>
        <w:gridCol w:w="709"/>
        <w:gridCol w:w="667"/>
        <w:gridCol w:w="844"/>
        <w:gridCol w:w="729"/>
        <w:gridCol w:w="684"/>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724" w:type="dxa"/>
            <w:gridSpan w:val="3"/>
            <w:vMerge w:val="restart"/>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eastAsia="楷体_GB2312" w:cs="Times New Roman"/>
              </w:rPr>
              <w:t>（本列数据的勾稽关系为：第一项加第二项之和，等于第三项加第四项之和）</w:t>
            </w:r>
          </w:p>
        </w:tc>
        <w:tc>
          <w:tcPr>
            <w:tcW w:w="4981" w:type="dxa"/>
            <w:gridSpan w:val="7"/>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724" w:type="dxa"/>
            <w:gridSpan w:val="3"/>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663"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Cs w:val="21"/>
              </w:rPr>
              <w:t>自然人</w:t>
            </w:r>
          </w:p>
        </w:tc>
        <w:tc>
          <w:tcPr>
            <w:tcW w:w="3633" w:type="dxa"/>
            <w:gridSpan w:val="5"/>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法人或其他组织</w:t>
            </w:r>
          </w:p>
        </w:tc>
        <w:tc>
          <w:tcPr>
            <w:tcW w:w="685"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724" w:type="dxa"/>
            <w:gridSpan w:val="3"/>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66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18"/>
                <w:szCs w:val="18"/>
              </w:rPr>
            </w:pP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商业企业</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科研机构</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社会公益组织</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法律服务机构</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其他</w:t>
            </w:r>
          </w:p>
        </w:tc>
        <w:tc>
          <w:tcPr>
            <w:tcW w:w="685"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724" w:type="dxa"/>
            <w:gridSpan w:val="3"/>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eastAsia="黑体" w:cs="Times New Roman"/>
                <w:szCs w:val="21"/>
              </w:rPr>
              <w:t>一、本年新收政府信息公开申请数量</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724" w:type="dxa"/>
            <w:gridSpan w:val="3"/>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eastAsia="黑体" w:cs="Times New Roman"/>
                <w:szCs w:val="21"/>
              </w:rPr>
              <w:t>二、上年结转政府信息公开申请数量</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r>
              <w:rPr>
                <w:rFonts w:hint="default" w:ascii="Times New Roman" w:hAnsi="Times New Roman" w:eastAsia="黑体" w:cs="Times New Roman"/>
                <w:szCs w:val="21"/>
              </w:rPr>
              <w:t>三、本年度办理结果</w:t>
            </w:r>
          </w:p>
        </w:tc>
        <w:tc>
          <w:tcPr>
            <w:tcW w:w="4311" w:type="dxa"/>
            <w:gridSpan w:val="2"/>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r>
              <w:rPr>
                <w:rFonts w:hint="default" w:ascii="Times New Roman" w:hAnsi="Times New Roman" w:eastAsia="黑体" w:cs="Times New Roman"/>
                <w:szCs w:val="21"/>
              </w:rPr>
              <w:t>（一）予以公开</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4311" w:type="dxa"/>
            <w:gridSpan w:val="2"/>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r>
              <w:rPr>
                <w:rFonts w:hint="default" w:ascii="Times New Roman" w:hAnsi="Times New Roman" w:eastAsia="黑体" w:cs="Times New Roman"/>
                <w:szCs w:val="21"/>
              </w:rPr>
              <w:t>（二）部分公开（区分处理的，只计这一情形，不计其他情形）</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restart"/>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r>
              <w:rPr>
                <w:rFonts w:hint="default" w:ascii="Times New Roman" w:hAnsi="Times New Roman" w:eastAsia="黑体" w:cs="Times New Roman"/>
                <w:szCs w:val="21"/>
              </w:rPr>
              <w:t>（三）不予公开</w:t>
            </w: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r>
              <w:rPr>
                <w:rFonts w:hint="default" w:ascii="Times New Roman" w:hAnsi="Times New Roman" w:eastAsia="仿宋_GB2312" w:cs="Times New Roman"/>
                <w:sz w:val="18"/>
                <w:szCs w:val="18"/>
              </w:rPr>
              <w:t>1．属于国家秘密</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r>
              <w:rPr>
                <w:rFonts w:hint="default" w:ascii="Times New Roman" w:hAnsi="Times New Roman" w:eastAsia="仿宋_GB2312" w:cs="Times New Roman"/>
                <w:sz w:val="18"/>
                <w:szCs w:val="18"/>
              </w:rPr>
              <w:t>2．其他法律行政法规禁止公开</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r>
              <w:rPr>
                <w:rFonts w:hint="default" w:ascii="Times New Roman" w:hAnsi="Times New Roman" w:eastAsia="仿宋_GB2312" w:cs="Times New Roman"/>
                <w:sz w:val="18"/>
                <w:szCs w:val="18"/>
              </w:rPr>
              <w:t>3．危及“三安全一稳定”</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4．保护第三方合法权益</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5．属于三类内部事务信息</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6．属于四类过程性信息</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7．属于行政执法案卷</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8．属于行政查询事项</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restart"/>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r>
              <w:rPr>
                <w:rFonts w:hint="default" w:ascii="Times New Roman" w:hAnsi="Times New Roman" w:eastAsia="黑体" w:cs="Times New Roman"/>
                <w:szCs w:val="21"/>
              </w:rPr>
              <w:t>（四）无法提供</w:t>
            </w: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1．本机关不掌握相关政府信息</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2．没有现成信息需要另行制作</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3．补正后申请内容仍不明确</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restart"/>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r>
              <w:rPr>
                <w:rFonts w:hint="default" w:ascii="Times New Roman" w:hAnsi="Times New Roman" w:eastAsia="黑体" w:cs="Times New Roman"/>
                <w:szCs w:val="21"/>
              </w:rPr>
              <w:t>（五）不予处理</w:t>
            </w: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1．信访举报投诉类申请</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2．重复申请</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3．要求提供公开出版物</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4．无正当理由大量反复申请</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2597"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5．要求行政机关确认或重新出具已获取信息</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restart"/>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r>
              <w:rPr>
                <w:rFonts w:hint="default" w:ascii="Times New Roman" w:hAnsi="Times New Roman" w:eastAsia="黑体" w:cs="Times New Roman"/>
                <w:szCs w:val="21"/>
              </w:rPr>
              <w:t>（六）其他处理</w:t>
            </w:r>
          </w:p>
        </w:tc>
        <w:tc>
          <w:tcPr>
            <w:tcW w:w="2597"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eastAsiaTheme="minorEastAsia"/>
                <w:sz w:val="18"/>
                <w:szCs w:val="18"/>
                <w:lang w:val="en-US" w:eastAsia="zh-CN"/>
              </w:rPr>
            </w:pPr>
            <w:r>
              <w:rPr>
                <w:rFonts w:hint="default" w:ascii="Times New Roman" w:hAnsi="Times New Roman" w:eastAsia="仿宋_GB2312" w:cs="Times New Roman"/>
                <w:sz w:val="18"/>
                <w:szCs w:val="18"/>
                <w:lang w:val="en-US" w:eastAsia="zh-CN"/>
              </w:rPr>
              <w:t>1. 申请人无正当理由逾期不补正、行政机关不再处理其政府信息公开申请</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cs="Times New Roman" w:eastAsiaTheme="minorEastAsia"/>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cs="Times New Roman" w:eastAsiaTheme="minorEastAsia"/>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cs="Times New Roman" w:eastAsiaTheme="minorEastAsia"/>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cs="Times New Roman" w:eastAsiaTheme="minorEastAsia"/>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597"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eastAsiaTheme="minorEastAsia"/>
                <w:sz w:val="18"/>
                <w:szCs w:val="18"/>
                <w:lang w:val="en-US" w:eastAsia="zh-CN"/>
              </w:rPr>
            </w:pPr>
            <w:r>
              <w:rPr>
                <w:rFonts w:hint="default" w:ascii="Times New Roman" w:hAnsi="Times New Roman" w:eastAsia="仿宋_GB2312" w:cs="Times New Roman"/>
                <w:sz w:val="18"/>
                <w:szCs w:val="18"/>
                <w:lang w:val="en-US" w:eastAsia="zh-CN"/>
              </w:rPr>
              <w:t>2. 申请人逾期未按收费通知要求缴纳费用、行政机关不再处理其政府信息公开申请</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3" w:type="dxa"/>
            <w:vMerge w:val="continue"/>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1714" w:type="dxa"/>
            <w:vMerge w:val="continue"/>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597"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eastAsiaTheme="minorEastAsia"/>
                <w:sz w:val="18"/>
                <w:szCs w:val="18"/>
                <w:lang w:val="en-US" w:eastAsia="zh-CN"/>
              </w:rPr>
            </w:pPr>
            <w:r>
              <w:rPr>
                <w:rFonts w:hint="default" w:ascii="Times New Roman" w:hAnsi="Times New Roman" w:eastAsia="仿宋_GB2312" w:cs="Times New Roman"/>
                <w:sz w:val="18"/>
                <w:szCs w:val="18"/>
                <w:lang w:val="en-US" w:eastAsia="zh-CN"/>
              </w:rPr>
              <w:t>3. 其他</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3" w:type="dxa"/>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tc>
        <w:tc>
          <w:tcPr>
            <w:tcW w:w="4311" w:type="dxa"/>
            <w:gridSpan w:val="2"/>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18"/>
                <w:szCs w:val="18"/>
              </w:rPr>
            </w:pPr>
            <w:r>
              <w:rPr>
                <w:rFonts w:hint="default" w:ascii="Times New Roman" w:hAnsi="Times New Roman" w:eastAsia="黑体" w:cs="Times New Roman"/>
                <w:szCs w:val="21"/>
              </w:rPr>
              <w:t>（七）总计</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lang w:val="en-US"/>
              </w:rPr>
            </w:pPr>
            <w:r>
              <w:rPr>
                <w:rFonts w:hint="default" w:ascii="Times New Roman" w:hAnsi="Times New Roman" w:cs="Times New Roman"/>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lang w:val="en-US"/>
              </w:rPr>
            </w:pPr>
            <w:r>
              <w:rPr>
                <w:rFonts w:hint="default" w:ascii="Times New Roman" w:hAnsi="Times New Roman" w:cs="Times New Roman"/>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lang w:val="en-US"/>
              </w:rPr>
            </w:pPr>
            <w:r>
              <w:rPr>
                <w:rFonts w:hint="default" w:ascii="Times New Roman" w:hAnsi="Times New Roman" w:cs="Times New Roman"/>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lang w:val="en-US"/>
              </w:rPr>
            </w:pPr>
            <w:r>
              <w:rPr>
                <w:rFonts w:hint="default" w:ascii="Times New Roman" w:hAnsi="Times New Roman" w:cs="Times New Roman"/>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lang w:val="en-US"/>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gridSpan w:val="3"/>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eastAsia="黑体" w:cs="Times New Roman"/>
                <w:szCs w:val="21"/>
              </w:rPr>
              <w:t>四、结转下年度继续办理</w:t>
            </w:r>
          </w:p>
        </w:tc>
        <w:tc>
          <w:tcPr>
            <w:tcW w:w="663"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84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72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8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8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w:t>
      </w:r>
      <w:r>
        <w:rPr>
          <w:rFonts w:hint="default" w:ascii="Times New Roman" w:hAnsi="Times New Roman" w:eastAsia="黑体" w:cs="Times New Roman"/>
          <w:b w:val="0"/>
          <w:bCs/>
          <w:sz w:val="32"/>
          <w:szCs w:val="32"/>
          <w:lang w:val="en-US" w:eastAsia="zh-CN"/>
        </w:rPr>
        <w:t>因</w:t>
      </w:r>
      <w:r>
        <w:rPr>
          <w:rFonts w:hint="default" w:ascii="Times New Roman" w:hAnsi="Times New Roman" w:eastAsia="黑体" w:cs="Times New Roman"/>
          <w:b w:val="0"/>
          <w:bCs/>
          <w:sz w:val="32"/>
          <w:szCs w:val="32"/>
        </w:rPr>
        <w:t>政府信息公开</w:t>
      </w:r>
      <w:r>
        <w:rPr>
          <w:rFonts w:hint="default" w:ascii="Times New Roman" w:hAnsi="Times New Roman" w:eastAsia="黑体" w:cs="Times New Roman"/>
          <w:b w:val="0"/>
          <w:bCs/>
          <w:sz w:val="32"/>
          <w:szCs w:val="32"/>
          <w:lang w:val="en-US" w:eastAsia="zh-CN"/>
        </w:rPr>
        <w:t>被申请</w:t>
      </w:r>
      <w:r>
        <w:rPr>
          <w:rFonts w:hint="default" w:ascii="Times New Roman" w:hAnsi="Times New Roman" w:eastAsia="黑体" w:cs="Times New Roman"/>
          <w:b w:val="0"/>
          <w:bCs/>
          <w:sz w:val="32"/>
          <w:szCs w:val="32"/>
        </w:rPr>
        <w:t>行政复议、</w:t>
      </w:r>
      <w:r>
        <w:rPr>
          <w:rFonts w:hint="default" w:ascii="Times New Roman" w:hAnsi="Times New Roman" w:eastAsia="黑体" w:cs="Times New Roman"/>
          <w:b w:val="0"/>
          <w:bCs/>
          <w:sz w:val="32"/>
          <w:szCs w:val="32"/>
          <w:lang w:val="en-US" w:eastAsia="zh-CN"/>
        </w:rPr>
        <w:t>提起</w:t>
      </w:r>
      <w:r>
        <w:rPr>
          <w:rFonts w:hint="default" w:ascii="Times New Roman" w:hAnsi="Times New Roman" w:eastAsia="黑体" w:cs="Times New Roman"/>
          <w:b w:val="0"/>
          <w:bCs/>
          <w:sz w:val="32"/>
          <w:szCs w:val="32"/>
        </w:rPr>
        <w:t>行政诉讼情况</w:t>
      </w:r>
    </w:p>
    <w:tbl>
      <w:tblPr>
        <w:tblStyle w:val="6"/>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行政复议</w:t>
            </w:r>
          </w:p>
        </w:tc>
        <w:tc>
          <w:tcPr>
            <w:tcW w:w="6804" w:type="dxa"/>
            <w:gridSpan w:val="10"/>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结果维持</w:t>
            </w:r>
          </w:p>
        </w:tc>
        <w:tc>
          <w:tcPr>
            <w:tcW w:w="708"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结果纠正</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其他结果</w:t>
            </w:r>
          </w:p>
        </w:tc>
        <w:tc>
          <w:tcPr>
            <w:tcW w:w="682"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尚未审结</w:t>
            </w:r>
          </w:p>
        </w:tc>
        <w:tc>
          <w:tcPr>
            <w:tcW w:w="594"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总计</w:t>
            </w:r>
          </w:p>
        </w:tc>
        <w:tc>
          <w:tcPr>
            <w:tcW w:w="3402" w:type="dxa"/>
            <w:gridSpan w:val="5"/>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未经复议直接起诉</w:t>
            </w:r>
          </w:p>
        </w:tc>
        <w:tc>
          <w:tcPr>
            <w:tcW w:w="3402" w:type="dxa"/>
            <w:gridSpan w:val="5"/>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18"/>
                <w:szCs w:val="18"/>
              </w:rPr>
            </w:pPr>
          </w:p>
        </w:tc>
        <w:tc>
          <w:tcPr>
            <w:tcW w:w="708" w:type="dxa"/>
            <w:vMerge w:val="continue"/>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18"/>
                <w:szCs w:val="18"/>
              </w:rPr>
            </w:pPr>
          </w:p>
        </w:tc>
        <w:tc>
          <w:tcPr>
            <w:tcW w:w="682" w:type="dxa"/>
            <w:vMerge w:val="continue"/>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p>
        </w:tc>
        <w:tc>
          <w:tcPr>
            <w:tcW w:w="594" w:type="dxa"/>
            <w:vMerge w:val="continue"/>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结果维持</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其他结果</w:t>
            </w:r>
          </w:p>
        </w:tc>
        <w:tc>
          <w:tcPr>
            <w:tcW w:w="70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尚未审结</w:t>
            </w:r>
          </w:p>
        </w:tc>
        <w:tc>
          <w:tcPr>
            <w:tcW w:w="5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总计</w:t>
            </w:r>
          </w:p>
        </w:tc>
        <w:tc>
          <w:tcPr>
            <w:tcW w:w="851"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结果维持</w:t>
            </w:r>
          </w:p>
        </w:tc>
        <w:tc>
          <w:tcPr>
            <w:tcW w:w="65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结果纠正</w:t>
            </w:r>
          </w:p>
        </w:tc>
        <w:tc>
          <w:tcPr>
            <w:tcW w:w="7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其他结果</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68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59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5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851"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65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6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w:t>
      </w:r>
      <w:r>
        <w:rPr>
          <w:rFonts w:hint="eastAsia" w:ascii="Times New Roman" w:hAnsi="Times New Roman" w:eastAsia="黑体" w:cs="Times New Roman"/>
          <w:b w:val="0"/>
          <w:bCs/>
          <w:sz w:val="32"/>
          <w:szCs w:val="32"/>
          <w:lang w:val="en-US" w:eastAsia="zh-CN"/>
        </w:rPr>
        <w:t>信息公开工作</w:t>
      </w:r>
      <w:r>
        <w:rPr>
          <w:rFonts w:hint="default" w:ascii="Times New Roman" w:hAnsi="Times New Roman" w:eastAsia="黑体" w:cs="Times New Roman"/>
          <w:b w:val="0"/>
          <w:bCs/>
          <w:sz w:val="32"/>
          <w:szCs w:val="32"/>
        </w:rPr>
        <w:t>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w:t>
      </w:r>
      <w:r>
        <w:rPr>
          <w:rFonts w:hint="eastAsia" w:ascii="Times New Roman" w:hAnsi="Times New Roman" w:eastAsia="楷体_GB2312" w:cs="Times New Roman"/>
          <w:kern w:val="2"/>
          <w:sz w:val="32"/>
          <w:szCs w:val="32"/>
          <w:lang w:val="en-US" w:eastAsia="zh-CN" w:bidi="ar-SA"/>
        </w:rPr>
        <w:t>存在问题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w:t>
      </w:r>
      <w:r>
        <w:rPr>
          <w:rFonts w:hint="eastAsia" w:ascii="Times New Roman" w:hAnsi="Times New Roman" w:eastAsia="仿宋_GB2312" w:cs="Times New Roman"/>
          <w:kern w:val="2"/>
          <w:sz w:val="32"/>
          <w:szCs w:val="32"/>
          <w:lang w:val="en-US" w:eastAsia="zh-CN" w:bidi="ar-SA"/>
        </w:rPr>
        <w:t>中心</w:t>
      </w:r>
      <w:r>
        <w:rPr>
          <w:rFonts w:hint="default" w:ascii="Times New Roman" w:hAnsi="Times New Roman" w:eastAsia="仿宋_GB2312" w:cs="Times New Roman"/>
          <w:kern w:val="2"/>
          <w:sz w:val="32"/>
          <w:szCs w:val="32"/>
          <w:lang w:val="en-US" w:eastAsia="zh-CN" w:bidi="ar-SA"/>
        </w:rPr>
        <w:t>立足政府信息公开工作实际，狠抓落实，取得了一定成效，但是也存在一些不足。一是信息公开工作队伍建设有待加强；二是依申请公开还需进一步完善，对一些工作中出现的复杂情况、新问题的应对能力还需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w:t>
      </w:r>
      <w:r>
        <w:rPr>
          <w:rFonts w:hint="eastAsia" w:ascii="Times New Roman" w:hAnsi="Times New Roman" w:eastAsia="楷体_GB2312" w:cs="Times New Roman"/>
          <w:kern w:val="2"/>
          <w:sz w:val="32"/>
          <w:szCs w:val="32"/>
          <w:lang w:val="en-US" w:eastAsia="zh-CN" w:bidi="ar-SA"/>
        </w:rPr>
        <w:t>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一是加强《条例》与相关法规文件的学习、宣传、培训工作，进一步增强单位工作人员政务公开意识，提高发布信息、解读政策、回应关切的能力。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二是落实岗位职责。各</w:t>
      </w:r>
      <w:r>
        <w:rPr>
          <w:rFonts w:hint="eastAsia" w:ascii="Times New Roman" w:hAnsi="Times New Roman" w:eastAsia="仿宋_GB2312" w:cs="Times New Roman"/>
          <w:kern w:val="2"/>
          <w:sz w:val="32"/>
          <w:szCs w:val="32"/>
          <w:lang w:val="en-US" w:eastAsia="zh-CN" w:bidi="ar-SA"/>
        </w:rPr>
        <w:t>科室</w:t>
      </w:r>
      <w:r>
        <w:rPr>
          <w:rFonts w:hint="default" w:ascii="Times New Roman" w:hAnsi="Times New Roman" w:eastAsia="仿宋_GB2312" w:cs="Times New Roman"/>
          <w:kern w:val="2"/>
          <w:sz w:val="32"/>
          <w:szCs w:val="32"/>
          <w:lang w:val="en-US" w:eastAsia="zh-CN" w:bidi="ar-SA"/>
        </w:rPr>
        <w:t xml:space="preserve">负责人为责任人，对本科室政府信息公开负全责，分管领导负有政府信息公开督促和指导责任，形成一级抓一级，层层压实责任的局面，促进政府信息公开工作走上制度化、规范化的健康发展轨道。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是深入推进重点领域信息公开。根据《条例》要求，真正将人民群众最关注、最需要了解的事项及其办理过程予以公开；认真落实国家、省关于重点领域信息公开的有关要求，进一步细化公开目标，明确公开责任，强化工作措施，严格开展督办检查，确保信息公开工作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我中心无其他需要报告的事项。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淄博市萌山水库管理中心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2022年1月11</w:t>
      </w:r>
      <w:bookmarkStart w:id="0" w:name="_GoBack"/>
      <w:bookmarkEnd w:id="0"/>
      <w:r>
        <w:rPr>
          <w:rFonts w:hint="eastAsia" w:ascii="Times New Roman" w:hAnsi="Times New Roman" w:eastAsia="仿宋_GB2312" w:cs="Times New Roman"/>
          <w:kern w:val="2"/>
          <w:sz w:val="32"/>
          <w:szCs w:val="32"/>
          <w:lang w:val="en-US" w:eastAsia="zh-CN" w:bidi="ar-SA"/>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258"/>
    <w:rsid w:val="00024810"/>
    <w:rsid w:val="000414C6"/>
    <w:rsid w:val="00087FF0"/>
    <w:rsid w:val="00216261"/>
    <w:rsid w:val="00270C0E"/>
    <w:rsid w:val="002A188B"/>
    <w:rsid w:val="002B6F68"/>
    <w:rsid w:val="003D7EB2"/>
    <w:rsid w:val="00405DB6"/>
    <w:rsid w:val="00420F86"/>
    <w:rsid w:val="00481ED7"/>
    <w:rsid w:val="004D2882"/>
    <w:rsid w:val="00697EE4"/>
    <w:rsid w:val="00714451"/>
    <w:rsid w:val="00717EE3"/>
    <w:rsid w:val="00732D81"/>
    <w:rsid w:val="00733F31"/>
    <w:rsid w:val="00741A40"/>
    <w:rsid w:val="00746739"/>
    <w:rsid w:val="007611C0"/>
    <w:rsid w:val="007F43FC"/>
    <w:rsid w:val="00892DC4"/>
    <w:rsid w:val="00920A8C"/>
    <w:rsid w:val="00935E77"/>
    <w:rsid w:val="0096093C"/>
    <w:rsid w:val="00A93492"/>
    <w:rsid w:val="00AC222F"/>
    <w:rsid w:val="00AD49B5"/>
    <w:rsid w:val="00BF42A9"/>
    <w:rsid w:val="00C61A42"/>
    <w:rsid w:val="00C762CA"/>
    <w:rsid w:val="00CA24FE"/>
    <w:rsid w:val="00D201BD"/>
    <w:rsid w:val="00D33F3A"/>
    <w:rsid w:val="00D7673F"/>
    <w:rsid w:val="00E03F11"/>
    <w:rsid w:val="00E04258"/>
    <w:rsid w:val="00E82A61"/>
    <w:rsid w:val="00EA3993"/>
    <w:rsid w:val="00EE7882"/>
    <w:rsid w:val="00FA3378"/>
    <w:rsid w:val="00FE3091"/>
    <w:rsid w:val="044A4EAC"/>
    <w:rsid w:val="046F3896"/>
    <w:rsid w:val="05C72019"/>
    <w:rsid w:val="070604CD"/>
    <w:rsid w:val="11703DFD"/>
    <w:rsid w:val="13AF31B7"/>
    <w:rsid w:val="1445592E"/>
    <w:rsid w:val="173E4F4A"/>
    <w:rsid w:val="1BCF7310"/>
    <w:rsid w:val="1BEE7696"/>
    <w:rsid w:val="1E0946CD"/>
    <w:rsid w:val="243057BB"/>
    <w:rsid w:val="268F009F"/>
    <w:rsid w:val="27FD06BF"/>
    <w:rsid w:val="2D1D3F3A"/>
    <w:rsid w:val="36D819E2"/>
    <w:rsid w:val="39E7589A"/>
    <w:rsid w:val="3A3E5737"/>
    <w:rsid w:val="3C69398F"/>
    <w:rsid w:val="3FFA0F50"/>
    <w:rsid w:val="46434D7A"/>
    <w:rsid w:val="4CB859A0"/>
    <w:rsid w:val="4DE93206"/>
    <w:rsid w:val="4E0D2A64"/>
    <w:rsid w:val="4FAA149C"/>
    <w:rsid w:val="54B128F3"/>
    <w:rsid w:val="5A121C04"/>
    <w:rsid w:val="5B1912EB"/>
    <w:rsid w:val="5BEE5E3B"/>
    <w:rsid w:val="5FD92895"/>
    <w:rsid w:val="64895791"/>
    <w:rsid w:val="67837CE2"/>
    <w:rsid w:val="6A1807F6"/>
    <w:rsid w:val="7E141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qFormat="1"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styleId="9">
    <w:name w:val="FollowedHyperlink"/>
    <w:basedOn w:val="7"/>
    <w:semiHidden/>
    <w:unhideWhenUsed/>
    <w:qFormat/>
    <w:uiPriority w:val="99"/>
    <w:rPr>
      <w:color w:val="800080"/>
      <w:u w:val="none"/>
    </w:rPr>
  </w:style>
  <w:style w:type="character" w:styleId="10">
    <w:name w:val="Emphasis"/>
    <w:basedOn w:val="7"/>
    <w:qFormat/>
    <w:uiPriority w:val="20"/>
    <w:rPr>
      <w:b/>
    </w:rPr>
  </w:style>
  <w:style w:type="character" w:styleId="11">
    <w:name w:val="HTML Definition"/>
    <w:basedOn w:val="7"/>
    <w:semiHidden/>
    <w:unhideWhenUsed/>
    <w:uiPriority w:val="99"/>
  </w:style>
  <w:style w:type="character" w:styleId="12">
    <w:name w:val="HTML Variable"/>
    <w:basedOn w:val="7"/>
    <w:semiHidden/>
    <w:unhideWhenUsed/>
    <w:qFormat/>
    <w:uiPriority w:val="99"/>
  </w:style>
  <w:style w:type="character" w:styleId="13">
    <w:name w:val="Hyperlink"/>
    <w:basedOn w:val="7"/>
    <w:semiHidden/>
    <w:unhideWhenUsed/>
    <w:qFormat/>
    <w:uiPriority w:val="99"/>
    <w:rPr>
      <w:color w:val="0000FF"/>
      <w:u w:val="none"/>
    </w:rPr>
  </w:style>
  <w:style w:type="character" w:styleId="14">
    <w:name w:val="HTML Code"/>
    <w:basedOn w:val="7"/>
    <w:semiHidden/>
    <w:unhideWhenUsed/>
    <w:qFormat/>
    <w:uiPriority w:val="99"/>
    <w:rPr>
      <w:rFonts w:ascii="Courier New" w:hAnsi="Courier New"/>
      <w:sz w:val="20"/>
    </w:rPr>
  </w:style>
  <w:style w:type="character" w:styleId="15">
    <w:name w:val="HTML Cite"/>
    <w:basedOn w:val="7"/>
    <w:semiHidden/>
    <w:unhideWhenUsed/>
    <w:qFormat/>
    <w:uiPriority w:val="99"/>
  </w:style>
  <w:style w:type="character" w:styleId="16">
    <w:name w:val="HTML Keyboard"/>
    <w:basedOn w:val="7"/>
    <w:semiHidden/>
    <w:unhideWhenUsed/>
    <w:qFormat/>
    <w:uiPriority w:val="99"/>
    <w:rPr>
      <w:rFonts w:ascii="Courier New" w:hAnsi="Courier New"/>
      <w:color w:val="666666"/>
      <w:sz w:val="18"/>
      <w:szCs w:val="18"/>
    </w:rPr>
  </w:style>
  <w:style w:type="character" w:styleId="17">
    <w:name w:val="HTML Sample"/>
    <w:basedOn w:val="7"/>
    <w:semiHidden/>
    <w:unhideWhenUsed/>
    <w:uiPriority w:val="99"/>
    <w:rPr>
      <w:rFonts w:ascii="Courier New" w:hAnsi="Courier New"/>
      <w:color w:val="FFFFFF"/>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172</Words>
  <Characters>984</Characters>
  <Lines>8</Lines>
  <Paragraphs>2</Paragraphs>
  <TotalTime>17</TotalTime>
  <ScaleCrop>false</ScaleCrop>
  <LinksUpToDate>false</LinksUpToDate>
  <CharactersWithSpaces>1154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real</cp:lastModifiedBy>
  <cp:lastPrinted>2021-01-22T01:36:00Z</cp:lastPrinted>
  <dcterms:modified xsi:type="dcterms:W3CDTF">2022-01-11T07:38:09Z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C8388235ED7944EABD6E28A2E7DB60EF</vt:lpwstr>
  </property>
</Properties>
</file>