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文昌湖区</w:t>
      </w:r>
      <w:r>
        <w:rPr>
          <w:rFonts w:hint="eastAsia" w:ascii="方正小标宋简体" w:hAnsi="方正小标宋简体" w:eastAsia="方正小标宋简体" w:cs="方正小标宋简体"/>
          <w:sz w:val="44"/>
          <w:szCs w:val="44"/>
        </w:rPr>
        <w:t>文化和旅游</w:t>
      </w:r>
      <w:r>
        <w:rPr>
          <w:rFonts w:hint="eastAsia" w:ascii="方正小标宋简体" w:hAnsi="方正小标宋简体" w:eastAsia="方正小标宋简体" w:cs="方正小标宋简体"/>
          <w:sz w:val="44"/>
          <w:szCs w:val="44"/>
          <w:lang w:eastAsia="zh-CN"/>
        </w:rPr>
        <w:t>事业发展中心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“双随机、一公开”监管工作</w:t>
      </w:r>
      <w:r>
        <w:rPr>
          <w:rFonts w:hint="eastAsia" w:ascii="方正小标宋简体" w:hAnsi="方正小标宋简体" w:eastAsia="方正小标宋简体" w:cs="方正小标宋简体"/>
          <w:sz w:val="44"/>
          <w:szCs w:val="44"/>
          <w:lang w:eastAsia="zh-CN"/>
        </w:rPr>
        <w:t>指引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根据省文化和旅游厅全面推行“双随机、一公开”监管有关通知要求，实现全覆盖、常态化监管模式，结合我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文化和旅游行业实际，制定本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监管，是指全省市场监管系统根据抽查事项清单和抽查工作计划，随机抽取检查对象、随机匹配执法检查人员，按照随机抽查相关业务标准开展执法检查，并将检查结果依法公开的监管工作机制。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所称检查对象，包括经行政审批部门、市场监管部门登记注册的各类企业、农民专业合作社、个体工商户、在中国境内从事生产经营活动的外国（地区）企业等市场主体，以及国家机关、社会组织、事业单位、产品、项目、行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适用于对列入抽查事项清单监管事项的监管工作。上述事项原则上不再部署专项检查和“全覆盖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式巡杏。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下列情形不适用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抽查∶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1、涉及重点领域文化和旅游企业未列入当前执行的随机抽查事项清单的;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2、国务院、国务院各部委、省人民政府对监督检查有专门要求或重点工作部署的;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3、受理投诉举报、大数据监测、依法履职过程中发现涉嫌违法违规行为，依法应当进行监督检查的;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4、转办、交办、督办案件的;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5、文化和旅游突发性事件的;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6、其它不适用随机抽查的检查事项。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监管是文化和旅游系统全局性工作。各级文化和旅游部门、各业务条线分别落实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监管工作责任，将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监管理念贯穿到文化和旅游执法各领域中。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系统内统一建立由各级文化和旅游主管部门牵头、各相关科室分工负责的工作推进机制;市、县两级文化和旅游部门确定职能机构牵头负责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各级牵头机构组织、指导、协调相关工作，统筹协调相关制度机制建设和年度抽查工作计划制定，确定每个抽查批次的牵头业务机构;各相关业务机构按照年度抽查工作计划的安排，负责牵头组织、参与本业务领域抽查工作，并对抽查工作进行业务指导、培训、协调、督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各级文化和旅游部门要加强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监管工作的组织领导和协调推进，并在各级地方政府的统一领导下，依法依规开展跨部门联合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二、统一监管工作平台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全省市场监管系统"双随机、一公开"监管工作使用统一抽查系统进行，实行全程电子化管理和抽查检查信息的共享应用。市、县两级文化和旅游部门原有的相关监督检查业务系统，要与抽查系统整合融合，原则上停止使用;对因工作确需保留的，要加快与抽查系统功能对接，实现数据共享、互联互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中的抽查事项清单公告、年度抽查工作计划公示、检查对象名录库与执法检查人员名录库建立、抽查任务发起、检查对象名单抽取和派发、执法检查人员匹配、具体检查任务下达、检查前预查比对、检查结果录入审核及公示、后续处置与考核管理、数据存档等各个工作环节，均应当在抽查系统操作进行，确保全程留痕、责任可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（六）随机抽查事项清单、年度抽查工作计划、抽查检查结果信息，自动推送到公示系统公示。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监管工作考核评价，均通过抽查系统进行，由抽查系统自动统计并生成检查对象名录库和执法检查人员名录库建设、年度抽查计划执行、具体任务抽查结果录入公示、后续监管处置等工作开展情况。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三、统一</w:t>
      </w:r>
      <w:r>
        <w:rPr>
          <w:rFonts w:hint="eastAsia" w:ascii="黑体" w:hAnsi="黑体" w:eastAsia="黑体" w:cs="黑体"/>
          <w:sz w:val="32"/>
          <w:szCs w:val="32"/>
          <w:lang w:eastAsia="zh-CN"/>
        </w:rPr>
        <w:t>“</w:t>
      </w:r>
      <w:r>
        <w:rPr>
          <w:rFonts w:hint="eastAsia" w:ascii="黑体" w:hAnsi="黑体" w:eastAsia="黑体" w:cs="黑体"/>
          <w:sz w:val="32"/>
          <w:szCs w:val="32"/>
        </w:rPr>
        <w:t>一单两库</w:t>
      </w:r>
      <w:r>
        <w:rPr>
          <w:rFonts w:hint="eastAsia" w:ascii="黑体" w:hAnsi="黑体" w:eastAsia="黑体" w:cs="黑体"/>
          <w:sz w:val="32"/>
          <w:szCs w:val="32"/>
          <w:lang w:eastAsia="zh-CN"/>
        </w:rPr>
        <w:t>”</w:t>
      </w:r>
      <w:r>
        <w:rPr>
          <w:rFonts w:hint="eastAsia" w:ascii="黑体" w:hAnsi="黑体" w:eastAsia="黑体" w:cs="黑体"/>
          <w:sz w:val="32"/>
          <w:szCs w:val="32"/>
        </w:rPr>
        <w:t>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省文化和旅游厅依据文化和旅游部随机抽查事项清单，在梳理本省级地方性法规、政府规章等基础上，编制形成全省市场监管系统统一的随机抽查事项清单（以下简称《清单》）。市、县两级根据《清单》明确抽查事项、检查对象、事项类别、检查方式、检查主体和检查依据等。法律法规规章立改废释和工作的实际情况对抽查事项清单进行动态调整，并及时公布调整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清单》中抽查事项分为一般检查事项和重点检查事项。重点检查事项针对安全、质量、公共利益等重要领域，抽查比例不设上限。抽查比例高的，可以通过随机抽取的方式确定检查批次顺序。一般检查事项针对一般监管领域，抽查比例应严格进行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（十）检查对象名录库分为综合主体名录库（企业、个体工商户等市场主体）和分类专项名录库（如旅行社名录库、互联网上网服务营业场所名录库等）。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县两级负责对照随机抽查事项清单，统筹梳理本业务条线检查对象，结合监管特点，设置各分类专项名录库建库标准，包括专项库名称、对象类型、分类指标、对应专业监管要求等内容，并牵头指导本业务条线分类专项名录库建设。各级按照“谁管辖、谁维护”的原则，对照抽查事项清单和建库标准，在抽查系统中建立本级的检查对象名录库，并实行动态维护，确保全面、准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各级文化和旅游部门按照"谁管理、谁维护"的原则，对照建库标准，在抽查系统中建立本单位执法检查人员名录库，并实行动态维护。具有行政执法资格的行政执法类公务员、工作人员名单，并按照执法资质、从事岗位类别、业务专长等进行分类标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四、抽查工作计划制定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（十二）各级文化和旅游部门分别制订年度抽查工作计划，可根据工作实际情况进行动态调整。工作计划及调整情况应及时报上一级局备案。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（十三）市、县两级负责对照抽查事项清单，结合监管工作需求，提出抽查事项对应的年度抽查工作计划。抽查工作计划应涵盖《清单》全部事项。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（十四）年度抽查工作计划应当明确各项抽查的范围、时间安排和预估数量，以及各市、县级局自行抽查的分配比例、不同地区的抽查比重等要求。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抽查工作计划的制定应综合考虑不同检查对象的风险等级和信用水平。对于低风险检查对象，可适当降低抽查比例和频次;对高风险检查对象和失信市场主体实施重点监督检查，适当提高抽查比例和频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原则上同一市场主体在一年内被抽中实施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检查的次数不超过2次。对重点行业和领域，有多次被投诉举报记录、列入经营异常名录、失信行为、严重违法违规记录等情形的，或因专项整治、特殊事件或上级指令等情况另行部署定向抽查的，不受比例和频次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除年度抽查工作计划中明确的抽查任务外，市、县两级根据需要组织开展临时抽查检查的，参照年度抽查计划任务执行，执行情况在抽查系统中予以记录并公示。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五、任务设置与摇号抽取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（十六）上级部门可以委托下级部门实施检查。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（十七）各级执行抽查工作计划时，应当在抽查系统中预先设置任务，按照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监管工作的要求以摇号方式随机抽取检查对象、随机抽取执法检查人员。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八）摇号随机抽取检查对象时，视情采取不定向方式（直接从检查对象名录库所有主体中抽取）、定向方式（按照主体类型、经营规模、行业、地理区域等特定条件抽取）进行。抽查系统支持对同一任务的多类检查对象按不同比例分别设置、逐项抽取、合并下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（十九）摇号随机产生检查对象，经确认锁定并选择下发名单后即通过抽查系统派发至各对应的任务执行单位，同时自动在公示系统发布抽查任务公告。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（二十）同一任务执行时间段内，不同抽查计划设置的任务抽取同一检查对象的，对不同任务进行合并，由任务执行系统一并实施，实现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进一次门、查多项事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（二十一）各任务执行单位在抽查系统中查看任务要求及具体检查对象名单，并进行执法检查人员的匹配操作。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任务执行单位结合本辖区地理环境、人员配备、业务专长、保障水平等特点，科学选择随机抽取执法检查人员的方式，每个检查对象不少于2名执法人员，执法人员组成检查组，选定1人为组长。某些检查事项需要专家参与的，可根据实际情况从专家库中随机抽取或直接委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对执法检查人员有限，不能满足本区域随机抽查基本条件的，可以采取直接委派方式，或与相邻区域执法检查人员联合进行随机匹配。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（二十二）执法检查人员应当具备执法资格，包括各业务条线所有行政执法类公务员、具有行政执法资格的工作人员以及从事日常监管工作的人员。参与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监管工作的执法检查人员，可检查抽查事项清单规定的所有检查事项。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三）抽取的执法检查人员原则上不得更换，但因岗位调整、工作冲突、身体健康状况等特殊情况无法继续履行检查任务的，允许调整更换。任务执行单位同意后，在具备执法资格的其它人员中另行指派。执法检查人员与检查对象有利害关系的，应当申请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六、抽查任务执行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（二十四）检查组长按照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进一次门、查多项事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的要求，负责抽查任务实施期间的组织协调管理，其它组员应当配合、服从组长的安排，分工协作完成抽查任务。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（二十五）执法检查人员依照抽查系统自动匹配或手动选配适用的检查表单，严格对照检查标准进行检查。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可以根据实际情况依法采取书面检查、实地核查、网络监测、抽样检测等方式，可以依法利用其他政府部门检查结论、司法机关生效文书和专业机构作出的专业结论，也可以委托专业机构开展审计、验资、评估、检验检测等第三方验证活动。委托专业机构实施抽查检查的，委托单位应当加强业务指导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（二十七）执法检查人员可以针对不同的检查事项内容，依照相关法律法规规章的规定行使监督检查权，并视情况依法对当事人采取相应的监管措施。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（二十八）对于需要对检查对象进行现场检查的，一般按照以下程序进行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查比对。检查组按照检查任务要求，通过查询内部业务系统、相关信息系统和档案资料等，掌握检查对象基本信息和动态状况，结合抽查任务要求确定适合的检查方法和检查程序。经预查比对，对于适用的检查对象，按照"一对象一表单"的方式，确定符合本次抽查任务要求和抽查对象实际情况的检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检查。现场检查人员不得少于两人，并应当出示执法证件，向检查对象发放检查告知书，告知配合检查的相关要求。检查中发现违法违规等情况的，视情采取制作现场笔录、初步提取证据、责令当事人停止违法活动、督促当事人整改等相应监管措施。现场检查情况，句括发现问题、处置措施及整改情况等，记录于相应检查表中。检查事项全部完成后，要求被检查对象在相应检查表的当事人栏目中签字盖章。检查对象拒绝签字或盖章的，由现场检查人员在检查记录中说明情况，必要时邀请有关人员作为见证人。现场检查应进行全过程执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3、形成检查结果。执法检查人员汇总各个事项检查情况，讨论确认检查表中的相关检查结果，并由具体负责检查的人员签字确认。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结果公示。除依法依规不予公开的情形外，在本次抽查任务完成后20个工作日内，录入抽查系统，通过公示系统公示。在执行具体检查任务时，针对不同的检查对象特点，可根据监管工作需要对上述检查程序进行调整或删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九）检查结果是检查对象在该次抽查时实际情况的客观体现，一经公示不得擅自更改。但事后发现检查结果确有错误的，经所在单位主要负责人签字确认后及时更正。检查对象对检查结果有异议的，任务执行部门在收到申请材料之日起20个工作日内进行复查，经复查确有错误的子以更正。复查情况自作出复查结果之日起15个工作日内反馈检查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检查对象通过登记的住所（经营场所）无法联系或检查对象在检查任务截止前完成注销、被撤销设立登记、被吊销营业执照等情形的，不冉开展检查，由各市局汇总后将名单上报省局，视为完成抽查。检查期间，检查对象存在迁入、迁出的，由迁入地监管机关（或属地管辖单位）进行检查。迁出地监管机关（或属地管辖单位）应及时书面通知迁入地监管机关（或属地管辖单位），并按程序批准后在平台系统中做变更检查机关转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（三十一）检查中发现检查对象存在违法违规行为的，按照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谁监管、谁负责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做好监管衔接，及时将发现的违法线索移交给负责日常监督的业务机构进行后续处置。需立案调查的，执法检查人员固定证据，移送办案机构依法查处。涉嫌犯罪的，及时移送司法机关。对于不配合检查的检查对象，按照相关法律法规的规定对其采取后续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（三十二）检查过程中采集的重要证据材料，由检查组按照“一对象一档案”的要求，参考行政处罚案卷格式整理装订成抽查卷宗，归档长期保存。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七、监督考评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（三十三）检查对象应当依法对生产经营活动承担主体责任，配合检查实施相关活动，如实提供相关资料，并不得以检查时未发现问题为由逃避相应法律责任或对抗第三人。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（三十四）执法检查人员对其实施的检查任务负责，具体包括;检查事项和内容、提取的产品（留样、商品）、提取的证据材料、制作的现场记录、形成的检查结果。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（三十五）各级文化和旅游部门开展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监管工作情况，纳入本单位年度工作目标考核、绩效考评范围。上级部门应当加强指导管理，组织督查检查和效能评估。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（三十六）上级对下级的考核以抽查系统的数据情况为基准，未录入或未及时录入数据的，视为未开展或未完成任务。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监管工作应当严格依法依规执行，不得妨碍被检查对象正常的生产经营活动。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（三十八）坚持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尽职照单免责、失职照单问责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的原则，进一步增强责任意识，对未履行、不当履行或违法履行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监管职责的，依法依规严肃处理;涉嫌违法犯罪的，移送有关机关依法处理。各级文化和旅游部门及其执法检查人员在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监管中存在下列情形之一、相关市场主体出现问题的，可以免除行政责任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法律法规规章规定和抽查工作计划安排，已履行抽查检查职责的;因现有专业技术手段限制不能发现所存在问题的;检查对象发生事故，性质上与执法检查人员的抽查检查不存在因果关系的;因被委托进行检查的专业机构出具虚假报告等，导致错误判定或者处理的;其他依法依规不应当追究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有下列情形之一的，应当承担行政责任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按要求进行抽查检查，造成不良后果的;未依法及时公示抽查检查结果，造成不良后果的;对抽查检查中发现的涉嫌犯罪案件，未依法移送公安机关处理的;不执行或者拖延执行抽查任务的;抽查检查过程中走过场，搞形式主义的;其他依法依规应当追究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经费纳入各级文化和旅游部门年度预算。其中，涉及专项审计、检测检验等费用，设置专门项目预算列支，纳入政府采购管理。涉及执法车辆、津助等事项，依照当地政府规定和程序办理，同等情况，下优先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（四十）本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文昌湖区</w:t>
      </w:r>
      <w:r>
        <w:rPr>
          <w:rFonts w:hint="default" w:ascii="Times New Roman" w:hAnsi="Times New Roman" w:eastAsia="仿宋_GB2312" w:cs="Times New Roman"/>
          <w:sz w:val="32"/>
          <w:szCs w:val="32"/>
        </w:rPr>
        <w:t>文化和旅游</w:t>
      </w:r>
      <w:r>
        <w:rPr>
          <w:rFonts w:hint="default" w:ascii="Times New Roman" w:hAnsi="Times New Roman" w:eastAsia="仿宋_GB2312" w:cs="Times New Roman"/>
          <w:sz w:val="32"/>
          <w:szCs w:val="32"/>
          <w:lang w:eastAsia="zh-CN"/>
        </w:rPr>
        <w:t>事业发展中心</w:t>
      </w:r>
      <w:r>
        <w:rPr>
          <w:rFonts w:hint="default" w:ascii="Times New Roman" w:hAnsi="Times New Roman" w:eastAsia="仿宋_GB2312" w:cs="Times New Roman"/>
          <w:sz w:val="32"/>
          <w:szCs w:val="32"/>
        </w:rPr>
        <w:t>负责解释，自发布之日起施行，有效期三年。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）上级部门对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监管相关事项另有不同规定的，按照上级规定执行。本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发布之后，文化和旅游部门机构改革前原有部门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同时作废。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文昌湖区</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事业发展中心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bookmarkStart w:id="0" w:name="_GoBack"/>
      <w:bookmarkEnd w:id="0"/>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BFC8EA-F803-49B6-87E4-176AEF788C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52F405F-5C22-45BF-8D98-7E10C9C8C7D6}"/>
  </w:font>
  <w:font w:name="仿宋_GB2312">
    <w:panose1 w:val="02010609030101010101"/>
    <w:charset w:val="86"/>
    <w:family w:val="auto"/>
    <w:pitch w:val="default"/>
    <w:sig w:usb0="00000001" w:usb1="080E0000" w:usb2="00000000" w:usb3="00000000" w:csb0="00040000" w:csb1="00000000"/>
    <w:embedRegular r:id="rId3" w:fontKey="{204D4410-B88E-4BD2-A9BC-00667F8708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D2C8E"/>
    <w:rsid w:val="25515462"/>
    <w:rsid w:val="60AD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2021-09-08T07:29:00Z</dcterms:created>
  <dc:creator>五A★★</dc:creator>
  <cp:lastModifiedBy>celine,,,,,</cp:lastModifiedBy>
  <dcterms:modified xsi:type="dcterms:W3CDTF">2022-05-31T06:18:13Z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