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2019年文昌湖区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方正小标宋简体" w:cs="仿宋"/>
          <w:i w:val="0"/>
          <w:caps w:val="0"/>
          <w:color w:val="000000"/>
          <w:spacing w:val="11"/>
          <w:sz w:val="28"/>
          <w:szCs w:val="28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国民经济和社会发展统计公报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1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2019年，面对国内外复杂多变的经济发展环境，全区上下在党工委、管委会的坚强领导下，牢牢把握“生态立区、以产兴城、以城聚产、产城融合发展”的总体思路和工作布局，全力打造名副其实的生态高地、城市公园、旅游度假区和淄博新旧动能转换新的经济增长极，全区经济实现健康稳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一、综     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2019年，工业增加值实现同比增长7%；工业总产值同比下降3.98%；营业收入同比增长2.52%；利润总额同比增长47.5%。固定资产投资同比增长20.5%。完成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招商引资到位资金5.3亿元（不含外资），外资到位资金1176万美元。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2019年，全区各类市场主体总数达到3447户，比上年增加10.80%。全区各类市场主体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总注册资本(金)为61.55亿元，比上年增加36.26%。户均注册资本（金）约为178.57万元，比上年户均注册资本（金）145.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21万元增加了22.97%。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1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528945" cy="3471545"/>
            <wp:effectExtent l="0" t="0" r="14605" b="14605"/>
            <wp:docPr id="4" name="图片 4" descr="工业增加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工业增加值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二、新旧动能转换与创新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4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2019年，全区共实施新旧动能转换与创新项目30个，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总投资94.64亿元，总投资29.7亿元的6个项目列入市重大项目名单，4个新开工项目全部开工建设，完成投资2.51亿元。拥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有高新技术企业5家，科技型中小微企业6家，省级创新平台3家，市级创新平台4家。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三、固定资产投资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708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8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2019年，全区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固定资产投资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共有在库项目31个，</w:t>
      </w:r>
      <w:r>
        <w:rPr>
          <w:rFonts w:hint="default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其中5000万元以上项目投</w:t>
      </w:r>
      <w:r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资</w:t>
      </w:r>
      <w:r>
        <w:rPr>
          <w:rFonts w:hint="default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同比增长</w:t>
      </w:r>
      <w:r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8.59</w:t>
      </w:r>
      <w:r>
        <w:rPr>
          <w:rFonts w:hint="default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%；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7"/>
          <w:sz w:val="32"/>
          <w:szCs w:val="32"/>
          <w:lang w:val="en-US" w:eastAsia="zh-CN"/>
        </w:rPr>
        <w:t>5000万元以下项目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7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7"/>
          <w:sz w:val="32"/>
          <w:szCs w:val="32"/>
          <w:lang w:val="en-US" w:eastAsia="zh-CN"/>
        </w:rPr>
        <w:t>个，</w:t>
      </w:r>
      <w:r>
        <w:rPr>
          <w:rFonts w:hint="default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投资同比增长</w:t>
      </w:r>
      <w:r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84.38</w:t>
      </w:r>
      <w:r>
        <w:rPr>
          <w:rFonts w:hint="default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%；房地产项目</w:t>
      </w:r>
      <w:r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5个，</w:t>
      </w:r>
      <w:r>
        <w:rPr>
          <w:rFonts w:hint="default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投资同比增长</w:t>
      </w:r>
      <w:r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815.9</w:t>
      </w:r>
      <w:r>
        <w:rPr>
          <w:rFonts w:hint="default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%。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四、内外贸易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708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708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  <w:t>2019年，全区社会消费品零售总额增长5.5%；进出口总额比上年增长2%；其中进口总额比上年下降8.4%，出口总额比上年增长11.1%。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708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7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五、财政、金融和保险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 w:bidi="ar-SA"/>
        </w:rPr>
        <w:t>2019年，全区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highlight w:val="none"/>
          <w:lang w:val="en-US" w:eastAsia="zh-CN" w:bidi="ar-SA"/>
        </w:rPr>
        <w:t>一般公共预算收入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highlight w:val="none"/>
          <w:lang w:val="en-US" w:eastAsia="zh-CN" w:bidi="ar-SA"/>
        </w:rPr>
        <w:t>2.07亿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highlight w:val="none"/>
          <w:lang w:val="en-US" w:eastAsia="zh-CN" w:bidi="ar-SA"/>
        </w:rPr>
        <w:t>元，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highlight w:val="none"/>
          <w:lang w:val="en-US" w:eastAsia="zh-CN" w:bidi="ar-SA"/>
        </w:rPr>
        <w:t>同比增长1.97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highlight w:val="none"/>
          <w:lang w:val="en-US" w:eastAsia="zh-CN" w:bidi="ar-SA"/>
        </w:rPr>
        <w:t>%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highlight w:val="none"/>
          <w:lang w:val="en-US" w:eastAsia="zh-CN" w:bidi="ar-SA"/>
        </w:rPr>
        <w:t>。其中，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spacing w:val="11"/>
          <w:sz w:val="32"/>
          <w:szCs w:val="32"/>
          <w:highlight w:val="none"/>
          <w:lang w:val="en-US" w:eastAsia="zh-CN" w:bidi="ar-SA"/>
        </w:rPr>
        <w:t>入库税收1.86亿元，占一般公共预算收入的比重达89.86%，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highlight w:val="none"/>
          <w:lang w:val="en-US" w:eastAsia="zh-CN" w:bidi="ar-SA"/>
        </w:rPr>
        <w:t>比上年提高了12.03个百分点。全年一般公共预算支出4.46亿元，下降0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 w:bidi="ar-SA"/>
        </w:rPr>
        <w:t>.67%。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42E1"/>
    <w:rsid w:val="02722A83"/>
    <w:rsid w:val="03FC2DAF"/>
    <w:rsid w:val="048F134D"/>
    <w:rsid w:val="05EC75F5"/>
    <w:rsid w:val="05F7465D"/>
    <w:rsid w:val="063517A9"/>
    <w:rsid w:val="0BBD5D5B"/>
    <w:rsid w:val="0EB94DCC"/>
    <w:rsid w:val="0F795E6F"/>
    <w:rsid w:val="10FA051E"/>
    <w:rsid w:val="11E65657"/>
    <w:rsid w:val="125F4B5D"/>
    <w:rsid w:val="12EB2E9A"/>
    <w:rsid w:val="13711C8C"/>
    <w:rsid w:val="13782818"/>
    <w:rsid w:val="143702D1"/>
    <w:rsid w:val="15E86666"/>
    <w:rsid w:val="17531EC7"/>
    <w:rsid w:val="192D2C63"/>
    <w:rsid w:val="19675CCC"/>
    <w:rsid w:val="1A824325"/>
    <w:rsid w:val="1C2F1919"/>
    <w:rsid w:val="1C5542E1"/>
    <w:rsid w:val="1E0D08C3"/>
    <w:rsid w:val="22D73E2C"/>
    <w:rsid w:val="2F592404"/>
    <w:rsid w:val="31133B17"/>
    <w:rsid w:val="36F500C0"/>
    <w:rsid w:val="3BAB05E8"/>
    <w:rsid w:val="3BD0416D"/>
    <w:rsid w:val="3BF15F72"/>
    <w:rsid w:val="3F886626"/>
    <w:rsid w:val="3FF02AAC"/>
    <w:rsid w:val="411A4DA2"/>
    <w:rsid w:val="441E309B"/>
    <w:rsid w:val="51F135DC"/>
    <w:rsid w:val="55B01AC9"/>
    <w:rsid w:val="55B63DDF"/>
    <w:rsid w:val="56C87569"/>
    <w:rsid w:val="56F50C2D"/>
    <w:rsid w:val="5C2D6D12"/>
    <w:rsid w:val="5D8D2A7E"/>
    <w:rsid w:val="5E632071"/>
    <w:rsid w:val="69627D01"/>
    <w:rsid w:val="6C440ECD"/>
    <w:rsid w:val="6D205FD5"/>
    <w:rsid w:val="6E18094D"/>
    <w:rsid w:val="768C3786"/>
    <w:rsid w:val="76916AF3"/>
    <w:rsid w:val="77C30BDF"/>
    <w:rsid w:val="7C7B3719"/>
    <w:rsid w:val="7C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2020-01-08T07:03:00Z</dcterms:created>
  <dc:creator></dc:creator>
  <cp:lastModifiedBy>.</cp:lastModifiedBy>
  <cp:lastPrinted>2020-01-21T08:09:00Z</cp:lastPrinted>
  <dcterms:modified xsi:type="dcterms:W3CDTF">2020-12-08T06:04:48Z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