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普通住宅前期物业服务企业收费标准</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备案标准化受理指南</w:t>
      </w:r>
    </w:p>
    <w:p>
      <w:pPr>
        <w:widowControl w:val="0"/>
        <w:numPr>
          <w:ilvl w:val="0"/>
          <w:numId w:val="0"/>
        </w:numPr>
        <w:jc w:val="left"/>
        <w:rPr>
          <w:rFonts w:hint="eastAsia" w:ascii="黑体" w:hAnsi="黑体" w:eastAsia="黑体" w:cs="黑体"/>
          <w:color w:val="auto"/>
          <w:sz w:val="32"/>
          <w:szCs w:val="32"/>
          <w:lang w:eastAsia="zh-CN"/>
        </w:rPr>
      </w:pPr>
    </w:p>
    <w:p>
      <w:pPr>
        <w:numPr>
          <w:ilvl w:val="0"/>
          <w:numId w:val="0"/>
        </w:numPr>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一、办理条件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496"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eastAsia="zh-CN"/>
              </w:rPr>
              <w:t>序号</w:t>
            </w:r>
          </w:p>
        </w:tc>
        <w:tc>
          <w:tcPr>
            <w:tcW w:w="8565" w:type="dxa"/>
            <w:vAlign w:val="center"/>
          </w:tcPr>
          <w:p>
            <w:pPr>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b/>
                <w:bCs/>
                <w:color w:val="auto"/>
                <w:sz w:val="28"/>
                <w:szCs w:val="28"/>
                <w:lang w:eastAsia="zh-CN"/>
              </w:rPr>
              <w:t>办理条件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val="0"/>
              <w:numPr>
                <w:ilvl w:val="0"/>
                <w:numId w:val="0"/>
              </w:numPr>
              <w:jc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1</w:t>
            </w:r>
          </w:p>
        </w:tc>
        <w:tc>
          <w:tcPr>
            <w:tcW w:w="8565" w:type="dxa"/>
            <w:vAlign w:val="center"/>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必须是经有关部门批准的、符合物业管理政策规定的物业管理项目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val="0"/>
              <w:numPr>
                <w:ilvl w:val="0"/>
                <w:numId w:val="0"/>
              </w:numPr>
              <w:jc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2</w:t>
            </w:r>
          </w:p>
        </w:tc>
        <w:tc>
          <w:tcPr>
            <w:tcW w:w="8565" w:type="dxa"/>
            <w:vAlign w:val="center"/>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必须是符合省、市物价部门房管部门物业管理收费政策规定的项目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val="0"/>
              <w:numPr>
                <w:ilvl w:val="0"/>
                <w:numId w:val="0"/>
              </w:numPr>
              <w:jc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3</w:t>
            </w:r>
          </w:p>
        </w:tc>
        <w:tc>
          <w:tcPr>
            <w:tcW w:w="8565" w:type="dxa"/>
            <w:vAlign w:val="center"/>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必须是按照规定实施招投标程序或联席会议程序或业主大会程序并提供有效的文件依据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val="0"/>
              <w:numPr>
                <w:ilvl w:val="0"/>
                <w:numId w:val="0"/>
              </w:numPr>
              <w:jc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4</w:t>
            </w:r>
          </w:p>
        </w:tc>
        <w:tc>
          <w:tcPr>
            <w:tcW w:w="8565" w:type="dxa"/>
            <w:vAlign w:val="center"/>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申请人对申报材料及填写内容的真实性准确性负责，材料必须齐全、完整、有效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widowControl w:val="0"/>
              <w:numPr>
                <w:ilvl w:val="0"/>
                <w:numId w:val="0"/>
              </w:numPr>
              <w:jc w:val="center"/>
              <w:rPr>
                <w:rFonts w:hint="eastAsia" w:ascii="仿宋_GB2312" w:hAnsi="仿宋_GB2312" w:eastAsia="仿宋_GB2312" w:cs="仿宋_GB2312"/>
                <w:b w:val="0"/>
                <w:bCs w:val="0"/>
                <w:color w:val="auto"/>
                <w:sz w:val="28"/>
                <w:szCs w:val="28"/>
                <w:vertAlign w:val="baseline"/>
                <w:lang w:val="en-US" w:eastAsia="zh-CN"/>
              </w:rPr>
            </w:pPr>
            <w:r>
              <w:rPr>
                <w:rFonts w:hint="eastAsia" w:ascii="仿宋_GB2312" w:hAnsi="仿宋_GB2312" w:eastAsia="仿宋_GB2312" w:cs="仿宋_GB2312"/>
                <w:b w:val="0"/>
                <w:bCs w:val="0"/>
                <w:color w:val="auto"/>
                <w:sz w:val="28"/>
                <w:szCs w:val="28"/>
                <w:vertAlign w:val="baseline"/>
                <w:lang w:val="en-US" w:eastAsia="zh-CN"/>
              </w:rPr>
              <w:t>5</w:t>
            </w:r>
          </w:p>
        </w:tc>
        <w:tc>
          <w:tcPr>
            <w:tcW w:w="8565" w:type="dxa"/>
            <w:vAlign w:val="center"/>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申请人必须完全具备物业管理法律规定的备案条件</w:t>
            </w:r>
          </w:p>
        </w:tc>
      </w:tr>
    </w:tbl>
    <w:p>
      <w:pPr>
        <w:widowControl w:val="0"/>
        <w:numPr>
          <w:ilvl w:val="0"/>
          <w:numId w:val="0"/>
        </w:numPr>
        <w:jc w:val="left"/>
        <w:rPr>
          <w:rFonts w:hint="eastAsia" w:ascii="黑体" w:hAnsi="黑体" w:eastAsia="黑体" w:cs="黑体"/>
          <w:color w:val="auto"/>
          <w:sz w:val="32"/>
          <w:szCs w:val="32"/>
          <w:lang w:eastAsia="zh-CN"/>
        </w:rPr>
      </w:pPr>
    </w:p>
    <w:p>
      <w:pPr>
        <w:widowControl w:val="0"/>
        <w:numPr>
          <w:ilvl w:val="0"/>
          <w:numId w:val="0"/>
        </w:numPr>
        <w:ind w:left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二、申请材料</w:t>
      </w:r>
    </w:p>
    <w:tbl>
      <w:tblPr>
        <w:tblStyle w:val="3"/>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044"/>
        <w:gridCol w:w="1304"/>
        <w:gridCol w:w="1200"/>
        <w:gridCol w:w="660"/>
        <w:gridCol w:w="912"/>
        <w:gridCol w:w="120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color w:val="auto"/>
                <w:sz w:val="24"/>
                <w:szCs w:val="24"/>
                <w:vertAlign w:val="baseline"/>
                <w:lang w:eastAsia="zh-CN"/>
              </w:rPr>
              <w:t>序号</w:t>
            </w:r>
          </w:p>
        </w:tc>
        <w:tc>
          <w:tcPr>
            <w:tcW w:w="2044"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color w:val="auto"/>
                <w:sz w:val="24"/>
                <w:szCs w:val="24"/>
                <w:vertAlign w:val="baseline"/>
                <w:lang w:eastAsia="zh-CN"/>
              </w:rPr>
              <w:t>申请材料</w:t>
            </w:r>
          </w:p>
        </w:tc>
        <w:tc>
          <w:tcPr>
            <w:tcW w:w="1304"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i w:val="0"/>
                <w:caps w:val="0"/>
                <w:color w:val="auto"/>
                <w:spacing w:val="0"/>
                <w:sz w:val="24"/>
                <w:szCs w:val="24"/>
                <w:shd w:val="clear" w:fill="FFFFFF"/>
              </w:rPr>
              <w:t>材料类型</w:t>
            </w:r>
          </w:p>
        </w:tc>
        <w:tc>
          <w:tcPr>
            <w:tcW w:w="1200"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i w:val="0"/>
                <w:caps w:val="0"/>
                <w:color w:val="auto"/>
                <w:spacing w:val="0"/>
                <w:sz w:val="24"/>
                <w:szCs w:val="24"/>
                <w:shd w:val="clear" w:fill="FFFFFF"/>
              </w:rPr>
              <w:t>纸质材料份数</w:t>
            </w:r>
          </w:p>
        </w:tc>
        <w:tc>
          <w:tcPr>
            <w:tcW w:w="660" w:type="dxa"/>
            <w:vAlign w:val="center"/>
          </w:tcPr>
          <w:p>
            <w:pPr>
              <w:widowControl w:val="0"/>
              <w:numPr>
                <w:ilvl w:val="0"/>
                <w:numId w:val="0"/>
              </w:numPr>
              <w:ind w:left="0" w:leftChars="0" w:firstLine="0" w:firstLineChars="0"/>
              <w:jc w:val="center"/>
              <w:rPr>
                <w:rFonts w:hint="eastAsia" w:ascii="仿宋" w:hAnsi="仿宋" w:eastAsia="仿宋" w:cs="仿宋"/>
                <w:b/>
                <w:bCs/>
                <w:color w:val="auto"/>
                <w:kern w:val="2"/>
                <w:sz w:val="24"/>
                <w:szCs w:val="24"/>
                <w:vertAlign w:val="baseline"/>
                <w:lang w:val="en-US" w:eastAsia="zh-CN" w:bidi="ar-SA"/>
              </w:rPr>
            </w:pPr>
            <w:r>
              <w:rPr>
                <w:rFonts w:hint="eastAsia" w:ascii="仿宋" w:hAnsi="仿宋" w:eastAsia="仿宋" w:cs="仿宋"/>
                <w:b/>
                <w:bCs/>
                <w:color w:val="auto"/>
                <w:sz w:val="24"/>
                <w:szCs w:val="24"/>
                <w:vertAlign w:val="baseline"/>
                <w:lang w:eastAsia="zh-CN"/>
              </w:rPr>
              <w:t>要求</w:t>
            </w:r>
          </w:p>
        </w:tc>
        <w:tc>
          <w:tcPr>
            <w:tcW w:w="912"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i w:val="0"/>
                <w:caps w:val="0"/>
                <w:color w:val="auto"/>
                <w:spacing w:val="0"/>
                <w:sz w:val="24"/>
                <w:szCs w:val="24"/>
                <w:shd w:val="clear" w:fill="FFFFFF"/>
              </w:rPr>
              <w:t>材料形式</w:t>
            </w:r>
          </w:p>
        </w:tc>
        <w:tc>
          <w:tcPr>
            <w:tcW w:w="1200" w:type="dxa"/>
            <w:vAlign w:val="center"/>
          </w:tcPr>
          <w:p>
            <w:pPr>
              <w:widowControl w:val="0"/>
              <w:numPr>
                <w:ilvl w:val="0"/>
                <w:numId w:val="0"/>
              </w:numPr>
              <w:jc w:val="center"/>
              <w:rPr>
                <w:rFonts w:hint="eastAsia" w:ascii="仿宋" w:hAnsi="仿宋" w:eastAsia="仿宋" w:cs="仿宋"/>
                <w:b/>
                <w:bCs/>
                <w:color w:val="auto"/>
                <w:sz w:val="24"/>
                <w:szCs w:val="24"/>
                <w:vertAlign w:val="baseline"/>
                <w:lang w:eastAsia="zh-CN"/>
              </w:rPr>
            </w:pPr>
            <w:r>
              <w:rPr>
                <w:rFonts w:hint="eastAsia" w:ascii="仿宋" w:hAnsi="仿宋" w:eastAsia="仿宋" w:cs="仿宋"/>
                <w:b/>
                <w:bCs/>
                <w:i w:val="0"/>
                <w:caps w:val="0"/>
                <w:color w:val="auto"/>
                <w:spacing w:val="0"/>
                <w:sz w:val="24"/>
                <w:szCs w:val="24"/>
                <w:shd w:val="clear" w:fill="FFFFFF"/>
              </w:rPr>
              <w:t>来源渠道</w:t>
            </w:r>
          </w:p>
        </w:tc>
        <w:tc>
          <w:tcPr>
            <w:tcW w:w="1224" w:type="dxa"/>
            <w:vAlign w:val="center"/>
          </w:tcPr>
          <w:p>
            <w:pPr>
              <w:widowControl w:val="0"/>
              <w:numPr>
                <w:ilvl w:val="0"/>
                <w:numId w:val="0"/>
              </w:numPr>
              <w:jc w:val="center"/>
              <w:rPr>
                <w:rFonts w:hint="eastAsia" w:ascii="仿宋" w:hAnsi="仿宋" w:eastAsia="仿宋" w:cs="仿宋"/>
                <w:b/>
                <w:bCs/>
                <w:i w:val="0"/>
                <w:caps w:val="0"/>
                <w:color w:val="auto"/>
                <w:spacing w:val="0"/>
                <w:sz w:val="24"/>
                <w:szCs w:val="24"/>
                <w:shd w:val="clear" w:fill="FFFFFF"/>
              </w:rPr>
            </w:pPr>
            <w:r>
              <w:rPr>
                <w:rFonts w:hint="eastAsia" w:ascii="仿宋" w:hAnsi="仿宋" w:eastAsia="仿宋" w:cs="仿宋"/>
                <w:b/>
                <w:bCs/>
                <w:i w:val="0"/>
                <w:caps w:val="0"/>
                <w:color w:val="auto"/>
                <w:spacing w:val="0"/>
                <w:sz w:val="24"/>
                <w:szCs w:val="24"/>
                <w:shd w:val="clear" w:fill="FFFFFF"/>
              </w:rPr>
              <w:t>来源渠道说明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20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物业服务合同</w:t>
            </w:r>
          </w:p>
        </w:tc>
        <w:tc>
          <w:tcPr>
            <w:tcW w:w="130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复印件</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660" w:type="dxa"/>
            <w:vAlign w:val="center"/>
          </w:tcPr>
          <w:p>
            <w:pPr>
              <w:widowControl w:val="0"/>
              <w:numPr>
                <w:ilvl w:val="0"/>
                <w:numId w:val="0"/>
              </w:numPr>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A4</w:t>
            </w:r>
          </w:p>
        </w:tc>
        <w:tc>
          <w:tcPr>
            <w:tcW w:w="912"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纸质</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申请人自备</w:t>
            </w:r>
          </w:p>
        </w:tc>
        <w:tc>
          <w:tcPr>
            <w:tcW w:w="122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20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xx普通住宅前期物业服务收费备案登记表</w:t>
            </w:r>
          </w:p>
        </w:tc>
        <w:tc>
          <w:tcPr>
            <w:tcW w:w="130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原件</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w:t>
            </w:r>
          </w:p>
        </w:tc>
        <w:tc>
          <w:tcPr>
            <w:tcW w:w="660" w:type="dxa"/>
            <w:vAlign w:val="center"/>
          </w:tcPr>
          <w:p>
            <w:pPr>
              <w:widowControl w:val="0"/>
              <w:numPr>
                <w:ilvl w:val="0"/>
                <w:numId w:val="0"/>
              </w:numPr>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A4</w:t>
            </w:r>
          </w:p>
        </w:tc>
        <w:tc>
          <w:tcPr>
            <w:tcW w:w="912"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电子</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政府部门核发</w:t>
            </w:r>
          </w:p>
        </w:tc>
        <w:tc>
          <w:tcPr>
            <w:tcW w:w="122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政府部门核发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w:t>
            </w:r>
          </w:p>
        </w:tc>
        <w:tc>
          <w:tcPr>
            <w:tcW w:w="204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物业服务成本测算情况</w:t>
            </w:r>
          </w:p>
        </w:tc>
        <w:tc>
          <w:tcPr>
            <w:tcW w:w="130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原件</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w:t>
            </w:r>
          </w:p>
        </w:tc>
        <w:tc>
          <w:tcPr>
            <w:tcW w:w="660" w:type="dxa"/>
            <w:vAlign w:val="center"/>
          </w:tcPr>
          <w:p>
            <w:pPr>
              <w:widowControl w:val="0"/>
              <w:numPr>
                <w:ilvl w:val="0"/>
                <w:numId w:val="0"/>
              </w:numPr>
              <w:ind w:left="0" w:leftChars="0" w:firstLine="0" w:firstLineChars="0"/>
              <w:jc w:val="center"/>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A4</w:t>
            </w:r>
          </w:p>
        </w:tc>
        <w:tc>
          <w:tcPr>
            <w:tcW w:w="912"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纸质</w:t>
            </w:r>
          </w:p>
        </w:tc>
        <w:tc>
          <w:tcPr>
            <w:tcW w:w="1200"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申请人自备</w:t>
            </w:r>
          </w:p>
        </w:tc>
        <w:tc>
          <w:tcPr>
            <w:tcW w:w="1224"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i w:val="0"/>
                <w:caps w:val="0"/>
                <w:color w:val="auto"/>
                <w:spacing w:val="0"/>
                <w:sz w:val="24"/>
                <w:szCs w:val="24"/>
                <w:shd w:val="clear" w:fill="FFFFFF"/>
              </w:rPr>
              <w:t>申请人自备</w:t>
            </w:r>
          </w:p>
        </w:tc>
      </w:tr>
    </w:tbl>
    <w:p>
      <w:pPr>
        <w:widowControl w:val="0"/>
        <w:numPr>
          <w:ilvl w:val="0"/>
          <w:numId w:val="0"/>
        </w:numPr>
        <w:ind w:leftChars="0"/>
        <w:jc w:val="left"/>
        <w:rPr>
          <w:rFonts w:hint="eastAsia" w:ascii="仿宋_GB2312" w:hAnsi="仿宋_GB2312" w:eastAsia="仿宋_GB2312" w:cs="仿宋_GB2312"/>
          <w:color w:val="auto"/>
          <w:sz w:val="32"/>
          <w:szCs w:val="32"/>
          <w:lang w:eastAsia="zh-CN"/>
        </w:rPr>
      </w:pPr>
    </w:p>
    <w:p>
      <w:pPr>
        <w:widowControl w:val="0"/>
        <w:numPr>
          <w:ilvl w:val="0"/>
          <w:numId w:val="0"/>
        </w:numPr>
        <w:ind w:leftChars="0"/>
        <w:jc w:val="left"/>
        <w:rPr>
          <w:rFonts w:hint="eastAsia" w:ascii="黑体" w:hAnsi="黑体" w:eastAsia="黑体" w:cs="黑体"/>
          <w:color w:val="auto"/>
          <w:sz w:val="32"/>
          <w:szCs w:val="32"/>
          <w:lang w:eastAsia="zh-CN"/>
        </w:rPr>
      </w:pPr>
    </w:p>
    <w:p>
      <w:pPr>
        <w:widowControl w:val="0"/>
        <w:numPr>
          <w:ilvl w:val="0"/>
          <w:numId w:val="0"/>
        </w:numPr>
        <w:ind w:leftChars="0"/>
        <w:jc w:val="left"/>
        <w:rPr>
          <w:rFonts w:hint="eastAsia" w:ascii="黑体" w:hAnsi="黑体" w:eastAsia="黑体" w:cs="黑体"/>
          <w:color w:val="auto"/>
          <w:sz w:val="32"/>
          <w:szCs w:val="32"/>
          <w:lang w:eastAsia="zh-CN"/>
        </w:rPr>
      </w:pPr>
    </w:p>
    <w:p>
      <w:pPr>
        <w:widowControl w:val="0"/>
        <w:numPr>
          <w:ilvl w:val="0"/>
          <w:numId w:val="1"/>
        </w:numPr>
        <w:ind w:left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示范文本</w:t>
      </w:r>
    </w:p>
    <w:p>
      <w:pPr>
        <w:widowControl w:val="0"/>
        <w:numPr>
          <w:ilvl w:val="0"/>
          <w:numId w:val="0"/>
        </w:numPr>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淄博市住宅前期物业服务收费标准备案登记表</w:t>
      </w:r>
    </w:p>
    <w:p>
      <w:pPr>
        <w:widowControl w:val="0"/>
        <w:numPr>
          <w:ilvl w:val="0"/>
          <w:numId w:val="0"/>
        </w:numPr>
        <w:jc w:val="left"/>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eastAsia="zh-CN"/>
        </w:rPr>
        <w:t>编号</w:t>
      </w:r>
      <w:r>
        <w:rPr>
          <w:rFonts w:hint="eastAsia" w:ascii="仿宋_GB2312" w:hAnsi="仿宋_GB2312" w:eastAsia="仿宋_GB2312" w:cs="仿宋_GB2312"/>
          <w:color w:val="auto"/>
          <w:sz w:val="30"/>
          <w:szCs w:val="30"/>
          <w:lang w:val="en-US" w:eastAsia="zh-CN"/>
        </w:rPr>
        <w:t>[   ]</w:t>
      </w:r>
    </w:p>
    <w:tbl>
      <w:tblPr>
        <w:tblStyle w:val="3"/>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9"/>
        <w:gridCol w:w="2148"/>
        <w:gridCol w:w="816"/>
        <w:gridCol w:w="1404"/>
        <w:gridCol w:w="3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797" w:type="dxa"/>
            <w:gridSpan w:val="2"/>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4"/>
                <w:szCs w:val="24"/>
                <w:vertAlign w:val="baseline"/>
                <w:lang w:val="en-US" w:eastAsia="zh-CN"/>
              </w:rPr>
              <w:t>小区名称</w:t>
            </w:r>
          </w:p>
        </w:tc>
        <w:tc>
          <w:tcPr>
            <w:tcW w:w="5376" w:type="dxa"/>
            <w:gridSpan w:val="3"/>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3797" w:type="dxa"/>
            <w:gridSpan w:val="2"/>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4"/>
                <w:szCs w:val="24"/>
                <w:vertAlign w:val="baseline"/>
                <w:lang w:val="en-US" w:eastAsia="zh-CN"/>
              </w:rPr>
              <w:t>小区地址</w:t>
            </w:r>
          </w:p>
        </w:tc>
        <w:tc>
          <w:tcPr>
            <w:tcW w:w="5376" w:type="dxa"/>
            <w:gridSpan w:val="3"/>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3797" w:type="dxa"/>
            <w:gridSpan w:val="2"/>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4"/>
                <w:szCs w:val="24"/>
                <w:vertAlign w:val="baseline"/>
                <w:lang w:eastAsia="zh-CN"/>
              </w:rPr>
              <w:t>物业管理企业名称</w:t>
            </w:r>
          </w:p>
        </w:tc>
        <w:tc>
          <w:tcPr>
            <w:tcW w:w="5376" w:type="dxa"/>
            <w:gridSpan w:val="3"/>
            <w:vAlign w:val="center"/>
          </w:tcPr>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法人代表</w:t>
            </w:r>
          </w:p>
        </w:tc>
        <w:tc>
          <w:tcPr>
            <w:tcW w:w="2148"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2220" w:type="dxa"/>
            <w:gridSpan w:val="2"/>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联系电话</w:t>
            </w:r>
          </w:p>
        </w:tc>
        <w:tc>
          <w:tcPr>
            <w:tcW w:w="3156"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联系人</w:t>
            </w:r>
          </w:p>
        </w:tc>
        <w:tc>
          <w:tcPr>
            <w:tcW w:w="2148"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2220" w:type="dxa"/>
            <w:gridSpan w:val="2"/>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联系电话</w:t>
            </w:r>
          </w:p>
        </w:tc>
        <w:tc>
          <w:tcPr>
            <w:tcW w:w="3156"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申请备案等级和标准</w:t>
            </w:r>
          </w:p>
        </w:tc>
        <w:tc>
          <w:tcPr>
            <w:tcW w:w="4368" w:type="dxa"/>
            <w:gridSpan w:val="3"/>
            <w:vAlign w:val="top"/>
          </w:tcPr>
          <w:p>
            <w:pPr>
              <w:widowControl w:val="0"/>
              <w:numPr>
                <w:ilvl w:val="0"/>
                <w:numId w:val="0"/>
              </w:numPr>
              <w:jc w:val="both"/>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约定收费标准（元</w:t>
            </w:r>
            <w:r>
              <w:rPr>
                <w:rFonts w:hint="eastAsia" w:ascii="仿宋_GB2312" w:hAnsi="仿宋_GB2312" w:eastAsia="仿宋_GB2312" w:cs="仿宋_GB2312"/>
                <w:color w:val="auto"/>
                <w:sz w:val="24"/>
                <w:szCs w:val="24"/>
                <w:vertAlign w:val="baseline"/>
                <w:lang w:val="en-US" w:eastAsia="zh-CN"/>
              </w:rPr>
              <w:t>/m3.月</w:t>
            </w:r>
            <w:r>
              <w:rPr>
                <w:rFonts w:hint="eastAsia" w:ascii="仿宋_GB2312" w:hAnsi="仿宋_GB2312" w:eastAsia="仿宋_GB2312" w:cs="仿宋_GB2312"/>
                <w:color w:val="auto"/>
                <w:sz w:val="24"/>
                <w:szCs w:val="24"/>
                <w:vertAlign w:val="baseline"/>
                <w:lang w:eastAsia="zh-CN"/>
              </w:rPr>
              <w:t>）（按照建筑面积）</w:t>
            </w:r>
          </w:p>
        </w:tc>
        <w:tc>
          <w:tcPr>
            <w:tcW w:w="3156" w:type="dxa"/>
            <w:vMerge w:val="restart"/>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等级</w:t>
            </w:r>
          </w:p>
        </w:tc>
        <w:tc>
          <w:tcPr>
            <w:tcW w:w="2148"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多层住宅</w:t>
            </w:r>
          </w:p>
        </w:tc>
        <w:tc>
          <w:tcPr>
            <w:tcW w:w="2220" w:type="dxa"/>
            <w:gridSpan w:val="2"/>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带电梯的高层住宅</w:t>
            </w:r>
          </w:p>
        </w:tc>
        <w:tc>
          <w:tcPr>
            <w:tcW w:w="3156" w:type="dxa"/>
            <w:vMerge w:val="continue"/>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2148"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元</w:t>
            </w:r>
            <w:r>
              <w:rPr>
                <w:rFonts w:hint="eastAsia" w:ascii="仿宋_GB2312" w:hAnsi="仿宋_GB2312" w:eastAsia="仿宋_GB2312" w:cs="仿宋_GB2312"/>
                <w:color w:val="auto"/>
                <w:sz w:val="24"/>
                <w:szCs w:val="24"/>
                <w:vertAlign w:val="baseline"/>
                <w:lang w:val="en-US" w:eastAsia="zh-CN"/>
              </w:rPr>
              <w:t>/m3.月</w:t>
            </w:r>
          </w:p>
        </w:tc>
        <w:tc>
          <w:tcPr>
            <w:tcW w:w="2220" w:type="dxa"/>
            <w:gridSpan w:val="2"/>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元</w:t>
            </w:r>
            <w:r>
              <w:rPr>
                <w:rFonts w:hint="eastAsia" w:ascii="仿宋_GB2312" w:hAnsi="仿宋_GB2312" w:eastAsia="仿宋_GB2312" w:cs="仿宋_GB2312"/>
                <w:color w:val="auto"/>
                <w:sz w:val="24"/>
                <w:szCs w:val="24"/>
                <w:vertAlign w:val="baseline"/>
                <w:lang w:val="en-US" w:eastAsia="zh-CN"/>
              </w:rPr>
              <w:t>/m3.月</w:t>
            </w:r>
          </w:p>
        </w:tc>
        <w:tc>
          <w:tcPr>
            <w:tcW w:w="3156" w:type="dxa"/>
            <w:vMerge w:val="continue"/>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1649"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2148" w:type="dxa"/>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2220" w:type="dxa"/>
            <w:gridSpan w:val="2"/>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c>
          <w:tcPr>
            <w:tcW w:w="3156" w:type="dxa"/>
            <w:vMerge w:val="continue"/>
            <w:vAlign w:val="center"/>
          </w:tcPr>
          <w:p>
            <w:pPr>
              <w:widowControl w:val="0"/>
              <w:numPr>
                <w:ilvl w:val="0"/>
                <w:numId w:val="0"/>
              </w:numPr>
              <w:jc w:val="center"/>
              <w:rPr>
                <w:rFonts w:hint="eastAsia" w:ascii="仿宋_GB2312" w:hAnsi="仿宋_GB2312" w:eastAsia="仿宋_GB2312" w:cs="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4" w:hRule="atLeast"/>
        </w:trPr>
        <w:tc>
          <w:tcPr>
            <w:tcW w:w="4613" w:type="dxa"/>
            <w:gridSpan w:val="3"/>
          </w:tcPr>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eastAsia="zh-CN"/>
              </w:rPr>
              <w:t>备案单位</w:t>
            </w: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盖章</w:t>
            </w:r>
          </w:p>
          <w:p>
            <w:pPr>
              <w:widowControl w:val="0"/>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年</w:t>
            </w:r>
            <w:r>
              <w:rPr>
                <w:rFonts w:hint="eastAsia" w:ascii="仿宋_GB2312" w:hAnsi="仿宋_GB2312" w:eastAsia="仿宋_GB2312" w:cs="仿宋_GB2312"/>
                <w:color w:val="auto"/>
                <w:sz w:val="28"/>
                <w:szCs w:val="28"/>
                <w:vertAlign w:val="baseline"/>
                <w:lang w:val="en-US" w:eastAsia="zh-CN"/>
              </w:rPr>
              <w:t xml:space="preserve">   月   日</w:t>
            </w:r>
          </w:p>
        </w:tc>
        <w:tc>
          <w:tcPr>
            <w:tcW w:w="4560" w:type="dxa"/>
            <w:gridSpan w:val="2"/>
          </w:tcPr>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left"/>
              <w:rPr>
                <w:rFonts w:hint="eastAsia" w:ascii="仿宋_GB2312" w:hAnsi="仿宋_GB2312" w:eastAsia="仿宋_GB2312" w:cs="仿宋_GB2312"/>
                <w:color w:val="auto"/>
                <w:sz w:val="28"/>
                <w:szCs w:val="28"/>
                <w:vertAlign w:val="baseline"/>
                <w:lang w:eastAsia="zh-CN"/>
              </w:rPr>
            </w:pPr>
          </w:p>
          <w:p>
            <w:pPr>
              <w:widowControl w:val="0"/>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w:t>
            </w:r>
          </w:p>
          <w:p>
            <w:pPr>
              <w:widowControl w:val="0"/>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 xml:space="preserve">                    </w:t>
            </w:r>
          </w:p>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盖章</w:t>
            </w:r>
          </w:p>
          <w:p>
            <w:pPr>
              <w:widowControl w:val="0"/>
              <w:numPr>
                <w:ilvl w:val="0"/>
                <w:numId w:val="0"/>
              </w:numPr>
              <w:jc w:val="center"/>
              <w:rPr>
                <w:rFonts w:hint="eastAsia" w:ascii="仿宋_GB2312" w:hAnsi="仿宋_GB2312" w:eastAsia="仿宋_GB2312" w:cs="仿宋_GB2312"/>
                <w:color w:val="auto"/>
                <w:sz w:val="28"/>
                <w:szCs w:val="28"/>
                <w:vertAlign w:val="baseline"/>
                <w:lang w:eastAsia="zh-CN"/>
              </w:rPr>
            </w:pPr>
            <w:r>
              <w:rPr>
                <w:rFonts w:hint="eastAsia" w:ascii="仿宋_GB2312" w:hAnsi="仿宋_GB2312" w:eastAsia="仿宋_GB2312" w:cs="仿宋_GB2312"/>
                <w:color w:val="auto"/>
                <w:sz w:val="28"/>
                <w:szCs w:val="28"/>
                <w:vertAlign w:val="baseline"/>
                <w:lang w:val="en-US" w:eastAsia="zh-CN"/>
              </w:rPr>
              <w:t xml:space="preserve">                   </w:t>
            </w:r>
            <w:r>
              <w:rPr>
                <w:rFonts w:hint="eastAsia" w:ascii="仿宋_GB2312" w:hAnsi="仿宋_GB2312" w:eastAsia="仿宋_GB2312" w:cs="仿宋_GB2312"/>
                <w:color w:val="auto"/>
                <w:sz w:val="28"/>
                <w:szCs w:val="28"/>
                <w:vertAlign w:val="baseline"/>
                <w:lang w:eastAsia="zh-CN"/>
              </w:rPr>
              <w:t>年</w:t>
            </w:r>
            <w:r>
              <w:rPr>
                <w:rFonts w:hint="eastAsia" w:ascii="仿宋_GB2312" w:hAnsi="仿宋_GB2312" w:eastAsia="仿宋_GB2312" w:cs="仿宋_GB2312"/>
                <w:color w:val="auto"/>
                <w:sz w:val="28"/>
                <w:szCs w:val="28"/>
                <w:vertAlign w:val="baseline"/>
                <w:lang w:val="en-US" w:eastAsia="zh-CN"/>
              </w:rPr>
              <w:t xml:space="preserve">   月   日</w:t>
            </w:r>
          </w:p>
        </w:tc>
      </w:tr>
    </w:tbl>
    <w:p>
      <w:pPr>
        <w:widowControl w:val="0"/>
        <w:numPr>
          <w:ilvl w:val="0"/>
          <w:numId w:val="0"/>
        </w:numPr>
        <w:ind w:leftChars="0"/>
        <w:jc w:val="left"/>
        <w:rPr>
          <w:rFonts w:hint="eastAsia" w:ascii="黑体" w:hAnsi="黑体" w:eastAsia="黑体" w:cs="黑体"/>
          <w:color w:val="auto"/>
          <w:sz w:val="32"/>
          <w:szCs w:val="32"/>
          <w:lang w:eastAsia="zh-CN"/>
        </w:rPr>
      </w:pPr>
    </w:p>
    <w:p>
      <w:pPr>
        <w:widowControl w:val="0"/>
        <w:numPr>
          <w:ilvl w:val="0"/>
          <w:numId w:val="0"/>
        </w:numPr>
        <w:ind w:leftChars="0"/>
        <w:jc w:val="left"/>
        <w:rPr>
          <w:rFonts w:hint="eastAsia" w:ascii="黑体" w:hAnsi="黑体" w:eastAsia="黑体" w:cs="黑体"/>
          <w:color w:val="auto"/>
          <w:sz w:val="32"/>
          <w:szCs w:val="32"/>
          <w:lang w:eastAsia="zh-CN"/>
        </w:rPr>
      </w:pPr>
    </w:p>
    <w:p>
      <w:pPr>
        <w:widowControl w:val="0"/>
        <w:numPr>
          <w:ilvl w:val="0"/>
          <w:numId w:val="0"/>
        </w:numPr>
        <w:ind w:left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四、办理流程</w:t>
      </w:r>
    </w:p>
    <w:p>
      <w:pPr>
        <w:widowControl w:val="0"/>
        <w:numPr>
          <w:ilvl w:val="0"/>
          <w:numId w:val="0"/>
        </w:numPr>
        <w:ind w:leftChars="0"/>
        <w:jc w:val="left"/>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drawing>
          <wp:inline distT="0" distB="0" distL="114300" distR="114300">
            <wp:extent cx="5451475" cy="3656965"/>
            <wp:effectExtent l="0" t="0" r="4445" b="635"/>
            <wp:docPr id="1" name="图片 1" descr="截图20201231204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截图20201231204226"/>
                    <pic:cNvPicPr>
                      <a:picLocks noChangeAspect="1"/>
                    </pic:cNvPicPr>
                  </pic:nvPicPr>
                  <pic:blipFill>
                    <a:blip r:embed="rId4"/>
                    <a:stretch>
                      <a:fillRect/>
                    </a:stretch>
                  </pic:blipFill>
                  <pic:spPr>
                    <a:xfrm>
                      <a:off x="0" y="0"/>
                      <a:ext cx="5451475" cy="3656965"/>
                    </a:xfrm>
                    <a:prstGeom prst="rect">
                      <a:avLst/>
                    </a:prstGeom>
                  </pic:spPr>
                </pic:pic>
              </a:graphicData>
            </a:graphic>
          </wp:inline>
        </w:drawing>
      </w:r>
      <w:bookmarkStart w:id="0" w:name="_GoBack"/>
      <w:bookmarkEnd w:id="0"/>
    </w:p>
    <w:p>
      <w:pPr>
        <w:widowControl w:val="0"/>
        <w:numPr>
          <w:ilvl w:val="0"/>
          <w:numId w:val="0"/>
        </w:numPr>
        <w:ind w:leftChars="0"/>
        <w:jc w:val="left"/>
        <w:rPr>
          <w:rFonts w:hint="eastAsia" w:ascii="黑体" w:hAnsi="黑体" w:eastAsia="黑体" w:cs="黑体"/>
          <w:color w:val="auto"/>
          <w:sz w:val="32"/>
          <w:szCs w:val="32"/>
          <w:lang w:eastAsia="zh-CN"/>
        </w:rPr>
      </w:pPr>
    </w:p>
    <w:p>
      <w:pPr>
        <w:widowControl w:val="0"/>
        <w:numPr>
          <w:ilvl w:val="0"/>
          <w:numId w:val="0"/>
        </w:numPr>
        <w:ind w:leftChars="0"/>
        <w:jc w:val="righ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承办机构：文昌湖区经济发展局</w:t>
      </w:r>
    </w:p>
    <w:p>
      <w:pPr>
        <w:widowControl w:val="0"/>
        <w:numPr>
          <w:ilvl w:val="0"/>
          <w:numId w:val="0"/>
        </w:numPr>
        <w:ind w:leftChars="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联系电话：</w:t>
      </w:r>
      <w:r>
        <w:rPr>
          <w:rFonts w:hint="eastAsia" w:ascii="仿宋_GB2312" w:hAnsi="仿宋_GB2312" w:eastAsia="仿宋_GB2312" w:cs="仿宋_GB2312"/>
          <w:color w:val="auto"/>
          <w:sz w:val="32"/>
          <w:szCs w:val="32"/>
          <w:lang w:val="en-US" w:eastAsia="zh-CN"/>
        </w:rPr>
        <w:t>0533-6882603</w:t>
      </w:r>
    </w:p>
    <w:p>
      <w:pPr>
        <w:widowControl w:val="0"/>
        <w:numPr>
          <w:ilvl w:val="0"/>
          <w:numId w:val="0"/>
        </w:numPr>
        <w:jc w:val="left"/>
        <w:rPr>
          <w:rFonts w:hint="eastAsia" w:ascii="黑体" w:hAnsi="黑体" w:eastAsia="黑体" w:cs="黑体"/>
          <w:color w:val="auto"/>
          <w:sz w:val="32"/>
          <w:szCs w:val="32"/>
          <w:lang w:eastAsia="zh-CN"/>
        </w:rPr>
      </w:pPr>
    </w:p>
    <w:p>
      <w:pPr>
        <w:widowControl w:val="0"/>
        <w:numPr>
          <w:ilvl w:val="0"/>
          <w:numId w:val="0"/>
        </w:numPr>
        <w:jc w:val="left"/>
        <w:rPr>
          <w:rFonts w:hint="eastAsia" w:ascii="黑体" w:hAnsi="黑体" w:eastAsia="黑体" w:cs="黑体"/>
          <w:color w:val="auto"/>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B2B0"/>
    <w:multiLevelType w:val="singleLevel"/>
    <w:tmpl w:val="1607B2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91651"/>
    <w:rsid w:val="043751E2"/>
    <w:rsid w:val="05291651"/>
    <w:rsid w:val="11D14774"/>
    <w:rsid w:val="47FE1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2020-12-31T12:13:00Z</dcterms:created>
  <dc:creator>茤茤三岁_</dc:creator>
  <cp:lastModifiedBy>茤茤三岁_</cp:lastModifiedBy>
  <dcterms:modified xsi:type="dcterms:W3CDTF">2021-01-04T02:07:47Z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