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文昌湖区地方事业局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“双随机、一公开”抽查工作指引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各中小学，各校外培训机构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为全面推进“双随机、一公开”监管工作，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《淄博市教育系统“双随机、一公开”抽查工作指引》，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“双随机、一公开”抽查工作指引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文昌湖区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地方事业局教育系统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“双随机、一公开”抽查工作指引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文昌湖区地方事业局教体办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41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2023年6月16日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文昌湖区地方事业局教育系统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“双随机、一公开”抽查工作指引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学校安全管理工作的监督检查抽查工</w:t>
      </w: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</w:rPr>
        <w:t>作指引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1.</w:t>
      </w:r>
      <w:r>
        <w:rPr>
          <w:rFonts w:hint="eastAsia"/>
          <w:spacing w:val="1"/>
          <w:sz w:val="31"/>
          <w:szCs w:val="31"/>
        </w:rPr>
        <w:t>对学校安全工作的监督检查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2.</w:t>
      </w:r>
      <w:r>
        <w:rPr>
          <w:rFonts w:hint="eastAsia"/>
          <w:spacing w:val="1"/>
          <w:sz w:val="31"/>
          <w:szCs w:val="31"/>
        </w:rPr>
        <w:t>对学校设施、设备状况的安全检查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atLeast"/>
        <w:ind w:left="0" w:right="0"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atLeas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消防安全主体责任落实及消防安全设施与器材的检查。配备和使用的消防产品是否符合国家标准、行业标准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atLeast"/>
        <w:ind w:left="0" w:right="0"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配合部门：区地方事业局教体办校园安全科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二、校外培训机构办学情况检查抽查工作指</w:t>
      </w: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对中小学生校外培训机构的培训内容、培训收费、培训班次、培训对象、从业人员、安全管理、培训进度及培训时限等事项监督检查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"/>
          <w:sz w:val="32"/>
          <w:szCs w:val="32"/>
        </w:rPr>
        <w:t>在各自职责范围内对校外培训机构办学行为、办学内容等进行检查。教育行政部门具体抽查检查内容应包含但不限于以下内容：校外培训机构与参训学员或家长签订《培训合同（示范文本）》；从教人员是否经教育主管部门审核备案，并公示；培训教材是否经教育主管部门审核备案；是否占用国家法定节假日、休息日以及寒暑假开展面向义务教育阶段学生的学科类培训；上课时间是否与学生在校学习时间冲突；培训课程的时段安排是否有违规情况（义务教育学科类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atLeast"/>
        <w:ind w:left="0" w:right="0"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书面检查、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发起部门：区地方事业局教体办宣传思政科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区组织人事部（区人力资源与社会环保局）、区市场监督管理局、区消防救援大队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三、中小学规范办学行为检查抽查工作指引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对义务教育课程的评估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中小学办学行为：检查中小学校是否开齐开足国家规定课程，是否使用未定审定教材，是否存在超出省定目录推荐教材教辅、强制或变相强制学生购买教辅材料，是否按程序组织课外读物的遴选、审核工作。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发起部门：区地方事业局教体办基教科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仿宋_GB2312" w:hAnsi="仿宋_GB2312" w:eastAsia="仿宋_GB2312" w:cs="仿宋_GB2312"/>
          <w:spacing w:val="-3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区文化和旅游事业发展中心（加挂新闻出版局）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四、对学生体质健康促进工作的监督检查抽查工作指引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对学生体质健康促进工作的监督检查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学校体育场馆建设工作情况。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现场检查、书面检查、网络检查、专业机构核查。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仿宋_GB2312" w:hAnsi="仿宋_GB2312" w:eastAsia="仿宋_GB2312" w:cs="仿宋_GB2312"/>
          <w:spacing w:val="-3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区地方事业局教体办体卫艺科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五、中小学教育装备产品(含文体教育用品、教学仪器、校服等)、学校絮用纤维制品检查抽查工作指引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中小学教育装备产品（含文体教育用品、教学仪器、校服等）、学校絮用纤维制品检查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随机抽取配备目录要求的文体教育用品、教学仪器，对学校的装备质量、装备条件、装备管理、装备应用等进行检查；学生服、学校絮用纤维制品招标、采购及管理情况；学校建立并执行絮用纤维制品进货检查验收和记录制度情况、学校絮用纤维制品的产品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识是否规范及产品质量状况。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发起部门：区地方事业局教体办财务科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六、学校采光照明检查抽查工作指引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对学生体质健康促进工作的监督检查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检查教室灯具安装规范情况，课桌面和黑板平均照度、照度均匀度、光源色温等指标的达标情况等。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发起部门：区地方事业局教体办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NWQ1YWQ5NGE5YTE5Y2E0N2ZlY2IzYmE2NDEyZGYifQ=="/>
  </w:docVars>
  <w:rsids>
    <w:rsidRoot w:val="00000000"/>
    <w:rsid w:val="09AE44CA"/>
    <w:rsid w:val="0BE325B7"/>
    <w:rsid w:val="185A0968"/>
    <w:rsid w:val="1AAB26E2"/>
    <w:rsid w:val="4DC76AAB"/>
    <w:rsid w:val="51E9617D"/>
    <w:rsid w:val="59513E7A"/>
    <w:rsid w:val="774279C4"/>
    <w:rsid w:val="7E9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2023-11-10T02:55:00Z</dcterms:created>
  <dc:creator>Administrator</dc:creator>
  <cp:lastModifiedBy>肥宅快乐猪°</cp:lastModifiedBy>
  <dcterms:modified xsi:type="dcterms:W3CDTF">2023-11-10T04:23:13Z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D14E84EF401B4C7CB1E81FDEAB2D3EEA_12</vt:lpwstr>
  </property>
</Properties>
</file>