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color w:val="000000"/>
          <w:spacing w:val="0"/>
          <w:w w:val="98"/>
          <w:kern w:val="0"/>
          <w:sz w:val="4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文昌湖区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政府债务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有关情况的说明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一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  <w:lang w:eastAsia="zh-CN"/>
        </w:rPr>
        <w:t>债务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限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额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经省政府批准，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市财政局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核定我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20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年度地方政府债务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</w:rPr>
        <w:t>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  <w:lang w:val="en-US" w:eastAsia="zh-CN"/>
        </w:rPr>
        <w:t>30.04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</w:rPr>
        <w:t>亿元。其中当年新增债务限额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  <w:lang w:val="en-US" w:eastAsia="zh-CN"/>
        </w:rPr>
        <w:t>1.68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</w:rPr>
        <w:t>亿元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</w:rPr>
        <w:t>新增地方政府专项债务限额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  <w:lang w:val="en-US" w:eastAsia="zh-CN"/>
        </w:rPr>
        <w:t>1.81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</w:rPr>
        <w:t>亿元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left="631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5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举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借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在依法批准的债务限额内，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当年举借债务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 xml:space="preserve"> 1.81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亿元，其中：新增债券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1.81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元（专项债券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1.81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632" w:leftChars="0" w:right="1127" w:rightChars="0" w:hanging="1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8"/>
          <w:kern w:val="0"/>
          <w:sz w:val="32"/>
        </w:rPr>
        <w:t>、</w:t>
      </w:r>
      <w:r>
        <w:rPr>
          <w:rFonts w:hint="eastAsia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2023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7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债券资金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用情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  <w:t xml:space="preserve">况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highlight w:val="yellow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严格按照政策规定，用足用好债券资金。其中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1.81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亿元新增债券使用安排情况是：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文昌湖水库连通供水保障工程项目0.2亿元，文昌湖区东部调水及水源保障工程项目0.46亿元，数字文昌湖新型基础设施建设项目0.81亿元，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其他项目0.34亿元。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WI5ZWRlMjQ3MWQzYjFmOTNkYTEwZDgxZTVhOTkifQ=="/>
  </w:docVars>
  <w:rsids>
    <w:rsidRoot w:val="00000000"/>
    <w:rsid w:val="1B6873DA"/>
    <w:rsid w:val="1C116733"/>
    <w:rsid w:val="2CFA7B37"/>
    <w:rsid w:val="30B448C7"/>
    <w:rsid w:val="32F82930"/>
    <w:rsid w:val="33584E8E"/>
    <w:rsid w:val="4F9E3719"/>
    <w:rsid w:val="59C06921"/>
    <w:rsid w:val="5F577DA0"/>
    <w:rsid w:val="69546EDA"/>
    <w:rsid w:val="6E453708"/>
    <w:rsid w:val="6FEA52E7"/>
    <w:rsid w:val="7C66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"/>
    <w:qFormat/>
    <w:uiPriority w:val="0"/>
    <w:pPr>
      <w:adjustRightInd w:val="0"/>
      <w:snapToGrid w:val="0"/>
      <w:spacing w:after="200" w:afterLines="0" w:line="240" w:lineRule="auto"/>
    </w:pPr>
    <w:rPr>
      <w:rFonts w:ascii="Tahoma" w:hAnsi="Tahoma" w:eastAsia="微软雅黑" w:cs="黑体"/>
      <w:sz w:val="22"/>
      <w:szCs w:val="22"/>
      <w:lang w:val="en-US" w:eastAsia="zh-CN"/>
    </w:rPr>
  </w:style>
  <w:style w:type="paragraph" w:customStyle="1" w:styleId="5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341</Characters>
  <Lines>0</Lines>
  <Paragraphs>0</Paragraphs>
  <TotalTime>33</TotalTime>
  <ScaleCrop>false</ScaleCrop>
  <LinksUpToDate>false</LinksUpToDate>
  <CharactersWithSpaces>366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2021-09-07T08:31:00Z</dcterms:created>
  <dc:creator>Administrator</dc:creator>
  <cp:lastModifiedBy>Lenovo</cp:lastModifiedBy>
  <dcterms:modified xsi:type="dcterms:W3CDTF">2024-06-20T01:30:19Z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50C5EE355244460A9A138C05CAA99BC2_13</vt:lpwstr>
  </property>
</Properties>
</file>