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Cs/>
          <w:color w:val="000000"/>
          <w:spacing w:val="0"/>
          <w:w w:val="98"/>
          <w:kern w:val="0"/>
          <w:sz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年度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文昌湖区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政府债务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有关情况的说明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5" w:rightChars="0" w:firstLine="588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5" w:rightChars="0" w:firstLine="588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一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4"/>
          <w:kern w:val="0"/>
          <w:sz w:val="32"/>
        </w:rPr>
        <w:t>、</w:t>
      </w:r>
      <w:r>
        <w:rPr>
          <w:rFonts w:hint="default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</w:rPr>
        <w:t>20</w:t>
      </w:r>
      <w:r>
        <w:rPr>
          <w:rFonts w:hint="eastAsia" w:ascii="Times New Roman" w:hAnsi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全区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方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政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  <w:lang w:eastAsia="zh-CN"/>
        </w:rPr>
        <w:t>债务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限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额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情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经省政府批准，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市财政局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核定我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20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年度地方政府债务限额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24.43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亿元。其中当年新增债务限额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7.98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新增地方政府专项债务限额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7.98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left="631" w:lef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二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4"/>
          <w:kern w:val="0"/>
          <w:sz w:val="32"/>
        </w:rPr>
        <w:t>、</w:t>
      </w:r>
      <w:r>
        <w:rPr>
          <w:rFonts w:hint="default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</w:rPr>
        <w:t>20</w:t>
      </w:r>
      <w:r>
        <w:rPr>
          <w:rFonts w:hint="eastAsia" w:ascii="Times New Roman" w:hAnsi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5"/>
          <w:kern w:val="0"/>
          <w:sz w:val="32"/>
          <w:lang w:eastAsia="zh-CN"/>
        </w:rPr>
        <w:t>全区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方政府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举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借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  <w:lang w:eastAsia="zh-CN"/>
        </w:rPr>
        <w:t>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在依法批准的债务限额内，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年我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当年举借债务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7.98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亿元，其中：新增债券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7.98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亿元（专项债券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7.98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632" w:leftChars="0" w:right="1127" w:rightChars="0" w:hanging="1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三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8"/>
          <w:kern w:val="0"/>
          <w:sz w:val="32"/>
        </w:rPr>
        <w:t>、</w:t>
      </w:r>
      <w:r>
        <w:rPr>
          <w:rFonts w:hint="eastAsia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2021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7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全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方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政府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  <w:lang w:eastAsia="zh-CN"/>
        </w:rPr>
        <w:t>债券资金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使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用情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</w:rPr>
        <w:t xml:space="preserve">况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严格按照政策规定，用足用好债券资金。其中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年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全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7.98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亿元新增债券使用安排情况是：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文昌嘉苑棚户区改造项目3.08亿元，文昌湖莲花山城边村棚户区改造项目2.6亿元文昌湖环湖旅游设施改造提升工程（一期）1.7亿元，文昌湖区水库连通供水保障工程项目3000万元，文昌湖区公共卫生应急服务体系建设项目3000万元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GViZWY0Y2FkZWEyYmVlNTcxNzQ3YTk3YWNjZDMifQ=="/>
  </w:docVars>
  <w:rsids>
    <w:rsidRoot w:val="00000000"/>
    <w:rsid w:val="2CFA7B37"/>
    <w:rsid w:val="30B448C7"/>
    <w:rsid w:val="32F82930"/>
    <w:rsid w:val="33584E8E"/>
    <w:rsid w:val="4F9E3719"/>
    <w:rsid w:val="695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"/>
    <w:uiPriority w:val="0"/>
    <w:pPr>
      <w:adjustRightInd w:val="0"/>
      <w:snapToGrid w:val="0"/>
      <w:spacing w:after="200" w:afterLines="0" w:line="240" w:lineRule="auto"/>
    </w:pPr>
    <w:rPr>
      <w:rFonts w:ascii="Tahoma" w:hAnsi="Tahoma" w:eastAsia="微软雅黑" w:cs="黑体"/>
      <w:sz w:val="22"/>
      <w:szCs w:val="22"/>
      <w:lang w:val="en-US" w:eastAsia="zh-CN"/>
    </w:rPr>
  </w:style>
  <w:style w:type="paragraph" w:customStyle="1" w:styleId="5">
    <w:name w:val="正文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6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387</Characters>
  <Lines>0</Lines>
  <Paragraphs>0</Paragraphs>
  <TotalTime>16</TotalTime>
  <ScaleCrop>false</ScaleCrop>
  <LinksUpToDate>false</LinksUpToDate>
  <CharactersWithSpaces>388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2021-09-07T08:31:00Z</dcterms:created>
  <dc:creator>Administrator</dc:creator>
  <cp:lastModifiedBy>WM</cp:lastModifiedBy>
  <dcterms:modified xsi:type="dcterms:W3CDTF">2022-07-13T07:05:06Z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53DD29214A4B450AAEEF3D3992312546</vt:lpwstr>
  </property>
</Properties>
</file>