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0D093">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 w:val="32"/>
          <w:szCs w:val="32"/>
        </w:rPr>
        <w:t xml:space="preserve">                                                                                                                                                                                                                                                                                                                            </w:t>
      </w:r>
    </w:p>
    <w:p w14:paraId="6CE2FEB4">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jc w:val="center"/>
        <w:textAlignment w:val="auto"/>
        <w:outlineLvl w:val="9"/>
        <w:rPr>
          <w:rFonts w:hint="default" w:ascii="Times New Roman" w:hAnsi="Times New Roman" w:eastAsia="方正小标宋简体" w:cs="Times New Roman"/>
          <w:b w:val="0"/>
          <w:bCs w:val="0"/>
          <w:color w:val="323333"/>
          <w:kern w:val="0"/>
          <w:sz w:val="44"/>
          <w:szCs w:val="44"/>
        </w:rPr>
      </w:pPr>
      <w:r>
        <w:rPr>
          <w:rFonts w:hint="default" w:ascii="Times New Roman" w:hAnsi="Times New Roman" w:eastAsia="方正小标宋简体" w:cs="Times New Roman"/>
          <w:spacing w:val="-6"/>
          <w:w w:val="97"/>
          <w:sz w:val="44"/>
          <w:szCs w:val="44"/>
          <w:highlight w:val="none"/>
          <w:lang w:val="en-US" w:eastAsia="zh-CN"/>
        </w:rPr>
        <w:t>关于印发《文昌湖区财政局202</w:t>
      </w:r>
      <w:r>
        <w:rPr>
          <w:rFonts w:hint="eastAsia" w:eastAsia="方正小标宋简体" w:cs="Times New Roman"/>
          <w:spacing w:val="-6"/>
          <w:w w:val="97"/>
          <w:sz w:val="44"/>
          <w:szCs w:val="44"/>
          <w:highlight w:val="none"/>
          <w:lang w:val="en-US" w:eastAsia="zh-CN"/>
        </w:rPr>
        <w:t>6</w:t>
      </w:r>
      <w:r>
        <w:rPr>
          <w:rFonts w:hint="default" w:ascii="Times New Roman" w:hAnsi="Times New Roman" w:eastAsia="方正小标宋简体" w:cs="Times New Roman"/>
          <w:spacing w:val="-6"/>
          <w:w w:val="97"/>
          <w:sz w:val="44"/>
          <w:szCs w:val="44"/>
          <w:highlight w:val="none"/>
          <w:lang w:val="en-US" w:eastAsia="zh-CN"/>
        </w:rPr>
        <w:t>年度“双随机、一公开”抽查工作计划》的通知</w:t>
      </w:r>
    </w:p>
    <w:p w14:paraId="3C86F49B">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firstLine="480"/>
        <w:jc w:val="center"/>
        <w:textAlignment w:val="auto"/>
        <w:outlineLvl w:val="9"/>
        <w:rPr>
          <w:rFonts w:hint="default" w:ascii="Times New Roman" w:hAnsi="Times New Roman" w:eastAsia="仿宋_GB2312" w:cs="Times New Roman"/>
          <w:b/>
          <w:bCs/>
          <w:color w:val="323333"/>
          <w:kern w:val="0"/>
          <w:sz w:val="32"/>
          <w:szCs w:val="32"/>
        </w:rPr>
      </w:pPr>
    </w:p>
    <w:p w14:paraId="0FE48238">
      <w:pPr>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各科室：</w:t>
      </w:r>
    </w:p>
    <w:p w14:paraId="535E5867">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为做好202</w:t>
      </w:r>
      <w:r>
        <w:rPr>
          <w:rFonts w:hint="eastAsia"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年度全区市场监管系统“双随机、一公开”监管工作，经研究，制定了《文昌湖区财政局202</w:t>
      </w:r>
      <w:r>
        <w:rPr>
          <w:rFonts w:hint="eastAsia"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年度“双随机、一公开”抽查工作计划》(以下简称《计划》)，现就有关事项通知如下：</w:t>
      </w:r>
    </w:p>
    <w:p w14:paraId="4D59C258">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一、科学组织，统筹推进</w:t>
      </w:r>
    </w:p>
    <w:p w14:paraId="20B4FF29">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一）各科室在发起检查前，要下发检查通知或实施方案，明确检查内容、检查要求、完成时限等内容。检查通知或实施方案要及时送预算科（兼财政监督职能）备案，并以此作为在省“双随机、一公开”监管工作平台中发起检查任务和任务完成情况考核的依据。检查方式相近的检查任务，要视情统筹组织系统内联合抽查，减少多头部署、多头检查。对省、市级统一发起的任务，原则上不再另行组织开展相同的抽查任务。</w:t>
      </w:r>
    </w:p>
    <w:p w14:paraId="7803A545">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对未列入《计划》但实际工作中需要增加的抽查任务，或已经列入工作计划但实际工作中需要取消的抽查任务，经局办公室同志批准后进行动态调整，调整后的抽查计划于5个工作日内通过政府门户网站和公示系统（山东）同步公示。</w:t>
      </w:r>
    </w:p>
    <w:p w14:paraId="0A757197">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二、分类施策，差异监管</w:t>
      </w:r>
    </w:p>
    <w:p w14:paraId="6EA2B2A1">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ascii="仿宋_GB2312" w:hAnsi="仿宋_GB2312" w:eastAsia="仿宋_GB2312" w:cs="仿宋_GB2312"/>
          <w:sz w:val="32"/>
          <w:szCs w:val="32"/>
        </w:rPr>
      </w:pPr>
      <w:r>
        <w:rPr>
          <w:rFonts w:hint="default" w:ascii="Times New Roman" w:hAnsi="Times New Roman" w:eastAsia="仿宋_GB2312" w:cs="Times New Roman"/>
          <w:kern w:val="0"/>
          <w:sz w:val="32"/>
          <w:szCs w:val="32"/>
          <w:lang w:val="en-US" w:eastAsia="zh-CN"/>
        </w:rPr>
        <w:t>（一）市场监管系统“双随机，一公开”抽查全部</w:t>
      </w:r>
      <w:r>
        <w:rPr>
          <w:rFonts w:hint="eastAsia" w:ascii="仿宋_GB2312" w:hAnsi="仿宋_GB2312" w:eastAsia="仿宋_GB2312" w:cs="仿宋_GB2312"/>
          <w:sz w:val="32"/>
          <w:szCs w:val="32"/>
          <w:lang w:val="en-US" w:eastAsia="zh-CN"/>
        </w:rPr>
        <w:t>根据</w:t>
      </w:r>
      <w:r>
        <w:rPr>
          <w:rFonts w:ascii="仿宋_GB2312" w:hAnsi="仿宋_GB2312" w:eastAsia="仿宋_GB2312" w:cs="仿宋_GB2312"/>
          <w:sz w:val="32"/>
          <w:szCs w:val="32"/>
        </w:rPr>
        <w:t>信用风险</w:t>
      </w:r>
      <w:r>
        <w:rPr>
          <w:rFonts w:hint="eastAsia" w:ascii="仿宋_GB2312" w:hAnsi="仿宋_GB2312" w:eastAsia="仿宋_GB2312" w:cs="仿宋_GB2312"/>
          <w:sz w:val="32"/>
          <w:szCs w:val="32"/>
          <w:lang w:val="en-US" w:eastAsia="zh-CN"/>
        </w:rPr>
        <w:t>分类</w:t>
      </w:r>
      <w:r>
        <w:rPr>
          <w:rFonts w:ascii="仿宋_GB2312" w:hAnsi="仿宋_GB2312" w:eastAsia="仿宋_GB2312" w:cs="仿宋_GB2312"/>
          <w:sz w:val="32"/>
          <w:szCs w:val="32"/>
        </w:rPr>
        <w:t>合理确定抽查比例和频次，对</w:t>
      </w:r>
      <w:r>
        <w:rPr>
          <w:rFonts w:hint="eastAsia" w:ascii="仿宋_GB2312" w:hAnsi="仿宋_GB2312" w:eastAsia="仿宋_GB2312" w:cs="仿宋_GB2312"/>
          <w:sz w:val="32"/>
          <w:szCs w:val="32"/>
          <w:lang w:val="en-US" w:eastAsia="zh-CN"/>
        </w:rPr>
        <w:t>信用风险高的企业提高抽查比例</w:t>
      </w:r>
      <w:r>
        <w:rPr>
          <w:rFonts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信用</w:t>
      </w:r>
      <w:r>
        <w:rPr>
          <w:rFonts w:ascii="仿宋_GB2312" w:hAnsi="仿宋_GB2312" w:eastAsia="仿宋_GB2312" w:cs="仿宋_GB2312"/>
          <w:sz w:val="32"/>
          <w:szCs w:val="32"/>
        </w:rPr>
        <w:t>风险</w:t>
      </w:r>
      <w:r>
        <w:rPr>
          <w:rFonts w:hint="eastAsia" w:ascii="仿宋_GB2312" w:hAnsi="仿宋_GB2312" w:eastAsia="仿宋_GB2312" w:cs="仿宋_GB2312"/>
          <w:sz w:val="32"/>
          <w:szCs w:val="32"/>
          <w:lang w:val="en-US" w:eastAsia="zh-CN"/>
        </w:rPr>
        <w:t>低的企业降低</w:t>
      </w:r>
      <w:r>
        <w:rPr>
          <w:rFonts w:ascii="仿宋_GB2312" w:hAnsi="仿宋_GB2312" w:eastAsia="仿宋_GB2312" w:cs="仿宋_GB2312"/>
          <w:sz w:val="32"/>
          <w:szCs w:val="32"/>
        </w:rPr>
        <w:t>抽查比例，</w:t>
      </w:r>
      <w:r>
        <w:rPr>
          <w:rFonts w:hint="eastAsia" w:ascii="仿宋_GB2312" w:hAnsi="仿宋_GB2312" w:eastAsia="仿宋_GB2312" w:cs="仿宋_GB2312"/>
          <w:sz w:val="32"/>
          <w:szCs w:val="32"/>
          <w:lang w:val="en-US" w:eastAsia="zh-CN"/>
        </w:rPr>
        <w:t>合理分配监管资源，</w:t>
      </w:r>
      <w:r>
        <w:rPr>
          <w:rFonts w:ascii="仿宋_GB2312" w:hAnsi="仿宋_GB2312" w:eastAsia="仿宋_GB2312" w:cs="仿宋_GB2312"/>
          <w:sz w:val="32"/>
          <w:szCs w:val="32"/>
        </w:rPr>
        <w:t>提</w:t>
      </w:r>
      <w:r>
        <w:rPr>
          <w:rFonts w:hint="eastAsia" w:ascii="仿宋_GB2312" w:hAnsi="仿宋_GB2312" w:eastAsia="仿宋_GB2312" w:cs="仿宋_GB2312"/>
          <w:sz w:val="32"/>
          <w:szCs w:val="32"/>
        </w:rPr>
        <w:t>升</w:t>
      </w:r>
      <w:r>
        <w:rPr>
          <w:rFonts w:ascii="仿宋_GB2312" w:hAnsi="仿宋_GB2312" w:eastAsia="仿宋_GB2312" w:cs="仿宋_GB2312"/>
          <w:sz w:val="32"/>
          <w:szCs w:val="32"/>
        </w:rPr>
        <w:t>双随机抽查靶向性和精准性。</w:t>
      </w:r>
    </w:p>
    <w:p w14:paraId="7771A2F7">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在守住安全底线的前提下，推进对“四新企业”的包容审慎监管。在“双随机、一公开”抽查结果认定中，实际住所（经营场所）与登记的住所（经营场所）不一致但能够联系到的，以责令改正方式限期变更登记，在期限内改正的，抽查结果不认定为“通过登记的住所（经营场所）无法取得联系”。</w:t>
      </w:r>
    </w:p>
    <w:p w14:paraId="4DE16799">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（三）</w:t>
      </w:r>
      <w:r>
        <w:rPr>
          <w:rFonts w:hint="eastAsia" w:eastAsia="仿宋_GB2312" w:cs="Times New Roman"/>
          <w:kern w:val="0"/>
          <w:sz w:val="32"/>
          <w:szCs w:val="32"/>
          <w:lang w:val="en-US" w:eastAsia="zh-CN"/>
        </w:rPr>
        <w:t>根据监管实际情况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四新企业”的“双随机、一公开”抽查能够通过书面检查、信息化报送、电子设备检测、大数据监测等非现场检查方式实现的，可以不采用现场检查方式进行。检查中要积极利用其他政府部门检查结论、司法机关生效文书和专业机构作出的专业结论，切实压减现场检查，减少对企业的打扰。</w:t>
      </w:r>
      <w:r>
        <w:rPr>
          <w:rFonts w:hint="default" w:ascii="Times New Roman" w:hAnsi="Times New Roman" w:eastAsia="仿宋_GB2312" w:cs="Times New Roman"/>
          <w:kern w:val="0"/>
          <w:sz w:val="32"/>
          <w:szCs w:val="32"/>
          <w:highlight w:val="none"/>
          <w:lang w:val="en-US" w:eastAsia="zh-CN"/>
        </w:rPr>
        <w:t>同时，要确保关心关爱企业家免检免扰制度和对认定的新经济企业实施包容审慎监管措施落实到位。</w:t>
      </w:r>
      <w:r>
        <w:rPr>
          <w:rFonts w:hint="eastAsia" w:eastAsia="仿宋_GB2312" w:cs="Times New Roman"/>
          <w:kern w:val="0"/>
          <w:sz w:val="32"/>
          <w:szCs w:val="32"/>
          <w:highlight w:val="none"/>
          <w:lang w:val="en-US" w:eastAsia="zh-CN"/>
        </w:rPr>
        <w:t xml:space="preserve"> </w:t>
      </w:r>
    </w:p>
    <w:p w14:paraId="10915490">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（四）</w:t>
      </w:r>
      <w:r>
        <w:rPr>
          <w:rFonts w:hint="eastAsia" w:eastAsia="仿宋_GB2312" w:cs="Times New Roman"/>
          <w:kern w:val="0"/>
          <w:sz w:val="32"/>
          <w:szCs w:val="32"/>
          <w:lang w:val="en-US" w:eastAsia="zh-CN"/>
        </w:rPr>
        <w:t>依托部门联合“双随机、一公开”监管平台随机抽取检查对象、执法人员（不少于2名）。为确保抽查程序公平、公正、公开，若抽取人员因客观原因未能参加检查，应采取“递补抽取”的方式仍从执法检查人员名录库中随机抽取产生。执法检查人员与抽查对象有利害关系的，应依法回避。</w:t>
      </w:r>
    </w:p>
    <w:p w14:paraId="159E0ECF">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hint="default"/>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）严格执法检查全过程，规范使用“鲁执法”平台同步开展联合检查，严格“扫码入企”制度</w:t>
      </w:r>
      <w:r>
        <w:rPr>
          <w:rFonts w:hint="eastAsia" w:ascii="仿宋_GB2312" w:hAnsi="仿宋_GB2312" w:eastAsia="仿宋_GB2312" w:cs="仿宋_GB2312"/>
          <w:sz w:val="32"/>
          <w:szCs w:val="32"/>
        </w:rPr>
        <w:t>，实现检查全过程“透明化、可视化、数字化”。</w:t>
      </w:r>
    </w:p>
    <w:p w14:paraId="4D01153C">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三、加强督导，落实到位</w:t>
      </w:r>
    </w:p>
    <w:p w14:paraId="45FBE046">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eastAsia" w:eastAsia="仿宋_GB2312" w:cs="Times New Roman"/>
          <w:kern w:val="0"/>
          <w:sz w:val="32"/>
          <w:szCs w:val="32"/>
          <w:lang w:val="en-US" w:eastAsia="zh-CN"/>
        </w:rPr>
      </w:pPr>
      <w:r>
        <w:rPr>
          <w:rFonts w:hint="eastAsia" w:eastAsia="仿宋_GB2312" w:cs="Times New Roman"/>
          <w:kern w:val="0"/>
          <w:sz w:val="32"/>
          <w:szCs w:val="32"/>
          <w:lang w:val="en-US" w:eastAsia="zh-CN"/>
        </w:rPr>
        <w:t>(一）各科室要高度重视“双随机、一公开”监管工作，切实加强组织领导，明确责任分工，强化过程管控，确保随机检查工作落到实处，有效推进。</w:t>
      </w:r>
    </w:p>
    <w:p w14:paraId="698DB795">
      <w:pPr>
        <w:keepNext w:val="0"/>
        <w:keepLines w:val="0"/>
        <w:pageBreakBefore w:val="0"/>
        <w:widowControl w:val="0"/>
        <w:kinsoku/>
        <w:wordWrap/>
        <w:overflowPunct/>
        <w:topLinePunct w:val="0"/>
        <w:autoSpaceDE w:val="0"/>
        <w:autoSpaceDN w:val="0"/>
        <w:bidi w:val="0"/>
        <w:adjustRightInd w:val="0"/>
        <w:snapToGrid/>
        <w:spacing w:line="620" w:lineRule="exact"/>
        <w:ind w:firstLine="640" w:firstLineChars="200"/>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(二）各科室开展执法检查须严格遵循国家法律法规，依法履行法定权限和程序，确保执法行为事实清楚、证据确凿、程序合法、适用法律明确。</w:t>
      </w:r>
    </w:p>
    <w:p w14:paraId="4D0A559B">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lang w:val="en-US" w:eastAsia="zh-CN"/>
        </w:rPr>
      </w:pPr>
    </w:p>
    <w:p w14:paraId="2F4DBDC0">
      <w:pPr>
        <w:keepNext w:val="0"/>
        <w:keepLines w:val="0"/>
        <w:pageBreakBefore w:val="0"/>
        <w:widowControl/>
        <w:kinsoku/>
        <w:wordWrap/>
        <w:overflowPunct/>
        <w:topLinePunct w:val="0"/>
        <w:autoSpaceDE/>
        <w:autoSpaceDN/>
        <w:bidi w:val="0"/>
        <w:adjustRightInd/>
        <w:snapToGrid/>
        <w:spacing w:line="620" w:lineRule="exact"/>
        <w:ind w:left="1598" w:leftChars="304" w:hanging="960" w:hangingChars="3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附件：《文昌湖区财政局20</w:t>
      </w:r>
      <w:r>
        <w:rPr>
          <w:rFonts w:hint="eastAsia" w:eastAsia="仿宋_GB2312" w:cs="Times New Roman"/>
          <w:kern w:val="0"/>
          <w:sz w:val="32"/>
          <w:szCs w:val="32"/>
          <w:lang w:val="en-US" w:eastAsia="zh-CN"/>
        </w:rPr>
        <w:t>26</w:t>
      </w:r>
      <w:r>
        <w:rPr>
          <w:rFonts w:hint="default" w:ascii="Times New Roman" w:hAnsi="Times New Roman" w:eastAsia="仿宋_GB2312" w:cs="Times New Roman"/>
          <w:kern w:val="0"/>
          <w:sz w:val="32"/>
          <w:szCs w:val="32"/>
          <w:lang w:val="en-US" w:eastAsia="zh-CN"/>
        </w:rPr>
        <w:t>年度“双随机、一公开”抽查工作计划》</w:t>
      </w:r>
    </w:p>
    <w:p w14:paraId="1664FAB6">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5AE69B82">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jc w:val="both"/>
        <w:textAlignment w:val="auto"/>
        <w:outlineLvl w:val="9"/>
        <w:rPr>
          <w:rFonts w:hint="default" w:ascii="Times New Roman" w:hAnsi="Times New Roman" w:eastAsia="仿宋_GB2312" w:cs="Times New Roman"/>
          <w:sz w:val="32"/>
          <w:szCs w:val="32"/>
        </w:rPr>
      </w:pPr>
    </w:p>
    <w:p w14:paraId="1B37CF52">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firstLine="2560" w:firstLineChars="8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淄博文昌湖省级旅游</w:t>
      </w:r>
      <w:r>
        <w:rPr>
          <w:rFonts w:hint="default" w:ascii="Times New Roman" w:hAnsi="Times New Roman" w:eastAsia="仿宋_GB2312" w:cs="Times New Roman"/>
          <w:sz w:val="32"/>
          <w:szCs w:val="32"/>
          <w:lang w:eastAsia="zh-CN"/>
        </w:rPr>
        <w:t>度假区管理委员会</w:t>
      </w:r>
      <w:r>
        <w:rPr>
          <w:rFonts w:hint="default" w:ascii="Times New Roman" w:hAnsi="Times New Roman" w:eastAsia="仿宋_GB2312" w:cs="Times New Roman"/>
          <w:sz w:val="32"/>
          <w:szCs w:val="32"/>
        </w:rPr>
        <w:t>财政局</w:t>
      </w:r>
    </w:p>
    <w:p w14:paraId="292E2B41">
      <w:pPr>
        <w:keepNext w:val="0"/>
        <w:keepLines w:val="0"/>
        <w:pageBreakBefore w:val="0"/>
        <w:widowControl/>
        <w:shd w:val="clear" w:color="auto" w:fill="FFFFFF"/>
        <w:kinsoku/>
        <w:wordWrap/>
        <w:overflowPunct/>
        <w:topLinePunct w:val="0"/>
        <w:autoSpaceDE/>
        <w:autoSpaceDN/>
        <w:bidi w:val="0"/>
        <w:adjustRightInd/>
        <w:snapToGrid/>
        <w:spacing w:line="620" w:lineRule="exact"/>
        <w:ind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w:t>
      </w:r>
      <w:r>
        <w:rPr>
          <w:rFonts w:hint="eastAsia" w:eastAsia="仿宋_GB2312" w:cs="Times New Roman"/>
          <w:sz w:val="32"/>
          <w:szCs w:val="32"/>
          <w:lang w:val="en-US" w:eastAsia="zh-CN"/>
        </w:rPr>
        <w:t>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日</w:t>
      </w:r>
    </w:p>
    <w:p w14:paraId="72A7DFE0">
      <w:pPr>
        <w:keepNext w:val="0"/>
        <w:keepLines w:val="0"/>
        <w:pageBreakBefore w:val="0"/>
        <w:kinsoku/>
        <w:wordWrap/>
        <w:overflowPunct/>
        <w:topLinePunct w:val="0"/>
        <w:bidi w:val="0"/>
        <w:snapToGrid/>
        <w:spacing w:line="620" w:lineRule="exact"/>
        <w:textAlignment w:val="auto"/>
        <w:rPr>
          <w:rFonts w:hint="default" w:ascii="Times New Roman" w:hAnsi="Times New Roman" w:eastAsia="仿宋_GB2312" w:cs="Times New Roman"/>
          <w:sz w:val="32"/>
          <w:szCs w:val="32"/>
          <w:lang w:val="en-US" w:eastAsia="en-US" w:bidi="en-US"/>
        </w:rPr>
      </w:pPr>
    </w:p>
    <w:p w14:paraId="1D775B28">
      <w:pPr>
        <w:pStyle w:val="3"/>
        <w:keepNext w:val="0"/>
        <w:keepLines w:val="0"/>
        <w:pageBreakBefore w:val="0"/>
        <w:kinsoku/>
        <w:wordWrap/>
        <w:overflowPunct/>
        <w:topLinePunct w:val="0"/>
        <w:bidi w:val="0"/>
        <w:snapToGrid/>
        <w:spacing w:line="620" w:lineRule="exact"/>
        <w:ind w:left="0" w:leftChars="0" w:right="0" w:firstLine="0" w:firstLineChars="0"/>
        <w:jc w:val="center"/>
        <w:textAlignment w:val="auto"/>
        <w:rPr>
          <w:rFonts w:hint="eastAsia"/>
          <w:spacing w:val="3"/>
          <w:w w:val="100"/>
          <w:lang w:eastAsia="zh-CN"/>
        </w:rPr>
      </w:pPr>
    </w:p>
    <w:p w14:paraId="1D649239">
      <w:pPr>
        <w:pStyle w:val="3"/>
        <w:keepNext w:val="0"/>
        <w:keepLines w:val="0"/>
        <w:pageBreakBefore w:val="0"/>
        <w:widowControl w:val="0"/>
        <w:kinsoku/>
        <w:wordWrap/>
        <w:overflowPunct/>
        <w:topLinePunct w:val="0"/>
        <w:autoSpaceDE/>
        <w:autoSpaceDN/>
        <w:bidi w:val="0"/>
        <w:adjustRightInd/>
        <w:snapToGrid/>
        <w:spacing w:line="620" w:lineRule="exact"/>
        <w:ind w:left="0" w:leftChars="0" w:right="0" w:firstLine="0" w:firstLineChars="0"/>
        <w:jc w:val="center"/>
        <w:textAlignment w:val="auto"/>
        <w:rPr>
          <w:rFonts w:hint="eastAsia"/>
          <w:spacing w:val="3"/>
          <w:w w:val="100"/>
          <w:sz w:val="44"/>
          <w:szCs w:val="44"/>
          <w:lang w:eastAsia="zh-CN"/>
        </w:rPr>
      </w:pPr>
    </w:p>
    <w:p w14:paraId="31D6FC2A">
      <w:pPr>
        <w:pStyle w:val="3"/>
        <w:keepNext w:val="0"/>
        <w:keepLines w:val="0"/>
        <w:pageBreakBefore w:val="0"/>
        <w:widowControl w:val="0"/>
        <w:kinsoku/>
        <w:wordWrap/>
        <w:overflowPunct/>
        <w:topLinePunct w:val="0"/>
        <w:autoSpaceDE/>
        <w:autoSpaceDN/>
        <w:bidi w:val="0"/>
        <w:adjustRightInd/>
        <w:snapToGrid/>
        <w:spacing w:line="620" w:lineRule="exact"/>
        <w:ind w:left="0" w:leftChars="0" w:right="0" w:firstLine="0" w:firstLineChars="0"/>
        <w:jc w:val="center"/>
        <w:textAlignment w:val="auto"/>
        <w:rPr>
          <w:spacing w:val="2"/>
          <w:w w:val="100"/>
          <w:sz w:val="40"/>
          <w:szCs w:val="40"/>
        </w:rPr>
      </w:pPr>
      <w:r>
        <w:rPr>
          <w:rFonts w:hint="eastAsia"/>
          <w:spacing w:val="3"/>
          <w:w w:val="100"/>
          <w:sz w:val="40"/>
          <w:szCs w:val="40"/>
          <w:lang w:eastAsia="zh-CN"/>
        </w:rPr>
        <w:t>文昌湖区</w:t>
      </w:r>
      <w:r>
        <w:rPr>
          <w:spacing w:val="3"/>
          <w:w w:val="100"/>
          <w:sz w:val="40"/>
          <w:szCs w:val="40"/>
        </w:rPr>
        <w:t>财政局</w:t>
      </w:r>
      <w:r>
        <w:rPr>
          <w:spacing w:val="1"/>
          <w:w w:val="100"/>
          <w:sz w:val="40"/>
          <w:szCs w:val="40"/>
        </w:rPr>
        <w:t>202</w:t>
      </w:r>
      <w:r>
        <w:rPr>
          <w:rFonts w:hint="eastAsia"/>
          <w:spacing w:val="1"/>
          <w:w w:val="100"/>
          <w:sz w:val="40"/>
          <w:szCs w:val="40"/>
          <w:lang w:val="en-US" w:eastAsia="zh-CN"/>
        </w:rPr>
        <w:t>6</w:t>
      </w:r>
      <w:r>
        <w:rPr>
          <w:spacing w:val="3"/>
          <w:w w:val="100"/>
          <w:sz w:val="40"/>
          <w:szCs w:val="40"/>
        </w:rPr>
        <w:t>年</w:t>
      </w:r>
      <w:r>
        <w:rPr>
          <w:spacing w:val="2"/>
          <w:w w:val="100"/>
          <w:sz w:val="40"/>
          <w:szCs w:val="40"/>
        </w:rPr>
        <w:t>度</w:t>
      </w:r>
      <w:r>
        <w:rPr>
          <w:spacing w:val="5"/>
          <w:w w:val="100"/>
          <w:sz w:val="40"/>
          <w:szCs w:val="40"/>
        </w:rPr>
        <w:t>“</w:t>
      </w:r>
      <w:r>
        <w:rPr>
          <w:spacing w:val="3"/>
          <w:w w:val="100"/>
          <w:sz w:val="40"/>
          <w:szCs w:val="40"/>
        </w:rPr>
        <w:t>双随</w:t>
      </w:r>
      <w:r>
        <w:rPr>
          <w:spacing w:val="2"/>
          <w:w w:val="100"/>
          <w:sz w:val="40"/>
          <w:szCs w:val="40"/>
        </w:rPr>
        <w:t>机</w:t>
      </w:r>
      <w:r>
        <w:rPr>
          <w:spacing w:val="3"/>
          <w:w w:val="100"/>
          <w:sz w:val="40"/>
          <w:szCs w:val="40"/>
        </w:rPr>
        <w:t>、一公</w:t>
      </w:r>
      <w:r>
        <w:rPr>
          <w:spacing w:val="4"/>
          <w:w w:val="100"/>
          <w:sz w:val="40"/>
          <w:szCs w:val="40"/>
        </w:rPr>
        <w:t>开</w:t>
      </w:r>
      <w:r>
        <w:rPr>
          <w:spacing w:val="2"/>
          <w:w w:val="100"/>
          <w:sz w:val="40"/>
          <w:szCs w:val="40"/>
        </w:rPr>
        <w:t>”</w:t>
      </w:r>
    </w:p>
    <w:p w14:paraId="7A4ADEE9">
      <w:pPr>
        <w:pStyle w:val="3"/>
        <w:keepNext w:val="0"/>
        <w:keepLines w:val="0"/>
        <w:pageBreakBefore w:val="0"/>
        <w:widowControl w:val="0"/>
        <w:kinsoku/>
        <w:wordWrap/>
        <w:overflowPunct/>
        <w:topLinePunct w:val="0"/>
        <w:autoSpaceDE/>
        <w:autoSpaceDN/>
        <w:bidi w:val="0"/>
        <w:adjustRightInd/>
        <w:snapToGrid/>
        <w:spacing w:line="620" w:lineRule="exact"/>
        <w:ind w:left="0" w:leftChars="0" w:right="0" w:firstLine="0" w:firstLineChars="0"/>
        <w:jc w:val="center"/>
        <w:textAlignment w:val="auto"/>
        <w:rPr>
          <w:sz w:val="28"/>
          <w:szCs w:val="28"/>
        </w:rPr>
      </w:pPr>
      <w:r>
        <w:rPr>
          <w:spacing w:val="3"/>
          <w:w w:val="100"/>
          <w:sz w:val="40"/>
          <w:szCs w:val="40"/>
        </w:rPr>
        <w:t>抽查工作计</w:t>
      </w:r>
      <w:r>
        <w:rPr>
          <w:w w:val="100"/>
          <w:sz w:val="40"/>
          <w:szCs w:val="40"/>
        </w:rPr>
        <w:t>划</w:t>
      </w:r>
    </w:p>
    <w:tbl>
      <w:tblPr>
        <w:tblStyle w:val="6"/>
        <w:tblpPr w:leftFromText="180" w:rightFromText="180" w:vertAnchor="text" w:horzAnchor="page" w:tblpX="640" w:tblpY="532"/>
        <w:tblOverlap w:val="never"/>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0"/>
        <w:gridCol w:w="950"/>
        <w:gridCol w:w="880"/>
        <w:gridCol w:w="1545"/>
        <w:gridCol w:w="1080"/>
        <w:gridCol w:w="1305"/>
        <w:gridCol w:w="1305"/>
        <w:gridCol w:w="1245"/>
      </w:tblGrid>
      <w:tr w14:paraId="0F1F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780" w:type="dxa"/>
            <w:vAlign w:val="center"/>
          </w:tcPr>
          <w:p w14:paraId="5DBA0254">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序号</w:t>
            </w:r>
          </w:p>
        </w:tc>
        <w:tc>
          <w:tcPr>
            <w:tcW w:w="870" w:type="dxa"/>
            <w:vAlign w:val="center"/>
          </w:tcPr>
          <w:p w14:paraId="5DC6C3A0">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抽查</w:t>
            </w:r>
          </w:p>
          <w:p w14:paraId="13B0F55B">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事项</w:t>
            </w:r>
          </w:p>
        </w:tc>
        <w:tc>
          <w:tcPr>
            <w:tcW w:w="950" w:type="dxa"/>
            <w:vAlign w:val="center"/>
          </w:tcPr>
          <w:p w14:paraId="32245E51">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检查</w:t>
            </w:r>
          </w:p>
          <w:p w14:paraId="144E6A14">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对象</w:t>
            </w:r>
          </w:p>
        </w:tc>
        <w:tc>
          <w:tcPr>
            <w:tcW w:w="880" w:type="dxa"/>
            <w:vAlign w:val="center"/>
          </w:tcPr>
          <w:p w14:paraId="38B46CCA">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事项</w:t>
            </w:r>
          </w:p>
          <w:p w14:paraId="5E80EA8F">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类别</w:t>
            </w:r>
          </w:p>
        </w:tc>
        <w:tc>
          <w:tcPr>
            <w:tcW w:w="1545" w:type="dxa"/>
            <w:vAlign w:val="center"/>
          </w:tcPr>
          <w:p w14:paraId="719B2F37">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抽查比例</w:t>
            </w:r>
          </w:p>
          <w:p w14:paraId="2B39AC48">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及频次</w:t>
            </w:r>
          </w:p>
        </w:tc>
        <w:tc>
          <w:tcPr>
            <w:tcW w:w="1080" w:type="dxa"/>
            <w:vAlign w:val="center"/>
          </w:tcPr>
          <w:p w14:paraId="5B2DBEED">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预估抽</w:t>
            </w:r>
          </w:p>
          <w:p w14:paraId="60E52339">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查对象</w:t>
            </w:r>
          </w:p>
        </w:tc>
        <w:tc>
          <w:tcPr>
            <w:tcW w:w="1305" w:type="dxa"/>
            <w:vAlign w:val="center"/>
          </w:tcPr>
          <w:p w14:paraId="60223DB3">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预估抽查对象风险等级</w:t>
            </w:r>
          </w:p>
        </w:tc>
        <w:tc>
          <w:tcPr>
            <w:tcW w:w="1305" w:type="dxa"/>
            <w:vAlign w:val="center"/>
          </w:tcPr>
          <w:p w14:paraId="72E92A05">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检查</w:t>
            </w:r>
          </w:p>
          <w:p w14:paraId="316156ED">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时间</w:t>
            </w:r>
          </w:p>
        </w:tc>
        <w:tc>
          <w:tcPr>
            <w:tcW w:w="1245" w:type="dxa"/>
            <w:vAlign w:val="center"/>
          </w:tcPr>
          <w:p w14:paraId="4A8F466D">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检查</w:t>
            </w:r>
          </w:p>
          <w:p w14:paraId="403A92C4">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黑体" w:hAnsi="黑体" w:eastAsia="黑体" w:cs="黑体"/>
                <w:b w:val="0"/>
                <w:bCs w:val="0"/>
                <w:sz w:val="27"/>
                <w:szCs w:val="27"/>
                <w:vertAlign w:val="baseline"/>
                <w:lang w:val="en-US" w:eastAsia="zh-CN"/>
              </w:rPr>
            </w:pPr>
            <w:r>
              <w:rPr>
                <w:rFonts w:hint="eastAsia" w:ascii="黑体" w:hAnsi="黑体" w:eastAsia="黑体" w:cs="黑体"/>
                <w:b w:val="0"/>
                <w:bCs w:val="0"/>
                <w:sz w:val="27"/>
                <w:szCs w:val="27"/>
                <w:vertAlign w:val="baseline"/>
                <w:lang w:val="en-US" w:eastAsia="zh-CN"/>
              </w:rPr>
              <w:t>主体</w:t>
            </w:r>
          </w:p>
        </w:tc>
      </w:tr>
      <w:tr w14:paraId="283C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780" w:type="dxa"/>
            <w:vAlign w:val="center"/>
          </w:tcPr>
          <w:p w14:paraId="2FF40869">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870" w:type="dxa"/>
            <w:vAlign w:val="center"/>
          </w:tcPr>
          <w:p w14:paraId="126488FC">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会计信息质量检查</w:t>
            </w:r>
          </w:p>
        </w:tc>
        <w:tc>
          <w:tcPr>
            <w:tcW w:w="950" w:type="dxa"/>
            <w:vAlign w:val="center"/>
          </w:tcPr>
          <w:p w14:paraId="6F49DCDB">
            <w:pPr>
              <w:pStyle w:val="8"/>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kern w:val="2"/>
                <w:sz w:val="21"/>
                <w:szCs w:val="21"/>
                <w:lang w:val="en-US" w:eastAsia="zh-CN" w:bidi="ar-SA"/>
              </w:rPr>
              <w:t>文昌湖区行政事业单位、文昌湖区属国有企业</w:t>
            </w:r>
          </w:p>
        </w:tc>
        <w:tc>
          <w:tcPr>
            <w:tcW w:w="880" w:type="dxa"/>
            <w:vAlign w:val="center"/>
          </w:tcPr>
          <w:p w14:paraId="3FC663EC">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pacing w:val="2"/>
                <w:w w:val="95"/>
                <w:sz w:val="21"/>
                <w:szCs w:val="21"/>
                <w:lang w:val="en-US" w:eastAsia="zh-CN"/>
              </w:rPr>
              <w:t>一般检查事项</w:t>
            </w:r>
          </w:p>
        </w:tc>
        <w:tc>
          <w:tcPr>
            <w:tcW w:w="1545" w:type="dxa"/>
            <w:vAlign w:val="center"/>
          </w:tcPr>
          <w:p w14:paraId="49C31FD3">
            <w:pPr>
              <w:pStyle w:val="9"/>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1"/>
                <w:szCs w:val="21"/>
                <w:vertAlign w:val="baseline"/>
                <w:lang w:val="en-US" w:eastAsia="zh-CN"/>
              </w:rPr>
            </w:pPr>
            <w:r>
              <w:rPr>
                <w:rFonts w:hint="eastAsia" w:ascii="仿宋" w:hAnsi="仿宋" w:eastAsia="仿宋" w:cs="仿宋"/>
                <w:kern w:val="2"/>
                <w:sz w:val="21"/>
                <w:szCs w:val="21"/>
                <w:lang w:val="en-US" w:eastAsia="zh-CN" w:bidi="ar-SA"/>
              </w:rPr>
              <w:t>抽查比例及频次根据监管需要确定</w:t>
            </w:r>
          </w:p>
        </w:tc>
        <w:tc>
          <w:tcPr>
            <w:tcW w:w="1080" w:type="dxa"/>
            <w:vAlign w:val="center"/>
          </w:tcPr>
          <w:p w14:paraId="084C3AE1">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pacing w:val="2"/>
                <w:w w:val="95"/>
                <w:sz w:val="21"/>
                <w:szCs w:val="21"/>
                <w:lang w:val="en-US" w:eastAsia="zh-CN"/>
              </w:rPr>
              <w:t>3</w:t>
            </w:r>
          </w:p>
        </w:tc>
        <w:tc>
          <w:tcPr>
            <w:tcW w:w="1305" w:type="dxa"/>
            <w:vAlign w:val="center"/>
          </w:tcPr>
          <w:p w14:paraId="37FD5956">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pacing w:val="2"/>
                <w:w w:val="95"/>
                <w:sz w:val="21"/>
                <w:szCs w:val="21"/>
                <w:lang w:val="en-US" w:eastAsia="zh-CN"/>
              </w:rPr>
              <w:t>中低风险</w:t>
            </w:r>
          </w:p>
        </w:tc>
        <w:tc>
          <w:tcPr>
            <w:tcW w:w="1305" w:type="dxa"/>
            <w:vAlign w:val="center"/>
          </w:tcPr>
          <w:p w14:paraId="5A467D04">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pacing w:val="2"/>
                <w:w w:val="95"/>
                <w:sz w:val="21"/>
                <w:szCs w:val="21"/>
                <w:lang w:val="en-US" w:eastAsia="zh-CN"/>
              </w:rPr>
              <w:t>4月--11月</w:t>
            </w:r>
          </w:p>
        </w:tc>
        <w:tc>
          <w:tcPr>
            <w:tcW w:w="1245" w:type="dxa"/>
            <w:vAlign w:val="center"/>
          </w:tcPr>
          <w:p w14:paraId="5C67B68B">
            <w:pPr>
              <w:pStyle w:val="8"/>
              <w:keepNext w:val="0"/>
              <w:keepLines w:val="0"/>
              <w:pageBreakBefore w:val="0"/>
              <w:kinsoku/>
              <w:wordWrap/>
              <w:overflowPunct/>
              <w:topLinePunct w:val="0"/>
              <w:bidi w:val="0"/>
              <w:snapToGrid/>
              <w:spacing w:line="620" w:lineRule="exact"/>
              <w:ind w:left="0" w:leftChars="0" w:firstLine="0" w:firstLineChars="0"/>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pacing w:val="2"/>
                <w:w w:val="95"/>
                <w:sz w:val="21"/>
                <w:szCs w:val="21"/>
                <w:lang w:val="en-US" w:eastAsia="zh-CN"/>
              </w:rPr>
              <w:t>区财政部门</w:t>
            </w:r>
          </w:p>
        </w:tc>
      </w:tr>
      <w:tr w14:paraId="4CA0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trPr>
        <w:tc>
          <w:tcPr>
            <w:tcW w:w="780" w:type="dxa"/>
            <w:shd w:val="clear" w:color="auto" w:fill="auto"/>
            <w:vAlign w:val="center"/>
          </w:tcPr>
          <w:p w14:paraId="4A8CD2D8">
            <w:pPr>
              <w:pStyle w:val="9"/>
              <w:ind w:left="17" w:leftChars="0" w:right="0" w:rightChars="0"/>
              <w:jc w:val="center"/>
              <w:rPr>
                <w:rFonts w:hint="eastAsia" w:ascii="仿宋" w:hAnsi="仿宋" w:eastAsia="仿宋" w:cs="仿宋"/>
                <w:w w:val="100"/>
                <w:kern w:val="2"/>
                <w:sz w:val="21"/>
                <w:szCs w:val="21"/>
                <w:lang w:val="en-US" w:eastAsia="zh-CN" w:bidi="ar-SA"/>
              </w:rPr>
            </w:pPr>
            <w:r>
              <w:rPr>
                <w:rFonts w:hint="eastAsia" w:ascii="仿宋" w:hAnsi="仿宋" w:eastAsia="仿宋" w:cs="仿宋"/>
                <w:w w:val="100"/>
                <w:sz w:val="21"/>
                <w:szCs w:val="21"/>
                <w:lang w:val="en-US" w:eastAsia="zh-CN"/>
              </w:rPr>
              <w:t>2</w:t>
            </w:r>
          </w:p>
        </w:tc>
        <w:tc>
          <w:tcPr>
            <w:tcW w:w="870" w:type="dxa"/>
            <w:shd w:val="clear" w:color="auto" w:fill="auto"/>
            <w:vAlign w:val="center"/>
          </w:tcPr>
          <w:p w14:paraId="19558A6F">
            <w:pPr>
              <w:pStyle w:val="9"/>
              <w:spacing w:line="200" w:lineRule="auto"/>
              <w:ind w:left="27" w:leftChars="0" w:right="17" w:rightChars="0"/>
              <w:jc w:val="center"/>
              <w:rPr>
                <w:rFonts w:hint="eastAsia" w:ascii="仿宋" w:hAnsi="仿宋" w:eastAsia="仿宋" w:cs="仿宋"/>
                <w:spacing w:val="2"/>
                <w:w w:val="95"/>
                <w:kern w:val="2"/>
                <w:sz w:val="21"/>
                <w:szCs w:val="21"/>
                <w:lang w:val="en-US" w:eastAsia="zh-CN" w:bidi="ar-SA"/>
              </w:rPr>
            </w:pPr>
            <w:r>
              <w:rPr>
                <w:rFonts w:hint="eastAsia" w:ascii="仿宋" w:hAnsi="仿宋" w:eastAsia="仿宋" w:cs="仿宋"/>
                <w:spacing w:val="2"/>
                <w:w w:val="95"/>
                <w:sz w:val="21"/>
                <w:szCs w:val="21"/>
                <w:lang w:eastAsia="zh-CN"/>
              </w:rPr>
              <w:t>代理记账机构检查</w:t>
            </w:r>
          </w:p>
        </w:tc>
        <w:tc>
          <w:tcPr>
            <w:tcW w:w="950" w:type="dxa"/>
            <w:shd w:val="clear" w:color="auto" w:fill="auto"/>
            <w:vAlign w:val="center"/>
          </w:tcPr>
          <w:p w14:paraId="45D9ACA2">
            <w:pPr>
              <w:pStyle w:val="9"/>
              <w:spacing w:line="201" w:lineRule="auto"/>
              <w:ind w:left="51" w:leftChars="0" w:right="39" w:rightChars="0" w:firstLine="3"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文昌湖区代理记账机构</w:t>
            </w:r>
            <w:bookmarkStart w:id="0" w:name="_GoBack"/>
            <w:bookmarkEnd w:id="0"/>
          </w:p>
        </w:tc>
        <w:tc>
          <w:tcPr>
            <w:tcW w:w="880" w:type="dxa"/>
            <w:shd w:val="clear" w:color="auto" w:fill="auto"/>
            <w:vAlign w:val="center"/>
          </w:tcPr>
          <w:p w14:paraId="27E5E5DF">
            <w:pPr>
              <w:pStyle w:val="8"/>
              <w:keepNext w:val="0"/>
              <w:keepLines w:val="0"/>
              <w:pageBreakBefore w:val="0"/>
              <w:kinsoku/>
              <w:wordWrap/>
              <w:overflowPunct/>
              <w:topLinePunct w:val="0"/>
              <w:bidi w:val="0"/>
              <w:snapToGrid/>
              <w:spacing w:line="620" w:lineRule="exact"/>
              <w:ind w:left="0" w:leftChars="0" w:firstLine="0" w:firstLineChars="0"/>
              <w:jc w:val="both"/>
              <w:textAlignment w:val="auto"/>
              <w:rPr>
                <w:rFonts w:hint="eastAsia" w:ascii="仿宋" w:hAnsi="仿宋" w:eastAsia="仿宋" w:cs="仿宋"/>
                <w:spacing w:val="2"/>
                <w:w w:val="95"/>
                <w:kern w:val="2"/>
                <w:sz w:val="21"/>
                <w:szCs w:val="21"/>
                <w:lang w:val="en-US" w:eastAsia="zh-CN" w:bidi="ar-SA"/>
              </w:rPr>
            </w:pPr>
            <w:r>
              <w:rPr>
                <w:rFonts w:hint="eastAsia" w:ascii="仿宋" w:hAnsi="仿宋" w:eastAsia="仿宋" w:cs="仿宋"/>
                <w:spacing w:val="2"/>
                <w:w w:val="95"/>
                <w:sz w:val="21"/>
                <w:szCs w:val="21"/>
                <w:lang w:val="en-US" w:eastAsia="zh-CN"/>
              </w:rPr>
              <w:t>一般检查事项</w:t>
            </w:r>
          </w:p>
        </w:tc>
        <w:tc>
          <w:tcPr>
            <w:tcW w:w="1545" w:type="dxa"/>
            <w:shd w:val="clear" w:color="auto" w:fill="auto"/>
            <w:vAlign w:val="center"/>
          </w:tcPr>
          <w:p w14:paraId="5C78D516">
            <w:pPr>
              <w:pStyle w:val="9"/>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1"/>
                <w:szCs w:val="21"/>
                <w:lang w:val="en-US" w:eastAsia="zh-CN" w:bidi="ar-SA"/>
              </w:rPr>
            </w:pPr>
          </w:p>
          <w:p w14:paraId="7AE6872C">
            <w:pPr>
              <w:pStyle w:val="9"/>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抽查比例及频次根据监管需要确定</w:t>
            </w:r>
          </w:p>
          <w:p w14:paraId="77D2FA82">
            <w:pPr>
              <w:pStyle w:val="9"/>
              <w:spacing w:line="248" w:lineRule="exact"/>
              <w:ind w:left="435" w:leftChars="0" w:right="16" w:rightChars="0" w:hanging="403" w:firstLineChars="0"/>
              <w:jc w:val="center"/>
              <w:rPr>
                <w:rFonts w:hint="eastAsia" w:ascii="仿宋" w:hAnsi="仿宋" w:eastAsia="仿宋" w:cs="仿宋"/>
                <w:kern w:val="2"/>
                <w:sz w:val="21"/>
                <w:szCs w:val="21"/>
                <w:lang w:val="en-US" w:eastAsia="zh-CN" w:bidi="ar-SA"/>
              </w:rPr>
            </w:pPr>
          </w:p>
        </w:tc>
        <w:tc>
          <w:tcPr>
            <w:tcW w:w="1080" w:type="dxa"/>
            <w:shd w:val="clear" w:color="auto" w:fill="auto"/>
            <w:vAlign w:val="center"/>
          </w:tcPr>
          <w:p w14:paraId="42D95ACF">
            <w:pPr>
              <w:pStyle w:val="9"/>
              <w:ind w:left="16" w:leftChars="0" w:right="0" w:rightChars="0"/>
              <w:jc w:val="center"/>
              <w:rPr>
                <w:rFonts w:hint="eastAsia" w:ascii="仿宋" w:hAnsi="仿宋" w:eastAsia="仿宋" w:cs="仿宋"/>
                <w:spacing w:val="1"/>
                <w:w w:val="100"/>
                <w:kern w:val="2"/>
                <w:sz w:val="21"/>
                <w:szCs w:val="21"/>
                <w:lang w:val="en-US" w:eastAsia="zh-CN" w:bidi="ar-SA"/>
              </w:rPr>
            </w:pPr>
            <w:r>
              <w:rPr>
                <w:rFonts w:hint="eastAsia" w:ascii="仿宋" w:hAnsi="仿宋" w:eastAsia="仿宋" w:cs="仿宋"/>
                <w:spacing w:val="1"/>
                <w:w w:val="100"/>
                <w:sz w:val="21"/>
                <w:szCs w:val="21"/>
                <w:lang w:val="en-US" w:eastAsia="zh-CN"/>
              </w:rPr>
              <w:t>1</w:t>
            </w:r>
          </w:p>
        </w:tc>
        <w:tc>
          <w:tcPr>
            <w:tcW w:w="1305" w:type="dxa"/>
            <w:shd w:val="clear" w:color="auto" w:fill="auto"/>
            <w:vAlign w:val="center"/>
          </w:tcPr>
          <w:p w14:paraId="6EB3EC06">
            <w:pPr>
              <w:pStyle w:val="9"/>
              <w:spacing w:line="201" w:lineRule="auto"/>
              <w:ind w:left="119" w:leftChars="0" w:right="103" w:rightChars="0" w:hanging="1" w:firstLineChars="0"/>
              <w:jc w:val="center"/>
              <w:rPr>
                <w:rFonts w:hint="eastAsia" w:ascii="仿宋" w:hAnsi="仿宋" w:eastAsia="仿宋" w:cs="仿宋"/>
                <w:spacing w:val="2"/>
                <w:w w:val="95"/>
                <w:kern w:val="2"/>
                <w:sz w:val="21"/>
                <w:szCs w:val="21"/>
                <w:lang w:val="en-US" w:eastAsia="zh-CN" w:bidi="ar-SA"/>
              </w:rPr>
            </w:pPr>
            <w:r>
              <w:rPr>
                <w:rFonts w:hint="eastAsia" w:ascii="仿宋" w:hAnsi="仿宋" w:eastAsia="仿宋" w:cs="仿宋"/>
                <w:spacing w:val="2"/>
                <w:w w:val="95"/>
                <w:sz w:val="21"/>
                <w:szCs w:val="21"/>
              </w:rPr>
              <w:t>中</w:t>
            </w:r>
            <w:r>
              <w:rPr>
                <w:rFonts w:hint="eastAsia" w:ascii="仿宋" w:hAnsi="仿宋" w:eastAsia="仿宋" w:cs="仿宋"/>
                <w:spacing w:val="2"/>
                <w:w w:val="95"/>
                <w:sz w:val="21"/>
                <w:szCs w:val="21"/>
                <w:lang w:eastAsia="zh-CN"/>
              </w:rPr>
              <w:t>低</w:t>
            </w:r>
            <w:r>
              <w:rPr>
                <w:rFonts w:hint="eastAsia" w:ascii="仿宋" w:hAnsi="仿宋" w:eastAsia="仿宋" w:cs="仿宋"/>
                <w:w w:val="95"/>
                <w:sz w:val="21"/>
                <w:szCs w:val="21"/>
              </w:rPr>
              <w:t>风</w:t>
            </w:r>
            <w:r>
              <w:rPr>
                <w:rFonts w:hint="eastAsia" w:ascii="仿宋" w:hAnsi="仿宋" w:eastAsia="仿宋" w:cs="仿宋"/>
                <w:spacing w:val="2"/>
                <w:w w:val="95"/>
                <w:sz w:val="21"/>
                <w:szCs w:val="21"/>
              </w:rPr>
              <w:t>险</w:t>
            </w:r>
          </w:p>
        </w:tc>
        <w:tc>
          <w:tcPr>
            <w:tcW w:w="1305" w:type="dxa"/>
            <w:shd w:val="clear" w:color="auto" w:fill="auto"/>
            <w:vAlign w:val="center"/>
          </w:tcPr>
          <w:p w14:paraId="59AE27A1">
            <w:pPr>
              <w:pStyle w:val="9"/>
              <w:ind w:right="0" w:rightChars="0"/>
              <w:jc w:val="both"/>
              <w:rPr>
                <w:rFonts w:hint="eastAsia" w:ascii="仿宋" w:hAnsi="仿宋" w:eastAsia="仿宋" w:cs="仿宋"/>
                <w:spacing w:val="1"/>
                <w:w w:val="100"/>
                <w:kern w:val="2"/>
                <w:sz w:val="21"/>
                <w:szCs w:val="21"/>
                <w:lang w:val="en-US" w:eastAsia="zh-CN" w:bidi="ar-SA"/>
              </w:rPr>
            </w:pPr>
            <w:r>
              <w:rPr>
                <w:rFonts w:hint="eastAsia" w:ascii="仿宋" w:hAnsi="仿宋" w:eastAsia="仿宋" w:cs="仿宋"/>
                <w:spacing w:val="3"/>
                <w:w w:val="100"/>
                <w:sz w:val="21"/>
                <w:szCs w:val="21"/>
                <w:lang w:val="en-US" w:eastAsia="zh-CN"/>
              </w:rPr>
              <w:t>4</w:t>
            </w:r>
            <w:r>
              <w:rPr>
                <w:rFonts w:hint="eastAsia" w:ascii="仿宋" w:hAnsi="仿宋" w:eastAsia="仿宋" w:cs="仿宋"/>
                <w:spacing w:val="3"/>
                <w:w w:val="100"/>
                <w:sz w:val="21"/>
                <w:szCs w:val="21"/>
              </w:rPr>
              <w:t>月</w:t>
            </w:r>
            <w:r>
              <w:rPr>
                <w:rFonts w:hint="eastAsia" w:ascii="仿宋" w:hAnsi="仿宋" w:eastAsia="仿宋" w:cs="仿宋"/>
                <w:spacing w:val="2"/>
                <w:w w:val="100"/>
                <w:sz w:val="21"/>
                <w:szCs w:val="21"/>
              </w:rPr>
              <w:t>—</w:t>
            </w:r>
            <w:r>
              <w:rPr>
                <w:rFonts w:hint="eastAsia" w:ascii="仿宋" w:hAnsi="仿宋" w:eastAsia="仿宋" w:cs="仿宋"/>
                <w:spacing w:val="1"/>
                <w:w w:val="100"/>
                <w:sz w:val="21"/>
                <w:szCs w:val="21"/>
              </w:rPr>
              <w:t>1</w:t>
            </w:r>
            <w:r>
              <w:rPr>
                <w:rFonts w:hint="eastAsia" w:ascii="仿宋" w:hAnsi="仿宋" w:eastAsia="仿宋" w:cs="仿宋"/>
                <w:spacing w:val="1"/>
                <w:w w:val="100"/>
                <w:sz w:val="21"/>
                <w:szCs w:val="21"/>
                <w:lang w:val="en-US" w:eastAsia="zh-CN"/>
              </w:rPr>
              <w:t>1</w:t>
            </w:r>
            <w:r>
              <w:rPr>
                <w:rFonts w:hint="eastAsia" w:ascii="仿宋" w:hAnsi="仿宋" w:eastAsia="仿宋" w:cs="仿宋"/>
                <w:w w:val="100"/>
                <w:sz w:val="21"/>
                <w:szCs w:val="21"/>
              </w:rPr>
              <w:t>月</w:t>
            </w:r>
          </w:p>
        </w:tc>
        <w:tc>
          <w:tcPr>
            <w:tcW w:w="1245" w:type="dxa"/>
            <w:shd w:val="clear" w:color="auto" w:fill="auto"/>
            <w:vAlign w:val="center"/>
          </w:tcPr>
          <w:p w14:paraId="525EA396">
            <w:pPr>
              <w:pStyle w:val="9"/>
              <w:spacing w:before="3" w:line="240" w:lineRule="exact"/>
              <w:jc w:val="center"/>
              <w:rPr>
                <w:rFonts w:hint="eastAsia" w:ascii="仿宋" w:hAnsi="仿宋" w:eastAsia="仿宋" w:cs="仿宋"/>
                <w:sz w:val="21"/>
                <w:szCs w:val="21"/>
              </w:rPr>
            </w:pPr>
          </w:p>
          <w:p w14:paraId="163D8B71">
            <w:pPr>
              <w:pStyle w:val="9"/>
              <w:spacing w:line="200" w:lineRule="auto"/>
              <w:ind w:left="68" w:leftChars="0" w:right="58" w:rightChars="0"/>
              <w:jc w:val="center"/>
              <w:rPr>
                <w:rFonts w:hint="eastAsia" w:ascii="仿宋" w:hAnsi="仿宋" w:eastAsia="仿宋" w:cs="仿宋"/>
                <w:w w:val="95"/>
                <w:kern w:val="2"/>
                <w:sz w:val="21"/>
                <w:szCs w:val="21"/>
                <w:lang w:val="en-US" w:eastAsia="zh-CN" w:bidi="ar-SA"/>
              </w:rPr>
            </w:pPr>
            <w:r>
              <w:rPr>
                <w:rFonts w:hint="eastAsia" w:ascii="仿宋" w:hAnsi="仿宋" w:eastAsia="仿宋" w:cs="仿宋"/>
                <w:w w:val="95"/>
                <w:sz w:val="21"/>
                <w:szCs w:val="21"/>
              </w:rPr>
              <w:t>区</w:t>
            </w:r>
            <w:r>
              <w:rPr>
                <w:rFonts w:hint="eastAsia" w:ascii="仿宋" w:hAnsi="仿宋" w:eastAsia="仿宋" w:cs="仿宋"/>
                <w:spacing w:val="2"/>
                <w:w w:val="95"/>
                <w:sz w:val="21"/>
                <w:szCs w:val="21"/>
                <w:lang w:eastAsia="zh-CN"/>
              </w:rPr>
              <w:t>财政</w:t>
            </w:r>
            <w:r>
              <w:rPr>
                <w:rFonts w:hint="eastAsia" w:ascii="仿宋" w:hAnsi="仿宋" w:eastAsia="仿宋" w:cs="仿宋"/>
                <w:spacing w:val="2"/>
                <w:w w:val="95"/>
                <w:sz w:val="21"/>
                <w:szCs w:val="21"/>
              </w:rPr>
              <w:t>部</w:t>
            </w:r>
            <w:r>
              <w:rPr>
                <w:rFonts w:hint="eastAsia" w:ascii="仿宋" w:hAnsi="仿宋" w:eastAsia="仿宋" w:cs="仿宋"/>
                <w:w w:val="95"/>
                <w:sz w:val="21"/>
                <w:szCs w:val="21"/>
              </w:rPr>
              <w:t>门</w:t>
            </w:r>
          </w:p>
        </w:tc>
      </w:tr>
    </w:tbl>
    <w:p w14:paraId="093B75F4">
      <w:pPr>
        <w:keepNext w:val="0"/>
        <w:keepLines w:val="0"/>
        <w:pageBreakBefore w:val="0"/>
        <w:kinsoku/>
        <w:wordWrap/>
        <w:overflowPunct/>
        <w:topLinePunct w:val="0"/>
        <w:bidi w:val="0"/>
        <w:snapToGrid/>
        <w:spacing w:before="2" w:line="620" w:lineRule="exact"/>
        <w:textAlignment w:val="auto"/>
        <w:rPr>
          <w:sz w:val="15"/>
          <w:szCs w:val="15"/>
        </w:rPr>
      </w:pPr>
    </w:p>
    <w:p w14:paraId="4D1EE4C4">
      <w:pPr>
        <w:keepNext w:val="0"/>
        <w:keepLines w:val="0"/>
        <w:pageBreakBefore w:val="0"/>
        <w:kinsoku/>
        <w:wordWrap/>
        <w:overflowPunct/>
        <w:topLinePunct w:val="0"/>
        <w:bidi w:val="0"/>
        <w:snapToGrid/>
        <w:spacing w:line="620" w:lineRule="exact"/>
        <w:textAlignment w:val="auto"/>
        <w:rPr>
          <w:sz w:val="20"/>
          <w:szCs w:val="20"/>
        </w:rPr>
      </w:pPr>
    </w:p>
    <w:p w14:paraId="67D48631">
      <w:pPr>
        <w:keepNext w:val="0"/>
        <w:keepLines w:val="0"/>
        <w:pageBreakBefore w:val="0"/>
        <w:kinsoku/>
        <w:wordWrap/>
        <w:overflowPunct/>
        <w:topLinePunct w:val="0"/>
        <w:bidi w:val="0"/>
        <w:snapToGrid/>
        <w:spacing w:line="620" w:lineRule="exact"/>
        <w:textAlignment w:val="auto"/>
        <w:rPr>
          <w:rFonts w:hint="default" w:ascii="Times New Roman" w:hAnsi="Times New Roman" w:eastAsia="仿宋_GB2312" w:cs="Times New Roman"/>
          <w:sz w:val="32"/>
          <w:szCs w:val="32"/>
          <w:lang w:val="en-US" w:eastAsia="en-US" w:bidi="en-US"/>
        </w:rPr>
      </w:pPr>
    </w:p>
    <w:p w14:paraId="4C7BBA41">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7EBAAA46">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43108F2D">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7CFC91AB">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4D9E335A">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6C3CBFF1">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6A8D0335">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0477B046">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064FE0A7">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en-US" w:bidi="en-US"/>
        </w:rPr>
      </w:pPr>
    </w:p>
    <w:p w14:paraId="0B535E47">
      <w:pPr>
        <w:pStyle w:val="8"/>
        <w:keepNext w:val="0"/>
        <w:keepLines w:val="0"/>
        <w:pageBreakBefore w:val="0"/>
        <w:kinsoku/>
        <w:wordWrap/>
        <w:overflowPunct/>
        <w:topLinePunct w:val="0"/>
        <w:bidi w:val="0"/>
        <w:snapToGrid/>
        <w:spacing w:line="620" w:lineRule="exact"/>
        <w:ind w:left="0" w:leftChars="0" w:firstLine="0" w:firstLineChars="0"/>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2041" w:right="1417" w:bottom="1701" w:left="141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E0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FB0CAEB">
                          <w:pPr>
                            <w:pStyle w:val="4"/>
                            <w:rPr>
                              <w:rFonts w:hint="eastAsia" w:eastAsia="宋体"/>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5FB0CAEB">
                    <w:pPr>
                      <w:pStyle w:val="4"/>
                      <w:rPr>
                        <w:rFonts w:hint="eastAsia" w:eastAsia="宋体"/>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40B06"/>
    <w:rsid w:val="004F176A"/>
    <w:rsid w:val="039F261F"/>
    <w:rsid w:val="04625A70"/>
    <w:rsid w:val="0A9B3C60"/>
    <w:rsid w:val="114F2ECC"/>
    <w:rsid w:val="13D62784"/>
    <w:rsid w:val="144C5181"/>
    <w:rsid w:val="24BE5657"/>
    <w:rsid w:val="26D03742"/>
    <w:rsid w:val="276F5C2F"/>
    <w:rsid w:val="2DE33241"/>
    <w:rsid w:val="2F9C3C4A"/>
    <w:rsid w:val="36B75FAE"/>
    <w:rsid w:val="3A535A13"/>
    <w:rsid w:val="40A66EEE"/>
    <w:rsid w:val="46DE103C"/>
    <w:rsid w:val="5D491931"/>
    <w:rsid w:val="63940B06"/>
    <w:rsid w:val="6C175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729"/>
    </w:pPr>
    <w:rPr>
      <w:rFonts w:ascii="方正小标宋简体" w:hAnsi="方正小标宋简体" w:eastAsia="方正小标宋简体"/>
      <w:sz w:val="32"/>
      <w:szCs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 首行缩进:  2 字符"/>
    <w:basedOn w:val="1"/>
    <w:qFormat/>
    <w:uiPriority w:val="0"/>
    <w:pPr>
      <w:ind w:firstLine="560"/>
    </w:pPr>
    <w:rPr>
      <w:rFonts w:cs="宋体"/>
      <w:sz w:val="24"/>
      <w:szCs w:val="20"/>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2023-05-24T01:31:00Z</dcterms:created>
  <dc:creator>Administrator</dc:creator>
  <cp:lastModifiedBy>Administrator</cp:lastModifiedBy>
  <cp:lastPrinted>2026-07-14T03:21:00Z</cp:lastPrinted>
  <dcterms:modified xsi:type="dcterms:W3CDTF">2026-07-14T03:41:02Z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73F9D2AAE9FF4411A39FA2490B80D362</vt:lpwstr>
  </property>
  <property fmtid="{D5CDD505-2E9C-101B-9397-08002B2CF9AE}" pid="4" name="KSOTemplateDocerSaveRecord">
    <vt:lpwstr>eyJoZGlkIjoiN2RkMDNkNGNmZTU3NzJjN2RiYjFjMmZjYWRjZDA5MmUifQ==</vt:lpwstr>
  </property>
</Properties>
</file>