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FZXBSK--GBK1-0" w:hAnsi="FZXBSK--GBK1-0" w:eastAsia="FZXBSK--GBK1-0" w:cs="FZXBSK--GBK1-0"/>
          <w:color w:val="231F20"/>
          <w:kern w:val="0"/>
          <w:sz w:val="39"/>
          <w:szCs w:val="39"/>
          <w:lang w:val="en-US" w:eastAsia="zh-CN" w:bidi="ar"/>
        </w:rPr>
      </w:pPr>
    </w:p>
    <w:p>
      <w:pPr>
        <w:keepNext w:val="0"/>
        <w:keepLines w:val="0"/>
        <w:widowControl/>
        <w:suppressLineNumbers w:val="0"/>
        <w:jc w:val="left"/>
        <w:rPr>
          <w:rFonts w:ascii="FZXBSK--GBK1-0" w:hAnsi="FZXBSK--GBK1-0" w:eastAsia="FZXBSK--GBK1-0" w:cs="FZXBSK--GBK1-0"/>
          <w:color w:val="231F20"/>
          <w:kern w:val="0"/>
          <w:sz w:val="39"/>
          <w:szCs w:val="39"/>
          <w:lang w:val="en-US" w:eastAsia="zh-CN" w:bidi="ar"/>
        </w:rPr>
      </w:pPr>
    </w:p>
    <w:p>
      <w:pPr>
        <w:keepNext w:val="0"/>
        <w:keepLines w:val="0"/>
        <w:widowControl/>
        <w:suppressLineNumbers w:val="0"/>
        <w:jc w:val="left"/>
        <w:rPr>
          <w:rFonts w:ascii="FZXBSK--GBK1-0" w:hAnsi="FZXBSK--GBK1-0" w:eastAsia="FZXBSK--GBK1-0" w:cs="FZXBSK--GBK1-0"/>
          <w:color w:val="231F20"/>
          <w:kern w:val="0"/>
          <w:sz w:val="39"/>
          <w:szCs w:val="39"/>
          <w:lang w:val="en-US" w:eastAsia="zh-CN" w:bidi="ar"/>
        </w:rPr>
      </w:pPr>
    </w:p>
    <w:p>
      <w:pPr>
        <w:keepNext w:val="0"/>
        <w:keepLines w:val="0"/>
        <w:pageBreakBefore w:val="0"/>
        <w:tabs>
          <w:tab w:val="left" w:pos="8647"/>
          <w:tab w:val="left" w:pos="8789"/>
        </w:tabs>
        <w:kinsoku/>
        <w:wordWrap/>
        <w:overflowPunct/>
        <w:topLinePunct w:val="0"/>
        <w:autoSpaceDE/>
        <w:autoSpaceDN/>
        <w:bidi w:val="0"/>
        <w:adjustRightInd/>
        <w:snapToGrid/>
        <w:spacing w:line="100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淄文昌管办字〔20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sz w:val="32"/>
          <w:szCs w:val="32"/>
        </w:rPr>
        <w:t>号</w:t>
      </w:r>
      <w:r>
        <w:rPr>
          <w:rFonts w:hint="default" w:ascii="Times New Roman" w:hAnsi="Times New Roman" w:eastAsia="楷体_GB2312" w:cs="Times New Roman"/>
          <w:color w:val="FFFFFF"/>
          <w:sz w:val="32"/>
          <w:szCs w:val="32"/>
        </w:rPr>
        <w:t>字</w:t>
      </w:r>
    </w:p>
    <w:p>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color w:val="231F20"/>
          <w:kern w:val="0"/>
          <w:sz w:val="44"/>
          <w:szCs w:val="44"/>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231F20"/>
          <w:kern w:val="0"/>
          <w:sz w:val="44"/>
          <w:szCs w:val="44"/>
          <w:lang w:val="en-US" w:eastAsia="zh-CN" w:bidi="ar"/>
        </w:rPr>
      </w:pPr>
      <w:r>
        <w:rPr>
          <w:rFonts w:hint="default" w:ascii="Times New Roman" w:hAnsi="Times New Roman" w:eastAsia="方正小标宋简体" w:cs="Times New Roman"/>
          <w:color w:val="231F20"/>
          <w:kern w:val="0"/>
          <w:sz w:val="44"/>
          <w:szCs w:val="44"/>
          <w:lang w:val="en-US" w:eastAsia="zh-CN" w:bidi="ar"/>
        </w:rPr>
        <w:t>淄博文昌湖省级旅游度假区管理委员会办公室</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231F20"/>
          <w:kern w:val="0"/>
          <w:sz w:val="44"/>
          <w:szCs w:val="44"/>
          <w:lang w:val="en-US" w:eastAsia="zh-CN" w:bidi="ar"/>
        </w:rPr>
      </w:pPr>
      <w:r>
        <w:rPr>
          <w:rFonts w:hint="default" w:ascii="Times New Roman" w:hAnsi="Times New Roman" w:eastAsia="方正小标宋简体" w:cs="Times New Roman"/>
          <w:color w:val="231F20"/>
          <w:kern w:val="0"/>
          <w:sz w:val="44"/>
          <w:szCs w:val="44"/>
          <w:lang w:val="en-US" w:eastAsia="zh-CN" w:bidi="ar"/>
        </w:rPr>
        <w:t>关于印发2024年文昌湖区政务公开</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231F20"/>
          <w:kern w:val="0"/>
          <w:sz w:val="44"/>
          <w:szCs w:val="44"/>
          <w:lang w:val="en-US" w:eastAsia="zh-CN" w:bidi="ar"/>
        </w:rPr>
      </w:pPr>
      <w:r>
        <w:rPr>
          <w:rFonts w:hint="default" w:ascii="Times New Roman" w:hAnsi="Times New Roman" w:eastAsia="方正小标宋简体" w:cs="Times New Roman"/>
          <w:color w:val="231F20"/>
          <w:kern w:val="0"/>
          <w:sz w:val="44"/>
          <w:szCs w:val="44"/>
          <w:lang w:val="en-US" w:eastAsia="zh-CN" w:bidi="ar"/>
        </w:rPr>
        <w:t>工作方案的通知</w:t>
      </w: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rPr>
          <w:rFonts w:hint="default" w:ascii="Times New Roman" w:hAnsi="Times New Roman" w:eastAsia="FZFSK--GBK1-0" w:cs="Times New Roman"/>
          <w:color w:val="231F20"/>
          <w:kern w:val="0"/>
          <w:sz w:val="29"/>
          <w:szCs w:val="2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231F20"/>
          <w:kern w:val="0"/>
          <w:sz w:val="32"/>
          <w:szCs w:val="32"/>
          <w:lang w:val="en-US" w:eastAsia="zh-CN" w:bidi="ar"/>
        </w:rPr>
        <w:t>各镇人民政府，区各相关部门、单位，市萌山水库管理中心：</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231F20"/>
          <w:kern w:val="0"/>
          <w:sz w:val="32"/>
          <w:szCs w:val="32"/>
          <w:lang w:val="en-US" w:eastAsia="zh-CN" w:bidi="ar"/>
        </w:rPr>
        <w:t>《2024年文昌湖区政务公开工作方案》已经区管委会同意，现印发给你们，请认真贯彻落实。</w:t>
      </w: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rPr>
          <w:rFonts w:hint="default" w:ascii="Times New Roman" w:hAnsi="Times New Roman" w:eastAsia="楷体_GB2312" w:cs="Times New Roman"/>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rPr>
          <w:rFonts w:hint="default" w:ascii="Times New Roman" w:hAnsi="Times New Roman" w:eastAsia="楷体_GB2312" w:cs="Times New Roman"/>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right"/>
        <w:textAlignment w:val="auto"/>
        <w:rPr>
          <w:rFonts w:hint="default" w:ascii="Times New Roman" w:hAnsi="Times New Roman" w:eastAsia="楷体_GB2312" w:cs="Times New Roman"/>
          <w:color w:val="231F20"/>
          <w:kern w:val="0"/>
          <w:sz w:val="32"/>
          <w:szCs w:val="32"/>
          <w:lang w:val="en-US" w:eastAsia="zh-CN" w:bidi="ar"/>
        </w:rPr>
      </w:pPr>
      <w:r>
        <w:rPr>
          <w:rFonts w:hint="default" w:ascii="Times New Roman" w:hAnsi="Times New Roman" w:eastAsia="楷体_GB2312" w:cs="Times New Roman"/>
          <w:color w:val="231F20"/>
          <w:kern w:val="0"/>
          <w:sz w:val="32"/>
          <w:szCs w:val="32"/>
          <w:lang w:val="en-US" w:eastAsia="zh-CN" w:bidi="ar"/>
        </w:rPr>
        <w:t>淄博文昌湖省级旅游度假区管理委员会办公室</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231F20"/>
          <w:kern w:val="0"/>
          <w:sz w:val="32"/>
          <w:szCs w:val="32"/>
          <w:lang w:val="en-US" w:eastAsia="zh-CN" w:bidi="ar"/>
        </w:rPr>
        <w:t xml:space="preserve">            2024年</w:t>
      </w:r>
      <w:r>
        <w:rPr>
          <w:rFonts w:hint="eastAsia" w:ascii="Times New Roman" w:hAnsi="Times New Roman" w:eastAsia="楷体_GB2312" w:cs="Times New Roman"/>
          <w:color w:val="231F20"/>
          <w:kern w:val="0"/>
          <w:sz w:val="32"/>
          <w:szCs w:val="32"/>
          <w:lang w:val="en-US" w:eastAsia="zh-CN" w:bidi="ar"/>
        </w:rPr>
        <w:t>7</w:t>
      </w:r>
      <w:r>
        <w:rPr>
          <w:rFonts w:hint="default" w:ascii="Times New Roman" w:hAnsi="Times New Roman" w:eastAsia="楷体_GB2312" w:cs="Times New Roman"/>
          <w:color w:val="231F20"/>
          <w:kern w:val="0"/>
          <w:sz w:val="32"/>
          <w:szCs w:val="32"/>
          <w:lang w:val="en-US" w:eastAsia="zh-CN" w:bidi="ar"/>
        </w:rPr>
        <w:t>月</w:t>
      </w:r>
      <w:r>
        <w:rPr>
          <w:rFonts w:hint="eastAsia" w:ascii="Times New Roman" w:hAnsi="Times New Roman" w:eastAsia="楷体_GB2312" w:cs="Times New Roman"/>
          <w:color w:val="231F20"/>
          <w:kern w:val="0"/>
          <w:sz w:val="32"/>
          <w:szCs w:val="32"/>
          <w:lang w:val="en-US" w:eastAsia="zh-CN" w:bidi="ar"/>
        </w:rPr>
        <w:t>1</w:t>
      </w:r>
      <w:r>
        <w:rPr>
          <w:rFonts w:hint="default" w:ascii="Times New Roman" w:hAnsi="Times New Roman" w:eastAsia="楷体_GB2312" w:cs="Times New Roman"/>
          <w:color w:val="231F20"/>
          <w:kern w:val="0"/>
          <w:sz w:val="32"/>
          <w:szCs w:val="32"/>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231F20"/>
          <w:kern w:val="0"/>
          <w:sz w:val="32"/>
          <w:szCs w:val="32"/>
          <w:lang w:val="en-US" w:eastAsia="zh-CN" w:bidi="ar"/>
        </w:rPr>
        <w:t>（此件公开发布）</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231F2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31F20"/>
          <w:kern w:val="0"/>
          <w:sz w:val="44"/>
          <w:szCs w:val="44"/>
          <w:lang w:val="en-US" w:eastAsia="zh-CN" w:bidi="ar"/>
        </w:rPr>
      </w:pPr>
      <w:r>
        <w:rPr>
          <w:rFonts w:hint="eastAsia" w:ascii="方正小标宋简体" w:hAnsi="方正小标宋简体" w:eastAsia="方正小标宋简体" w:cs="方正小标宋简体"/>
          <w:color w:val="231F20"/>
          <w:kern w:val="0"/>
          <w:sz w:val="44"/>
          <w:szCs w:val="44"/>
          <w:lang w:val="en-US" w:eastAsia="zh-CN" w:bidi="ar"/>
        </w:rPr>
        <w:t>2024年文昌湖区政务公开工作方案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为深入贯彻落实国家政务公开的决策部署和省</w:t>
      </w:r>
      <w:r>
        <w:rPr>
          <w:rFonts w:hint="eastAsia" w:ascii="Times New Roman" w:hAnsi="Times New Roman" w:eastAsia="仿宋_GB2312" w:cs="Times New Roman"/>
          <w:color w:val="231F20"/>
          <w:kern w:val="0"/>
          <w:sz w:val="32"/>
          <w:szCs w:val="32"/>
          <w:lang w:val="en-US" w:eastAsia="zh-CN" w:bidi="ar"/>
        </w:rPr>
        <w:t>、市</w:t>
      </w:r>
      <w:r>
        <w:rPr>
          <w:rFonts w:hint="default" w:ascii="Times New Roman" w:hAnsi="Times New Roman" w:eastAsia="仿宋_GB2312" w:cs="Times New Roman"/>
          <w:color w:val="231F20"/>
          <w:kern w:val="0"/>
          <w:sz w:val="32"/>
          <w:szCs w:val="32"/>
          <w:lang w:val="en-US" w:eastAsia="zh-CN" w:bidi="ar"/>
        </w:rPr>
        <w:t xml:space="preserve">有关工作要求，推动全区政务公开工作扎实有效开展，制定本方案。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231F20"/>
          <w:kern w:val="0"/>
          <w:sz w:val="32"/>
          <w:szCs w:val="32"/>
          <w:lang w:val="en-US" w:eastAsia="zh-CN" w:bidi="ar"/>
        </w:rPr>
        <w:t xml:space="preserve">一、总体要求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坚持以习近平新时代中国特色社会主义思想为指导，全面贯彻落实党的二十大精神，准确把握新时代政务公开新形势、新要求，紧紧围绕区工委、区管委会中心工作，统筹政务公开与安全保密，更好发挥以公开促落实、优服务、强监管作用，助力全区经济社会高质量发展，服务“3510”发展目标、“强富美优”城市愿景加快实现。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color w:val="231F20"/>
          <w:kern w:val="0"/>
          <w:sz w:val="32"/>
          <w:szCs w:val="32"/>
          <w:lang w:val="en-US" w:eastAsia="zh-CN" w:bidi="ar"/>
        </w:rPr>
      </w:pPr>
      <w:r>
        <w:rPr>
          <w:rFonts w:hint="default" w:ascii="黑体" w:hAnsi="黑体" w:eastAsia="黑体" w:cs="黑体"/>
          <w:color w:val="231F20"/>
          <w:kern w:val="0"/>
          <w:sz w:val="32"/>
          <w:szCs w:val="32"/>
          <w:lang w:val="en-US" w:eastAsia="zh-CN" w:bidi="ar"/>
        </w:rPr>
        <w:t xml:space="preserve">二、主要任务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231F20"/>
          <w:kern w:val="0"/>
          <w:sz w:val="32"/>
          <w:szCs w:val="32"/>
          <w:lang w:val="en-US" w:eastAsia="zh-CN" w:bidi="ar"/>
        </w:rPr>
        <w:t xml:space="preserve">（一）以政务公开助推重点工作落实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助推高水平开放、高质量招商引资方面：重点做好扩大有效投资、促进招商引资、高水平对外开放、支持民间投资发展等政策措施以及新能源汽车、绿色智能家电、特色医疗、健康养老、体育赛事、文娱旅游、住房改善等领域消费支持政策公开，促进经济巩固向好，加快绿色低碳高质量发展。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助推社会治理精细化方面：重点做好城市更新、乡村振兴、生态环境保护、生活垃圾分类、农资补助发放、土地及房屋征收补偿安置等领域的信息公开，加强对小微权力运行的监督，推动社会治理精细化。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助推人民群众生活品质提高方面：重点做好稳就业促增收、大规模设备更新和消费品以旧换新、医疗卫生服务能力提升、重大疾病和传染病防控、住房保障、教育、养老托育、社会救助等领域的信息公开，满足人民群众知情权，增强人民群众的获得感和认同感。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助推监管效能提升方面：重点做好机构改革后部门职能和权责清单的调整以及行政执法公示、行政事业性收费、政府性基金目录、公共资源配置、公共企事业单位、市场监管制度规则和标准等领域的信息公开，明确监管职责，提高监管透明度。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231F20"/>
          <w:kern w:val="0"/>
          <w:sz w:val="32"/>
          <w:szCs w:val="32"/>
          <w:lang w:val="en-US" w:eastAsia="zh-CN" w:bidi="ar"/>
        </w:rPr>
        <w:t xml:space="preserve">（二）做好政策公开与解读回应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231F20"/>
          <w:kern w:val="0"/>
          <w:sz w:val="32"/>
          <w:szCs w:val="32"/>
          <w:lang w:val="en-US" w:eastAsia="zh-CN" w:bidi="ar"/>
        </w:rPr>
      </w:pPr>
      <w:r>
        <w:rPr>
          <w:rFonts w:hint="default" w:ascii="Times New Roman" w:hAnsi="Times New Roman" w:eastAsia="仿宋_GB2312" w:cs="Times New Roman"/>
          <w:color w:val="231F20"/>
          <w:kern w:val="0"/>
          <w:sz w:val="32"/>
          <w:szCs w:val="32"/>
          <w:lang w:val="en-US" w:eastAsia="zh-CN" w:bidi="ar"/>
        </w:rPr>
        <w:t>加强各级政府文件库建设及集中公开工作，要根据立改废情况对已公开政策进行动态更新，以公开的准确性保障执行的准确性。强化政策集成供给，选取部分企业群众关注度高、办事需求大、政策体量大的领域，实施跨层级、跨部门的政策集成式发布和一站式公开，最大限度利企便民。探索运用大数据、人工智能等信息技术优化政策“点对点”推送，确保政策直达基层、直达企业、直达群众</w:t>
      </w:r>
      <w:r>
        <w:rPr>
          <w:rFonts w:hint="eastAsia" w:ascii="Times New Roman" w:hAnsi="Times New Roman" w:eastAsia="仿宋_GB2312" w:cs="Times New Roman"/>
          <w:color w:val="231F2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聚焦扩大有效需求、培育和发展新质生产力、数字经济、重点改革、高水平开放、高质量招商引资、乡村振兴、新型城镇化建设、降碳减污扩绿、保障改善民生等，深入开展政策解读，加速释放政策红利。要丰富解读形式、提升解读效果，让企业群众看得懂、用得上。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231F20"/>
          <w:kern w:val="0"/>
          <w:sz w:val="32"/>
          <w:szCs w:val="32"/>
          <w:lang w:val="en-US" w:eastAsia="zh-CN" w:bidi="ar"/>
        </w:rPr>
        <w:t>（三）深化政民互动与公众参与</w:t>
      </w:r>
      <w:r>
        <w:rPr>
          <w:rFonts w:hint="default" w:ascii="Times New Roman" w:hAnsi="Times New Roman" w:eastAsia="仿宋_GB2312" w:cs="Times New Roman"/>
          <w:color w:val="231F2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严格履行重大决策公众参与程序，进一步完善意见征集、采纳、反馈等工作机制。制定涉企政策时要主动听取相关企业、行业协会商会的意见。探索建立政务公开监督员制度，继续推进邀请利益相关方、公众代表、专家、媒体等列席政府有关会议工作。列席代表的意见发表和采纳情况向社会公开。常态化开展政策评价</w:t>
      </w:r>
      <w:r>
        <w:rPr>
          <w:rFonts w:hint="eastAsia" w:ascii="Times New Roman" w:hAnsi="Times New Roman" w:eastAsia="仿宋_GB2312" w:cs="Times New Roman"/>
          <w:color w:val="231F20"/>
          <w:kern w:val="0"/>
          <w:sz w:val="32"/>
          <w:szCs w:val="32"/>
          <w:lang w:val="en-US" w:eastAsia="zh-CN" w:bidi="ar"/>
        </w:rPr>
        <w:t>，</w:t>
      </w:r>
      <w:r>
        <w:rPr>
          <w:rFonts w:hint="default" w:ascii="Times New Roman" w:hAnsi="Times New Roman" w:eastAsia="仿宋_GB2312" w:cs="Times New Roman"/>
          <w:color w:val="231F20"/>
          <w:kern w:val="0"/>
          <w:sz w:val="32"/>
          <w:szCs w:val="32"/>
          <w:lang w:val="en-US" w:eastAsia="zh-CN" w:bidi="ar"/>
        </w:rPr>
        <w:t xml:space="preserve">评价结果和运用情况向社会公开。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各级政府部门单位特别是与宏观经济和民生关系密切的部门单位要通过多种形式常态化开展政府开放活动，让公众了解政府工作，反映意见诉求。鼓励以公开征集意见的方式确定活动主题。各级政务公开工作主管部门要加强对政府开放活动的调度统筹。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color w:val="231F20"/>
          <w:kern w:val="0"/>
          <w:sz w:val="32"/>
          <w:szCs w:val="32"/>
          <w:lang w:val="en-US" w:eastAsia="zh-CN" w:bidi="ar"/>
        </w:rPr>
      </w:pPr>
      <w:r>
        <w:rPr>
          <w:rFonts w:hint="default" w:ascii="楷体_GB2312" w:hAnsi="楷体_GB2312" w:eastAsia="楷体_GB2312" w:cs="楷体_GB2312"/>
          <w:color w:val="231F20"/>
          <w:kern w:val="0"/>
          <w:sz w:val="32"/>
          <w:szCs w:val="32"/>
          <w:lang w:val="en-US" w:eastAsia="zh-CN" w:bidi="ar"/>
        </w:rPr>
        <w:t xml:space="preserve">（四）提升依申请公开办理质效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畅通政府信息公开申请渠道，规范办理流程，提升答复质量，主动与申请人沟通，推动申请人合理诉求实质性解决。围绕征地拆迁、国土空间规划、社会保障等企业群众高度关注领域，推动申请较为集中的政府信息向主动公开转化。对影响面广、敏感度高的申请，要加强会商，妥善处理。开展依申请公开工作暗访检查，对存在的问题进行点评反馈，不断规范受理、答复行为。加强对信息公开复议、诉讼案件特别是败诉案件的分析研究，掌握成案及败诉原因，采取针对性措施加以改进。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231F20"/>
          <w:kern w:val="0"/>
          <w:sz w:val="32"/>
          <w:szCs w:val="32"/>
          <w:lang w:val="en-US" w:eastAsia="zh-CN" w:bidi="ar"/>
        </w:rPr>
        <w:t xml:space="preserve">（五）完善主动公开事项目录体系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以正在执行的主动公开基本目录和各领域基层政务公开事项标准目录为基础，全面梳理法律、法规、规章中关于主动公开信息的规定，逐项明确公开主体、内容、时限、方式、渠道、责任等要素，编制各级政府及政府部门单</w:t>
      </w:r>
      <w:r>
        <w:rPr>
          <w:rFonts w:hint="default" w:ascii="Times New Roman" w:hAnsi="Times New Roman" w:eastAsia="仿宋_GB2312" w:cs="Times New Roman"/>
          <w:color w:val="231F20"/>
          <w:kern w:val="0"/>
          <w:sz w:val="32"/>
          <w:szCs w:val="32"/>
          <w:highlight w:val="none"/>
          <w:lang w:val="en-US" w:eastAsia="zh-CN" w:bidi="ar"/>
        </w:rPr>
        <w:t>位主动公开事项目录，</w:t>
      </w:r>
      <w:r>
        <w:rPr>
          <w:rFonts w:hint="default" w:ascii="Times New Roman" w:hAnsi="Times New Roman" w:eastAsia="仿宋_GB2312" w:cs="Times New Roman"/>
          <w:color w:val="231F20"/>
          <w:kern w:val="0"/>
          <w:sz w:val="32"/>
          <w:szCs w:val="32"/>
          <w:lang w:val="en-US" w:eastAsia="zh-CN" w:bidi="ar"/>
        </w:rPr>
        <w:t>做到法定公开事项公开到位，其他事项审慎主动公开。主动公开事项目录编制完成后，原有主动公开基本目录不再保留。全力抓好主动公开事项目录落实，同步调整政府网站栏目，完善其他公开渠道，确保事项目录要求与实际公开内容一致。目录编制及落实工作按照</w:t>
      </w:r>
      <w:r>
        <w:rPr>
          <w:rFonts w:hint="eastAsia" w:ascii="Times New Roman" w:hAnsi="Times New Roman" w:eastAsia="仿宋_GB2312" w:cs="Times New Roman"/>
          <w:color w:val="231F20"/>
          <w:kern w:val="0"/>
          <w:sz w:val="32"/>
          <w:szCs w:val="32"/>
          <w:lang w:val="en-US" w:eastAsia="zh-CN" w:bidi="ar"/>
        </w:rPr>
        <w:t>市</w:t>
      </w:r>
      <w:r>
        <w:rPr>
          <w:rFonts w:hint="default" w:ascii="Times New Roman" w:hAnsi="Times New Roman" w:eastAsia="仿宋_GB2312" w:cs="Times New Roman"/>
          <w:color w:val="231F20"/>
          <w:kern w:val="0"/>
          <w:sz w:val="32"/>
          <w:szCs w:val="32"/>
          <w:lang w:val="en-US" w:eastAsia="zh-CN" w:bidi="ar"/>
        </w:rPr>
        <w:t xml:space="preserve">专门部署压茬进行。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231F20"/>
          <w:kern w:val="0"/>
          <w:sz w:val="32"/>
          <w:szCs w:val="32"/>
          <w:lang w:val="en-US" w:eastAsia="zh-CN" w:bidi="ar"/>
        </w:rPr>
        <w:t>（六）拓展优化公开平台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突出政府网站信息发布、解读回应、办事服务、互动交流等功能，构建政府网站为主、其他发布渠道为辅的公开平台。推动12345政务服务便民热线与政务服务平台、政府网站互动交流系统、政务新媒体等互联互通，共享共用政策业务咨询问答知识库。强化政府网站和政务新媒体管理，在公开前明确各类信息的公开时限，建立健全对已公开信息的管理制度。更好统筹政务公开和安全保密，依法对拟公开信息进行保密审查，防止国家秘密、工作秘密和敏感信息泄露。以提升服务效能为目的，对现有政务公开专区进行规范升级，有序开展重要政策现场解读、综合政策</w:t>
      </w:r>
      <w:r>
        <w:rPr>
          <w:rFonts w:hint="eastAsia" w:ascii="Times New Roman" w:hAnsi="Times New Roman" w:eastAsia="仿宋_GB2312" w:cs="Times New Roman"/>
          <w:color w:val="231F20"/>
          <w:kern w:val="0"/>
          <w:sz w:val="32"/>
          <w:szCs w:val="32"/>
          <w:lang w:val="en-US" w:eastAsia="zh-CN" w:bidi="ar"/>
        </w:rPr>
        <w:t>咨</w:t>
      </w:r>
      <w:r>
        <w:rPr>
          <w:rFonts w:hint="default" w:ascii="Times New Roman" w:hAnsi="Times New Roman" w:eastAsia="仿宋_GB2312" w:cs="Times New Roman"/>
          <w:color w:val="231F20"/>
          <w:kern w:val="0"/>
          <w:sz w:val="32"/>
          <w:szCs w:val="32"/>
          <w:lang w:val="en-US" w:eastAsia="zh-CN" w:bidi="ar"/>
        </w:rPr>
        <w:t xml:space="preserve">询、办事流程场景展示等活动，筛选打造一批有特色、有亮点的品牌专区。探索适合基层特点的公开渠道，推动基层政务公开与村（居）务公开衔接协同。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231F20"/>
          <w:kern w:val="0"/>
          <w:sz w:val="32"/>
          <w:szCs w:val="32"/>
          <w:lang w:val="en-US" w:eastAsia="zh-CN" w:bidi="ar"/>
        </w:rPr>
        <w:t xml:space="preserve">三、组织领导和工作保障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231F20"/>
          <w:kern w:val="0"/>
          <w:sz w:val="32"/>
          <w:szCs w:val="32"/>
          <w:lang w:val="en-US" w:eastAsia="zh-CN" w:bidi="ar"/>
        </w:rPr>
        <w:t>（一）加强组织领导。</w:t>
      </w:r>
      <w:r>
        <w:rPr>
          <w:rFonts w:hint="default" w:ascii="Times New Roman" w:hAnsi="Times New Roman" w:eastAsia="仿宋_GB2312" w:cs="Times New Roman"/>
          <w:color w:val="231F20"/>
          <w:kern w:val="0"/>
          <w:sz w:val="32"/>
          <w:szCs w:val="32"/>
          <w:lang w:val="en-US" w:eastAsia="zh-CN" w:bidi="ar"/>
        </w:rPr>
        <w:t xml:space="preserve">各级各部门单位要加强政务公开队伍建设，配齐配强工作力量，推动业务工作与政务公开深度融合，定期听取政务公开工作汇报并研究解决重点难点问题。对需要多部门、多机构配合的公开任务，要加强协调，形成合力，确保各项工作落实到位。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231F20"/>
          <w:kern w:val="0"/>
          <w:sz w:val="32"/>
          <w:szCs w:val="32"/>
          <w:lang w:val="en-US" w:eastAsia="zh-CN" w:bidi="ar"/>
        </w:rPr>
      </w:pPr>
      <w:r>
        <w:rPr>
          <w:rFonts w:hint="default" w:ascii="楷体_GB2312" w:hAnsi="楷体_GB2312" w:eastAsia="楷体_GB2312" w:cs="楷体_GB2312"/>
          <w:color w:val="231F20"/>
          <w:kern w:val="0"/>
          <w:sz w:val="32"/>
          <w:szCs w:val="32"/>
          <w:lang w:val="en-US" w:eastAsia="zh-CN" w:bidi="ar"/>
        </w:rPr>
        <w:t>（二）全面开展培训。</w:t>
      </w:r>
      <w:r>
        <w:rPr>
          <w:rFonts w:hint="default" w:ascii="Times New Roman" w:hAnsi="Times New Roman" w:eastAsia="仿宋_GB2312" w:cs="Times New Roman"/>
          <w:color w:val="231F20"/>
          <w:kern w:val="0"/>
          <w:sz w:val="32"/>
          <w:szCs w:val="32"/>
          <w:lang w:val="en-US" w:eastAsia="zh-CN" w:bidi="ar"/>
        </w:rPr>
        <w:t>推动把政务公开法规政策纳入各级领导干部学法、各类公务员培训内容，提升全体政府工作人员公开意识。各级各部门单位年内至少组织一次专门业务培训，推动持续提升公开能力。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231F20"/>
          <w:kern w:val="0"/>
          <w:sz w:val="32"/>
          <w:szCs w:val="32"/>
          <w:lang w:val="en-US" w:eastAsia="zh-CN" w:bidi="ar"/>
        </w:rPr>
        <w:t>（三）广泛学习交流。</w:t>
      </w:r>
      <w:r>
        <w:rPr>
          <w:rFonts w:hint="default" w:ascii="Times New Roman" w:hAnsi="Times New Roman" w:eastAsia="仿宋_GB2312" w:cs="Times New Roman"/>
          <w:color w:val="231F20"/>
          <w:kern w:val="0"/>
          <w:sz w:val="32"/>
          <w:szCs w:val="32"/>
          <w:lang w:val="en-US" w:eastAsia="zh-CN" w:bidi="ar"/>
        </w:rPr>
        <w:t xml:space="preserve">各级各部门单位要主动对标政务公开先进地区和先进单位，采取走出去、请进来、网上学等多种方式，积极借鉴目录编制、栏目设置、内容维护以及工作推进等方面的经验做法，切实提升本部门单位政务公开工作水平。要注重总结提炼政务公开工作经验、典型案例，积极宣传推广，充分发挥示范引领作用，营造“互学互鉴、比学赶超”的浓厚氛围。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231F20"/>
          <w:kern w:val="0"/>
          <w:sz w:val="32"/>
          <w:szCs w:val="32"/>
          <w:lang w:val="en-US" w:eastAsia="zh-CN" w:bidi="ar"/>
        </w:rPr>
        <w:t>（四）强化监督考核。</w:t>
      </w:r>
      <w:r>
        <w:rPr>
          <w:rFonts w:hint="default" w:ascii="Times New Roman" w:hAnsi="Times New Roman" w:eastAsia="仿宋_GB2312" w:cs="Times New Roman"/>
          <w:color w:val="231F20"/>
          <w:kern w:val="0"/>
          <w:sz w:val="32"/>
          <w:szCs w:val="32"/>
          <w:lang w:val="en-US" w:eastAsia="zh-CN" w:bidi="ar"/>
        </w:rPr>
        <w:t xml:space="preserve">加强日常监测反馈，组织开展年度考核，增强各级各部门单位公开主动性，推动政务公开常态化开展。夯实“管业务就要管公开”工作机制，各级各部门单位在部署安排各项业务工作时，要指导、督促下级和同级相关部门同步做好相应公开工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各级各部门单位要对照本方案提出的重点任务，梳理形成工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 xml:space="preserve">作配档表，实时跟进推动，并将落实情况纳入政府信息公开工作年度报告予以公开，接受社会监督。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231F20"/>
          <w:kern w:val="0"/>
          <w:sz w:val="32"/>
          <w:szCs w:val="32"/>
          <w:lang w:val="en-US" w:eastAsia="zh-CN" w:bidi="ar"/>
        </w:rPr>
        <w:t>附件：</w:t>
      </w:r>
      <w:r>
        <w:rPr>
          <w:rFonts w:hint="eastAsia" w:ascii="Times New Roman" w:hAnsi="Times New Roman" w:eastAsia="仿宋_GB2312" w:cs="Times New Roman"/>
          <w:color w:val="231F20"/>
          <w:kern w:val="0"/>
          <w:sz w:val="32"/>
          <w:szCs w:val="32"/>
          <w:lang w:val="en-US" w:eastAsia="zh-CN" w:bidi="ar"/>
        </w:rPr>
        <w:t>1.</w:t>
      </w:r>
      <w:r>
        <w:rPr>
          <w:rFonts w:hint="default" w:ascii="Times New Roman" w:hAnsi="Times New Roman" w:eastAsia="仿宋_GB2312" w:cs="Times New Roman"/>
          <w:color w:val="231F20"/>
          <w:kern w:val="0"/>
          <w:sz w:val="32"/>
          <w:szCs w:val="32"/>
          <w:lang w:val="en-US" w:eastAsia="zh-CN" w:bidi="ar"/>
        </w:rPr>
        <w:t xml:space="preserve">2024年文昌湖区政务公开重点工作分解表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left"/>
        <w:textAlignment w:val="auto"/>
        <w:rPr>
          <w:rFonts w:hint="default" w:ascii="Times New Roman" w:hAnsi="Times New Roman" w:eastAsia="仿宋_GB2312" w:cs="Times New Roman"/>
          <w:color w:val="231F20"/>
          <w:kern w:val="0"/>
          <w:sz w:val="32"/>
          <w:szCs w:val="32"/>
          <w:lang w:val="en-US" w:eastAsia="zh-CN" w:bidi="ar"/>
        </w:rPr>
      </w:pPr>
      <w:r>
        <w:rPr>
          <w:rFonts w:hint="eastAsia" w:ascii="Times New Roman" w:hAnsi="Times New Roman" w:eastAsia="仿宋_GB2312" w:cs="Times New Roman"/>
          <w:color w:val="231F20"/>
          <w:kern w:val="0"/>
          <w:sz w:val="32"/>
          <w:szCs w:val="32"/>
          <w:lang w:val="en-US" w:eastAsia="zh-CN" w:bidi="ar"/>
        </w:rPr>
        <w:t>2.</w:t>
      </w:r>
      <w:r>
        <w:rPr>
          <w:rFonts w:hint="default" w:ascii="Times New Roman" w:hAnsi="Times New Roman" w:eastAsia="仿宋_GB2312" w:cs="Times New Roman"/>
          <w:color w:val="231F20"/>
          <w:kern w:val="0"/>
          <w:sz w:val="32"/>
          <w:szCs w:val="32"/>
          <w:lang w:val="en-US" w:eastAsia="zh-CN" w:bidi="ar"/>
        </w:rPr>
        <w:t>政府开放活动计划安排报送表</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pStyle w:val="6"/>
        <w:pageBreakBefore w:val="0"/>
        <w:kinsoku/>
        <w:wordWrap/>
        <w:overflowPunct/>
        <w:topLinePunct w:val="0"/>
        <w:autoSpaceDE/>
        <w:autoSpaceDN/>
        <w:bidi w:val="0"/>
        <w:adjustRightInd/>
        <w:snapToGrid/>
        <w:spacing w:line="600" w:lineRule="exact"/>
        <w:rPr>
          <w:rFonts w:hint="default"/>
        </w:rPr>
      </w:pPr>
    </w:p>
    <w:p>
      <w:pPr>
        <w:keepNext w:val="0"/>
        <w:keepLines w:val="0"/>
        <w:pageBreakBefore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ZGE2ODgwMmY5ZTZiNzE1MmYyNzQyZWY1NTE4NGYifQ=="/>
  </w:docVars>
  <w:rsids>
    <w:rsidRoot w:val="00000000"/>
    <w:rsid w:val="0797489E"/>
    <w:rsid w:val="0DEA1BCB"/>
    <w:rsid w:val="10296ACF"/>
    <w:rsid w:val="147F2942"/>
    <w:rsid w:val="1B682914"/>
    <w:rsid w:val="27CB51EF"/>
    <w:rsid w:val="2822353E"/>
    <w:rsid w:val="2BDE7D3D"/>
    <w:rsid w:val="2EE024C7"/>
    <w:rsid w:val="3276317E"/>
    <w:rsid w:val="38BB6987"/>
    <w:rsid w:val="398076C8"/>
    <w:rsid w:val="42C615B8"/>
    <w:rsid w:val="49CB1859"/>
    <w:rsid w:val="50081462"/>
    <w:rsid w:val="63FD075A"/>
    <w:rsid w:val="660D2ED6"/>
    <w:rsid w:val="67340937"/>
    <w:rsid w:val="6808100B"/>
    <w:rsid w:val="6AD03EB5"/>
    <w:rsid w:val="6B3830FC"/>
    <w:rsid w:val="79A61220"/>
    <w:rsid w:val="79C77BAA"/>
    <w:rsid w:val="7A8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1"/>
    <w:basedOn w:val="1"/>
    <w:next w:val="1"/>
    <w:qFormat/>
    <w:uiPriority w:val="0"/>
    <w:pPr>
      <w:keepNext/>
      <w:keepLines/>
      <w:spacing w:line="576" w:lineRule="auto"/>
      <w:jc w:val="both"/>
      <w:textAlignment w:val="baseline"/>
    </w:pPr>
    <w:rPr>
      <w:rFonts w:ascii="Calibri" w:hAnsi="Calibri" w:eastAsia="宋体" w:cs="Times New Roman"/>
      <w:b/>
      <w:kern w:val="44"/>
      <w:sz w:val="44"/>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2831</Words>
  <Characters>2861</Characters>
  <Lines>0</Lines>
  <Paragraphs>0</Paragraphs>
  <TotalTime>21</TotalTime>
  <ScaleCrop>false</ScaleCrop>
  <LinksUpToDate>false</LinksUpToDate>
  <CharactersWithSpaces>2898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2024-06-05T01:04:00Z</dcterms:created>
  <dc:creator>Lenovo</dc:creator>
  <cp:lastModifiedBy>李吉顺</cp:lastModifiedBy>
  <cp:lastPrinted>2024-07-01T06:53:20Z</cp:lastPrinted>
  <dcterms:modified xsi:type="dcterms:W3CDTF">2024-07-01T06:54:34Z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0F206448B92D4802A9C3BDCD48AC2BE7_12</vt:lpwstr>
  </property>
</Properties>
</file>