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淄博文昌湖省级旅游度假区管理委员会办公室</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2021年政府信息公开工作年度报告</w:t>
      </w:r>
    </w:p>
    <w:p>
      <w:pPr>
        <w:pStyle w:val="2"/>
        <w:ind w:firstLine="640" w:firstLineChars="200"/>
        <w:rPr>
          <w:rFonts w:hint="default" w:ascii="Times New Roman" w:hAnsi="Times New Roman" w:eastAsia="仿宋_GB2312" w:cs="Times New Roman"/>
          <w:b w:val="0"/>
          <w:bCs w:val="0"/>
          <w:i w:val="0"/>
          <w:iCs w:val="0"/>
          <w:caps w:val="0"/>
          <w:color w:val="000000"/>
          <w:spacing w:val="-40"/>
          <w:kern w:val="2"/>
          <w:sz w:val="32"/>
          <w:szCs w:val="32"/>
          <w:shd w:val="clear" w:fill="FFFFFF"/>
          <w:lang w:val="en-US" w:eastAsia="zh-CN" w:bidi="ar-SA"/>
        </w:rPr>
      </w:pPr>
      <w:r>
        <w:rPr>
          <w:rFonts w:hint="eastAsia" w:ascii="Times New Roman" w:hAnsi="Times New Roman" w:eastAsia="仿宋_GB2312" w:cs="Times New Roman"/>
          <w:b w:val="0"/>
          <w:bCs w:val="0"/>
          <w:sz w:val="32"/>
          <w:szCs w:val="32"/>
          <w:lang w:val="en-US" w:eastAsia="zh-CN"/>
        </w:rPr>
        <w:t>本报告根据《中华人民共和国政府信息公开条例》、《国务院办公厅政府信息与政务公开办公室关于印发&lt;中华人民共和国政府信息公开工作年度报告格式&gt;的通知》（国办公开办函</w:t>
      </w:r>
      <w:r>
        <w:rPr>
          <w:rFonts w:hint="eastAsia" w:ascii="仿宋_GB2312" w:hAnsi="仿宋_GB2312" w:eastAsia="仿宋_GB2312" w:cs="仿宋_GB2312"/>
          <w:b w:val="0"/>
          <w:bCs w:val="0"/>
          <w:sz w:val="32"/>
          <w:szCs w:val="32"/>
          <w:lang w:val="en-US" w:eastAsia="zh-CN"/>
        </w:rPr>
        <w:t>〔2021〕30号</w:t>
      </w:r>
      <w:r>
        <w:rPr>
          <w:rFonts w:hint="eastAsia" w:ascii="Times New Roman" w:hAnsi="Times New Roman" w:eastAsia="仿宋_GB2312" w:cs="Times New Roman"/>
          <w:b w:val="0"/>
          <w:bCs w:val="0"/>
          <w:sz w:val="32"/>
          <w:szCs w:val="32"/>
          <w:lang w:val="en-US" w:eastAsia="zh-CN"/>
        </w:rPr>
        <w:t>）编制。报告主要包括：总体情况、主动公开政府信息情况、收到和处理政府信息公开申请情况、因政府信息公开被申请行政复议和提起行政诉讼情况、政府信息公开工作存在主要问题及改</w:t>
      </w:r>
      <w:r>
        <w:rPr>
          <w:rFonts w:hint="default" w:ascii="Times New Roman" w:hAnsi="Times New Roman" w:eastAsia="仿宋_GB2312" w:cs="Times New Roman"/>
          <w:b w:val="0"/>
          <w:bCs w:val="0"/>
          <w:sz w:val="32"/>
          <w:szCs w:val="32"/>
          <w:lang w:val="en-US" w:eastAsia="zh-CN"/>
        </w:rPr>
        <w:t>进情况和其他需要报告事项。本报告中所列数据的统计期限自2021年1月1日起，至2021年12月31日止。本报告可在淄</w:t>
      </w:r>
      <w:r>
        <w:rPr>
          <w:rFonts w:hint="eastAsia" w:ascii="仿宋_GB2312" w:hAnsi="仿宋_GB2312" w:eastAsia="仿宋_GB2312" w:cs="仿宋_GB2312"/>
          <w:b w:val="0"/>
          <w:bCs w:val="0"/>
          <w:sz w:val="32"/>
          <w:szCs w:val="32"/>
          <w:lang w:val="en-US" w:eastAsia="zh-CN"/>
        </w:rPr>
        <w:t>博</w:t>
      </w:r>
      <w:r>
        <w:rPr>
          <w:rFonts w:hint="default" w:ascii="Times New Roman" w:hAnsi="Times New Roman" w:eastAsia="仿宋_GB2312" w:cs="Times New Roman"/>
          <w:b w:val="0"/>
          <w:bCs w:val="0"/>
          <w:i w:val="0"/>
          <w:iCs w:val="0"/>
          <w:caps w:val="0"/>
          <w:color w:val="000000"/>
          <w:spacing w:val="-20"/>
          <w:kern w:val="2"/>
          <w:sz w:val="32"/>
          <w:szCs w:val="32"/>
          <w:shd w:val="clear" w:fill="FFFFFF"/>
          <w:lang w:val="en-US" w:eastAsia="zh-CN" w:bidi="ar-SA"/>
        </w:rPr>
        <w:t>文昌湖区省级旅游度假区门户网</w:t>
      </w:r>
      <w:r>
        <w:rPr>
          <w:rFonts w:hint="eastAsia" w:ascii="Times New Roman" w:hAnsi="Times New Roman" w:eastAsia="仿宋_GB2312" w:cs="Times New Roman"/>
          <w:b w:val="0"/>
          <w:bCs w:val="0"/>
          <w:i w:val="0"/>
          <w:iCs w:val="0"/>
          <w:caps w:val="0"/>
          <w:color w:val="000000"/>
          <w:spacing w:val="-20"/>
          <w:kern w:val="2"/>
          <w:sz w:val="32"/>
          <w:szCs w:val="32"/>
          <w:shd w:val="clear" w:fill="FFFFFF"/>
          <w:lang w:val="en-US" w:eastAsia="zh-CN" w:bidi="ar-SA"/>
        </w:rPr>
        <w:t>站</w:t>
      </w:r>
      <w:r>
        <w:rPr>
          <w:rFonts w:hint="eastAsia" w:ascii="Times New Roman" w:hAnsi="Times New Roman" w:eastAsia="仿宋_GB2312" w:cs="Times New Roman"/>
          <w:b w:val="0"/>
          <w:bCs w:val="0"/>
          <w:i w:val="0"/>
          <w:iCs w:val="0"/>
          <w:caps w:val="0"/>
          <w:color w:val="000000"/>
          <w:spacing w:val="0"/>
          <w:kern w:val="2"/>
          <w:sz w:val="32"/>
          <w:szCs w:val="32"/>
          <w:shd w:val="clear" w:fill="FFFFFF"/>
          <w:lang w:val="en-US" w:eastAsia="zh-CN" w:bidi="ar-SA"/>
        </w:rPr>
        <w:t>（</w:t>
      </w:r>
      <w:r>
        <w:rPr>
          <w:rFonts w:hint="default" w:ascii="Times New Roman" w:hAnsi="Times New Roman" w:eastAsia="仿宋_GB2312" w:cs="Times New Roman"/>
          <w:b w:val="0"/>
          <w:bCs w:val="0"/>
          <w:i w:val="0"/>
          <w:iCs w:val="0"/>
          <w:caps w:val="0"/>
          <w:color w:val="000000"/>
          <w:spacing w:val="0"/>
          <w:kern w:val="2"/>
          <w:sz w:val="32"/>
          <w:szCs w:val="32"/>
          <w:shd w:val="clear" w:fill="FFFFFF"/>
          <w:lang w:val="en-US" w:eastAsia="zh-CN" w:bidi="ar-SA"/>
        </w:rPr>
        <w:t>http://www.sdwenchanghu.gov.cn/）下载。如对本报告有任何疑问，请与淄博文昌湖省级旅游度假区管理委员会办公室联系（地址：淄博市文昌湖区萌水镇防汛路1 号</w:t>
      </w:r>
      <w:r>
        <w:rPr>
          <w:rFonts w:hint="default" w:ascii="Times New Roman" w:hAnsi="Times New Roman" w:eastAsia="仿宋_GB2312" w:cs="Times New Roman"/>
          <w:b w:val="0"/>
          <w:bCs w:val="0"/>
          <w:i w:val="0"/>
          <w:iCs w:val="0"/>
          <w:caps w:val="0"/>
          <w:color w:val="000000"/>
          <w:spacing w:val="-20"/>
          <w:kern w:val="2"/>
          <w:sz w:val="32"/>
          <w:szCs w:val="32"/>
          <w:shd w:val="clear" w:fill="FFFFFF"/>
          <w:lang w:val="en-US" w:eastAsia="zh-CN" w:bidi="ar-SA"/>
        </w:rPr>
        <w:t>2</w:t>
      </w:r>
      <w:r>
        <w:rPr>
          <w:rFonts w:hint="default" w:ascii="Times New Roman" w:hAnsi="Times New Roman" w:eastAsia="仿宋_GB2312" w:cs="Times New Roman"/>
          <w:b w:val="0"/>
          <w:bCs w:val="0"/>
          <w:i w:val="0"/>
          <w:iCs w:val="0"/>
          <w:caps w:val="0"/>
          <w:color w:val="000000"/>
          <w:spacing w:val="-40"/>
          <w:kern w:val="2"/>
          <w:sz w:val="32"/>
          <w:szCs w:val="32"/>
          <w:shd w:val="clear" w:fill="FFFFFF"/>
          <w:lang w:val="en-US" w:eastAsia="zh-CN" w:bidi="ar-SA"/>
        </w:rPr>
        <w:t>19室；联系电话：6030011</w:t>
      </w:r>
      <w:r>
        <w:rPr>
          <w:rFonts w:hint="eastAsia" w:ascii="Times New Roman" w:hAnsi="Times New Roman" w:eastAsia="仿宋_GB2312" w:cs="Times New Roman"/>
          <w:b w:val="0"/>
          <w:bCs w:val="0"/>
          <w:i w:val="0"/>
          <w:iCs w:val="0"/>
          <w:caps w:val="0"/>
          <w:color w:val="000000"/>
          <w:spacing w:val="-40"/>
          <w:kern w:val="2"/>
          <w:sz w:val="32"/>
          <w:szCs w:val="32"/>
          <w:shd w:val="clear" w:fill="FFFFFF"/>
          <w:lang w:val="en-US" w:eastAsia="zh-CN" w:bidi="ar-SA"/>
        </w:rPr>
        <w:t>，邮箱：wenchanghuqudgwgwhbgs</w:t>
      </w:r>
      <w:r>
        <w:rPr>
          <w:rFonts w:hint="default" w:ascii="Times New Roman" w:hAnsi="Times New Roman" w:eastAsia="宋体" w:cs="Times New Roman"/>
          <w:i w:val="0"/>
          <w:iCs w:val="0"/>
          <w:caps w:val="0"/>
          <w:color w:val="3D3D3D"/>
          <w:spacing w:val="-40"/>
          <w:sz w:val="32"/>
          <w:szCs w:val="32"/>
          <w:shd w:val="clear" w:fill="FFFFFF"/>
        </w:rPr>
        <w:t>@zb.shandong.cn</w:t>
      </w:r>
      <w:r>
        <w:rPr>
          <w:rFonts w:hint="default" w:ascii="Times New Roman" w:hAnsi="Times New Roman" w:eastAsia="仿宋_GB2312" w:cs="Times New Roman"/>
          <w:b w:val="0"/>
          <w:bCs w:val="0"/>
          <w:i w:val="0"/>
          <w:iCs w:val="0"/>
          <w:caps w:val="0"/>
          <w:color w:val="000000"/>
          <w:spacing w:val="-40"/>
          <w:kern w:val="2"/>
          <w:sz w:val="32"/>
          <w:szCs w:val="32"/>
          <w:shd w:val="clear" w:fill="FFFFFF"/>
          <w:lang w:val="en-US" w:eastAsia="zh-CN" w:bidi="ar-SA"/>
        </w:rPr>
        <w:t>）。</w:t>
      </w:r>
    </w:p>
    <w:p>
      <w:pPr>
        <w:numPr>
          <w:ilvl w:val="0"/>
          <w:numId w:val="1"/>
        </w:numPr>
        <w:ind w:firstLine="640" w:firstLineChars="200"/>
        <w:rPr>
          <w:rFonts w:hint="eastAsia" w:ascii="黑体" w:hAnsi="黑体" w:eastAsia="黑体" w:cs="黑体"/>
          <w:i w:val="0"/>
          <w:iCs w:val="0"/>
          <w:caps w:val="0"/>
          <w:color w:val="000000"/>
          <w:spacing w:val="0"/>
          <w:sz w:val="32"/>
          <w:szCs w:val="32"/>
          <w:shd w:val="clear" w:fill="FFFFFF"/>
          <w:lang w:eastAsia="zh-CN"/>
        </w:rPr>
      </w:pPr>
      <w:r>
        <w:rPr>
          <w:rFonts w:hint="eastAsia" w:ascii="黑体" w:hAnsi="黑体" w:eastAsia="黑体" w:cs="黑体"/>
          <w:i w:val="0"/>
          <w:iCs w:val="0"/>
          <w:caps w:val="0"/>
          <w:color w:val="000000"/>
          <w:spacing w:val="0"/>
          <w:sz w:val="32"/>
          <w:szCs w:val="32"/>
          <w:shd w:val="clear" w:fill="FFFFFF"/>
          <w:lang w:eastAsia="zh-CN"/>
        </w:rPr>
        <w:t>总体情况</w:t>
      </w:r>
    </w:p>
    <w:p>
      <w:pPr>
        <w:numPr>
          <w:ilvl w:val="0"/>
          <w:numId w:val="2"/>
        </w:numPr>
        <w:ind w:firstLine="640" w:firstLineChars="200"/>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主动公开情况：</w:t>
      </w:r>
      <w:r>
        <w:rPr>
          <w:rFonts w:ascii="仿宋" w:hAnsi="仿宋" w:eastAsia="仿宋" w:cs="仿宋"/>
          <w:i w:val="0"/>
          <w:iCs w:val="0"/>
          <w:caps w:val="0"/>
          <w:color w:val="000000"/>
          <w:spacing w:val="0"/>
          <w:sz w:val="32"/>
          <w:szCs w:val="32"/>
          <w:shd w:val="clear" w:fill="FFFFFF"/>
        </w:rPr>
        <w:t>及时调整</w:t>
      </w:r>
      <w:r>
        <w:rPr>
          <w:rFonts w:hint="eastAsia" w:ascii="仿宋" w:hAnsi="仿宋" w:eastAsia="仿宋" w:cs="仿宋"/>
          <w:i w:val="0"/>
          <w:iCs w:val="0"/>
          <w:caps w:val="0"/>
          <w:color w:val="000000"/>
          <w:spacing w:val="0"/>
          <w:sz w:val="32"/>
          <w:szCs w:val="32"/>
          <w:shd w:val="clear" w:fill="FFFFFF"/>
          <w:lang w:eastAsia="zh-CN"/>
        </w:rPr>
        <w:t>区管委会办公室</w:t>
      </w:r>
      <w:r>
        <w:rPr>
          <w:rFonts w:ascii="仿宋" w:hAnsi="仿宋" w:eastAsia="仿宋" w:cs="仿宋"/>
          <w:i w:val="0"/>
          <w:iCs w:val="0"/>
          <w:caps w:val="0"/>
          <w:color w:val="000000"/>
          <w:spacing w:val="0"/>
          <w:sz w:val="32"/>
          <w:szCs w:val="32"/>
          <w:shd w:val="clear" w:fill="FFFFFF"/>
        </w:rPr>
        <w:t>信息公开工作领导小组，定期更新主动公开基本目录，</w:t>
      </w:r>
      <w:r>
        <w:rPr>
          <w:rFonts w:ascii="仿宋_GB2312" w:hAnsi="Times New Roman" w:eastAsia="仿宋_GB2312" w:cs="仿宋_GB2312"/>
          <w:i w:val="0"/>
          <w:iCs w:val="0"/>
          <w:caps w:val="0"/>
          <w:color w:val="000000"/>
          <w:spacing w:val="0"/>
          <w:sz w:val="32"/>
          <w:szCs w:val="32"/>
          <w:shd w:val="clear" w:fill="FFFFFF"/>
        </w:rPr>
        <w:t>主动</w:t>
      </w:r>
      <w:r>
        <w:rPr>
          <w:rFonts w:hint="eastAsia" w:ascii="仿宋_GB2312" w:hAnsi="Times New Roman" w:eastAsia="仿宋_GB2312" w:cs="仿宋_GB2312"/>
          <w:i w:val="0"/>
          <w:iCs w:val="0"/>
          <w:caps w:val="0"/>
          <w:color w:val="000000"/>
          <w:spacing w:val="0"/>
          <w:sz w:val="32"/>
          <w:szCs w:val="32"/>
          <w:shd w:val="clear" w:fill="FFFFFF"/>
        </w:rPr>
        <w:t>公开区</w:t>
      </w:r>
      <w:r>
        <w:rPr>
          <w:rFonts w:hint="eastAsia" w:ascii="仿宋_GB2312" w:hAnsi="Times New Roman" w:eastAsia="仿宋_GB2312" w:cs="仿宋_GB2312"/>
          <w:i w:val="0"/>
          <w:iCs w:val="0"/>
          <w:caps w:val="0"/>
          <w:color w:val="000000"/>
          <w:spacing w:val="0"/>
          <w:sz w:val="32"/>
          <w:szCs w:val="32"/>
          <w:shd w:val="clear" w:fill="FFFFFF"/>
          <w:lang w:eastAsia="zh-CN"/>
        </w:rPr>
        <w:t>管委会</w:t>
      </w:r>
      <w:r>
        <w:rPr>
          <w:rFonts w:hint="eastAsia" w:ascii="仿宋_GB2312" w:hAnsi="Times New Roman" w:eastAsia="仿宋_GB2312" w:cs="仿宋_GB2312"/>
          <w:i w:val="0"/>
          <w:iCs w:val="0"/>
          <w:caps w:val="0"/>
          <w:color w:val="000000"/>
          <w:spacing w:val="0"/>
          <w:sz w:val="32"/>
          <w:szCs w:val="32"/>
          <w:shd w:val="clear" w:fill="FFFFFF"/>
        </w:rPr>
        <w:t>领导信息、财政预决算、区</w:t>
      </w:r>
      <w:r>
        <w:rPr>
          <w:rFonts w:hint="eastAsia" w:ascii="仿宋_GB2312" w:hAnsi="Times New Roman" w:eastAsia="仿宋_GB2312" w:cs="仿宋_GB2312"/>
          <w:i w:val="0"/>
          <w:iCs w:val="0"/>
          <w:caps w:val="0"/>
          <w:color w:val="000000"/>
          <w:spacing w:val="0"/>
          <w:sz w:val="32"/>
          <w:szCs w:val="32"/>
          <w:shd w:val="clear" w:fill="FFFFFF"/>
          <w:lang w:eastAsia="zh-CN"/>
        </w:rPr>
        <w:t>管委会</w:t>
      </w:r>
      <w:r>
        <w:rPr>
          <w:rFonts w:hint="eastAsia" w:ascii="仿宋_GB2312" w:hAnsi="Times New Roman" w:eastAsia="仿宋_GB2312" w:cs="仿宋_GB2312"/>
          <w:i w:val="0"/>
          <w:iCs w:val="0"/>
          <w:caps w:val="0"/>
          <w:color w:val="000000"/>
          <w:spacing w:val="0"/>
          <w:sz w:val="32"/>
          <w:szCs w:val="32"/>
          <w:shd w:val="clear" w:fill="FFFFFF"/>
        </w:rPr>
        <w:t>文件及政策解读、区</w:t>
      </w:r>
      <w:r>
        <w:rPr>
          <w:rFonts w:hint="eastAsia" w:ascii="仿宋_GB2312" w:hAnsi="Times New Roman" w:eastAsia="仿宋_GB2312" w:cs="仿宋_GB2312"/>
          <w:i w:val="0"/>
          <w:iCs w:val="0"/>
          <w:caps w:val="0"/>
          <w:color w:val="000000"/>
          <w:spacing w:val="0"/>
          <w:sz w:val="32"/>
          <w:szCs w:val="32"/>
          <w:shd w:val="clear" w:fill="FFFFFF"/>
          <w:lang w:eastAsia="zh-CN"/>
        </w:rPr>
        <w:t>工委</w:t>
      </w:r>
      <w:r>
        <w:rPr>
          <w:rFonts w:hint="eastAsia" w:ascii="仿宋_GB2312" w:hAnsi="Times New Roman" w:eastAsia="仿宋_GB2312" w:cs="仿宋_GB2312"/>
          <w:i w:val="0"/>
          <w:iCs w:val="0"/>
          <w:caps w:val="0"/>
          <w:color w:val="000000"/>
          <w:spacing w:val="0"/>
          <w:sz w:val="32"/>
          <w:szCs w:val="32"/>
          <w:shd w:val="clear" w:fill="FFFFFF"/>
        </w:rPr>
        <w:t>重要会议等信息</w:t>
      </w:r>
      <w:r>
        <w:rPr>
          <w:rFonts w:hint="eastAsia" w:ascii="仿宋_GB2312" w:hAnsi="Times New Roman" w:eastAsia="仿宋_GB2312" w:cs="仿宋_GB2312"/>
          <w:i w:val="0"/>
          <w:iCs w:val="0"/>
          <w:caps w:val="0"/>
          <w:color w:val="000000"/>
          <w:spacing w:val="0"/>
          <w:sz w:val="32"/>
          <w:szCs w:val="32"/>
          <w:shd w:val="clear" w:fill="FFFFFF"/>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i w:val="0"/>
          <w:iCs w:val="0"/>
          <w:caps w:val="0"/>
          <w:color w:val="000000"/>
          <w:spacing w:val="0"/>
          <w:sz w:val="32"/>
          <w:szCs w:val="32"/>
          <w:shd w:val="clear" w:fill="FFFFFF"/>
          <w:lang w:val="en-US" w:eastAsia="zh-CN"/>
        </w:rPr>
        <w:t>021年1—12月，共发布各类政府信息104条。</w:t>
      </w:r>
      <w:r>
        <w:rPr>
          <w:rFonts w:ascii="仿宋_GB2312" w:hAnsi="宋体" w:eastAsia="仿宋_GB2312" w:cs="仿宋_GB2312"/>
          <w:i w:val="0"/>
          <w:iCs w:val="0"/>
          <w:caps w:val="0"/>
          <w:color w:val="000000"/>
          <w:spacing w:val="0"/>
          <w:sz w:val="32"/>
          <w:szCs w:val="32"/>
          <w:shd w:val="clear" w:fill="FFFFFF"/>
        </w:rPr>
        <w:t>无人大代表建议和政协委员提案办理情况。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（二）依申请公开情况：</w:t>
      </w:r>
      <w:r>
        <w:rPr>
          <w:rFonts w:hint="eastAsia" w:ascii="Times New Roman" w:hAnsi="Times New Roman" w:eastAsia="仿宋_GB2312" w:cs="Times New Roman"/>
          <w:sz w:val="32"/>
          <w:szCs w:val="32"/>
          <w:lang w:val="en-US" w:eastAsia="zh-CN"/>
        </w:rPr>
        <w:t>区管委会办公室</w:t>
      </w:r>
      <w:r>
        <w:rPr>
          <w:rFonts w:hint="eastAsia" w:ascii="仿宋_GB2312" w:hAnsi="仿宋_GB2312" w:eastAsia="仿宋_GB2312" w:cs="仿宋_GB2312"/>
          <w:sz w:val="32"/>
          <w:szCs w:val="32"/>
          <w:lang w:val="en-US" w:eastAsia="zh-CN"/>
        </w:rPr>
        <w:t>牵头制定印发《淄博文昌湖省级旅游度假区政府信息公开申请、登记、审核、办理、答复、归档工作制度》，进一步规范</w:t>
      </w:r>
      <w:r>
        <w:rPr>
          <w:rFonts w:hint="default" w:ascii="仿宋_GB2312" w:hAnsi="仿宋_GB2312" w:eastAsia="仿宋_GB2312" w:cs="仿宋_GB2312"/>
          <w:sz w:val="32"/>
          <w:szCs w:val="32"/>
          <w:lang w:val="en-US" w:eastAsia="zh-CN"/>
        </w:rPr>
        <w:t>政府信息依申请公开办理工作</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确保依申请公开情况有记录、可</w:t>
      </w:r>
      <w:r>
        <w:rPr>
          <w:rFonts w:hint="default" w:ascii="Times New Roman" w:hAnsi="Times New Roman" w:eastAsia="仿宋_GB2312" w:cs="Times New Roman"/>
          <w:sz w:val="32"/>
          <w:szCs w:val="32"/>
          <w:lang w:val="en-US" w:eastAsia="zh-CN"/>
        </w:rPr>
        <w:t>核查</w:t>
      </w:r>
      <w:r>
        <w:rPr>
          <w:rFonts w:hint="eastAsia" w:ascii="Times New Roman" w:hAnsi="Times New Roman" w:eastAsia="仿宋_GB2312" w:cs="Times New Roman"/>
          <w:sz w:val="32"/>
          <w:szCs w:val="32"/>
          <w:lang w:val="en-US" w:eastAsia="zh-CN"/>
        </w:rPr>
        <w:t>。2021年，区管委会办公室共收到政府信息公开申请0件。全年未出现因政府信息依申请公开产生的行政复议案件和行政诉讼案件。</w:t>
      </w:r>
    </w:p>
    <w:p>
      <w:pPr>
        <w:numPr>
          <w:ilvl w:val="0"/>
          <w:numId w:val="0"/>
        </w:numPr>
        <w:ind w:leftChars="0" w:firstLine="640" w:firstLineChars="200"/>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（三）政府信息管理情况：</w:t>
      </w:r>
      <w:r>
        <w:rPr>
          <w:rFonts w:hint="default" w:ascii="Times New Roman" w:hAnsi="Times New Roman" w:eastAsia="仿宋_GB2312" w:cs="Times New Roman"/>
          <w:sz w:val="32"/>
          <w:szCs w:val="32"/>
          <w:lang w:val="en-US" w:eastAsia="zh-CN"/>
        </w:rPr>
        <w:t>制定印发《2021年淄博文昌湖省级旅游度假区政务公开工作要点》，明确责任分工，细化公开内容，及时公开信息。不断完善区管委会及区管委会办公室公文的公开属性源头认定和发布审查工作机制，坚持应公开尽公开原则，严格审核把关，对拟不公开的，依法依规说明理由，不断提升公文的公开比例。</w:t>
      </w:r>
    </w:p>
    <w:p>
      <w:pPr>
        <w:numPr>
          <w:ilvl w:val="0"/>
          <w:numId w:val="0"/>
        </w:numPr>
        <w:ind w:leftChars="0" w:firstLine="640" w:firstLineChars="200"/>
        <w:rPr>
          <w:rFonts w:hint="eastAsia" w:ascii="仿宋_GB2312" w:hAnsi="Times New Roman" w:eastAsia="仿宋_GB2312" w:cs="仿宋_GB2312"/>
          <w:i w:val="0"/>
          <w:iCs w:val="0"/>
          <w:caps w:val="0"/>
          <w:color w:val="000000"/>
          <w:spacing w:val="0"/>
          <w:sz w:val="32"/>
          <w:szCs w:val="32"/>
          <w:shd w:val="clear" w:fill="FFFFFF"/>
          <w:lang w:eastAsia="zh-CN"/>
        </w:rPr>
      </w:pPr>
      <w:r>
        <w:rPr>
          <w:rFonts w:hint="eastAsia" w:ascii="楷体_GB2312" w:hAnsi="楷体_GB2312" w:eastAsia="楷体_GB2312" w:cs="楷体_GB2312"/>
          <w:sz w:val="32"/>
          <w:szCs w:val="32"/>
          <w:lang w:val="en-US" w:eastAsia="zh-CN"/>
        </w:rPr>
        <w:t>（四）政府信息公开平台建设情况：</w:t>
      </w:r>
      <w:r>
        <w:rPr>
          <w:rFonts w:hint="default" w:ascii="仿宋_GB2312" w:hAnsi="仿宋_GB2312" w:eastAsia="仿宋_GB2312" w:cs="仿宋_GB2312"/>
          <w:sz w:val="32"/>
          <w:szCs w:val="32"/>
          <w:lang w:val="en-US" w:eastAsia="zh-CN"/>
        </w:rPr>
        <w:t>充分利用政务公开平台进行政府信息公开，</w:t>
      </w:r>
      <w:r>
        <w:rPr>
          <w:rFonts w:hint="eastAsia" w:ascii="仿宋_GB2312" w:hAnsi="仿宋_GB2312" w:eastAsia="仿宋_GB2312" w:cs="仿宋_GB2312"/>
          <w:sz w:val="32"/>
          <w:szCs w:val="32"/>
          <w:lang w:val="en-US" w:eastAsia="zh-CN"/>
        </w:rPr>
        <w:t>新增“政府会议解读”栏目，</w:t>
      </w:r>
      <w:r>
        <w:rPr>
          <w:rFonts w:ascii="仿宋_GB2312" w:hAnsi="宋体" w:eastAsia="仿宋_GB2312" w:cs="仿宋_GB2312"/>
          <w:i w:val="0"/>
          <w:iCs w:val="0"/>
          <w:caps w:val="0"/>
          <w:color w:val="000000"/>
          <w:spacing w:val="0"/>
          <w:sz w:val="32"/>
          <w:szCs w:val="32"/>
          <w:shd w:val="clear" w:fill="FFFFFF"/>
        </w:rPr>
        <w:t>更加便民利民。</w:t>
      </w:r>
      <w:r>
        <w:rPr>
          <w:rFonts w:hint="eastAsia" w:ascii="仿宋_GB2312" w:hAnsi="仿宋_GB2312" w:eastAsia="仿宋_GB2312" w:cs="仿宋_GB2312"/>
          <w:sz w:val="32"/>
          <w:szCs w:val="32"/>
          <w:lang w:val="en-US" w:eastAsia="zh-CN"/>
        </w:rPr>
        <w:t>对</w:t>
      </w:r>
      <w:r>
        <w:rPr>
          <w:rFonts w:hint="default" w:ascii="仿宋_GB2312" w:hAnsi="仿宋_GB2312" w:eastAsia="仿宋_GB2312" w:cs="仿宋_GB2312"/>
          <w:sz w:val="32"/>
          <w:szCs w:val="32"/>
          <w:lang w:val="en-US" w:eastAsia="zh-CN"/>
        </w:rPr>
        <w:t>所设置栏目按照要求及时进行内容维护</w:t>
      </w:r>
      <w:r>
        <w:rPr>
          <w:rFonts w:hint="eastAsia" w:ascii="仿宋_GB2312" w:hAnsi="仿宋_GB2312" w:eastAsia="仿宋_GB2312" w:cs="仿宋_GB2312"/>
          <w:sz w:val="32"/>
          <w:szCs w:val="32"/>
          <w:lang w:val="en-US" w:eastAsia="zh-CN"/>
        </w:rPr>
        <w:t>，杜绝出现</w:t>
      </w:r>
      <w:r>
        <w:rPr>
          <w:rFonts w:ascii="仿宋_GB2312" w:hAnsi="宋体" w:eastAsia="仿宋_GB2312" w:cs="仿宋_GB2312"/>
          <w:i w:val="0"/>
          <w:iCs w:val="0"/>
          <w:caps w:val="0"/>
          <w:color w:val="000000"/>
          <w:spacing w:val="0"/>
          <w:sz w:val="32"/>
          <w:szCs w:val="32"/>
          <w:shd w:val="clear" w:fill="FFFFFF"/>
        </w:rPr>
        <w:t>政府网站空白栏目和长期不更新</w:t>
      </w:r>
      <w:r>
        <w:rPr>
          <w:rFonts w:hint="eastAsia" w:ascii="仿宋_GB2312" w:hAnsi="宋体" w:eastAsia="仿宋_GB2312" w:cs="仿宋_GB2312"/>
          <w:i w:val="0"/>
          <w:iCs w:val="0"/>
          <w:caps w:val="0"/>
          <w:color w:val="000000"/>
          <w:spacing w:val="0"/>
          <w:sz w:val="32"/>
          <w:szCs w:val="32"/>
          <w:shd w:val="clear" w:fill="FFFFFF"/>
          <w:lang w:eastAsia="zh-CN"/>
        </w:rPr>
        <w:t>的情况。</w:t>
      </w:r>
      <w:r>
        <w:rPr>
          <w:rFonts w:ascii="仿宋_GB2312" w:hAnsi="Times New Roman" w:eastAsia="仿宋_GB2312" w:cs="仿宋_GB2312"/>
          <w:i w:val="0"/>
          <w:iCs w:val="0"/>
          <w:caps w:val="0"/>
          <w:color w:val="000000"/>
          <w:spacing w:val="0"/>
          <w:sz w:val="32"/>
          <w:szCs w:val="32"/>
          <w:shd w:val="clear" w:fill="FFFFFF"/>
        </w:rPr>
        <w:t>在政务服务大厅</w:t>
      </w:r>
      <w:r>
        <w:rPr>
          <w:rFonts w:hint="eastAsia" w:ascii="仿宋_GB2312" w:hAnsi="Times New Roman" w:eastAsia="仿宋_GB2312" w:cs="仿宋_GB2312"/>
          <w:i w:val="0"/>
          <w:iCs w:val="0"/>
          <w:caps w:val="0"/>
          <w:color w:val="000000"/>
          <w:spacing w:val="0"/>
          <w:sz w:val="32"/>
          <w:szCs w:val="32"/>
          <w:shd w:val="clear" w:fill="FFFFFF"/>
        </w:rPr>
        <w:t>设立政务公开专区</w:t>
      </w:r>
      <w:r>
        <w:rPr>
          <w:rFonts w:hint="eastAsia" w:ascii="仿宋_GB2312" w:hAnsi="Times New Roman" w:eastAsia="仿宋_GB2312" w:cs="仿宋_GB2312"/>
          <w:i w:val="0"/>
          <w:iCs w:val="0"/>
          <w:caps w:val="0"/>
          <w:color w:val="000000"/>
          <w:spacing w:val="0"/>
          <w:sz w:val="32"/>
          <w:szCs w:val="32"/>
          <w:shd w:val="clear" w:fill="FFFFFF"/>
          <w:lang w:eastAsia="zh-CN"/>
        </w:rPr>
        <w:t>，方便群众查阅。</w:t>
      </w:r>
    </w:p>
    <w:p>
      <w:pPr>
        <w:numPr>
          <w:ilvl w:val="0"/>
          <w:numId w:val="0"/>
        </w:numPr>
        <w:ind w:leftChars="0" w:firstLine="640" w:firstLineChars="200"/>
        <w:rPr>
          <w:rFonts w:hint="eastAsia" w:ascii="黑体" w:hAnsi="黑体" w:eastAsia="黑体" w:cs="黑体"/>
          <w:i w:val="0"/>
          <w:iCs w:val="0"/>
          <w:caps w:val="0"/>
          <w:color w:val="000000"/>
          <w:spacing w:val="0"/>
          <w:sz w:val="32"/>
          <w:szCs w:val="32"/>
          <w:shd w:val="clear" w:fill="FFFFFF"/>
          <w:lang w:val="en-US" w:eastAsia="zh-CN"/>
        </w:rPr>
      </w:pPr>
      <w:r>
        <w:rPr>
          <w:rFonts w:hint="eastAsia" w:ascii="楷体_GB2312" w:hAnsi="楷体_GB2312" w:eastAsia="楷体_GB2312" w:cs="楷体_GB2312"/>
          <w:sz w:val="32"/>
          <w:szCs w:val="32"/>
          <w:lang w:val="en-US" w:eastAsia="zh-CN"/>
        </w:rPr>
        <w:t>（五）监督保障情况：</w:t>
      </w:r>
      <w:r>
        <w:rPr>
          <w:rFonts w:ascii="仿宋_GB2312" w:hAnsi="宋体" w:eastAsia="仿宋_GB2312" w:cs="仿宋_GB2312"/>
          <w:i w:val="0"/>
          <w:iCs w:val="0"/>
          <w:caps w:val="0"/>
          <w:color w:val="000000"/>
          <w:spacing w:val="0"/>
          <w:sz w:val="32"/>
          <w:szCs w:val="32"/>
          <w:shd w:val="clear" w:fill="FFFFFF"/>
        </w:rPr>
        <w:t>将政务公开纳入全区经济社会发展综合考核</w:t>
      </w:r>
      <w:r>
        <w:rPr>
          <w:rFonts w:hint="eastAsia" w:ascii="仿宋_GB2312" w:hAnsi="宋体" w:eastAsia="仿宋_GB2312" w:cs="仿宋_GB2312"/>
          <w:i w:val="0"/>
          <w:iCs w:val="0"/>
          <w:caps w:val="0"/>
          <w:color w:val="000000"/>
          <w:spacing w:val="0"/>
          <w:sz w:val="32"/>
          <w:szCs w:val="32"/>
          <w:shd w:val="clear" w:fill="FFFFFF"/>
          <w:lang w:eastAsia="zh-CN"/>
        </w:rPr>
        <w:t>，</w:t>
      </w:r>
      <w:r>
        <w:rPr>
          <w:rFonts w:hint="default" w:ascii="Times New Roman" w:hAnsi="Times New Roman" w:eastAsia="仿宋_GB2312" w:cs="Times New Roman"/>
          <w:sz w:val="32"/>
          <w:szCs w:val="32"/>
          <w:lang w:val="en-US" w:eastAsia="zh-CN"/>
        </w:rPr>
        <w:t>对</w:t>
      </w:r>
      <w:r>
        <w:rPr>
          <w:rFonts w:hint="eastAsia" w:ascii="Times New Roman" w:hAnsi="Times New Roman" w:eastAsia="仿宋_GB2312" w:cs="Times New Roman"/>
          <w:sz w:val="32"/>
          <w:szCs w:val="32"/>
          <w:lang w:val="en-US" w:eastAsia="zh-CN"/>
        </w:rPr>
        <w:t>各镇、各部门</w:t>
      </w:r>
      <w:r>
        <w:rPr>
          <w:rFonts w:hint="default" w:ascii="Times New Roman" w:hAnsi="Times New Roman" w:eastAsia="仿宋_GB2312" w:cs="Times New Roman"/>
          <w:sz w:val="32"/>
          <w:szCs w:val="32"/>
          <w:lang w:val="en-US" w:eastAsia="zh-CN"/>
        </w:rPr>
        <w:t>政务信息公开的内容进行监督检查，定期通报，督促问题整改落实到位。并通过微信交流、电话交流等多种形式加强日常工作交流，</w:t>
      </w:r>
      <w:r>
        <w:rPr>
          <w:rFonts w:hint="default" w:ascii="Times New Roman" w:hAnsi="Times New Roman" w:eastAsia="仿宋_GB2312" w:cs="Times New Roman"/>
          <w:i w:val="0"/>
          <w:iCs w:val="0"/>
          <w:caps w:val="0"/>
          <w:color w:val="000000"/>
          <w:spacing w:val="0"/>
          <w:sz w:val="32"/>
          <w:szCs w:val="32"/>
        </w:rPr>
        <w:t>及时解答工作中遇到的业务问题，指导促进各镇、各部门加强政务公开工作交流。</w:t>
      </w:r>
      <w:r>
        <w:rPr>
          <w:rFonts w:hint="default" w:ascii="Times New Roman" w:hAnsi="Times New Roman" w:eastAsia="仿宋_GB2312" w:cs="Times New Roman"/>
          <w:sz w:val="32"/>
          <w:szCs w:val="32"/>
          <w:lang w:val="en-US" w:eastAsia="zh-CN"/>
        </w:rPr>
        <w:t>开展政务公开工作培训，</w:t>
      </w:r>
      <w:r>
        <w:rPr>
          <w:rFonts w:hint="eastAsia" w:ascii="Times New Roman" w:hAnsi="Times New Roman" w:eastAsia="仿宋_GB2312" w:cs="Times New Roman"/>
          <w:sz w:val="32"/>
          <w:szCs w:val="32"/>
          <w:lang w:val="en-US" w:eastAsia="zh-CN"/>
        </w:rPr>
        <w:t>进一步推进</w:t>
      </w:r>
      <w:r>
        <w:rPr>
          <w:rFonts w:hint="default" w:ascii="Times New Roman" w:hAnsi="Times New Roman" w:eastAsia="仿宋_GB2312" w:cs="Times New Roman"/>
          <w:sz w:val="32"/>
          <w:szCs w:val="32"/>
          <w:lang w:val="en-US" w:eastAsia="zh-CN"/>
        </w:rPr>
        <w:t>政务公开标准化规范化工作。</w:t>
      </w:r>
    </w:p>
    <w:p>
      <w:pPr>
        <w:numPr>
          <w:ilvl w:val="0"/>
          <w:numId w:val="0"/>
        </w:numPr>
        <w:ind w:firstLine="640"/>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二、主动公开政府信息情况</w:t>
      </w:r>
    </w:p>
    <w:tbl>
      <w:tblPr>
        <w:tblStyle w:val="5"/>
        <w:tblW w:w="0" w:type="auto"/>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5"/>
        <w:gridCol w:w="2208"/>
        <w:gridCol w:w="2294"/>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1" w:type="dxa"/>
            <w:gridSpan w:val="4"/>
          </w:tcPr>
          <w:p>
            <w:pPr>
              <w:numPr>
                <w:ilvl w:val="0"/>
                <w:numId w:val="0"/>
              </w:numPr>
              <w:tabs>
                <w:tab w:val="left" w:pos="1790"/>
              </w:tabs>
              <w:jc w:val="center"/>
              <w:rPr>
                <w:rFonts w:hint="default" w:ascii="黑体" w:hAnsi="黑体" w:eastAsia="黑体" w:cs="黑体"/>
                <w:i w:val="0"/>
                <w:iCs w:val="0"/>
                <w:caps w:val="0"/>
                <w:color w:val="000000"/>
                <w:spacing w:val="0"/>
                <w:sz w:val="32"/>
                <w:szCs w:val="32"/>
                <w:shd w:val="clear" w:fill="FFFFFF"/>
                <w:vertAlign w:val="baseline"/>
                <w:lang w:val="en-US" w:eastAsia="zh-CN"/>
              </w:rPr>
            </w:pPr>
            <w:r>
              <w:rPr>
                <w:rFonts w:hint="eastAsia" w:ascii="黑体" w:hAnsi="黑体" w:eastAsia="黑体" w:cs="黑体"/>
                <w:i w:val="0"/>
                <w:iCs w:val="0"/>
                <w:caps w:val="0"/>
                <w:color w:val="000000"/>
                <w:spacing w:val="0"/>
                <w:sz w:val="28"/>
                <w:szCs w:val="28"/>
                <w:shd w:val="clear" w:fill="FFFFFF"/>
                <w:vertAlign w:val="baseline"/>
                <w:lang w:val="en-US" w:eastAsia="zh-CN"/>
              </w:rPr>
              <w:t>第二十条  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numPr>
                <w:ilvl w:val="0"/>
                <w:numId w:val="0"/>
              </w:numPr>
              <w:jc w:val="center"/>
              <w:rPr>
                <w:rFonts w:hint="eastAsia" w:ascii="宋体" w:hAnsi="宋体" w:eastAsia="宋体" w:cs="宋体"/>
                <w:i w:val="0"/>
                <w:iCs w:val="0"/>
                <w:caps w:val="0"/>
                <w:color w:val="000000"/>
                <w:spacing w:val="0"/>
                <w:sz w:val="28"/>
                <w:szCs w:val="28"/>
                <w:shd w:val="clear" w:fill="FFFFFF"/>
                <w:vertAlign w:val="baseline"/>
                <w:lang w:val="en-US" w:eastAsia="zh-CN"/>
              </w:rPr>
            </w:pPr>
            <w:r>
              <w:rPr>
                <w:rFonts w:hint="eastAsia" w:ascii="宋体" w:hAnsi="宋体" w:eastAsia="宋体" w:cs="宋体"/>
                <w:i w:val="0"/>
                <w:iCs w:val="0"/>
                <w:caps w:val="0"/>
                <w:color w:val="000000"/>
                <w:spacing w:val="0"/>
                <w:sz w:val="28"/>
                <w:szCs w:val="28"/>
                <w:shd w:val="clear" w:fill="FFFFFF"/>
                <w:vertAlign w:val="baseline"/>
                <w:lang w:val="en-US" w:eastAsia="zh-CN"/>
              </w:rPr>
              <w:t>信息内容</w:t>
            </w:r>
          </w:p>
        </w:tc>
        <w:tc>
          <w:tcPr>
            <w:tcW w:w="2208" w:type="dxa"/>
          </w:tcPr>
          <w:p>
            <w:pPr>
              <w:numPr>
                <w:ilvl w:val="0"/>
                <w:numId w:val="0"/>
              </w:numPr>
              <w:jc w:val="center"/>
              <w:rPr>
                <w:rFonts w:hint="eastAsia" w:ascii="宋体" w:hAnsi="宋体" w:eastAsia="宋体" w:cs="宋体"/>
                <w:i w:val="0"/>
                <w:iCs w:val="0"/>
                <w:caps w:val="0"/>
                <w:color w:val="000000"/>
                <w:spacing w:val="0"/>
                <w:sz w:val="28"/>
                <w:szCs w:val="28"/>
                <w:shd w:val="clear" w:fill="FFFFFF"/>
                <w:vertAlign w:val="baseline"/>
                <w:lang w:val="en-US" w:eastAsia="zh-CN"/>
              </w:rPr>
            </w:pPr>
            <w:r>
              <w:rPr>
                <w:rFonts w:hint="eastAsia" w:ascii="宋体" w:hAnsi="宋体" w:eastAsia="宋体" w:cs="宋体"/>
                <w:i w:val="0"/>
                <w:iCs w:val="0"/>
                <w:caps w:val="0"/>
                <w:color w:val="000000"/>
                <w:spacing w:val="0"/>
                <w:sz w:val="28"/>
                <w:szCs w:val="28"/>
                <w:shd w:val="clear" w:fill="FFFFFF"/>
                <w:vertAlign w:val="baseline"/>
                <w:lang w:val="en-US" w:eastAsia="zh-CN"/>
              </w:rPr>
              <w:t>本年制发件数</w:t>
            </w:r>
          </w:p>
        </w:tc>
        <w:tc>
          <w:tcPr>
            <w:tcW w:w="2294" w:type="dxa"/>
            <w:vAlign w:val="top"/>
          </w:tcPr>
          <w:p>
            <w:pPr>
              <w:numPr>
                <w:ilvl w:val="0"/>
                <w:numId w:val="0"/>
              </w:numPr>
              <w:ind w:left="0" w:leftChars="0" w:firstLine="0" w:firstLineChars="0"/>
              <w:jc w:val="center"/>
              <w:rPr>
                <w:rFonts w:hint="eastAsia" w:ascii="宋体" w:hAnsi="宋体" w:eastAsia="宋体" w:cs="宋体"/>
                <w:i w:val="0"/>
                <w:iCs w:val="0"/>
                <w:caps w:val="0"/>
                <w:color w:val="000000"/>
                <w:spacing w:val="0"/>
                <w:kern w:val="2"/>
                <w:sz w:val="28"/>
                <w:szCs w:val="28"/>
                <w:shd w:val="clear" w:fill="FFFFFF"/>
                <w:vertAlign w:val="baseline"/>
                <w:lang w:val="en-US" w:eastAsia="zh-CN" w:bidi="ar-SA"/>
              </w:rPr>
            </w:pPr>
            <w:r>
              <w:rPr>
                <w:rFonts w:hint="eastAsia" w:ascii="宋体" w:hAnsi="宋体" w:eastAsia="宋体" w:cs="宋体"/>
                <w:i w:val="0"/>
                <w:iCs w:val="0"/>
                <w:caps w:val="0"/>
                <w:color w:val="000000"/>
                <w:spacing w:val="0"/>
                <w:sz w:val="28"/>
                <w:szCs w:val="28"/>
                <w:shd w:val="clear" w:fill="FFFFFF"/>
                <w:vertAlign w:val="baseline"/>
                <w:lang w:val="en-US" w:eastAsia="zh-CN"/>
              </w:rPr>
              <w:t>本年制发件数</w:t>
            </w:r>
          </w:p>
        </w:tc>
        <w:tc>
          <w:tcPr>
            <w:tcW w:w="2294" w:type="dxa"/>
          </w:tcPr>
          <w:p>
            <w:pPr>
              <w:numPr>
                <w:ilvl w:val="0"/>
                <w:numId w:val="0"/>
              </w:numPr>
              <w:jc w:val="center"/>
              <w:rPr>
                <w:rFonts w:hint="eastAsia" w:ascii="宋体" w:hAnsi="宋体" w:eastAsia="宋体" w:cs="宋体"/>
                <w:i w:val="0"/>
                <w:iCs w:val="0"/>
                <w:caps w:val="0"/>
                <w:color w:val="000000"/>
                <w:spacing w:val="0"/>
                <w:sz w:val="28"/>
                <w:szCs w:val="28"/>
                <w:shd w:val="clear" w:fill="FFFFFF"/>
                <w:vertAlign w:val="baseline"/>
                <w:lang w:val="en-US" w:eastAsia="zh-CN"/>
              </w:rPr>
            </w:pPr>
            <w:r>
              <w:rPr>
                <w:rFonts w:hint="eastAsia" w:ascii="宋体" w:hAnsi="宋体" w:eastAsia="宋体" w:cs="宋体"/>
                <w:i w:val="0"/>
                <w:iCs w:val="0"/>
                <w:caps w:val="0"/>
                <w:color w:val="000000"/>
                <w:spacing w:val="0"/>
                <w:sz w:val="28"/>
                <w:szCs w:val="28"/>
                <w:shd w:val="clear" w:fill="FFFFFF"/>
                <w:vertAlign w:val="baseline"/>
                <w:lang w:val="en-US"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numPr>
                <w:ilvl w:val="0"/>
                <w:numId w:val="0"/>
              </w:numPr>
              <w:jc w:val="center"/>
              <w:rPr>
                <w:rFonts w:hint="eastAsia" w:ascii="宋体" w:hAnsi="宋体" w:eastAsia="宋体" w:cs="宋体"/>
                <w:i w:val="0"/>
                <w:iCs w:val="0"/>
                <w:caps w:val="0"/>
                <w:color w:val="000000"/>
                <w:spacing w:val="0"/>
                <w:sz w:val="28"/>
                <w:szCs w:val="28"/>
                <w:shd w:val="clear" w:fill="FFFFFF"/>
                <w:vertAlign w:val="baseline"/>
                <w:lang w:val="en-US" w:eastAsia="zh-CN"/>
              </w:rPr>
            </w:pPr>
            <w:r>
              <w:rPr>
                <w:rFonts w:hint="eastAsia" w:ascii="宋体" w:hAnsi="宋体" w:eastAsia="宋体" w:cs="宋体"/>
                <w:i w:val="0"/>
                <w:iCs w:val="0"/>
                <w:caps w:val="0"/>
                <w:color w:val="000000"/>
                <w:spacing w:val="0"/>
                <w:sz w:val="28"/>
                <w:szCs w:val="28"/>
                <w:shd w:val="clear" w:fill="FFFFFF"/>
                <w:vertAlign w:val="baseline"/>
                <w:lang w:val="en-US" w:eastAsia="zh-CN"/>
              </w:rPr>
              <w:t>规  章</w:t>
            </w:r>
          </w:p>
        </w:tc>
        <w:tc>
          <w:tcPr>
            <w:tcW w:w="2208" w:type="dxa"/>
          </w:tcPr>
          <w:p>
            <w:pPr>
              <w:numPr>
                <w:ilvl w:val="0"/>
                <w:numId w:val="0"/>
              </w:numPr>
              <w:jc w:val="center"/>
              <w:rPr>
                <w:rFonts w:hint="default" w:ascii="宋体" w:hAnsi="宋体" w:eastAsia="宋体" w:cs="宋体"/>
                <w:i w:val="0"/>
                <w:iCs w:val="0"/>
                <w:caps w:val="0"/>
                <w:color w:val="000000"/>
                <w:spacing w:val="0"/>
                <w:sz w:val="28"/>
                <w:szCs w:val="28"/>
                <w:shd w:val="clear" w:fill="FFFFFF"/>
                <w:vertAlign w:val="baseline"/>
                <w:lang w:val="en-US" w:eastAsia="zh-CN"/>
              </w:rPr>
            </w:pPr>
            <w:r>
              <w:rPr>
                <w:rFonts w:hint="eastAsia" w:ascii="宋体" w:hAnsi="宋体" w:eastAsia="宋体" w:cs="宋体"/>
                <w:i w:val="0"/>
                <w:iCs w:val="0"/>
                <w:caps w:val="0"/>
                <w:color w:val="000000"/>
                <w:spacing w:val="0"/>
                <w:sz w:val="28"/>
                <w:szCs w:val="28"/>
                <w:shd w:val="clear" w:fill="FFFFFF"/>
                <w:vertAlign w:val="baseline"/>
                <w:lang w:val="en-US" w:eastAsia="zh-CN"/>
              </w:rPr>
              <w:t>0</w:t>
            </w:r>
          </w:p>
        </w:tc>
        <w:tc>
          <w:tcPr>
            <w:tcW w:w="2294" w:type="dxa"/>
          </w:tcPr>
          <w:p>
            <w:pPr>
              <w:numPr>
                <w:ilvl w:val="0"/>
                <w:numId w:val="0"/>
              </w:numPr>
              <w:jc w:val="center"/>
              <w:rPr>
                <w:rFonts w:hint="eastAsia" w:ascii="宋体" w:hAnsi="宋体" w:eastAsia="宋体" w:cs="宋体"/>
                <w:i w:val="0"/>
                <w:iCs w:val="0"/>
                <w:caps w:val="0"/>
                <w:color w:val="000000"/>
                <w:spacing w:val="0"/>
                <w:sz w:val="28"/>
                <w:szCs w:val="28"/>
                <w:shd w:val="clear" w:fill="FFFFFF"/>
                <w:vertAlign w:val="baseline"/>
                <w:lang w:val="en-US" w:eastAsia="zh-CN"/>
              </w:rPr>
            </w:pPr>
            <w:r>
              <w:rPr>
                <w:rFonts w:hint="eastAsia" w:ascii="宋体" w:hAnsi="宋体" w:eastAsia="宋体" w:cs="宋体"/>
                <w:i w:val="0"/>
                <w:iCs w:val="0"/>
                <w:caps w:val="0"/>
                <w:color w:val="000000"/>
                <w:spacing w:val="0"/>
                <w:sz w:val="28"/>
                <w:szCs w:val="28"/>
                <w:shd w:val="clear" w:fill="FFFFFF"/>
                <w:vertAlign w:val="baseline"/>
                <w:lang w:val="en-US" w:eastAsia="zh-CN"/>
              </w:rPr>
              <w:t>0</w:t>
            </w:r>
          </w:p>
        </w:tc>
        <w:tc>
          <w:tcPr>
            <w:tcW w:w="2294" w:type="dxa"/>
          </w:tcPr>
          <w:p>
            <w:pPr>
              <w:numPr>
                <w:ilvl w:val="0"/>
                <w:numId w:val="0"/>
              </w:numPr>
              <w:jc w:val="center"/>
              <w:rPr>
                <w:rFonts w:hint="eastAsia" w:ascii="宋体" w:hAnsi="宋体" w:eastAsia="宋体" w:cs="宋体"/>
                <w:i w:val="0"/>
                <w:iCs w:val="0"/>
                <w:caps w:val="0"/>
                <w:color w:val="000000"/>
                <w:spacing w:val="0"/>
                <w:sz w:val="28"/>
                <w:szCs w:val="28"/>
                <w:shd w:val="clear" w:fill="FFFFFF"/>
                <w:vertAlign w:val="baseline"/>
                <w:lang w:val="en-US" w:eastAsia="zh-CN"/>
              </w:rPr>
            </w:pPr>
            <w:r>
              <w:rPr>
                <w:rFonts w:hint="eastAsia" w:ascii="宋体" w:hAnsi="宋体" w:eastAsia="宋体" w:cs="宋体"/>
                <w:i w:val="0"/>
                <w:iCs w:val="0"/>
                <w:caps w:val="0"/>
                <w:color w:val="000000"/>
                <w:spacing w:val="0"/>
                <w:sz w:val="28"/>
                <w:szCs w:val="28"/>
                <w:shd w:val="clear" w:fill="FFFFFF"/>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numPr>
                <w:ilvl w:val="0"/>
                <w:numId w:val="0"/>
              </w:numPr>
              <w:jc w:val="center"/>
              <w:rPr>
                <w:rFonts w:hint="eastAsia" w:ascii="宋体" w:hAnsi="宋体" w:eastAsia="宋体" w:cs="宋体"/>
                <w:i w:val="0"/>
                <w:iCs w:val="0"/>
                <w:caps w:val="0"/>
                <w:color w:val="000000"/>
                <w:spacing w:val="0"/>
                <w:sz w:val="28"/>
                <w:szCs w:val="28"/>
                <w:shd w:val="clear" w:fill="FFFFFF"/>
                <w:vertAlign w:val="baseline"/>
                <w:lang w:val="en-US" w:eastAsia="zh-CN"/>
              </w:rPr>
            </w:pPr>
            <w:r>
              <w:rPr>
                <w:rFonts w:hint="eastAsia" w:ascii="宋体" w:hAnsi="宋体" w:eastAsia="宋体" w:cs="宋体"/>
                <w:i w:val="0"/>
                <w:iCs w:val="0"/>
                <w:caps w:val="0"/>
                <w:color w:val="000000"/>
                <w:spacing w:val="0"/>
                <w:sz w:val="28"/>
                <w:szCs w:val="28"/>
                <w:shd w:val="clear" w:fill="FFFFFF"/>
                <w:vertAlign w:val="baseline"/>
                <w:lang w:val="en-US" w:eastAsia="zh-CN"/>
              </w:rPr>
              <w:t>行政规范性文件</w:t>
            </w:r>
          </w:p>
        </w:tc>
        <w:tc>
          <w:tcPr>
            <w:tcW w:w="2208" w:type="dxa"/>
          </w:tcPr>
          <w:p>
            <w:pPr>
              <w:numPr>
                <w:ilvl w:val="0"/>
                <w:numId w:val="0"/>
              </w:numPr>
              <w:jc w:val="center"/>
              <w:rPr>
                <w:rFonts w:hint="eastAsia" w:ascii="宋体" w:hAnsi="宋体" w:eastAsia="宋体" w:cs="宋体"/>
                <w:i w:val="0"/>
                <w:iCs w:val="0"/>
                <w:caps w:val="0"/>
                <w:color w:val="000000"/>
                <w:spacing w:val="0"/>
                <w:sz w:val="28"/>
                <w:szCs w:val="28"/>
                <w:shd w:val="clear" w:fill="FFFFFF"/>
                <w:vertAlign w:val="baseline"/>
                <w:lang w:val="en-US" w:eastAsia="zh-CN"/>
              </w:rPr>
            </w:pPr>
            <w:r>
              <w:rPr>
                <w:rFonts w:hint="eastAsia" w:ascii="宋体" w:hAnsi="宋体" w:eastAsia="宋体" w:cs="宋体"/>
                <w:i w:val="0"/>
                <w:iCs w:val="0"/>
                <w:caps w:val="0"/>
                <w:color w:val="000000"/>
                <w:spacing w:val="0"/>
                <w:sz w:val="28"/>
                <w:szCs w:val="28"/>
                <w:shd w:val="clear" w:fill="FFFFFF"/>
                <w:vertAlign w:val="baseline"/>
                <w:lang w:val="en-US" w:eastAsia="zh-CN"/>
              </w:rPr>
              <w:t>0</w:t>
            </w:r>
          </w:p>
        </w:tc>
        <w:tc>
          <w:tcPr>
            <w:tcW w:w="2294" w:type="dxa"/>
          </w:tcPr>
          <w:p>
            <w:pPr>
              <w:numPr>
                <w:ilvl w:val="0"/>
                <w:numId w:val="0"/>
              </w:numPr>
              <w:jc w:val="center"/>
              <w:rPr>
                <w:rFonts w:hint="eastAsia" w:ascii="宋体" w:hAnsi="宋体" w:eastAsia="宋体" w:cs="宋体"/>
                <w:i w:val="0"/>
                <w:iCs w:val="0"/>
                <w:caps w:val="0"/>
                <w:color w:val="000000"/>
                <w:spacing w:val="0"/>
                <w:sz w:val="28"/>
                <w:szCs w:val="28"/>
                <w:shd w:val="clear" w:fill="FFFFFF"/>
                <w:vertAlign w:val="baseline"/>
                <w:lang w:val="en-US" w:eastAsia="zh-CN"/>
              </w:rPr>
            </w:pPr>
            <w:r>
              <w:rPr>
                <w:rFonts w:hint="eastAsia" w:ascii="宋体" w:hAnsi="宋体" w:eastAsia="宋体" w:cs="宋体"/>
                <w:i w:val="0"/>
                <w:iCs w:val="0"/>
                <w:caps w:val="0"/>
                <w:color w:val="000000"/>
                <w:spacing w:val="0"/>
                <w:sz w:val="28"/>
                <w:szCs w:val="28"/>
                <w:shd w:val="clear" w:fill="FFFFFF"/>
                <w:vertAlign w:val="baseline"/>
                <w:lang w:val="en-US" w:eastAsia="zh-CN"/>
              </w:rPr>
              <w:t>0</w:t>
            </w:r>
          </w:p>
        </w:tc>
        <w:tc>
          <w:tcPr>
            <w:tcW w:w="2294" w:type="dxa"/>
          </w:tcPr>
          <w:p>
            <w:pPr>
              <w:numPr>
                <w:ilvl w:val="0"/>
                <w:numId w:val="0"/>
              </w:numPr>
              <w:jc w:val="center"/>
              <w:rPr>
                <w:rFonts w:hint="eastAsia" w:ascii="宋体" w:hAnsi="宋体" w:eastAsia="宋体" w:cs="宋体"/>
                <w:i w:val="0"/>
                <w:iCs w:val="0"/>
                <w:caps w:val="0"/>
                <w:color w:val="000000"/>
                <w:spacing w:val="0"/>
                <w:sz w:val="28"/>
                <w:szCs w:val="28"/>
                <w:shd w:val="clear" w:fill="FFFFFF"/>
                <w:vertAlign w:val="baseline"/>
                <w:lang w:val="en-US" w:eastAsia="zh-CN"/>
              </w:rPr>
            </w:pPr>
            <w:r>
              <w:rPr>
                <w:rFonts w:hint="eastAsia" w:ascii="宋体" w:hAnsi="宋体" w:eastAsia="宋体" w:cs="宋体"/>
                <w:i w:val="0"/>
                <w:iCs w:val="0"/>
                <w:caps w:val="0"/>
                <w:color w:val="000000"/>
                <w:spacing w:val="0"/>
                <w:sz w:val="28"/>
                <w:szCs w:val="28"/>
                <w:shd w:val="clear" w:fill="FFFFFF"/>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1" w:type="dxa"/>
            <w:gridSpan w:val="4"/>
          </w:tcPr>
          <w:p>
            <w:pPr>
              <w:numPr>
                <w:ilvl w:val="0"/>
                <w:numId w:val="0"/>
              </w:numPr>
              <w:jc w:val="center"/>
              <w:rPr>
                <w:rFonts w:hint="default" w:ascii="黑体" w:hAnsi="黑体" w:eastAsia="黑体" w:cs="黑体"/>
                <w:i w:val="0"/>
                <w:iCs w:val="0"/>
                <w:caps w:val="0"/>
                <w:color w:val="000000"/>
                <w:spacing w:val="0"/>
                <w:sz w:val="32"/>
                <w:szCs w:val="32"/>
                <w:shd w:val="clear" w:fill="FFFFFF"/>
                <w:vertAlign w:val="baseline"/>
                <w:lang w:val="en-US" w:eastAsia="zh-CN"/>
              </w:rPr>
            </w:pPr>
            <w:r>
              <w:rPr>
                <w:rFonts w:hint="eastAsia" w:ascii="黑体" w:hAnsi="黑体" w:eastAsia="黑体" w:cs="黑体"/>
                <w:i w:val="0"/>
                <w:iCs w:val="0"/>
                <w:caps w:val="0"/>
                <w:color w:val="000000"/>
                <w:spacing w:val="0"/>
                <w:sz w:val="28"/>
                <w:szCs w:val="28"/>
                <w:shd w:val="clear" w:fill="FFFFFF"/>
                <w:vertAlign w:val="baseline"/>
                <w:lang w:val="en-US" w:eastAsia="zh-CN"/>
              </w:rPr>
              <w:t>第二十条  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numPr>
                <w:ilvl w:val="0"/>
                <w:numId w:val="0"/>
              </w:numPr>
              <w:jc w:val="center"/>
              <w:rPr>
                <w:rFonts w:hint="default" w:ascii="宋体" w:hAnsi="宋体" w:eastAsia="宋体" w:cs="宋体"/>
                <w:i w:val="0"/>
                <w:iCs w:val="0"/>
                <w:caps w:val="0"/>
                <w:color w:val="000000"/>
                <w:spacing w:val="0"/>
                <w:sz w:val="28"/>
                <w:szCs w:val="28"/>
                <w:shd w:val="clear" w:fill="FFFFFF"/>
                <w:vertAlign w:val="baseline"/>
                <w:lang w:val="en-US" w:eastAsia="zh-CN"/>
              </w:rPr>
            </w:pPr>
            <w:r>
              <w:rPr>
                <w:rFonts w:hint="eastAsia" w:ascii="宋体" w:hAnsi="宋体" w:eastAsia="宋体" w:cs="宋体"/>
                <w:i w:val="0"/>
                <w:iCs w:val="0"/>
                <w:caps w:val="0"/>
                <w:color w:val="000000"/>
                <w:spacing w:val="0"/>
                <w:sz w:val="28"/>
                <w:szCs w:val="28"/>
                <w:shd w:val="clear" w:fill="FFFFFF"/>
                <w:vertAlign w:val="baseline"/>
                <w:lang w:val="en-US" w:eastAsia="zh-CN"/>
              </w:rPr>
              <w:t>信息内容</w:t>
            </w:r>
          </w:p>
        </w:tc>
        <w:tc>
          <w:tcPr>
            <w:tcW w:w="6796" w:type="dxa"/>
            <w:gridSpan w:val="3"/>
          </w:tcPr>
          <w:p>
            <w:pPr>
              <w:numPr>
                <w:ilvl w:val="0"/>
                <w:numId w:val="0"/>
              </w:numPr>
              <w:jc w:val="center"/>
              <w:rPr>
                <w:rFonts w:hint="default" w:ascii="宋体" w:hAnsi="宋体" w:eastAsia="宋体" w:cs="宋体"/>
                <w:i w:val="0"/>
                <w:iCs w:val="0"/>
                <w:caps w:val="0"/>
                <w:color w:val="000000"/>
                <w:spacing w:val="0"/>
                <w:sz w:val="28"/>
                <w:szCs w:val="28"/>
                <w:shd w:val="clear" w:fill="FFFFFF"/>
                <w:vertAlign w:val="baseline"/>
                <w:lang w:val="en-US" w:eastAsia="zh-CN"/>
              </w:rPr>
            </w:pPr>
            <w:r>
              <w:rPr>
                <w:rFonts w:hint="eastAsia" w:ascii="宋体" w:hAnsi="宋体" w:eastAsia="宋体" w:cs="宋体"/>
                <w:i w:val="0"/>
                <w:iCs w:val="0"/>
                <w:caps w:val="0"/>
                <w:color w:val="000000"/>
                <w:spacing w:val="0"/>
                <w:sz w:val="28"/>
                <w:szCs w:val="28"/>
                <w:shd w:val="clear" w:fill="FFFFFF"/>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numPr>
                <w:ilvl w:val="0"/>
                <w:numId w:val="0"/>
              </w:numPr>
              <w:jc w:val="center"/>
              <w:rPr>
                <w:rFonts w:hint="default" w:ascii="宋体" w:hAnsi="宋体" w:eastAsia="宋体" w:cs="宋体"/>
                <w:i w:val="0"/>
                <w:iCs w:val="0"/>
                <w:caps w:val="0"/>
                <w:color w:val="000000"/>
                <w:spacing w:val="0"/>
                <w:sz w:val="28"/>
                <w:szCs w:val="28"/>
                <w:shd w:val="clear" w:fill="FFFFFF"/>
                <w:vertAlign w:val="baseline"/>
                <w:lang w:val="en-US" w:eastAsia="zh-CN"/>
              </w:rPr>
            </w:pPr>
            <w:r>
              <w:rPr>
                <w:rFonts w:hint="eastAsia" w:ascii="宋体" w:hAnsi="宋体" w:eastAsia="宋体" w:cs="宋体"/>
                <w:i w:val="0"/>
                <w:iCs w:val="0"/>
                <w:caps w:val="0"/>
                <w:color w:val="000000"/>
                <w:spacing w:val="0"/>
                <w:sz w:val="28"/>
                <w:szCs w:val="28"/>
                <w:shd w:val="clear" w:fill="FFFFFF"/>
                <w:vertAlign w:val="baseline"/>
                <w:lang w:val="en-US" w:eastAsia="zh-CN"/>
              </w:rPr>
              <w:t>行政许可</w:t>
            </w:r>
          </w:p>
        </w:tc>
        <w:tc>
          <w:tcPr>
            <w:tcW w:w="2208" w:type="dxa"/>
            <w:vAlign w:val="top"/>
          </w:tcPr>
          <w:p>
            <w:pPr>
              <w:numPr>
                <w:ilvl w:val="0"/>
                <w:numId w:val="0"/>
              </w:numPr>
              <w:ind w:left="0" w:leftChars="0" w:firstLine="0" w:firstLineChars="0"/>
              <w:jc w:val="center"/>
              <w:rPr>
                <w:rFonts w:hint="default" w:ascii="宋体" w:hAnsi="宋体" w:eastAsia="宋体" w:cs="宋体"/>
                <w:i w:val="0"/>
                <w:iCs w:val="0"/>
                <w:caps w:val="0"/>
                <w:color w:val="000000"/>
                <w:spacing w:val="0"/>
                <w:sz w:val="28"/>
                <w:szCs w:val="28"/>
                <w:shd w:val="clear" w:fill="FFFFFF"/>
                <w:vertAlign w:val="baseline"/>
                <w:lang w:val="en-US" w:eastAsia="zh-CN"/>
              </w:rPr>
            </w:pPr>
            <w:r>
              <w:rPr>
                <w:rFonts w:hint="eastAsia" w:ascii="宋体" w:hAnsi="宋体" w:eastAsia="宋体" w:cs="宋体"/>
                <w:i w:val="0"/>
                <w:iCs w:val="0"/>
                <w:caps w:val="0"/>
                <w:color w:val="000000"/>
                <w:spacing w:val="0"/>
                <w:sz w:val="28"/>
                <w:szCs w:val="28"/>
                <w:shd w:val="clear" w:fill="FFFFFF"/>
                <w:vertAlign w:val="baseline"/>
                <w:lang w:val="en-US" w:eastAsia="zh-CN"/>
              </w:rPr>
              <w:t>0</w:t>
            </w:r>
          </w:p>
        </w:tc>
        <w:tc>
          <w:tcPr>
            <w:tcW w:w="2294" w:type="dxa"/>
            <w:vAlign w:val="top"/>
          </w:tcPr>
          <w:p>
            <w:pPr>
              <w:numPr>
                <w:ilvl w:val="0"/>
                <w:numId w:val="0"/>
              </w:numPr>
              <w:ind w:left="0" w:leftChars="0" w:firstLine="0" w:firstLineChars="0"/>
              <w:jc w:val="center"/>
              <w:rPr>
                <w:rFonts w:hint="default" w:ascii="宋体" w:hAnsi="宋体" w:eastAsia="宋体" w:cs="宋体"/>
                <w:i w:val="0"/>
                <w:iCs w:val="0"/>
                <w:caps w:val="0"/>
                <w:color w:val="000000"/>
                <w:spacing w:val="0"/>
                <w:sz w:val="28"/>
                <w:szCs w:val="28"/>
                <w:shd w:val="clear" w:fill="FFFFFF"/>
                <w:vertAlign w:val="baseline"/>
                <w:lang w:val="en-US" w:eastAsia="zh-CN"/>
              </w:rPr>
            </w:pPr>
            <w:r>
              <w:rPr>
                <w:rFonts w:hint="eastAsia" w:ascii="宋体" w:hAnsi="宋体" w:eastAsia="宋体" w:cs="宋体"/>
                <w:i w:val="0"/>
                <w:iCs w:val="0"/>
                <w:caps w:val="0"/>
                <w:color w:val="000000"/>
                <w:spacing w:val="0"/>
                <w:sz w:val="28"/>
                <w:szCs w:val="28"/>
                <w:shd w:val="clear" w:fill="FFFFFF"/>
                <w:vertAlign w:val="baseline"/>
                <w:lang w:val="en-US" w:eastAsia="zh-CN"/>
              </w:rPr>
              <w:t>0</w:t>
            </w:r>
          </w:p>
        </w:tc>
        <w:tc>
          <w:tcPr>
            <w:tcW w:w="2294" w:type="dxa"/>
            <w:vAlign w:val="top"/>
          </w:tcPr>
          <w:p>
            <w:pPr>
              <w:numPr>
                <w:ilvl w:val="0"/>
                <w:numId w:val="0"/>
              </w:numPr>
              <w:ind w:left="0" w:leftChars="0" w:firstLine="0" w:firstLineChars="0"/>
              <w:jc w:val="center"/>
              <w:rPr>
                <w:rFonts w:hint="default" w:ascii="宋体" w:hAnsi="宋体" w:eastAsia="宋体" w:cs="宋体"/>
                <w:i w:val="0"/>
                <w:iCs w:val="0"/>
                <w:caps w:val="0"/>
                <w:color w:val="000000"/>
                <w:spacing w:val="0"/>
                <w:sz w:val="28"/>
                <w:szCs w:val="28"/>
                <w:shd w:val="clear" w:fill="FFFFFF"/>
                <w:vertAlign w:val="baseline"/>
                <w:lang w:val="en-US" w:eastAsia="zh-CN"/>
              </w:rPr>
            </w:pPr>
            <w:r>
              <w:rPr>
                <w:rFonts w:hint="eastAsia" w:ascii="宋体" w:hAnsi="宋体" w:eastAsia="宋体" w:cs="宋体"/>
                <w:i w:val="0"/>
                <w:iCs w:val="0"/>
                <w:caps w:val="0"/>
                <w:color w:val="000000"/>
                <w:spacing w:val="0"/>
                <w:sz w:val="28"/>
                <w:szCs w:val="28"/>
                <w:shd w:val="clear" w:fill="FFFFFF"/>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1" w:type="dxa"/>
            <w:gridSpan w:val="4"/>
          </w:tcPr>
          <w:p>
            <w:pPr>
              <w:numPr>
                <w:ilvl w:val="0"/>
                <w:numId w:val="0"/>
              </w:numPr>
              <w:jc w:val="center"/>
              <w:rPr>
                <w:rFonts w:hint="default" w:ascii="黑体" w:hAnsi="黑体" w:eastAsia="黑体" w:cs="黑体"/>
                <w:i w:val="0"/>
                <w:iCs w:val="0"/>
                <w:caps w:val="0"/>
                <w:color w:val="000000"/>
                <w:spacing w:val="0"/>
                <w:sz w:val="32"/>
                <w:szCs w:val="32"/>
                <w:shd w:val="clear" w:fill="FFFFFF"/>
                <w:vertAlign w:val="baseline"/>
                <w:lang w:val="en-US" w:eastAsia="zh-CN"/>
              </w:rPr>
            </w:pPr>
            <w:r>
              <w:rPr>
                <w:rFonts w:hint="eastAsia" w:ascii="黑体" w:hAnsi="黑体" w:eastAsia="黑体" w:cs="黑体"/>
                <w:i w:val="0"/>
                <w:iCs w:val="0"/>
                <w:caps w:val="0"/>
                <w:color w:val="000000"/>
                <w:spacing w:val="0"/>
                <w:sz w:val="28"/>
                <w:szCs w:val="28"/>
                <w:shd w:val="clear" w:fill="FFFFFF"/>
                <w:vertAlign w:val="baseline"/>
                <w:lang w:val="en-US" w:eastAsia="zh-CN"/>
              </w:rPr>
              <w:t>第二十条  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vAlign w:val="top"/>
          </w:tcPr>
          <w:p>
            <w:pPr>
              <w:numPr>
                <w:ilvl w:val="0"/>
                <w:numId w:val="0"/>
              </w:numPr>
              <w:ind w:left="0" w:leftChars="0" w:firstLine="0" w:firstLineChars="0"/>
              <w:jc w:val="center"/>
              <w:rPr>
                <w:rFonts w:hint="eastAsia" w:ascii="黑体" w:hAnsi="黑体" w:eastAsia="黑体" w:cs="黑体"/>
                <w:i w:val="0"/>
                <w:iCs w:val="0"/>
                <w:caps w:val="0"/>
                <w:color w:val="000000"/>
                <w:spacing w:val="0"/>
                <w:sz w:val="32"/>
                <w:szCs w:val="32"/>
                <w:shd w:val="clear" w:fill="FFFFFF"/>
                <w:vertAlign w:val="baseline"/>
                <w:lang w:val="en-US" w:eastAsia="zh-CN"/>
              </w:rPr>
            </w:pPr>
            <w:r>
              <w:rPr>
                <w:rFonts w:hint="eastAsia" w:ascii="宋体" w:hAnsi="宋体" w:eastAsia="宋体" w:cs="宋体"/>
                <w:i w:val="0"/>
                <w:iCs w:val="0"/>
                <w:caps w:val="0"/>
                <w:color w:val="000000"/>
                <w:spacing w:val="0"/>
                <w:sz w:val="28"/>
                <w:szCs w:val="28"/>
                <w:shd w:val="clear" w:fill="FFFFFF"/>
                <w:vertAlign w:val="baseline"/>
                <w:lang w:val="en-US" w:eastAsia="zh-CN"/>
              </w:rPr>
              <w:t>信息内容</w:t>
            </w:r>
          </w:p>
        </w:tc>
        <w:tc>
          <w:tcPr>
            <w:tcW w:w="6796" w:type="dxa"/>
            <w:gridSpan w:val="3"/>
            <w:vAlign w:val="top"/>
          </w:tcPr>
          <w:p>
            <w:pPr>
              <w:numPr>
                <w:ilvl w:val="0"/>
                <w:numId w:val="0"/>
              </w:numPr>
              <w:ind w:left="0" w:leftChars="0" w:firstLine="0" w:firstLineChars="0"/>
              <w:jc w:val="center"/>
              <w:rPr>
                <w:rFonts w:hint="default" w:ascii="黑体" w:hAnsi="黑体" w:eastAsia="黑体" w:cs="黑体"/>
                <w:i w:val="0"/>
                <w:iCs w:val="0"/>
                <w:caps w:val="0"/>
                <w:color w:val="000000"/>
                <w:spacing w:val="0"/>
                <w:sz w:val="32"/>
                <w:szCs w:val="32"/>
                <w:shd w:val="clear" w:fill="FFFFFF"/>
                <w:vertAlign w:val="baseline"/>
                <w:lang w:val="en-US" w:eastAsia="zh-CN"/>
              </w:rPr>
            </w:pPr>
            <w:r>
              <w:rPr>
                <w:rFonts w:hint="eastAsia" w:ascii="宋体" w:hAnsi="宋体" w:eastAsia="宋体" w:cs="宋体"/>
                <w:i w:val="0"/>
                <w:iCs w:val="0"/>
                <w:caps w:val="0"/>
                <w:color w:val="000000"/>
                <w:spacing w:val="0"/>
                <w:sz w:val="28"/>
                <w:szCs w:val="28"/>
                <w:shd w:val="clear" w:fill="FFFFFF"/>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vAlign w:val="top"/>
          </w:tcPr>
          <w:p>
            <w:pPr>
              <w:numPr>
                <w:ilvl w:val="0"/>
                <w:numId w:val="0"/>
              </w:numPr>
              <w:ind w:left="0" w:leftChars="0" w:firstLine="0" w:firstLineChars="0"/>
              <w:jc w:val="center"/>
              <w:rPr>
                <w:rFonts w:hint="eastAsia" w:ascii="宋体" w:hAnsi="宋体" w:eastAsia="宋体" w:cs="宋体"/>
                <w:i w:val="0"/>
                <w:iCs w:val="0"/>
                <w:caps w:val="0"/>
                <w:color w:val="000000"/>
                <w:spacing w:val="0"/>
                <w:kern w:val="2"/>
                <w:sz w:val="28"/>
                <w:szCs w:val="28"/>
                <w:shd w:val="clear" w:fill="FFFFFF"/>
                <w:vertAlign w:val="baseline"/>
                <w:lang w:val="en-US" w:eastAsia="zh-CN" w:bidi="ar-SA"/>
              </w:rPr>
            </w:pPr>
            <w:r>
              <w:rPr>
                <w:rFonts w:hint="eastAsia" w:ascii="宋体" w:hAnsi="宋体" w:eastAsia="宋体" w:cs="宋体"/>
                <w:i w:val="0"/>
                <w:iCs w:val="0"/>
                <w:caps w:val="0"/>
                <w:color w:val="000000"/>
                <w:spacing w:val="0"/>
                <w:sz w:val="28"/>
                <w:szCs w:val="28"/>
                <w:shd w:val="clear" w:fill="FFFFFF"/>
                <w:vertAlign w:val="baseline"/>
                <w:lang w:val="en-US" w:eastAsia="zh-CN"/>
              </w:rPr>
              <w:t>行政处罚</w:t>
            </w:r>
          </w:p>
        </w:tc>
        <w:tc>
          <w:tcPr>
            <w:tcW w:w="2208" w:type="dxa"/>
            <w:vAlign w:val="top"/>
          </w:tcPr>
          <w:p>
            <w:pPr>
              <w:numPr>
                <w:ilvl w:val="0"/>
                <w:numId w:val="0"/>
              </w:numPr>
              <w:ind w:left="0" w:leftChars="0" w:firstLine="0" w:firstLineChars="0"/>
              <w:jc w:val="center"/>
              <w:rPr>
                <w:rFonts w:hint="default" w:ascii="宋体" w:hAnsi="宋体" w:eastAsia="宋体" w:cs="宋体"/>
                <w:i w:val="0"/>
                <w:iCs w:val="0"/>
                <w:caps w:val="0"/>
                <w:color w:val="000000"/>
                <w:spacing w:val="0"/>
                <w:kern w:val="2"/>
                <w:sz w:val="28"/>
                <w:szCs w:val="28"/>
                <w:shd w:val="clear" w:fill="FFFFFF"/>
                <w:vertAlign w:val="baseline"/>
                <w:lang w:val="en-US" w:eastAsia="zh-CN" w:bidi="ar-SA"/>
              </w:rPr>
            </w:pPr>
            <w:r>
              <w:rPr>
                <w:rFonts w:hint="eastAsia" w:ascii="宋体" w:hAnsi="宋体" w:eastAsia="宋体" w:cs="宋体"/>
                <w:i w:val="0"/>
                <w:iCs w:val="0"/>
                <w:caps w:val="0"/>
                <w:color w:val="000000"/>
                <w:spacing w:val="0"/>
                <w:sz w:val="28"/>
                <w:szCs w:val="28"/>
                <w:shd w:val="clear" w:fill="FFFFFF"/>
                <w:vertAlign w:val="baseline"/>
                <w:lang w:val="en-US" w:eastAsia="zh-CN"/>
              </w:rPr>
              <w:t>0</w:t>
            </w:r>
          </w:p>
        </w:tc>
        <w:tc>
          <w:tcPr>
            <w:tcW w:w="2294" w:type="dxa"/>
            <w:vAlign w:val="top"/>
          </w:tcPr>
          <w:p>
            <w:pPr>
              <w:numPr>
                <w:ilvl w:val="0"/>
                <w:numId w:val="0"/>
              </w:numPr>
              <w:ind w:left="0" w:leftChars="0" w:firstLine="0" w:firstLineChars="0"/>
              <w:jc w:val="center"/>
              <w:rPr>
                <w:rFonts w:hint="default" w:ascii="宋体" w:hAnsi="宋体" w:eastAsia="宋体" w:cs="宋体"/>
                <w:i w:val="0"/>
                <w:iCs w:val="0"/>
                <w:caps w:val="0"/>
                <w:color w:val="000000"/>
                <w:spacing w:val="0"/>
                <w:kern w:val="2"/>
                <w:sz w:val="28"/>
                <w:szCs w:val="28"/>
                <w:shd w:val="clear" w:fill="FFFFFF"/>
                <w:vertAlign w:val="baseline"/>
                <w:lang w:val="en-US" w:eastAsia="zh-CN" w:bidi="ar-SA"/>
              </w:rPr>
            </w:pPr>
            <w:r>
              <w:rPr>
                <w:rFonts w:hint="eastAsia" w:ascii="宋体" w:hAnsi="宋体" w:eastAsia="宋体" w:cs="宋体"/>
                <w:i w:val="0"/>
                <w:iCs w:val="0"/>
                <w:caps w:val="0"/>
                <w:color w:val="000000"/>
                <w:spacing w:val="0"/>
                <w:sz w:val="28"/>
                <w:szCs w:val="28"/>
                <w:shd w:val="clear" w:fill="FFFFFF"/>
                <w:vertAlign w:val="baseline"/>
                <w:lang w:val="en-US" w:eastAsia="zh-CN"/>
              </w:rPr>
              <w:t>0</w:t>
            </w:r>
          </w:p>
        </w:tc>
        <w:tc>
          <w:tcPr>
            <w:tcW w:w="2294" w:type="dxa"/>
            <w:vAlign w:val="top"/>
          </w:tcPr>
          <w:p>
            <w:pPr>
              <w:numPr>
                <w:ilvl w:val="0"/>
                <w:numId w:val="0"/>
              </w:numPr>
              <w:ind w:left="0" w:leftChars="0" w:firstLine="0" w:firstLineChars="0"/>
              <w:jc w:val="center"/>
              <w:rPr>
                <w:rFonts w:hint="default" w:ascii="宋体" w:hAnsi="宋体" w:eastAsia="宋体" w:cs="宋体"/>
                <w:i w:val="0"/>
                <w:iCs w:val="0"/>
                <w:caps w:val="0"/>
                <w:color w:val="000000"/>
                <w:spacing w:val="0"/>
                <w:kern w:val="2"/>
                <w:sz w:val="28"/>
                <w:szCs w:val="28"/>
                <w:shd w:val="clear" w:fill="FFFFFF"/>
                <w:vertAlign w:val="baseline"/>
                <w:lang w:val="en-US" w:eastAsia="zh-CN" w:bidi="ar-SA"/>
              </w:rPr>
            </w:pPr>
            <w:r>
              <w:rPr>
                <w:rFonts w:hint="eastAsia" w:ascii="宋体" w:hAnsi="宋体" w:eastAsia="宋体" w:cs="宋体"/>
                <w:i w:val="0"/>
                <w:iCs w:val="0"/>
                <w:caps w:val="0"/>
                <w:color w:val="000000"/>
                <w:spacing w:val="0"/>
                <w:sz w:val="28"/>
                <w:szCs w:val="28"/>
                <w:shd w:val="clear" w:fill="FFFFFF"/>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vAlign w:val="top"/>
          </w:tcPr>
          <w:p>
            <w:pPr>
              <w:numPr>
                <w:ilvl w:val="0"/>
                <w:numId w:val="0"/>
              </w:numPr>
              <w:ind w:left="0" w:leftChars="0" w:firstLine="0" w:firstLineChars="0"/>
              <w:jc w:val="center"/>
              <w:rPr>
                <w:rFonts w:hint="eastAsia" w:ascii="宋体" w:hAnsi="宋体" w:eastAsia="宋体" w:cs="宋体"/>
                <w:i w:val="0"/>
                <w:iCs w:val="0"/>
                <w:caps w:val="0"/>
                <w:color w:val="000000"/>
                <w:spacing w:val="0"/>
                <w:kern w:val="2"/>
                <w:sz w:val="28"/>
                <w:szCs w:val="28"/>
                <w:shd w:val="clear" w:fill="FFFFFF"/>
                <w:vertAlign w:val="baseline"/>
                <w:lang w:val="en-US" w:eastAsia="zh-CN" w:bidi="ar-SA"/>
              </w:rPr>
            </w:pPr>
            <w:r>
              <w:rPr>
                <w:rFonts w:hint="eastAsia" w:ascii="宋体" w:hAnsi="宋体" w:eastAsia="宋体" w:cs="宋体"/>
                <w:i w:val="0"/>
                <w:iCs w:val="0"/>
                <w:caps w:val="0"/>
                <w:color w:val="000000"/>
                <w:spacing w:val="0"/>
                <w:sz w:val="28"/>
                <w:szCs w:val="28"/>
                <w:shd w:val="clear" w:fill="FFFFFF"/>
                <w:vertAlign w:val="baseline"/>
                <w:lang w:val="en-US" w:eastAsia="zh-CN"/>
              </w:rPr>
              <w:t>行政强制</w:t>
            </w:r>
          </w:p>
        </w:tc>
        <w:tc>
          <w:tcPr>
            <w:tcW w:w="2208" w:type="dxa"/>
            <w:vAlign w:val="top"/>
          </w:tcPr>
          <w:p>
            <w:pPr>
              <w:numPr>
                <w:ilvl w:val="0"/>
                <w:numId w:val="0"/>
              </w:numPr>
              <w:ind w:left="0" w:leftChars="0" w:firstLine="0" w:firstLineChars="0"/>
              <w:jc w:val="center"/>
              <w:rPr>
                <w:rFonts w:hint="default" w:ascii="宋体" w:hAnsi="宋体" w:eastAsia="宋体" w:cs="宋体"/>
                <w:i w:val="0"/>
                <w:iCs w:val="0"/>
                <w:caps w:val="0"/>
                <w:color w:val="000000"/>
                <w:spacing w:val="0"/>
                <w:kern w:val="2"/>
                <w:sz w:val="28"/>
                <w:szCs w:val="28"/>
                <w:shd w:val="clear" w:fill="FFFFFF"/>
                <w:vertAlign w:val="baseline"/>
                <w:lang w:val="en-US" w:eastAsia="zh-CN" w:bidi="ar-SA"/>
              </w:rPr>
            </w:pPr>
            <w:r>
              <w:rPr>
                <w:rFonts w:hint="eastAsia" w:ascii="宋体" w:hAnsi="宋体" w:eastAsia="宋体" w:cs="宋体"/>
                <w:i w:val="0"/>
                <w:iCs w:val="0"/>
                <w:caps w:val="0"/>
                <w:color w:val="000000"/>
                <w:spacing w:val="0"/>
                <w:sz w:val="28"/>
                <w:szCs w:val="28"/>
                <w:shd w:val="clear" w:fill="FFFFFF"/>
                <w:vertAlign w:val="baseline"/>
                <w:lang w:val="en-US" w:eastAsia="zh-CN"/>
              </w:rPr>
              <w:t>0</w:t>
            </w:r>
          </w:p>
        </w:tc>
        <w:tc>
          <w:tcPr>
            <w:tcW w:w="2294" w:type="dxa"/>
            <w:vAlign w:val="top"/>
          </w:tcPr>
          <w:p>
            <w:pPr>
              <w:numPr>
                <w:ilvl w:val="0"/>
                <w:numId w:val="0"/>
              </w:numPr>
              <w:ind w:left="0" w:leftChars="0" w:firstLine="0" w:firstLineChars="0"/>
              <w:jc w:val="center"/>
              <w:rPr>
                <w:rFonts w:hint="default" w:ascii="宋体" w:hAnsi="宋体" w:eastAsia="宋体" w:cs="宋体"/>
                <w:i w:val="0"/>
                <w:iCs w:val="0"/>
                <w:caps w:val="0"/>
                <w:color w:val="000000"/>
                <w:spacing w:val="0"/>
                <w:kern w:val="2"/>
                <w:sz w:val="28"/>
                <w:szCs w:val="28"/>
                <w:shd w:val="clear" w:fill="FFFFFF"/>
                <w:vertAlign w:val="baseline"/>
                <w:lang w:val="en-US" w:eastAsia="zh-CN" w:bidi="ar-SA"/>
              </w:rPr>
            </w:pPr>
            <w:r>
              <w:rPr>
                <w:rFonts w:hint="eastAsia" w:ascii="宋体" w:hAnsi="宋体" w:eastAsia="宋体" w:cs="宋体"/>
                <w:i w:val="0"/>
                <w:iCs w:val="0"/>
                <w:caps w:val="0"/>
                <w:color w:val="000000"/>
                <w:spacing w:val="0"/>
                <w:sz w:val="28"/>
                <w:szCs w:val="28"/>
                <w:shd w:val="clear" w:fill="FFFFFF"/>
                <w:vertAlign w:val="baseline"/>
                <w:lang w:val="en-US" w:eastAsia="zh-CN"/>
              </w:rPr>
              <w:t>0</w:t>
            </w:r>
          </w:p>
        </w:tc>
        <w:tc>
          <w:tcPr>
            <w:tcW w:w="2294" w:type="dxa"/>
            <w:vAlign w:val="top"/>
          </w:tcPr>
          <w:p>
            <w:pPr>
              <w:numPr>
                <w:ilvl w:val="0"/>
                <w:numId w:val="0"/>
              </w:numPr>
              <w:ind w:left="0" w:leftChars="0" w:firstLine="0" w:firstLineChars="0"/>
              <w:jc w:val="center"/>
              <w:rPr>
                <w:rFonts w:hint="default" w:ascii="宋体" w:hAnsi="宋体" w:eastAsia="宋体" w:cs="宋体"/>
                <w:i w:val="0"/>
                <w:iCs w:val="0"/>
                <w:caps w:val="0"/>
                <w:color w:val="000000"/>
                <w:spacing w:val="0"/>
                <w:kern w:val="2"/>
                <w:sz w:val="28"/>
                <w:szCs w:val="28"/>
                <w:shd w:val="clear" w:fill="FFFFFF"/>
                <w:vertAlign w:val="baseline"/>
                <w:lang w:val="en-US" w:eastAsia="zh-CN" w:bidi="ar-SA"/>
              </w:rPr>
            </w:pPr>
            <w:r>
              <w:rPr>
                <w:rFonts w:hint="eastAsia" w:ascii="宋体" w:hAnsi="宋体" w:eastAsia="宋体" w:cs="宋体"/>
                <w:i w:val="0"/>
                <w:iCs w:val="0"/>
                <w:caps w:val="0"/>
                <w:color w:val="000000"/>
                <w:spacing w:val="0"/>
                <w:sz w:val="28"/>
                <w:szCs w:val="28"/>
                <w:shd w:val="clear" w:fill="FFFFFF"/>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1" w:type="dxa"/>
            <w:gridSpan w:val="4"/>
          </w:tcPr>
          <w:p>
            <w:pPr>
              <w:numPr>
                <w:ilvl w:val="0"/>
                <w:numId w:val="0"/>
              </w:numPr>
              <w:jc w:val="center"/>
              <w:rPr>
                <w:rFonts w:hint="default" w:ascii="黑体" w:hAnsi="黑体" w:eastAsia="黑体" w:cs="黑体"/>
                <w:i w:val="0"/>
                <w:iCs w:val="0"/>
                <w:caps w:val="0"/>
                <w:color w:val="000000"/>
                <w:spacing w:val="0"/>
                <w:sz w:val="32"/>
                <w:szCs w:val="32"/>
                <w:shd w:val="clear" w:fill="FFFFFF"/>
                <w:vertAlign w:val="baseline"/>
                <w:lang w:val="en-US" w:eastAsia="zh-CN"/>
              </w:rPr>
            </w:pPr>
            <w:r>
              <w:rPr>
                <w:rFonts w:hint="eastAsia" w:ascii="黑体" w:hAnsi="黑体" w:eastAsia="黑体" w:cs="黑体"/>
                <w:i w:val="0"/>
                <w:iCs w:val="0"/>
                <w:caps w:val="0"/>
                <w:color w:val="000000"/>
                <w:spacing w:val="0"/>
                <w:sz w:val="28"/>
                <w:szCs w:val="28"/>
                <w:shd w:val="clear" w:fill="FFFFFF"/>
                <w:vertAlign w:val="baseline"/>
                <w:lang w:val="en-US" w:eastAsia="zh-CN"/>
              </w:rPr>
              <w:t>第二十条  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numPr>
                <w:ilvl w:val="0"/>
                <w:numId w:val="0"/>
              </w:numPr>
              <w:ind w:left="0" w:leftChars="0" w:firstLine="0" w:firstLineChars="0"/>
              <w:jc w:val="center"/>
              <w:rPr>
                <w:rFonts w:hint="eastAsia" w:ascii="宋体" w:hAnsi="宋体" w:eastAsia="宋体" w:cs="宋体"/>
                <w:i w:val="0"/>
                <w:iCs w:val="0"/>
                <w:caps w:val="0"/>
                <w:color w:val="000000"/>
                <w:spacing w:val="0"/>
                <w:sz w:val="28"/>
                <w:szCs w:val="28"/>
                <w:shd w:val="clear" w:fill="FFFFFF"/>
                <w:vertAlign w:val="baseline"/>
                <w:lang w:val="en-US" w:eastAsia="zh-CN"/>
              </w:rPr>
            </w:pPr>
            <w:r>
              <w:rPr>
                <w:rFonts w:hint="eastAsia" w:ascii="宋体" w:hAnsi="宋体" w:eastAsia="宋体" w:cs="宋体"/>
                <w:i w:val="0"/>
                <w:iCs w:val="0"/>
                <w:caps w:val="0"/>
                <w:color w:val="000000"/>
                <w:spacing w:val="0"/>
                <w:sz w:val="28"/>
                <w:szCs w:val="28"/>
                <w:shd w:val="clear" w:fill="FFFFFF"/>
                <w:vertAlign w:val="baseline"/>
                <w:lang w:val="en-US" w:eastAsia="zh-CN"/>
              </w:rPr>
              <w:t>信息内容</w:t>
            </w:r>
          </w:p>
        </w:tc>
        <w:tc>
          <w:tcPr>
            <w:tcW w:w="6796" w:type="dxa"/>
            <w:gridSpan w:val="3"/>
          </w:tcPr>
          <w:p>
            <w:pPr>
              <w:numPr>
                <w:ilvl w:val="0"/>
                <w:numId w:val="0"/>
              </w:numPr>
              <w:ind w:left="0" w:leftChars="0" w:firstLine="0" w:firstLineChars="0"/>
              <w:jc w:val="center"/>
              <w:rPr>
                <w:rFonts w:hint="default" w:ascii="宋体" w:hAnsi="宋体" w:eastAsia="宋体" w:cs="宋体"/>
                <w:i w:val="0"/>
                <w:iCs w:val="0"/>
                <w:caps w:val="0"/>
                <w:color w:val="000000"/>
                <w:spacing w:val="0"/>
                <w:sz w:val="28"/>
                <w:szCs w:val="28"/>
                <w:shd w:val="clear" w:fill="FFFFFF"/>
                <w:vertAlign w:val="baseline"/>
                <w:lang w:val="en-US" w:eastAsia="zh-CN"/>
              </w:rPr>
            </w:pPr>
            <w:r>
              <w:rPr>
                <w:rFonts w:hint="eastAsia" w:ascii="宋体" w:hAnsi="宋体" w:eastAsia="宋体" w:cs="宋体"/>
                <w:i w:val="0"/>
                <w:iCs w:val="0"/>
                <w:caps w:val="0"/>
                <w:color w:val="000000"/>
                <w:spacing w:val="0"/>
                <w:sz w:val="28"/>
                <w:szCs w:val="28"/>
                <w:shd w:val="clear" w:fill="FFFFFF"/>
                <w:vertAlign w:val="baseline"/>
                <w:lang w:val="en-US"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numPr>
                <w:ilvl w:val="0"/>
                <w:numId w:val="0"/>
              </w:numPr>
              <w:ind w:left="0" w:leftChars="0" w:firstLine="0" w:firstLineChars="0"/>
              <w:jc w:val="center"/>
              <w:rPr>
                <w:rFonts w:hint="eastAsia" w:ascii="宋体" w:hAnsi="宋体" w:eastAsia="宋体" w:cs="宋体"/>
                <w:i w:val="0"/>
                <w:iCs w:val="0"/>
                <w:caps w:val="0"/>
                <w:color w:val="000000"/>
                <w:spacing w:val="0"/>
                <w:sz w:val="28"/>
                <w:szCs w:val="28"/>
                <w:shd w:val="clear" w:fill="FFFFFF"/>
                <w:vertAlign w:val="baseline"/>
                <w:lang w:val="en-US" w:eastAsia="zh-CN"/>
              </w:rPr>
            </w:pPr>
            <w:r>
              <w:rPr>
                <w:rFonts w:hint="eastAsia" w:ascii="宋体" w:hAnsi="宋体" w:eastAsia="宋体" w:cs="宋体"/>
                <w:i w:val="0"/>
                <w:iCs w:val="0"/>
                <w:caps w:val="0"/>
                <w:color w:val="000000"/>
                <w:spacing w:val="0"/>
                <w:sz w:val="28"/>
                <w:szCs w:val="28"/>
                <w:shd w:val="clear" w:fill="FFFFFF"/>
                <w:vertAlign w:val="baseline"/>
                <w:lang w:val="en-US" w:eastAsia="zh-CN"/>
              </w:rPr>
              <w:t>行政事业性收费</w:t>
            </w:r>
          </w:p>
        </w:tc>
        <w:tc>
          <w:tcPr>
            <w:tcW w:w="6796" w:type="dxa"/>
            <w:gridSpan w:val="3"/>
          </w:tcPr>
          <w:p>
            <w:pPr>
              <w:numPr>
                <w:ilvl w:val="0"/>
                <w:numId w:val="0"/>
              </w:numPr>
              <w:ind w:left="0" w:leftChars="0" w:firstLine="0" w:firstLineChars="0"/>
              <w:jc w:val="center"/>
              <w:rPr>
                <w:rFonts w:hint="default" w:ascii="宋体" w:hAnsi="宋体" w:eastAsia="宋体" w:cs="宋体"/>
                <w:i w:val="0"/>
                <w:iCs w:val="0"/>
                <w:caps w:val="0"/>
                <w:color w:val="000000"/>
                <w:spacing w:val="0"/>
                <w:sz w:val="28"/>
                <w:szCs w:val="28"/>
                <w:shd w:val="clear" w:fill="FFFFFF"/>
                <w:vertAlign w:val="baseline"/>
                <w:lang w:val="en-US" w:eastAsia="zh-CN"/>
              </w:rPr>
            </w:pPr>
            <w:r>
              <w:rPr>
                <w:rFonts w:hint="eastAsia" w:ascii="宋体" w:hAnsi="宋体" w:eastAsia="宋体" w:cs="宋体"/>
                <w:i w:val="0"/>
                <w:iCs w:val="0"/>
                <w:caps w:val="0"/>
                <w:color w:val="000000"/>
                <w:spacing w:val="0"/>
                <w:sz w:val="28"/>
                <w:szCs w:val="28"/>
                <w:shd w:val="clear" w:fill="FFFFFF"/>
                <w:vertAlign w:val="baseline"/>
                <w:lang w:val="en-US" w:eastAsia="zh-CN"/>
              </w:rPr>
              <w:t>0</w:t>
            </w:r>
          </w:p>
        </w:tc>
      </w:tr>
    </w:tbl>
    <w:p>
      <w:pPr>
        <w:numPr>
          <w:ilvl w:val="0"/>
          <w:numId w:val="0"/>
        </w:numPr>
        <w:ind w:leftChars="200"/>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三、收到和处理政府信息公开申请情况</w:t>
      </w:r>
    </w:p>
    <w:tbl>
      <w:tblPr>
        <w:tblStyle w:val="5"/>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020"/>
        <w:gridCol w:w="2909"/>
        <w:gridCol w:w="671"/>
        <w:gridCol w:w="710"/>
        <w:gridCol w:w="700"/>
        <w:gridCol w:w="660"/>
        <w:gridCol w:w="690"/>
        <w:gridCol w:w="660"/>
        <w:gridCol w:w="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13"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rPr>
            </w:pPr>
            <w:r>
              <w:rPr>
                <w:rFonts w:hint="eastAsia" w:ascii="楷体_GB2312" w:hAnsi="楷体_GB2312" w:eastAsia="楷体_GB2312" w:cs="楷体_GB2312"/>
                <w:sz w:val="21"/>
                <w:szCs w:val="21"/>
              </w:rPr>
              <w:t>（本列数据的勾稽关系为：第一项加第二项之和，等于第三项加第四项之和）</w:t>
            </w:r>
          </w:p>
        </w:tc>
        <w:tc>
          <w:tcPr>
            <w:tcW w:w="4685" w:type="dxa"/>
            <w:gridSpan w:val="7"/>
            <w:noWrap w:val="0"/>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rPr>
            </w:pPr>
            <w:r>
              <w:rPr>
                <w:rFonts w:hint="eastAsia"/>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13" w:type="dxa"/>
            <w:gridSpan w:val="3"/>
            <w:vMerge w:val="continue"/>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671" w:type="dxa"/>
            <w:vMerge w:val="restart"/>
            <w:noWrap w:val="0"/>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rPr>
            </w:pPr>
            <w:r>
              <w:rPr>
                <w:rFonts w:hint="eastAsia"/>
                <w:sz w:val="21"/>
                <w:szCs w:val="21"/>
              </w:rPr>
              <w:t>自然人</w:t>
            </w:r>
          </w:p>
        </w:tc>
        <w:tc>
          <w:tcPr>
            <w:tcW w:w="3420" w:type="dxa"/>
            <w:gridSpan w:val="5"/>
            <w:noWrap w:val="0"/>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rPr>
            </w:pPr>
            <w:r>
              <w:rPr>
                <w:rFonts w:hint="eastAsia"/>
                <w:sz w:val="21"/>
                <w:szCs w:val="21"/>
              </w:rPr>
              <w:t>法人或其他组织</w:t>
            </w:r>
          </w:p>
        </w:tc>
        <w:tc>
          <w:tcPr>
            <w:tcW w:w="594" w:type="dxa"/>
            <w:vMerge w:val="restart"/>
            <w:noWrap w:val="0"/>
            <w:vAlign w:val="center"/>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r>
              <w:rPr>
                <w:rFonts w:hint="eastAsia"/>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3" w:type="dxa"/>
            <w:gridSpan w:val="3"/>
            <w:vMerge w:val="continue"/>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671"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710" w:type="dxa"/>
            <w:noWrap w:val="0"/>
            <w:vAlign w:val="center"/>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r>
              <w:rPr>
                <w:rFonts w:hint="eastAsia"/>
                <w:sz w:val="21"/>
                <w:szCs w:val="21"/>
              </w:rPr>
              <w:t>商业企业</w:t>
            </w:r>
          </w:p>
        </w:tc>
        <w:tc>
          <w:tcPr>
            <w:tcW w:w="700" w:type="dxa"/>
            <w:noWrap w:val="0"/>
            <w:vAlign w:val="center"/>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r>
              <w:rPr>
                <w:rFonts w:hint="eastAsia"/>
                <w:sz w:val="21"/>
                <w:szCs w:val="21"/>
              </w:rPr>
              <w:t>科研机构</w:t>
            </w:r>
          </w:p>
        </w:tc>
        <w:tc>
          <w:tcPr>
            <w:tcW w:w="660" w:type="dxa"/>
            <w:noWrap w:val="0"/>
            <w:vAlign w:val="center"/>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r>
              <w:rPr>
                <w:rFonts w:hint="eastAsia"/>
                <w:sz w:val="21"/>
                <w:szCs w:val="21"/>
              </w:rPr>
              <w:t>社会公益组织</w:t>
            </w:r>
          </w:p>
        </w:tc>
        <w:tc>
          <w:tcPr>
            <w:tcW w:w="690" w:type="dxa"/>
            <w:noWrap w:val="0"/>
            <w:vAlign w:val="center"/>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r>
              <w:rPr>
                <w:rFonts w:hint="eastAsia"/>
                <w:sz w:val="21"/>
                <w:szCs w:val="21"/>
              </w:rPr>
              <w:t>法律服务机构</w:t>
            </w:r>
          </w:p>
        </w:tc>
        <w:tc>
          <w:tcPr>
            <w:tcW w:w="660" w:type="dxa"/>
            <w:noWrap w:val="0"/>
            <w:vAlign w:val="center"/>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r>
              <w:rPr>
                <w:rFonts w:hint="eastAsia"/>
                <w:sz w:val="21"/>
                <w:szCs w:val="21"/>
              </w:rPr>
              <w:t>其他</w:t>
            </w:r>
          </w:p>
        </w:tc>
        <w:tc>
          <w:tcPr>
            <w:tcW w:w="594" w:type="dxa"/>
            <w:vMerge w:val="continue"/>
            <w:noWrap w:val="0"/>
            <w:vAlign w:val="center"/>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713" w:type="dxa"/>
            <w:gridSpan w:val="3"/>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r>
              <w:rPr>
                <w:rFonts w:hint="eastAsia"/>
                <w:sz w:val="21"/>
                <w:szCs w:val="21"/>
              </w:rPr>
              <w:t>一、本年新收政府信息公开申请数量</w:t>
            </w:r>
          </w:p>
        </w:tc>
        <w:tc>
          <w:tcPr>
            <w:tcW w:w="671"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eastAsia="宋体"/>
                <w:sz w:val="21"/>
                <w:szCs w:val="21"/>
                <w:highlight w:val="none"/>
                <w:lang w:val="en-US" w:eastAsia="zh-CN"/>
              </w:rPr>
            </w:pPr>
            <w:r>
              <w:rPr>
                <w:rFonts w:hint="eastAsia"/>
                <w:sz w:val="21"/>
                <w:szCs w:val="21"/>
                <w:highlight w:val="none"/>
                <w:lang w:val="en-US" w:eastAsia="zh-CN"/>
              </w:rPr>
              <w:t>0</w:t>
            </w:r>
          </w:p>
        </w:tc>
        <w:tc>
          <w:tcPr>
            <w:tcW w:w="710" w:type="dxa"/>
            <w:noWrap w:val="0"/>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eastAsia="宋体"/>
                <w:sz w:val="21"/>
                <w:szCs w:val="21"/>
                <w:highlight w:val="none"/>
                <w:lang w:val="en-US" w:eastAsia="zh-CN"/>
              </w:rPr>
            </w:pPr>
            <w:r>
              <w:rPr>
                <w:rFonts w:hint="eastAsia"/>
                <w:sz w:val="21"/>
                <w:szCs w:val="21"/>
                <w:highlight w:val="none"/>
                <w:lang w:val="en-US" w:eastAsia="zh-CN"/>
              </w:rPr>
              <w:t>0</w:t>
            </w:r>
          </w:p>
        </w:tc>
        <w:tc>
          <w:tcPr>
            <w:tcW w:w="700" w:type="dxa"/>
            <w:noWrap w:val="0"/>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eastAsia="宋体"/>
                <w:sz w:val="21"/>
                <w:szCs w:val="21"/>
                <w:highlight w:val="none"/>
                <w:lang w:val="en-US" w:eastAsia="zh-CN"/>
              </w:rPr>
            </w:pPr>
            <w:r>
              <w:rPr>
                <w:rFonts w:hint="eastAsia"/>
                <w:sz w:val="21"/>
                <w:szCs w:val="21"/>
                <w:highlight w:val="none"/>
                <w:lang w:val="en-US" w:eastAsia="zh-CN"/>
              </w:rPr>
              <w:t>0</w:t>
            </w:r>
          </w:p>
        </w:tc>
        <w:tc>
          <w:tcPr>
            <w:tcW w:w="660" w:type="dxa"/>
            <w:noWrap w:val="0"/>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eastAsia="宋体"/>
                <w:sz w:val="21"/>
                <w:szCs w:val="21"/>
                <w:highlight w:val="none"/>
                <w:lang w:val="en-US" w:eastAsia="zh-CN"/>
              </w:rPr>
            </w:pPr>
            <w:r>
              <w:rPr>
                <w:rFonts w:hint="eastAsia"/>
                <w:sz w:val="21"/>
                <w:szCs w:val="21"/>
                <w:highlight w:val="none"/>
                <w:lang w:val="en-US" w:eastAsia="zh-CN"/>
              </w:rPr>
              <w:t>0</w:t>
            </w:r>
          </w:p>
        </w:tc>
        <w:tc>
          <w:tcPr>
            <w:tcW w:w="690" w:type="dxa"/>
            <w:noWrap w:val="0"/>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eastAsia="宋体"/>
                <w:sz w:val="21"/>
                <w:szCs w:val="21"/>
                <w:highlight w:val="none"/>
                <w:lang w:val="en-US" w:eastAsia="zh-CN"/>
              </w:rPr>
            </w:pPr>
            <w:r>
              <w:rPr>
                <w:rFonts w:hint="eastAsia"/>
                <w:sz w:val="21"/>
                <w:szCs w:val="21"/>
                <w:highlight w:val="none"/>
                <w:lang w:val="en-US" w:eastAsia="zh-CN"/>
              </w:rPr>
              <w:t>0</w:t>
            </w:r>
          </w:p>
        </w:tc>
        <w:tc>
          <w:tcPr>
            <w:tcW w:w="660" w:type="dxa"/>
            <w:noWrap w:val="0"/>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eastAsia="宋体"/>
                <w:sz w:val="21"/>
                <w:szCs w:val="21"/>
                <w:highlight w:val="none"/>
                <w:lang w:val="en-US" w:eastAsia="zh-CN"/>
              </w:rPr>
            </w:pPr>
            <w:r>
              <w:rPr>
                <w:rFonts w:hint="eastAsia"/>
                <w:sz w:val="21"/>
                <w:szCs w:val="21"/>
                <w:highlight w:val="none"/>
                <w:lang w:val="en-US" w:eastAsia="zh-CN"/>
              </w:rPr>
              <w:t>0</w:t>
            </w:r>
          </w:p>
        </w:tc>
        <w:tc>
          <w:tcPr>
            <w:tcW w:w="594" w:type="dxa"/>
            <w:noWrap w:val="0"/>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eastAsia="宋体"/>
                <w:sz w:val="21"/>
                <w:szCs w:val="21"/>
                <w:highlight w:val="none"/>
                <w:lang w:val="en-US" w:eastAsia="zh-CN"/>
              </w:rPr>
            </w:pPr>
            <w:r>
              <w:rPr>
                <w:rFonts w:hint="eastAsia"/>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13" w:type="dxa"/>
            <w:gridSpan w:val="3"/>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r>
              <w:rPr>
                <w:rFonts w:hint="eastAsia"/>
                <w:sz w:val="21"/>
                <w:szCs w:val="21"/>
              </w:rPr>
              <w:t>二、上年结转政府信息公开申请数量</w:t>
            </w:r>
          </w:p>
        </w:tc>
        <w:tc>
          <w:tcPr>
            <w:tcW w:w="671"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eastAsia="宋体"/>
                <w:sz w:val="21"/>
                <w:szCs w:val="21"/>
                <w:highlight w:val="none"/>
                <w:lang w:val="en-US" w:eastAsia="zh-CN"/>
              </w:rPr>
            </w:pPr>
            <w:r>
              <w:rPr>
                <w:rFonts w:hint="eastAsia"/>
                <w:sz w:val="21"/>
                <w:szCs w:val="21"/>
                <w:highlight w:val="none"/>
                <w:lang w:val="en-US" w:eastAsia="zh-CN"/>
              </w:rPr>
              <w:t>0</w:t>
            </w:r>
          </w:p>
        </w:tc>
        <w:tc>
          <w:tcPr>
            <w:tcW w:w="71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eastAsia="宋体"/>
                <w:sz w:val="21"/>
                <w:szCs w:val="21"/>
                <w:highlight w:val="none"/>
                <w:lang w:val="en-US" w:eastAsia="zh-CN"/>
              </w:rPr>
            </w:pPr>
            <w:r>
              <w:rPr>
                <w:rFonts w:hint="eastAsia"/>
                <w:sz w:val="21"/>
                <w:szCs w:val="21"/>
                <w:highlight w:val="none"/>
                <w:lang w:val="en-US" w:eastAsia="zh-CN"/>
              </w:rPr>
              <w:t>0</w:t>
            </w:r>
          </w:p>
        </w:tc>
        <w:tc>
          <w:tcPr>
            <w:tcW w:w="70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eastAsia="宋体"/>
                <w:sz w:val="21"/>
                <w:szCs w:val="21"/>
                <w:highlight w:val="none"/>
                <w:lang w:val="en-US" w:eastAsia="zh-CN"/>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eastAsia="宋体"/>
                <w:sz w:val="21"/>
                <w:szCs w:val="21"/>
                <w:highlight w:val="none"/>
                <w:lang w:val="en-US" w:eastAsia="zh-CN"/>
              </w:rPr>
            </w:pPr>
            <w:r>
              <w:rPr>
                <w:rFonts w:hint="eastAsia"/>
                <w:sz w:val="21"/>
                <w:szCs w:val="21"/>
                <w:highlight w:val="none"/>
                <w:lang w:val="en-US" w:eastAsia="zh-CN"/>
              </w:rPr>
              <w:t>0</w:t>
            </w:r>
          </w:p>
        </w:tc>
        <w:tc>
          <w:tcPr>
            <w:tcW w:w="69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eastAsia="宋体"/>
                <w:sz w:val="21"/>
                <w:szCs w:val="21"/>
                <w:highlight w:val="none"/>
                <w:lang w:val="en-US" w:eastAsia="zh-CN"/>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eastAsia="宋体"/>
                <w:sz w:val="21"/>
                <w:szCs w:val="21"/>
                <w:highlight w:val="none"/>
                <w:lang w:val="en-US" w:eastAsia="zh-CN"/>
              </w:rPr>
            </w:pPr>
            <w:r>
              <w:rPr>
                <w:rFonts w:hint="eastAsia"/>
                <w:sz w:val="21"/>
                <w:szCs w:val="21"/>
                <w:highlight w:val="none"/>
                <w:lang w:val="en-US" w:eastAsia="zh-CN"/>
              </w:rPr>
              <w:t>0</w:t>
            </w:r>
          </w:p>
        </w:tc>
        <w:tc>
          <w:tcPr>
            <w:tcW w:w="594"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eastAsia="宋体"/>
                <w:sz w:val="21"/>
                <w:szCs w:val="21"/>
                <w:highlight w:val="none"/>
                <w:lang w:val="en-US" w:eastAsia="zh-CN"/>
              </w:rPr>
            </w:pPr>
            <w:r>
              <w:rPr>
                <w:rFonts w:hint="eastAsia"/>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84" w:type="dxa"/>
            <w:vMerge w:val="restart"/>
            <w:noWrap w:val="0"/>
            <w:vAlign w:val="center"/>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r>
              <w:rPr>
                <w:rFonts w:hint="eastAsia"/>
                <w:sz w:val="21"/>
                <w:szCs w:val="21"/>
              </w:rPr>
              <w:t>三、本年度办理结果</w:t>
            </w:r>
          </w:p>
        </w:tc>
        <w:tc>
          <w:tcPr>
            <w:tcW w:w="3929" w:type="dxa"/>
            <w:gridSpan w:val="2"/>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宋体"/>
                <w:sz w:val="21"/>
                <w:szCs w:val="21"/>
              </w:rPr>
            </w:pPr>
            <w:r>
              <w:rPr>
                <w:rFonts w:hint="eastAsia" w:ascii="宋体" w:hAnsi="宋体"/>
                <w:sz w:val="21"/>
                <w:szCs w:val="21"/>
              </w:rPr>
              <w:t>（一）予以公开</w:t>
            </w:r>
          </w:p>
        </w:tc>
        <w:tc>
          <w:tcPr>
            <w:tcW w:w="671"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eastAsia="宋体"/>
                <w:sz w:val="21"/>
                <w:szCs w:val="21"/>
                <w:highlight w:val="none"/>
                <w:lang w:eastAsia="zh-CN"/>
              </w:rPr>
            </w:pPr>
            <w:r>
              <w:rPr>
                <w:rFonts w:hint="eastAsia"/>
                <w:sz w:val="21"/>
                <w:szCs w:val="21"/>
                <w:highlight w:val="none"/>
                <w:lang w:val="en-US" w:eastAsia="zh-CN"/>
              </w:rPr>
              <w:t>0</w:t>
            </w:r>
          </w:p>
        </w:tc>
        <w:tc>
          <w:tcPr>
            <w:tcW w:w="71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0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9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594"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eastAsia="宋体"/>
                <w:sz w:val="21"/>
                <w:szCs w:val="21"/>
                <w:highlight w:val="none"/>
                <w:lang w:eastAsia="zh-CN"/>
              </w:rPr>
            </w:pPr>
            <w:r>
              <w:rPr>
                <w:rFonts w:hint="eastAsia"/>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84"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3929" w:type="dxa"/>
            <w:gridSpan w:val="2"/>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宋体"/>
                <w:sz w:val="21"/>
                <w:szCs w:val="21"/>
              </w:rPr>
            </w:pPr>
            <w:r>
              <w:rPr>
                <w:rFonts w:hint="eastAsia" w:ascii="宋体" w:hAnsi="宋体"/>
                <w:sz w:val="21"/>
                <w:szCs w:val="21"/>
              </w:rPr>
              <w:t>（二）部分公开</w:t>
            </w:r>
            <w:r>
              <w:rPr>
                <w:rFonts w:hint="eastAsia" w:ascii="楷体_GB2312" w:hAnsi="楷体_GB2312" w:eastAsia="楷体_GB2312" w:cs="楷体_GB2312"/>
                <w:sz w:val="21"/>
                <w:szCs w:val="21"/>
              </w:rPr>
              <w:t>（区分处理的，只计这一情形，不计其他情形）</w:t>
            </w:r>
          </w:p>
        </w:tc>
        <w:tc>
          <w:tcPr>
            <w:tcW w:w="671"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1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0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9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594"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84"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1020" w:type="dxa"/>
            <w:vMerge w:val="restart"/>
            <w:noWrap w:val="0"/>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ascii="宋体" w:hAnsi="宋体"/>
                <w:sz w:val="21"/>
                <w:szCs w:val="21"/>
              </w:rPr>
            </w:pPr>
            <w:r>
              <w:rPr>
                <w:rFonts w:hint="eastAsia" w:ascii="宋体" w:hAnsi="宋体"/>
                <w:sz w:val="21"/>
                <w:szCs w:val="21"/>
              </w:rPr>
              <w:t>（三）不予公开</w:t>
            </w:r>
          </w:p>
        </w:tc>
        <w:tc>
          <w:tcPr>
            <w:tcW w:w="2909" w:type="dxa"/>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宋体"/>
                <w:sz w:val="21"/>
                <w:szCs w:val="21"/>
              </w:rPr>
            </w:pPr>
            <w:r>
              <w:rPr>
                <w:rFonts w:ascii="宋体" w:hAnsi="宋体"/>
                <w:sz w:val="21"/>
                <w:szCs w:val="21"/>
              </w:rPr>
              <w:t>1</w:t>
            </w:r>
            <w:r>
              <w:rPr>
                <w:rFonts w:hint="eastAsia" w:ascii="宋体" w:hAnsi="宋体"/>
                <w:sz w:val="21"/>
                <w:szCs w:val="21"/>
                <w:lang w:eastAsia="zh-CN"/>
              </w:rPr>
              <w:t>.</w:t>
            </w:r>
            <w:r>
              <w:rPr>
                <w:rFonts w:hint="eastAsia" w:ascii="宋体" w:hAnsi="宋体"/>
                <w:sz w:val="21"/>
                <w:szCs w:val="21"/>
              </w:rPr>
              <w:t>属于国家秘密</w:t>
            </w:r>
          </w:p>
        </w:tc>
        <w:tc>
          <w:tcPr>
            <w:tcW w:w="671"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1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0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9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594"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84"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宋体"/>
                <w:sz w:val="21"/>
                <w:szCs w:val="21"/>
              </w:rPr>
            </w:pPr>
          </w:p>
        </w:tc>
        <w:tc>
          <w:tcPr>
            <w:tcW w:w="2909" w:type="dxa"/>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宋体"/>
                <w:sz w:val="21"/>
                <w:szCs w:val="21"/>
              </w:rPr>
            </w:pPr>
            <w:r>
              <w:rPr>
                <w:rFonts w:hint="eastAsia" w:ascii="宋体" w:hAnsi="宋体"/>
                <w:sz w:val="21"/>
                <w:szCs w:val="21"/>
              </w:rPr>
              <w:t>2</w:t>
            </w:r>
            <w:r>
              <w:rPr>
                <w:rFonts w:hint="eastAsia" w:ascii="宋体" w:hAnsi="宋体"/>
                <w:sz w:val="21"/>
                <w:szCs w:val="21"/>
                <w:lang w:eastAsia="zh-CN"/>
              </w:rPr>
              <w:t>.</w:t>
            </w:r>
            <w:r>
              <w:rPr>
                <w:rFonts w:hint="eastAsia" w:ascii="宋体" w:hAnsi="宋体"/>
                <w:sz w:val="21"/>
                <w:szCs w:val="21"/>
              </w:rPr>
              <w:t>其他法律行政法规禁止公开</w:t>
            </w:r>
          </w:p>
        </w:tc>
        <w:tc>
          <w:tcPr>
            <w:tcW w:w="671"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1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0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9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594"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84"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2909" w:type="dxa"/>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宋体"/>
                <w:sz w:val="21"/>
                <w:szCs w:val="21"/>
              </w:rPr>
            </w:pPr>
            <w:r>
              <w:rPr>
                <w:rFonts w:hint="eastAsia" w:ascii="宋体" w:hAnsi="宋体"/>
                <w:sz w:val="21"/>
                <w:szCs w:val="21"/>
              </w:rPr>
              <w:t>3</w:t>
            </w:r>
            <w:r>
              <w:rPr>
                <w:rFonts w:hint="eastAsia" w:ascii="宋体" w:hAnsi="宋体"/>
                <w:sz w:val="21"/>
                <w:szCs w:val="21"/>
                <w:lang w:eastAsia="zh-CN"/>
              </w:rPr>
              <w:t>.</w:t>
            </w:r>
            <w:r>
              <w:rPr>
                <w:rFonts w:hint="eastAsia" w:ascii="宋体" w:hAnsi="宋体"/>
                <w:sz w:val="21"/>
                <w:szCs w:val="21"/>
              </w:rPr>
              <w:t>危及“三安全一稳定”</w:t>
            </w:r>
          </w:p>
        </w:tc>
        <w:tc>
          <w:tcPr>
            <w:tcW w:w="671"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1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0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9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594"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84"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2909" w:type="dxa"/>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宋体"/>
                <w:sz w:val="21"/>
                <w:szCs w:val="21"/>
              </w:rPr>
            </w:pPr>
            <w:r>
              <w:rPr>
                <w:rFonts w:hint="eastAsia" w:ascii="宋体" w:hAnsi="宋体"/>
                <w:sz w:val="21"/>
                <w:szCs w:val="21"/>
              </w:rPr>
              <w:t>4</w:t>
            </w:r>
            <w:r>
              <w:rPr>
                <w:rFonts w:hint="eastAsia" w:ascii="宋体" w:hAnsi="宋体"/>
                <w:sz w:val="21"/>
                <w:szCs w:val="21"/>
                <w:lang w:eastAsia="zh-CN"/>
              </w:rPr>
              <w:t>.</w:t>
            </w:r>
            <w:r>
              <w:rPr>
                <w:rFonts w:hint="eastAsia" w:ascii="宋体" w:hAnsi="宋体"/>
                <w:sz w:val="21"/>
                <w:szCs w:val="21"/>
              </w:rPr>
              <w:t>保护第三方合法权益</w:t>
            </w:r>
          </w:p>
        </w:tc>
        <w:tc>
          <w:tcPr>
            <w:tcW w:w="671"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1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0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9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594"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84"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2909" w:type="dxa"/>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宋体"/>
                <w:sz w:val="21"/>
                <w:szCs w:val="21"/>
              </w:rPr>
            </w:pPr>
            <w:r>
              <w:rPr>
                <w:rFonts w:hint="eastAsia" w:ascii="宋体" w:hAnsi="宋体"/>
                <w:sz w:val="21"/>
                <w:szCs w:val="21"/>
              </w:rPr>
              <w:t>5</w:t>
            </w:r>
            <w:r>
              <w:rPr>
                <w:rFonts w:hint="eastAsia" w:ascii="宋体" w:hAnsi="宋体"/>
                <w:sz w:val="21"/>
                <w:szCs w:val="21"/>
                <w:lang w:eastAsia="zh-CN"/>
              </w:rPr>
              <w:t>.</w:t>
            </w:r>
            <w:r>
              <w:rPr>
                <w:rFonts w:hint="eastAsia" w:ascii="宋体" w:hAnsi="宋体"/>
                <w:sz w:val="21"/>
                <w:szCs w:val="21"/>
              </w:rPr>
              <w:t>属于三类内部事务信息</w:t>
            </w:r>
          </w:p>
        </w:tc>
        <w:tc>
          <w:tcPr>
            <w:tcW w:w="671"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1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0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9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594"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84"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2909" w:type="dxa"/>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宋体"/>
                <w:sz w:val="21"/>
                <w:szCs w:val="21"/>
              </w:rPr>
            </w:pPr>
            <w:r>
              <w:rPr>
                <w:rFonts w:hint="eastAsia" w:ascii="宋体" w:hAnsi="宋体"/>
                <w:sz w:val="21"/>
                <w:szCs w:val="21"/>
              </w:rPr>
              <w:t>6</w:t>
            </w:r>
            <w:r>
              <w:rPr>
                <w:rFonts w:hint="eastAsia" w:ascii="宋体" w:hAnsi="宋体"/>
                <w:sz w:val="21"/>
                <w:szCs w:val="21"/>
                <w:lang w:eastAsia="zh-CN"/>
              </w:rPr>
              <w:t>.</w:t>
            </w:r>
            <w:r>
              <w:rPr>
                <w:rFonts w:hint="eastAsia" w:ascii="宋体" w:hAnsi="宋体"/>
                <w:sz w:val="21"/>
                <w:szCs w:val="21"/>
              </w:rPr>
              <w:t>属于四类过程性信息</w:t>
            </w:r>
          </w:p>
        </w:tc>
        <w:tc>
          <w:tcPr>
            <w:tcW w:w="671"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1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0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9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594"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84"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2909" w:type="dxa"/>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宋体"/>
                <w:sz w:val="21"/>
                <w:szCs w:val="21"/>
              </w:rPr>
            </w:pPr>
            <w:r>
              <w:rPr>
                <w:rFonts w:hint="eastAsia" w:ascii="宋体" w:hAnsi="宋体"/>
                <w:sz w:val="21"/>
                <w:szCs w:val="21"/>
              </w:rPr>
              <w:t>7</w:t>
            </w:r>
            <w:r>
              <w:rPr>
                <w:rFonts w:hint="eastAsia" w:ascii="宋体" w:hAnsi="宋体"/>
                <w:sz w:val="21"/>
                <w:szCs w:val="21"/>
                <w:lang w:eastAsia="zh-CN"/>
              </w:rPr>
              <w:t>.</w:t>
            </w:r>
            <w:r>
              <w:rPr>
                <w:rFonts w:hint="eastAsia" w:ascii="宋体" w:hAnsi="宋体"/>
                <w:sz w:val="21"/>
                <w:szCs w:val="21"/>
              </w:rPr>
              <w:t>属于行政执法案卷</w:t>
            </w:r>
          </w:p>
        </w:tc>
        <w:tc>
          <w:tcPr>
            <w:tcW w:w="671"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1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0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9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594"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4"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2909" w:type="dxa"/>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宋体"/>
                <w:sz w:val="21"/>
                <w:szCs w:val="21"/>
              </w:rPr>
            </w:pPr>
            <w:r>
              <w:rPr>
                <w:rFonts w:hint="eastAsia" w:ascii="宋体" w:hAnsi="宋体"/>
                <w:sz w:val="21"/>
                <w:szCs w:val="21"/>
              </w:rPr>
              <w:t>8</w:t>
            </w:r>
            <w:r>
              <w:rPr>
                <w:rFonts w:hint="eastAsia" w:ascii="宋体" w:hAnsi="宋体"/>
                <w:sz w:val="21"/>
                <w:szCs w:val="21"/>
                <w:lang w:eastAsia="zh-CN"/>
              </w:rPr>
              <w:t>.</w:t>
            </w:r>
            <w:r>
              <w:rPr>
                <w:rFonts w:hint="eastAsia" w:ascii="宋体" w:hAnsi="宋体"/>
                <w:sz w:val="21"/>
                <w:szCs w:val="21"/>
              </w:rPr>
              <w:t>属于行政查询事项</w:t>
            </w:r>
          </w:p>
        </w:tc>
        <w:tc>
          <w:tcPr>
            <w:tcW w:w="671"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1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0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9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594"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1020" w:type="dxa"/>
            <w:vMerge w:val="restart"/>
            <w:noWrap w:val="0"/>
            <w:vAlign w:val="center"/>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r>
              <w:rPr>
                <w:rFonts w:hint="eastAsia"/>
                <w:sz w:val="21"/>
                <w:szCs w:val="21"/>
              </w:rPr>
              <w:t>（四）无法提供</w:t>
            </w:r>
          </w:p>
        </w:tc>
        <w:tc>
          <w:tcPr>
            <w:tcW w:w="2909" w:type="dxa"/>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宋体"/>
                <w:sz w:val="21"/>
                <w:szCs w:val="21"/>
              </w:rPr>
            </w:pPr>
            <w:r>
              <w:rPr>
                <w:rFonts w:hint="eastAsia" w:ascii="宋体" w:hAnsi="宋体"/>
                <w:sz w:val="21"/>
                <w:szCs w:val="21"/>
              </w:rPr>
              <w:t>1</w:t>
            </w:r>
            <w:r>
              <w:rPr>
                <w:rFonts w:hint="eastAsia" w:ascii="宋体" w:hAnsi="宋体"/>
                <w:sz w:val="21"/>
                <w:szCs w:val="21"/>
                <w:lang w:eastAsia="zh-CN"/>
              </w:rPr>
              <w:t>.</w:t>
            </w:r>
            <w:r>
              <w:rPr>
                <w:rFonts w:hint="eastAsia" w:ascii="宋体" w:hAnsi="宋体"/>
                <w:sz w:val="21"/>
                <w:szCs w:val="21"/>
              </w:rPr>
              <w:t>本机关不掌握相关政府信息</w:t>
            </w:r>
          </w:p>
        </w:tc>
        <w:tc>
          <w:tcPr>
            <w:tcW w:w="671"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eastAsia="宋体"/>
                <w:sz w:val="21"/>
                <w:szCs w:val="21"/>
                <w:highlight w:val="none"/>
                <w:lang w:eastAsia="zh-CN"/>
              </w:rPr>
            </w:pPr>
            <w:r>
              <w:rPr>
                <w:rFonts w:hint="eastAsia"/>
                <w:sz w:val="21"/>
                <w:szCs w:val="21"/>
                <w:highlight w:val="none"/>
                <w:lang w:val="en-US" w:eastAsia="zh-CN"/>
              </w:rPr>
              <w:t>0</w:t>
            </w:r>
          </w:p>
        </w:tc>
        <w:tc>
          <w:tcPr>
            <w:tcW w:w="71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0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9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594"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eastAsia="宋体"/>
                <w:sz w:val="21"/>
                <w:szCs w:val="21"/>
                <w:highlight w:val="none"/>
                <w:lang w:eastAsia="zh-CN"/>
              </w:rPr>
            </w:pPr>
            <w:r>
              <w:rPr>
                <w:rFonts w:hint="eastAsia"/>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84"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2909" w:type="dxa"/>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宋体"/>
                <w:sz w:val="21"/>
                <w:szCs w:val="21"/>
              </w:rPr>
            </w:pPr>
            <w:r>
              <w:rPr>
                <w:rFonts w:hint="eastAsia" w:ascii="宋体" w:hAnsi="宋体"/>
                <w:sz w:val="21"/>
                <w:szCs w:val="21"/>
              </w:rPr>
              <w:t>2</w:t>
            </w:r>
            <w:r>
              <w:rPr>
                <w:rFonts w:hint="eastAsia" w:ascii="宋体" w:hAnsi="宋体"/>
                <w:sz w:val="21"/>
                <w:szCs w:val="21"/>
                <w:lang w:eastAsia="zh-CN"/>
              </w:rPr>
              <w:t>.</w:t>
            </w:r>
            <w:r>
              <w:rPr>
                <w:rFonts w:hint="eastAsia" w:ascii="宋体" w:hAnsi="宋体"/>
                <w:sz w:val="21"/>
                <w:szCs w:val="21"/>
              </w:rPr>
              <w:t>没有现成信息需要另行制作</w:t>
            </w:r>
          </w:p>
        </w:tc>
        <w:tc>
          <w:tcPr>
            <w:tcW w:w="671"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1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0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9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594"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84"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2909" w:type="dxa"/>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宋体"/>
                <w:sz w:val="21"/>
                <w:szCs w:val="21"/>
              </w:rPr>
            </w:pPr>
            <w:r>
              <w:rPr>
                <w:rFonts w:hint="eastAsia" w:ascii="宋体" w:hAnsi="宋体"/>
                <w:sz w:val="21"/>
                <w:szCs w:val="21"/>
              </w:rPr>
              <w:t>3</w:t>
            </w:r>
            <w:r>
              <w:rPr>
                <w:rFonts w:hint="eastAsia" w:ascii="宋体" w:hAnsi="宋体"/>
                <w:sz w:val="21"/>
                <w:szCs w:val="21"/>
                <w:lang w:eastAsia="zh-CN"/>
              </w:rPr>
              <w:t>.</w:t>
            </w:r>
            <w:r>
              <w:rPr>
                <w:rFonts w:hint="eastAsia" w:ascii="宋体" w:hAnsi="宋体"/>
                <w:sz w:val="21"/>
                <w:szCs w:val="21"/>
              </w:rPr>
              <w:t>补正后申请内容仍不明确</w:t>
            </w:r>
          </w:p>
        </w:tc>
        <w:tc>
          <w:tcPr>
            <w:tcW w:w="671"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1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0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9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594"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84"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1020" w:type="dxa"/>
            <w:vMerge w:val="restart"/>
            <w:noWrap w:val="0"/>
            <w:vAlign w:val="center"/>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r>
              <w:rPr>
                <w:rFonts w:hint="eastAsia"/>
                <w:sz w:val="21"/>
                <w:szCs w:val="21"/>
              </w:rPr>
              <w:t>（五）</w:t>
            </w:r>
            <w:r>
              <w:rPr>
                <w:rFonts w:hint="eastAsia" w:ascii="宋体" w:hAnsi="宋体"/>
                <w:sz w:val="21"/>
                <w:szCs w:val="21"/>
              </w:rPr>
              <w:t>不予处理</w:t>
            </w:r>
          </w:p>
        </w:tc>
        <w:tc>
          <w:tcPr>
            <w:tcW w:w="2909" w:type="dxa"/>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宋体"/>
                <w:sz w:val="21"/>
                <w:szCs w:val="21"/>
              </w:rPr>
            </w:pPr>
            <w:r>
              <w:rPr>
                <w:rFonts w:hint="eastAsia" w:ascii="宋体" w:hAnsi="宋体"/>
                <w:sz w:val="21"/>
                <w:szCs w:val="21"/>
              </w:rPr>
              <w:t>1</w:t>
            </w:r>
            <w:r>
              <w:rPr>
                <w:rFonts w:hint="eastAsia" w:ascii="宋体" w:hAnsi="宋体"/>
                <w:sz w:val="21"/>
                <w:szCs w:val="21"/>
                <w:lang w:eastAsia="zh-CN"/>
              </w:rPr>
              <w:t>.</w:t>
            </w:r>
            <w:r>
              <w:rPr>
                <w:rFonts w:hint="eastAsia" w:ascii="宋体" w:hAnsi="宋体"/>
                <w:sz w:val="21"/>
                <w:szCs w:val="21"/>
              </w:rPr>
              <w:t>信访举报投诉类申请</w:t>
            </w:r>
          </w:p>
        </w:tc>
        <w:tc>
          <w:tcPr>
            <w:tcW w:w="671"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1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0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9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594"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84"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1020"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2909" w:type="dxa"/>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宋体"/>
                <w:sz w:val="21"/>
                <w:szCs w:val="21"/>
              </w:rPr>
            </w:pPr>
            <w:r>
              <w:rPr>
                <w:rFonts w:hint="eastAsia" w:ascii="宋体" w:hAnsi="宋体"/>
                <w:sz w:val="21"/>
                <w:szCs w:val="21"/>
              </w:rPr>
              <w:t>2</w:t>
            </w:r>
            <w:r>
              <w:rPr>
                <w:rFonts w:hint="eastAsia" w:ascii="宋体" w:hAnsi="宋体"/>
                <w:sz w:val="21"/>
                <w:szCs w:val="21"/>
                <w:lang w:eastAsia="zh-CN"/>
              </w:rPr>
              <w:t>.</w:t>
            </w:r>
            <w:r>
              <w:rPr>
                <w:rFonts w:hint="eastAsia" w:ascii="宋体" w:hAnsi="宋体"/>
                <w:sz w:val="21"/>
                <w:szCs w:val="21"/>
              </w:rPr>
              <w:t>重复申请</w:t>
            </w:r>
          </w:p>
        </w:tc>
        <w:tc>
          <w:tcPr>
            <w:tcW w:w="671"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1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0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9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594"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84"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1020"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2909" w:type="dxa"/>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宋体"/>
                <w:sz w:val="21"/>
                <w:szCs w:val="21"/>
              </w:rPr>
            </w:pPr>
            <w:r>
              <w:rPr>
                <w:rFonts w:ascii="宋体" w:hAnsi="宋体"/>
                <w:sz w:val="21"/>
                <w:szCs w:val="21"/>
              </w:rPr>
              <w:t>3</w:t>
            </w:r>
            <w:r>
              <w:rPr>
                <w:rFonts w:hint="eastAsia" w:ascii="宋体" w:hAnsi="宋体"/>
                <w:sz w:val="21"/>
                <w:szCs w:val="21"/>
                <w:lang w:eastAsia="zh-CN"/>
              </w:rPr>
              <w:t>.</w:t>
            </w:r>
            <w:r>
              <w:rPr>
                <w:rFonts w:hint="eastAsia" w:ascii="宋体" w:hAnsi="宋体"/>
                <w:sz w:val="21"/>
                <w:szCs w:val="21"/>
              </w:rPr>
              <w:t>要求提供公开出版物</w:t>
            </w:r>
          </w:p>
        </w:tc>
        <w:tc>
          <w:tcPr>
            <w:tcW w:w="671"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1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0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9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594"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84"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1020"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2909" w:type="dxa"/>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宋体"/>
                <w:sz w:val="21"/>
                <w:szCs w:val="21"/>
              </w:rPr>
            </w:pPr>
            <w:r>
              <w:rPr>
                <w:rFonts w:hint="eastAsia" w:ascii="宋体" w:hAnsi="宋体"/>
                <w:sz w:val="21"/>
                <w:szCs w:val="21"/>
              </w:rPr>
              <w:t>4</w:t>
            </w:r>
            <w:r>
              <w:rPr>
                <w:rFonts w:hint="eastAsia" w:ascii="宋体" w:hAnsi="宋体"/>
                <w:sz w:val="21"/>
                <w:szCs w:val="21"/>
                <w:lang w:eastAsia="zh-CN"/>
              </w:rPr>
              <w:t>.</w:t>
            </w:r>
            <w:r>
              <w:rPr>
                <w:rFonts w:hint="eastAsia" w:ascii="宋体" w:hAnsi="宋体"/>
                <w:sz w:val="21"/>
                <w:szCs w:val="21"/>
              </w:rPr>
              <w:t>无正当理由大量反复申请</w:t>
            </w:r>
          </w:p>
        </w:tc>
        <w:tc>
          <w:tcPr>
            <w:tcW w:w="671"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1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0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9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594"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84"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1020"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2909" w:type="dxa"/>
            <w:noWrap w:val="0"/>
            <w:vAlign w:val="top"/>
          </w:tcPr>
          <w:p>
            <w:pPr>
              <w:keepNext w:val="0"/>
              <w:keepLines w:val="0"/>
              <w:pageBreakBefore w:val="0"/>
              <w:kinsoku/>
              <w:wordWrap/>
              <w:overflowPunct/>
              <w:topLinePunct w:val="0"/>
              <w:autoSpaceDE/>
              <w:autoSpaceDN/>
              <w:bidi w:val="0"/>
              <w:adjustRightInd/>
              <w:snapToGrid/>
              <w:spacing w:line="600" w:lineRule="exact"/>
              <w:ind w:left="180" w:hanging="210" w:hangingChars="100"/>
              <w:textAlignment w:val="auto"/>
              <w:rPr>
                <w:rFonts w:ascii="宋体" w:hAnsi="宋体"/>
                <w:sz w:val="21"/>
                <w:szCs w:val="21"/>
              </w:rPr>
            </w:pPr>
            <w:r>
              <w:rPr>
                <w:rFonts w:hint="eastAsia" w:ascii="宋体" w:hAnsi="宋体"/>
                <w:sz w:val="21"/>
                <w:szCs w:val="21"/>
              </w:rPr>
              <w:t>5</w:t>
            </w:r>
            <w:r>
              <w:rPr>
                <w:rFonts w:hint="eastAsia" w:ascii="宋体" w:hAnsi="宋体"/>
                <w:sz w:val="21"/>
                <w:szCs w:val="21"/>
                <w:lang w:eastAsia="zh-CN"/>
              </w:rPr>
              <w:t>.</w:t>
            </w:r>
            <w:r>
              <w:rPr>
                <w:rFonts w:hint="eastAsia" w:ascii="宋体" w:hAnsi="宋体"/>
                <w:sz w:val="21"/>
                <w:szCs w:val="21"/>
              </w:rPr>
              <w:t>要求行政机关确认或重新出具已获取信息</w:t>
            </w:r>
          </w:p>
        </w:tc>
        <w:tc>
          <w:tcPr>
            <w:tcW w:w="671"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1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70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9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c>
          <w:tcPr>
            <w:tcW w:w="594"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sz w:val="21"/>
                <w:szCs w:val="21"/>
                <w:highlight w:val="none"/>
              </w:rPr>
            </w:pPr>
            <w:r>
              <w:rPr>
                <w:rFonts w:hint="eastAsia"/>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84"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1020" w:type="dxa"/>
            <w:vMerge w:val="restart"/>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rFonts w:hint="default" w:eastAsia="宋体"/>
                <w:sz w:val="21"/>
                <w:szCs w:val="21"/>
                <w:lang w:val="en-US" w:eastAsia="zh-CN"/>
              </w:rPr>
            </w:pPr>
            <w:r>
              <w:rPr>
                <w:rFonts w:hint="eastAsia"/>
                <w:sz w:val="21"/>
                <w:szCs w:val="21"/>
                <w:lang w:eastAsia="zh-CN"/>
              </w:rPr>
              <w:t>（</w:t>
            </w:r>
            <w:r>
              <w:rPr>
                <w:rFonts w:hint="eastAsia"/>
                <w:sz w:val="21"/>
                <w:szCs w:val="21"/>
                <w:lang w:val="en-US" w:eastAsia="zh-CN"/>
              </w:rPr>
              <w:t>六</w:t>
            </w:r>
            <w:r>
              <w:rPr>
                <w:rFonts w:hint="eastAsia"/>
                <w:sz w:val="21"/>
                <w:szCs w:val="21"/>
                <w:lang w:eastAsia="zh-CN"/>
              </w:rPr>
              <w:t>）</w:t>
            </w:r>
            <w:r>
              <w:rPr>
                <w:rFonts w:hint="eastAsia"/>
                <w:sz w:val="21"/>
                <w:szCs w:val="21"/>
                <w:lang w:val="en-US" w:eastAsia="zh-CN"/>
              </w:rPr>
              <w:t>其他处理</w:t>
            </w:r>
          </w:p>
        </w:tc>
        <w:tc>
          <w:tcPr>
            <w:tcW w:w="2909" w:type="dxa"/>
            <w:noWrap w:val="0"/>
            <w:vAlign w:val="top"/>
          </w:tcPr>
          <w:p>
            <w:pPr>
              <w:keepNext w:val="0"/>
              <w:keepLines w:val="0"/>
              <w:pageBreakBefore w:val="0"/>
              <w:kinsoku/>
              <w:wordWrap/>
              <w:overflowPunct/>
              <w:topLinePunct w:val="0"/>
              <w:autoSpaceDE/>
              <w:autoSpaceDN/>
              <w:bidi w:val="0"/>
              <w:adjustRightInd/>
              <w:snapToGrid/>
              <w:spacing w:line="600" w:lineRule="exact"/>
              <w:ind w:left="180" w:hanging="210" w:hangingChars="100"/>
              <w:textAlignment w:val="auto"/>
              <w:rPr>
                <w:rFonts w:hint="default" w:ascii="宋体" w:hAnsi="宋体" w:eastAsia="宋体"/>
                <w:sz w:val="21"/>
                <w:szCs w:val="21"/>
                <w:lang w:val="en-US" w:eastAsia="zh-CN"/>
              </w:rPr>
            </w:pPr>
            <w:r>
              <w:rPr>
                <w:rFonts w:hint="eastAsia" w:ascii="宋体" w:hAnsi="宋体"/>
                <w:sz w:val="21"/>
                <w:szCs w:val="21"/>
                <w:lang w:val="en-US" w:eastAsia="zh-CN"/>
              </w:rPr>
              <w:t>1.申请人无正当理由逾期不补正、行政机关不再处理其政府信息公开申请</w:t>
            </w:r>
          </w:p>
        </w:tc>
        <w:tc>
          <w:tcPr>
            <w:tcW w:w="671"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71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70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69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594"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84"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1020"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2909" w:type="dxa"/>
            <w:noWrap w:val="0"/>
            <w:vAlign w:val="top"/>
          </w:tcPr>
          <w:p>
            <w:pPr>
              <w:keepNext w:val="0"/>
              <w:keepLines w:val="0"/>
              <w:pageBreakBefore w:val="0"/>
              <w:kinsoku/>
              <w:wordWrap/>
              <w:overflowPunct/>
              <w:topLinePunct w:val="0"/>
              <w:autoSpaceDE/>
              <w:autoSpaceDN/>
              <w:bidi w:val="0"/>
              <w:adjustRightInd/>
              <w:snapToGrid/>
              <w:spacing w:line="600" w:lineRule="exact"/>
              <w:ind w:left="180" w:hanging="210" w:hangingChars="100"/>
              <w:textAlignment w:val="auto"/>
              <w:rPr>
                <w:rFonts w:hint="default" w:ascii="宋体" w:hAnsi="宋体" w:eastAsia="宋体"/>
                <w:sz w:val="21"/>
                <w:szCs w:val="21"/>
                <w:lang w:val="en-US" w:eastAsia="zh-CN"/>
              </w:rPr>
            </w:pPr>
            <w:r>
              <w:rPr>
                <w:rFonts w:hint="eastAsia" w:ascii="宋体" w:hAnsi="宋体"/>
                <w:sz w:val="21"/>
                <w:szCs w:val="21"/>
                <w:lang w:val="en-US" w:eastAsia="zh-CN"/>
              </w:rPr>
              <w:t>2.申请人逾期未按收费通知要求缴纳费用、行政机关不再处理其政府信息公开申请</w:t>
            </w:r>
          </w:p>
        </w:tc>
        <w:tc>
          <w:tcPr>
            <w:tcW w:w="671"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71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70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69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594"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84"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1020"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2909" w:type="dxa"/>
            <w:noWrap w:val="0"/>
            <w:vAlign w:val="top"/>
          </w:tcPr>
          <w:p>
            <w:pPr>
              <w:keepNext w:val="0"/>
              <w:keepLines w:val="0"/>
              <w:pageBreakBefore w:val="0"/>
              <w:kinsoku/>
              <w:wordWrap/>
              <w:overflowPunct/>
              <w:topLinePunct w:val="0"/>
              <w:autoSpaceDE/>
              <w:autoSpaceDN/>
              <w:bidi w:val="0"/>
              <w:adjustRightInd/>
              <w:snapToGrid/>
              <w:spacing w:line="600" w:lineRule="exact"/>
              <w:ind w:left="180" w:hanging="210" w:hangingChars="100"/>
              <w:textAlignment w:val="auto"/>
              <w:rPr>
                <w:rFonts w:hint="default" w:ascii="宋体" w:hAnsi="宋体" w:eastAsia="宋体"/>
                <w:sz w:val="21"/>
                <w:szCs w:val="21"/>
                <w:lang w:val="en-US" w:eastAsia="zh-CN"/>
              </w:rPr>
            </w:pPr>
            <w:r>
              <w:rPr>
                <w:rFonts w:hint="eastAsia" w:ascii="宋体" w:hAnsi="宋体"/>
                <w:sz w:val="21"/>
                <w:szCs w:val="21"/>
                <w:lang w:val="en-US" w:eastAsia="zh-CN"/>
              </w:rPr>
              <w:t>3.其他</w:t>
            </w:r>
          </w:p>
        </w:tc>
        <w:tc>
          <w:tcPr>
            <w:tcW w:w="671"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71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70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69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594"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84"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textAlignment w:val="auto"/>
              <w:rPr>
                <w:sz w:val="21"/>
                <w:szCs w:val="21"/>
              </w:rPr>
            </w:pPr>
          </w:p>
        </w:tc>
        <w:tc>
          <w:tcPr>
            <w:tcW w:w="3929" w:type="dxa"/>
            <w:gridSpan w:val="2"/>
            <w:noWrap w:val="0"/>
            <w:vAlign w:val="top"/>
          </w:tcPr>
          <w:p>
            <w:pPr>
              <w:keepNext w:val="0"/>
              <w:keepLines w:val="0"/>
              <w:pageBreakBefore w:val="0"/>
              <w:kinsoku/>
              <w:wordWrap/>
              <w:overflowPunct/>
              <w:topLinePunct w:val="0"/>
              <w:autoSpaceDE/>
              <w:autoSpaceDN/>
              <w:bidi w:val="0"/>
              <w:adjustRightInd/>
              <w:snapToGrid/>
              <w:spacing w:line="600" w:lineRule="exact"/>
              <w:ind w:left="180" w:hanging="210" w:hangingChars="100"/>
              <w:textAlignment w:val="auto"/>
              <w:rPr>
                <w:rFonts w:hint="eastAsia" w:ascii="宋体" w:hAnsi="宋体"/>
                <w:sz w:val="21"/>
                <w:szCs w:val="21"/>
              </w:rPr>
            </w:pPr>
            <w:r>
              <w:rPr>
                <w:rFonts w:hint="eastAsia"/>
                <w:sz w:val="21"/>
                <w:szCs w:val="21"/>
                <w:lang w:eastAsia="zh-CN"/>
              </w:rPr>
              <w:t>（</w:t>
            </w:r>
            <w:r>
              <w:rPr>
                <w:rFonts w:hint="eastAsia"/>
                <w:sz w:val="21"/>
                <w:szCs w:val="21"/>
                <w:lang w:val="en-US" w:eastAsia="zh-CN"/>
              </w:rPr>
              <w:t>七</w:t>
            </w:r>
            <w:r>
              <w:rPr>
                <w:rFonts w:hint="eastAsia"/>
                <w:sz w:val="21"/>
                <w:szCs w:val="21"/>
                <w:lang w:eastAsia="zh-CN"/>
              </w:rPr>
              <w:t>）</w:t>
            </w:r>
            <w:r>
              <w:rPr>
                <w:rFonts w:hint="eastAsia"/>
                <w:sz w:val="21"/>
                <w:szCs w:val="21"/>
                <w:lang w:val="en-US" w:eastAsia="zh-CN"/>
              </w:rPr>
              <w:t>总计</w:t>
            </w:r>
          </w:p>
        </w:tc>
        <w:tc>
          <w:tcPr>
            <w:tcW w:w="671"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71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70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69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594"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4713" w:type="dxa"/>
            <w:gridSpan w:val="3"/>
            <w:noWrap w:val="0"/>
            <w:vAlign w:val="top"/>
          </w:tcPr>
          <w:p>
            <w:pPr>
              <w:keepNext w:val="0"/>
              <w:keepLines w:val="0"/>
              <w:pageBreakBefore w:val="0"/>
              <w:kinsoku/>
              <w:wordWrap/>
              <w:overflowPunct/>
              <w:topLinePunct w:val="0"/>
              <w:autoSpaceDE/>
              <w:autoSpaceDN/>
              <w:bidi w:val="0"/>
              <w:adjustRightInd/>
              <w:snapToGrid/>
              <w:spacing w:line="600" w:lineRule="exact"/>
              <w:ind w:left="180" w:hanging="210" w:hangingChars="100"/>
              <w:textAlignment w:val="auto"/>
              <w:rPr>
                <w:rFonts w:hint="default" w:ascii="宋体" w:hAnsi="宋体" w:eastAsia="宋体"/>
                <w:sz w:val="21"/>
                <w:szCs w:val="21"/>
                <w:lang w:val="en-US" w:eastAsia="zh-CN"/>
              </w:rPr>
            </w:pPr>
            <w:r>
              <w:rPr>
                <w:rFonts w:hint="eastAsia" w:ascii="宋体" w:hAnsi="宋体"/>
                <w:sz w:val="21"/>
                <w:szCs w:val="21"/>
                <w:lang w:val="en-US" w:eastAsia="zh-CN"/>
              </w:rPr>
              <w:t>四、结转下年度继续办理</w:t>
            </w:r>
          </w:p>
        </w:tc>
        <w:tc>
          <w:tcPr>
            <w:tcW w:w="671"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71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70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69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660"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594" w:type="dxa"/>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sz w:val="21"/>
                <w:szCs w:val="21"/>
                <w:highlight w:val="none"/>
                <w:lang w:val="en-US" w:eastAsia="zh-CN"/>
              </w:rPr>
            </w:pPr>
            <w:r>
              <w:rPr>
                <w:rFonts w:hint="eastAsia"/>
                <w:sz w:val="21"/>
                <w:szCs w:val="21"/>
                <w:highlight w:val="none"/>
                <w:lang w:val="en-US" w:eastAsia="zh-CN"/>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黑体" w:hAnsi="黑体" w:eastAsia="黑体" w:cs="黑体"/>
          <w:i w:val="0"/>
          <w:iCs w:val="0"/>
          <w:caps w:val="0"/>
          <w:color w:val="000000"/>
          <w:spacing w:val="0"/>
          <w:kern w:val="2"/>
          <w:sz w:val="32"/>
          <w:szCs w:val="32"/>
          <w:shd w:val="clear" w:fill="FFFFFF"/>
          <w:lang w:val="en-US" w:eastAsia="zh-CN" w:bidi="ar-SA"/>
        </w:rPr>
      </w:pPr>
      <w:r>
        <w:rPr>
          <w:rFonts w:hint="eastAsia" w:ascii="黑体" w:hAnsi="黑体" w:eastAsia="黑体" w:cs="黑体"/>
          <w:i w:val="0"/>
          <w:iCs w:val="0"/>
          <w:caps w:val="0"/>
          <w:color w:val="000000"/>
          <w:spacing w:val="0"/>
          <w:kern w:val="2"/>
          <w:sz w:val="32"/>
          <w:szCs w:val="32"/>
          <w:shd w:val="clear" w:fill="FFFFFF"/>
          <w:lang w:val="en-US" w:eastAsia="zh-CN" w:bidi="ar-SA"/>
        </w:rPr>
        <w:t>四、政府信息公开行政复议、行政诉讼情况</w:t>
      </w:r>
    </w:p>
    <w:tbl>
      <w:tblPr>
        <w:tblStyle w:val="4"/>
        <w:tblW w:w="9960" w:type="dxa"/>
        <w:tblInd w:w="-187"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20"/>
        <w:gridCol w:w="720"/>
        <w:gridCol w:w="645"/>
        <w:gridCol w:w="690"/>
        <w:gridCol w:w="435"/>
        <w:gridCol w:w="690"/>
        <w:gridCol w:w="855"/>
        <w:gridCol w:w="735"/>
        <w:gridCol w:w="705"/>
        <w:gridCol w:w="600"/>
        <w:gridCol w:w="705"/>
        <w:gridCol w:w="645"/>
        <w:gridCol w:w="660"/>
        <w:gridCol w:w="675"/>
        <w:gridCol w:w="48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2" w:hRule="atLeast"/>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1"/>
                <w:szCs w:val="21"/>
              </w:rPr>
              <w:t>行政复议</w:t>
            </w:r>
          </w:p>
        </w:tc>
        <w:tc>
          <w:tcPr>
            <w:tcW w:w="6750"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3" w:hRule="atLeast"/>
        </w:trPr>
        <w:tc>
          <w:tcPr>
            <w:tcW w:w="72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1"/>
                <w:szCs w:val="21"/>
              </w:rPr>
              <w:t>结果维持</w:t>
            </w:r>
          </w:p>
        </w:tc>
        <w:tc>
          <w:tcPr>
            <w:tcW w:w="72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1"/>
                <w:szCs w:val="21"/>
              </w:rPr>
              <w:t>结果纠正</w:t>
            </w:r>
          </w:p>
        </w:tc>
        <w:tc>
          <w:tcPr>
            <w:tcW w:w="64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1"/>
                <w:szCs w:val="21"/>
              </w:rPr>
              <w:t>其他结果</w:t>
            </w:r>
          </w:p>
        </w:tc>
        <w:tc>
          <w:tcPr>
            <w:tcW w:w="690"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1"/>
                <w:szCs w:val="21"/>
              </w:rPr>
              <w:t>尚未审结</w:t>
            </w:r>
          </w:p>
        </w:tc>
        <w:tc>
          <w:tcPr>
            <w:tcW w:w="43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1"/>
                <w:szCs w:val="21"/>
              </w:rPr>
              <w:t>总计</w:t>
            </w:r>
          </w:p>
        </w:tc>
        <w:tc>
          <w:tcPr>
            <w:tcW w:w="358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1"/>
                <w:szCs w:val="21"/>
              </w:rPr>
              <w:t>未经复议直接起诉</w:t>
            </w:r>
          </w:p>
        </w:tc>
        <w:tc>
          <w:tcPr>
            <w:tcW w:w="316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72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64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690"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43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6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1"/>
                <w:szCs w:val="21"/>
              </w:rPr>
              <w:t>结果维持</w:t>
            </w:r>
          </w:p>
        </w:tc>
        <w:tc>
          <w:tcPr>
            <w:tcW w:w="8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1"/>
                <w:szCs w:val="21"/>
              </w:rPr>
              <w:t>结果</w:t>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纠正</w:t>
            </w:r>
          </w:p>
        </w:tc>
        <w:tc>
          <w:tcPr>
            <w:tcW w:w="7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1"/>
                <w:szCs w:val="21"/>
              </w:rPr>
              <w:t>其他结果</w:t>
            </w:r>
          </w:p>
        </w:tc>
        <w:tc>
          <w:tcPr>
            <w:tcW w:w="7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1"/>
                <w:szCs w:val="21"/>
              </w:rPr>
              <w:t>尚未审结</w:t>
            </w:r>
          </w:p>
        </w:tc>
        <w:tc>
          <w:tcPr>
            <w:tcW w:w="60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1"/>
                <w:szCs w:val="21"/>
              </w:rPr>
              <w:t>总计</w:t>
            </w:r>
          </w:p>
        </w:tc>
        <w:tc>
          <w:tcPr>
            <w:tcW w:w="7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1"/>
                <w:szCs w:val="21"/>
              </w:rPr>
              <w:t>结果维持</w:t>
            </w:r>
          </w:p>
        </w:tc>
        <w:tc>
          <w:tcPr>
            <w:tcW w:w="64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1"/>
                <w:szCs w:val="21"/>
              </w:rPr>
              <w:t>结果纠正</w:t>
            </w:r>
          </w:p>
        </w:tc>
        <w:tc>
          <w:tcPr>
            <w:tcW w:w="66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1"/>
                <w:szCs w:val="21"/>
              </w:rPr>
              <w:t>其他结果</w:t>
            </w:r>
          </w:p>
        </w:tc>
        <w:tc>
          <w:tcPr>
            <w:tcW w:w="6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1"/>
                <w:szCs w:val="21"/>
              </w:rPr>
              <w:t>尚未审结</w:t>
            </w:r>
          </w:p>
        </w:tc>
        <w:tc>
          <w:tcPr>
            <w:tcW w:w="48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5" w:hRule="atLeast"/>
        </w:trPr>
        <w:tc>
          <w:tcPr>
            <w:tcW w:w="7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18"/>
                <w:szCs w:val="18"/>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18"/>
                <w:szCs w:val="18"/>
              </w:rPr>
              <w:t>0</w:t>
            </w:r>
          </w:p>
        </w:tc>
        <w:tc>
          <w:tcPr>
            <w:tcW w:w="64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18"/>
                <w:szCs w:val="18"/>
              </w:rPr>
              <w:t>0</w:t>
            </w:r>
          </w:p>
        </w:tc>
        <w:tc>
          <w:tcPr>
            <w:tcW w:w="6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0</w:t>
            </w: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0</w:t>
            </w:r>
          </w:p>
        </w:tc>
        <w:tc>
          <w:tcPr>
            <w:tcW w:w="6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0</w:t>
            </w:r>
          </w:p>
        </w:tc>
        <w:tc>
          <w:tcPr>
            <w:tcW w:w="8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0</w:t>
            </w:r>
          </w:p>
        </w:tc>
        <w:tc>
          <w:tcPr>
            <w:tcW w:w="7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eastAsiaTheme="minorEastAsia"/>
                <w:sz w:val="24"/>
                <w:szCs w:val="24"/>
                <w:lang w:eastAsia="zh-CN"/>
              </w:rPr>
            </w:pPr>
            <w:r>
              <w:rPr>
                <w:rFonts w:hint="eastAsia" w:ascii="宋体" w:hAnsi="宋体" w:eastAsia="宋体" w:cs="宋体"/>
                <w:i w:val="0"/>
                <w:iCs w:val="0"/>
                <w:caps w:val="0"/>
                <w:color w:val="000000"/>
                <w:spacing w:val="0"/>
                <w:sz w:val="21"/>
                <w:szCs w:val="21"/>
                <w:lang w:val="en-US" w:eastAsia="zh-CN"/>
              </w:rPr>
              <w:t>0</w:t>
            </w: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eastAsiaTheme="minorEastAsia"/>
                <w:sz w:val="24"/>
                <w:szCs w:val="24"/>
                <w:lang w:eastAsia="zh-CN"/>
              </w:rPr>
            </w:pPr>
            <w:r>
              <w:rPr>
                <w:rFonts w:hint="eastAsia" w:ascii="宋体" w:hAnsi="宋体" w:eastAsia="宋体" w:cs="宋体"/>
                <w:i w:val="0"/>
                <w:iCs w:val="0"/>
                <w:caps w:val="0"/>
                <w:color w:val="000000"/>
                <w:spacing w:val="0"/>
                <w:sz w:val="21"/>
                <w:szCs w:val="21"/>
                <w:lang w:val="en-US" w:eastAsia="zh-CN"/>
              </w:rPr>
              <w:t>0</w:t>
            </w:r>
          </w:p>
        </w:tc>
        <w:tc>
          <w:tcPr>
            <w:tcW w:w="7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0</w:t>
            </w:r>
          </w:p>
        </w:tc>
        <w:tc>
          <w:tcPr>
            <w:tcW w:w="64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0</w:t>
            </w:r>
          </w:p>
        </w:tc>
        <w:tc>
          <w:tcPr>
            <w:tcW w:w="6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0</w:t>
            </w:r>
          </w:p>
        </w:tc>
        <w:tc>
          <w:tcPr>
            <w:tcW w:w="6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0</w:t>
            </w:r>
          </w:p>
        </w:tc>
        <w:tc>
          <w:tcPr>
            <w:tcW w:w="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0</w:t>
            </w:r>
          </w:p>
        </w:tc>
      </w:tr>
    </w:tbl>
    <w:p>
      <w:pPr>
        <w:numPr>
          <w:ilvl w:val="0"/>
          <w:numId w:val="0"/>
        </w:numPr>
        <w:rPr>
          <w:rFonts w:hint="eastAsia" w:ascii="黑体" w:hAnsi="黑体" w:eastAsia="黑体" w:cs="黑体"/>
          <w:i w:val="0"/>
          <w:iCs w:val="0"/>
          <w:caps w:val="0"/>
          <w:color w:val="000000"/>
          <w:spacing w:val="0"/>
          <w:sz w:val="32"/>
          <w:szCs w:val="32"/>
          <w:shd w:val="clear" w:fill="FFFFFF"/>
          <w:lang w:val="en-US" w:eastAsia="zh-CN"/>
        </w:rPr>
      </w:pPr>
    </w:p>
    <w:p>
      <w:pPr>
        <w:numPr>
          <w:ilvl w:val="0"/>
          <w:numId w:val="0"/>
        </w:numPr>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五、存在的主要问题及改进情况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default" w:ascii="Times New Roman" w:hAnsi="Times New Roman" w:eastAsia="仿宋_GB2312" w:cs="Times New Roman"/>
          <w:b w:val="0"/>
          <w:bCs w:val="0"/>
          <w:i w:val="0"/>
          <w:iCs w:val="0"/>
          <w:caps w:val="0"/>
          <w:color w:val="000000"/>
          <w:spacing w:val="0"/>
          <w:kern w:val="2"/>
          <w:sz w:val="32"/>
          <w:szCs w:val="32"/>
          <w:shd w:val="clear" w:fill="FFFFFF"/>
          <w:lang w:val="en-US" w:eastAsia="zh-CN" w:bidi="ar-SA"/>
        </w:rPr>
      </w:pPr>
      <w:r>
        <w:rPr>
          <w:rFonts w:hint="default" w:ascii="Times New Roman" w:hAnsi="Times New Roman" w:eastAsia="仿宋_GB2312" w:cs="Times New Roman"/>
          <w:b w:val="0"/>
          <w:bCs w:val="0"/>
          <w:i w:val="0"/>
          <w:iCs w:val="0"/>
          <w:caps w:val="0"/>
          <w:color w:val="000000"/>
          <w:spacing w:val="0"/>
          <w:kern w:val="2"/>
          <w:sz w:val="32"/>
          <w:szCs w:val="32"/>
          <w:shd w:val="clear" w:fill="FFFFFF"/>
          <w:lang w:val="en-US" w:eastAsia="zh-CN" w:bidi="ar-SA"/>
        </w:rPr>
        <w:t>2021年，区管委会办公室在信息公开工作方面取得了新的进展，但还存在一些不足。一是公开解读的形式单一、解读的质量待提升。比如政策解读、会议解读形式比较单一、图文解读、动漫解读</w:t>
      </w:r>
      <w:r>
        <w:rPr>
          <w:rFonts w:hint="eastAsia" w:ascii="Times New Roman" w:hAnsi="Times New Roman" w:eastAsia="仿宋_GB2312" w:cs="Times New Roman"/>
          <w:b w:val="0"/>
          <w:bCs w:val="0"/>
          <w:i w:val="0"/>
          <w:iCs w:val="0"/>
          <w:caps w:val="0"/>
          <w:color w:val="000000"/>
          <w:spacing w:val="0"/>
          <w:kern w:val="2"/>
          <w:sz w:val="32"/>
          <w:szCs w:val="32"/>
          <w:shd w:val="clear" w:fill="FFFFFF"/>
          <w:lang w:val="en-US" w:eastAsia="zh-CN" w:bidi="ar-SA"/>
        </w:rPr>
        <w:t>等</w:t>
      </w:r>
      <w:r>
        <w:rPr>
          <w:rFonts w:hint="default" w:ascii="Times New Roman" w:hAnsi="Times New Roman" w:eastAsia="仿宋_GB2312" w:cs="Times New Roman"/>
          <w:b w:val="0"/>
          <w:bCs w:val="0"/>
          <w:i w:val="0"/>
          <w:iCs w:val="0"/>
          <w:caps w:val="0"/>
          <w:color w:val="000000"/>
          <w:spacing w:val="0"/>
          <w:kern w:val="2"/>
          <w:sz w:val="32"/>
          <w:szCs w:val="32"/>
          <w:shd w:val="clear" w:fill="FFFFFF"/>
          <w:lang w:val="en-US" w:eastAsia="zh-CN" w:bidi="ar-SA"/>
        </w:rPr>
        <w:t>解读形式较少，解读不够全面等。二是政务公开工作措施不到位，存在公开的广度和深度不够、公开信息格式不严谨等问题</w:t>
      </w:r>
      <w:r>
        <w:rPr>
          <w:rFonts w:hint="eastAsia" w:ascii="Times New Roman" w:hAnsi="Times New Roman" w:eastAsia="仿宋_GB2312" w:cs="Times New Roman"/>
          <w:b w:val="0"/>
          <w:bCs w:val="0"/>
          <w:i w:val="0"/>
          <w:iCs w:val="0"/>
          <w:caps w:val="0"/>
          <w:color w:val="000000"/>
          <w:spacing w:val="0"/>
          <w:kern w:val="2"/>
          <w:sz w:val="32"/>
          <w:szCs w:val="32"/>
          <w:shd w:val="clear" w:fill="FFFFFF"/>
          <w:lang w:val="en-US" w:eastAsia="zh-CN" w:bidi="ar-SA"/>
        </w:rPr>
        <w:t>，</w:t>
      </w:r>
      <w:r>
        <w:rPr>
          <w:rFonts w:hint="default" w:ascii="Times New Roman" w:hAnsi="Times New Roman" w:eastAsia="仿宋_GB2312" w:cs="Times New Roman"/>
          <w:b w:val="0"/>
          <w:bCs w:val="0"/>
          <w:i w:val="0"/>
          <w:iCs w:val="0"/>
          <w:caps w:val="0"/>
          <w:color w:val="000000"/>
          <w:spacing w:val="0"/>
          <w:kern w:val="2"/>
          <w:sz w:val="32"/>
          <w:szCs w:val="32"/>
          <w:shd w:val="clear" w:fill="FFFFFF"/>
          <w:lang w:val="en-US" w:eastAsia="zh-CN" w:bidi="ar-SA"/>
        </w:rPr>
        <w:t>信息数据发布不够及时、欠精准。三是工作人员的业务能力有待提高。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Times New Roman" w:hAnsi="Times New Roman" w:eastAsia="仿宋_GB2312" w:cs="Times New Roman"/>
          <w:b w:val="0"/>
          <w:bCs w:val="0"/>
          <w:i w:val="0"/>
          <w:iCs w:val="0"/>
          <w:caps w:val="0"/>
          <w:color w:val="000000"/>
          <w:spacing w:val="0"/>
          <w:kern w:val="2"/>
          <w:sz w:val="32"/>
          <w:szCs w:val="32"/>
          <w:shd w:val="clear" w:fill="FFFFFF"/>
          <w:lang w:val="en-US" w:eastAsia="zh-CN" w:bidi="ar-SA"/>
        </w:rPr>
      </w:pPr>
      <w:r>
        <w:rPr>
          <w:rFonts w:hint="eastAsia" w:ascii="Times New Roman" w:hAnsi="Times New Roman" w:eastAsia="仿宋_GB2312" w:cs="Times New Roman"/>
          <w:b w:val="0"/>
          <w:bCs w:val="0"/>
          <w:i w:val="0"/>
          <w:iCs w:val="0"/>
          <w:caps w:val="0"/>
          <w:color w:val="000000"/>
          <w:spacing w:val="0"/>
          <w:kern w:val="2"/>
          <w:sz w:val="32"/>
          <w:szCs w:val="32"/>
          <w:shd w:val="clear" w:fill="FFFFFF"/>
          <w:lang w:val="en-US" w:eastAsia="zh-CN" w:bidi="ar-SA"/>
        </w:rPr>
        <w:t>2022年，</w:t>
      </w:r>
      <w:r>
        <w:rPr>
          <w:rFonts w:hint="default" w:ascii="Times New Roman" w:hAnsi="Times New Roman" w:eastAsia="仿宋_GB2312" w:cs="Times New Roman"/>
          <w:b w:val="0"/>
          <w:bCs w:val="0"/>
          <w:i w:val="0"/>
          <w:iCs w:val="0"/>
          <w:caps w:val="0"/>
          <w:color w:val="000000"/>
          <w:spacing w:val="0"/>
          <w:kern w:val="2"/>
          <w:sz w:val="32"/>
          <w:szCs w:val="32"/>
          <w:shd w:val="clear" w:fill="FFFFFF"/>
          <w:lang w:val="en-US" w:eastAsia="zh-CN" w:bidi="ar-SA"/>
        </w:rPr>
        <w:t>区管委会办公室</w:t>
      </w:r>
      <w:r>
        <w:rPr>
          <w:rFonts w:hint="eastAsia" w:ascii="Times New Roman" w:hAnsi="Times New Roman" w:eastAsia="仿宋_GB2312" w:cs="Times New Roman"/>
          <w:b w:val="0"/>
          <w:bCs w:val="0"/>
          <w:i w:val="0"/>
          <w:iCs w:val="0"/>
          <w:caps w:val="0"/>
          <w:color w:val="000000"/>
          <w:spacing w:val="0"/>
          <w:kern w:val="2"/>
          <w:sz w:val="32"/>
          <w:szCs w:val="32"/>
          <w:shd w:val="clear" w:fill="FFFFFF"/>
          <w:lang w:val="en-US" w:eastAsia="zh-CN" w:bidi="ar-SA"/>
        </w:rPr>
        <w:t>将进一步提高对政府信息公开工作的重视程度，持续加强对政府信息公开工作的领导，确保工作不断完善提升，推动政府信息公开工作再上新台阶：一是加强政策解读力度。将政策解读与发放工作同步考虑，进一步丰富解读形式，采用图解、专家解读、媒体解读等形式让百姓更便捷理解政策。二是强化监督检查。持续加大日常检查指导力度，建立月度通报制度，对存在的问题，建立清单台账，限时抓好督促整改，倒逼推进落实质量和效率。三是加大培训力度，对标先进区县，学习优秀经验，强化政务公开工作流程再造，因地制宜实事求是地推进政务公开标准化。</w:t>
      </w:r>
    </w:p>
    <w:p>
      <w:pPr>
        <w:numPr>
          <w:ilvl w:val="0"/>
          <w:numId w:val="3"/>
        </w:numPr>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其他要报告的事项</w:t>
      </w:r>
    </w:p>
    <w:p>
      <w:pPr>
        <w:numPr>
          <w:ilvl w:val="0"/>
          <w:numId w:val="0"/>
        </w:numPr>
        <w:ind w:leftChars="0"/>
        <w:rPr>
          <w:rFonts w:hint="default"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（无收取信息处理费用、暂无需要报告的其他事项）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default" w:ascii="仿宋" w:hAnsi="仿宋" w:eastAsia="仿宋" w:cs="仿宋"/>
          <w:i w:val="0"/>
          <w:iCs w:val="0"/>
          <w:caps w:val="0"/>
          <w:color w:val="000000"/>
          <w:spacing w:val="0"/>
          <w:kern w:val="0"/>
          <w:sz w:val="32"/>
          <w:szCs w:val="32"/>
          <w:lang w:val="en-US" w:eastAsia="zh-CN" w:bidi="ar"/>
        </w:rPr>
      </w:pPr>
    </w:p>
    <w:p>
      <w:pPr>
        <w:pStyle w:val="2"/>
        <w:numPr>
          <w:ilvl w:val="0"/>
          <w:numId w:val="0"/>
        </w:numPr>
        <w:outlineLvl w:val="0"/>
        <w:rPr>
          <w:rFonts w:hint="default"/>
          <w:lang w:val="en-US" w:eastAsia="zh-CN"/>
        </w:rPr>
      </w:pPr>
    </w:p>
    <w:sectPr>
      <w:pgSz w:w="11906" w:h="16838"/>
      <w:pgMar w:top="2098" w:right="1417"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1BDF9A"/>
    <w:multiLevelType w:val="singleLevel"/>
    <w:tmpl w:val="D91BDF9A"/>
    <w:lvl w:ilvl="0" w:tentative="0">
      <w:start w:val="6"/>
      <w:numFmt w:val="chineseCounting"/>
      <w:suff w:val="nothing"/>
      <w:lvlText w:val="%1、"/>
      <w:lvlJc w:val="left"/>
      <w:rPr>
        <w:rFonts w:hint="eastAsia"/>
      </w:rPr>
    </w:lvl>
  </w:abstractNum>
  <w:abstractNum w:abstractNumId="1">
    <w:nsid w:val="27134054"/>
    <w:multiLevelType w:val="singleLevel"/>
    <w:tmpl w:val="27134054"/>
    <w:lvl w:ilvl="0" w:tentative="0">
      <w:start w:val="1"/>
      <w:numFmt w:val="chineseCounting"/>
      <w:suff w:val="nothing"/>
      <w:lvlText w:val="%1、"/>
      <w:lvlJc w:val="left"/>
      <w:rPr>
        <w:rFonts w:hint="eastAsia"/>
      </w:rPr>
    </w:lvl>
  </w:abstractNum>
  <w:abstractNum w:abstractNumId="2">
    <w:nsid w:val="7F3AFE7F"/>
    <w:multiLevelType w:val="singleLevel"/>
    <w:tmpl w:val="7F3AFE7F"/>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508CF"/>
    <w:rsid w:val="03891696"/>
    <w:rsid w:val="0DCF7F01"/>
    <w:rsid w:val="0F9F31FE"/>
    <w:rsid w:val="120315DF"/>
    <w:rsid w:val="23EF01D3"/>
    <w:rsid w:val="2DB64529"/>
    <w:rsid w:val="3FCB325E"/>
    <w:rsid w:val="49C63461"/>
    <w:rsid w:val="4BFF23DA"/>
    <w:rsid w:val="4D055F02"/>
    <w:rsid w:val="528B6050"/>
    <w:rsid w:val="55E8169F"/>
    <w:rsid w:val="56F50BD4"/>
    <w:rsid w:val="61CC627F"/>
    <w:rsid w:val="625912E9"/>
    <w:rsid w:val="684A52F8"/>
    <w:rsid w:val="6A3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丛丛</cp:lastModifiedBy>
  <dcterms:modified xsi:type="dcterms:W3CDTF">2022-01-29T06:31:55Z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3C526D8900404930831A83AC7A6124BB</vt:lpwstr>
  </property>
</Properties>
</file>