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b/>
          <w:spacing w:val="-20"/>
          <w:sz w:val="44"/>
          <w:szCs w:val="44"/>
          <w:lang w:val="en-US" w:eastAsia="zh-CN"/>
        </w:rPr>
      </w:pPr>
      <w:r>
        <w:rPr>
          <w:rFonts w:hint="eastAsia" w:ascii="方正小标宋简体" w:hAnsi="方正小标宋简体" w:eastAsia="方正小标宋简体" w:cs="方正小标宋简体"/>
          <w:b/>
          <w:spacing w:val="-20"/>
          <w:sz w:val="44"/>
          <w:szCs w:val="44"/>
          <w:lang w:val="en-US" w:eastAsia="zh-CN"/>
        </w:rPr>
        <w:t>淄博文昌湖省级旅游度假区管理委员会办公室</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b/>
          <w:sz w:val="36"/>
          <w:szCs w:val="36"/>
        </w:rPr>
      </w:pPr>
      <w:r>
        <w:rPr>
          <w:rFonts w:hint="eastAsia" w:ascii="方正小标宋简体" w:hAnsi="方正小标宋简体" w:eastAsia="方正小标宋简体" w:cs="方正小标宋简体"/>
          <w:b/>
          <w:sz w:val="44"/>
          <w:szCs w:val="44"/>
          <w:lang w:val="en-US" w:eastAsia="zh-CN"/>
        </w:rPr>
        <w:t>2020年</w:t>
      </w:r>
      <w:r>
        <w:rPr>
          <w:rFonts w:hint="eastAsia" w:ascii="方正小标宋简体" w:hAnsi="方正小标宋简体" w:eastAsia="方正小标宋简体" w:cs="方正小标宋简体"/>
          <w:b/>
          <w:sz w:val="44"/>
          <w:szCs w:val="44"/>
        </w:rPr>
        <w:t>信息公开工作年度报告</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640" w:lineRule="exact"/>
        <w:ind w:left="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根据《中华人民共和国政府信息公开条例》（以下简称《条例》）规定、</w:t>
      </w:r>
      <w:r>
        <w:rPr>
          <w:rFonts w:hint="default" w:ascii="Times New Roman" w:hAnsi="Times New Roman" w:eastAsia="仿宋_GB2312" w:cs="Times New Roman"/>
          <w:sz w:val="32"/>
          <w:szCs w:val="32"/>
          <w:lang w:val="en-US" w:eastAsia="zh-CN"/>
        </w:rPr>
        <w:t>《国务院办公厅政府信息与政务公开办公室关于政府信息公开工作年度报告有关事项的通知》(国办公开办函〔2019〕60号</w:t>
      </w:r>
      <w:r>
        <w:rPr>
          <w:rFonts w:hint="default" w:ascii="Times New Roman" w:hAnsi="Times New Roman" w:eastAsia="仿宋_GB2312" w:cs="Times New Roman"/>
          <w:sz w:val="32"/>
          <w:szCs w:val="32"/>
        </w:rPr>
        <w:t>）的要求，特向社会公开</w:t>
      </w:r>
      <w:r>
        <w:rPr>
          <w:rFonts w:hint="eastAsia" w:ascii="Times New Roman" w:hAnsi="Times New Roman" w:eastAsia="仿宋_GB2312" w:cs="Times New Roman"/>
          <w:sz w:val="32"/>
          <w:szCs w:val="32"/>
          <w:lang w:val="en-US" w:eastAsia="zh-CN"/>
        </w:rPr>
        <w:t>淄博文昌湖省级旅游度假区管理委员会办公室</w:t>
      </w:r>
      <w:r>
        <w:rPr>
          <w:rFonts w:hint="default" w:ascii="Times New Roman" w:hAnsi="Times New Roman" w:eastAsia="仿宋_GB2312" w:cs="Times New Roman"/>
          <w:sz w:val="32"/>
          <w:szCs w:val="32"/>
        </w:rPr>
        <w:t>2020年度政府信息公开工作</w:t>
      </w:r>
      <w:r>
        <w:rPr>
          <w:rFonts w:hint="eastAsia" w:ascii="Times New Roman" w:hAnsi="Times New Roman" w:eastAsia="仿宋_GB2312" w:cs="Times New Roman"/>
          <w:sz w:val="32"/>
          <w:szCs w:val="32"/>
          <w:lang w:val="en-US" w:eastAsia="zh-CN"/>
        </w:rPr>
        <w:t>年度报告</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left="0" w:firstLine="640" w:firstLineChars="200"/>
        <w:textAlignment w:val="auto"/>
        <w:rPr>
          <w:rFonts w:hint="default" w:ascii="Times New Roman" w:hAnsi="Times New Roman" w:eastAsia="仿宋_GB2312" w:cs="Times New Roman"/>
          <w:b/>
          <w:sz w:val="32"/>
          <w:szCs w:val="32"/>
          <w:lang w:eastAsia="zh-CN"/>
        </w:rPr>
      </w:pPr>
      <w:r>
        <w:rPr>
          <w:rFonts w:hint="eastAsia" w:ascii="Times New Roman" w:hAnsi="Times New Roman" w:eastAsia="仿宋_GB2312" w:cs="Times New Roman"/>
          <w:sz w:val="32"/>
          <w:szCs w:val="32"/>
          <w:lang w:val="en-US" w:eastAsia="zh-CN"/>
        </w:rPr>
        <w:t>本报告</w:t>
      </w:r>
      <w:r>
        <w:rPr>
          <w:rFonts w:hint="default" w:ascii="Times New Roman" w:hAnsi="Times New Roman" w:eastAsia="仿宋_GB2312" w:cs="Times New Roman"/>
          <w:sz w:val="32"/>
          <w:szCs w:val="32"/>
        </w:rPr>
        <w:t>由总体情况、主动公开政府信息情况、收到和处理政府信息公开申请情况、政府信息公开行政复议行政诉讼情况、存在的主要问题及改进情况、其他需要报告的事项6个部分组成。</w:t>
      </w:r>
    </w:p>
    <w:p>
      <w:pPr>
        <w:keepNext w:val="0"/>
        <w:keepLines w:val="0"/>
        <w:pageBreakBefore w:val="0"/>
        <w:widowControl w:val="0"/>
        <w:kinsoku/>
        <w:wordWrap/>
        <w:overflowPunct/>
        <w:topLinePunct w:val="0"/>
        <w:autoSpaceDE/>
        <w:autoSpaceDN/>
        <w:bidi w:val="0"/>
        <w:adjustRightInd/>
        <w:snapToGrid/>
        <w:spacing w:line="640" w:lineRule="exact"/>
        <w:ind w:left="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本报告中所列数据的统计期限自2020年1月1日起至2020年12月31日止。如对本报告有任何疑问，请与区管委会办公室联系（地址：文昌湖区萌水镇防汛路1号，电话：6030160，邮箱：wenchanghuqudgwgwhbgs@zb.shandong.cn）。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一、总体情况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2019年，文昌湖区管委会办公室在做好自身政府信息公开工作的同时，切实担负起推进、指导、协调、监督全区政府信息公开工作的责任，努力保障公民、法人和其他组织依法获取政府信息，提高政府工作透明度，促进依法行政，充分发挥政府信息对人民群众生产、生活和经济社会活动的服务作用。</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ascii="Times New Roman" w:hAnsi="Times New Roman" w:eastAsia="楷体_GB2312" w:cs="Times New Roman"/>
          <w:i w:val="0"/>
          <w:caps w:val="0"/>
          <w:color w:val="000000"/>
          <w:spacing w:val="0"/>
          <w:sz w:val="32"/>
          <w:szCs w:val="32"/>
        </w:rPr>
      </w:pPr>
      <w:r>
        <w:rPr>
          <w:rFonts w:hint="default" w:ascii="Times New Roman" w:hAnsi="Times New Roman" w:eastAsia="楷体_GB2312" w:cs="Times New Roman"/>
          <w:i w:val="0"/>
          <w:caps w:val="0"/>
          <w:color w:val="000000"/>
          <w:spacing w:val="0"/>
          <w:sz w:val="32"/>
          <w:szCs w:val="32"/>
        </w:rPr>
        <w:t>主动公开工作情况</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val="0"/>
          <w:kern w:val="2"/>
          <w:sz w:val="32"/>
          <w:szCs w:val="32"/>
          <w:lang w:val="en-US" w:eastAsia="zh-CN" w:bidi="ar-SA"/>
        </w:rPr>
        <w:t>按照《中华人民共和国政府信息公开条例》、《山东省政府信息公开办公办法》规定和要求，在起草文件的同时，就确定文件的公开性质，对于主动公开的文件，严格按照信息发布保密制度和审核后，及时在区管委会网站公开。按照《2020年文昌湖区政务公开要点》（淄文昌管办字〔</w:t>
      </w:r>
      <w:r>
        <w:rPr>
          <w:rFonts w:hint="default" w:ascii="Times New Roman" w:hAnsi="Times New Roman" w:eastAsia="仿宋_GB2312" w:cs="Times New Roman"/>
          <w:b w:val="0"/>
          <w:kern w:val="2"/>
          <w:sz w:val="32"/>
          <w:szCs w:val="32"/>
          <w:lang w:val="en-US" w:eastAsia="zh-CN" w:bidi="ar-SA"/>
        </w:rPr>
        <w:t>2020</w:t>
      </w:r>
      <w:r>
        <w:rPr>
          <w:rFonts w:hint="eastAsia" w:ascii="Times New Roman" w:hAnsi="Times New Roman" w:eastAsia="仿宋_GB2312" w:cs="Times New Roman"/>
          <w:b w:val="0"/>
          <w:kern w:val="2"/>
          <w:sz w:val="32"/>
          <w:szCs w:val="32"/>
          <w:lang w:val="en-US" w:eastAsia="zh-CN" w:bidi="ar-SA"/>
        </w:rPr>
        <w:t>〕</w:t>
      </w:r>
      <w:r>
        <w:rPr>
          <w:rFonts w:hint="default" w:ascii="Times New Roman" w:hAnsi="Times New Roman" w:eastAsia="仿宋_GB2312" w:cs="Times New Roman"/>
          <w:b w:val="0"/>
          <w:kern w:val="2"/>
          <w:sz w:val="32"/>
          <w:szCs w:val="32"/>
          <w:lang w:val="en-US" w:eastAsia="zh-CN" w:bidi="ar-SA"/>
        </w:rPr>
        <w:t>43号）要求，及时公开本机关年度工作要点部署的各项任务等信息。</w:t>
      </w:r>
      <w:r>
        <w:rPr>
          <w:rFonts w:hint="eastAsia" w:ascii="Times New Roman" w:hAnsi="Times New Roman" w:eastAsia="仿宋_GB2312" w:cs="Times New Roman"/>
          <w:b w:val="0"/>
          <w:kern w:val="2"/>
          <w:sz w:val="32"/>
          <w:szCs w:val="32"/>
          <w:lang w:val="en-US" w:eastAsia="zh-CN" w:bidi="ar-SA"/>
        </w:rPr>
        <w:t>印发《文昌湖区全面推进基层政务公开标准化规范化工作实施方案》（</w:t>
      </w:r>
      <w:r>
        <w:rPr>
          <w:rFonts w:hint="default" w:ascii="Times New Roman" w:hAnsi="Times New Roman" w:eastAsia="仿宋_GB2312" w:cs="Times New Roman"/>
          <w:b w:val="0"/>
          <w:kern w:val="2"/>
          <w:sz w:val="32"/>
          <w:szCs w:val="32"/>
          <w:lang w:val="en-US" w:eastAsia="zh-CN" w:bidi="ar-SA"/>
        </w:rPr>
        <w:t>淄文昌管办字〔2020〕40号</w:t>
      </w:r>
      <w:r>
        <w:rPr>
          <w:rFonts w:hint="eastAsia" w:ascii="Times New Roman" w:hAnsi="Times New Roman" w:eastAsia="仿宋_GB2312" w:cs="Times New Roman"/>
          <w:b w:val="0"/>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2020</w:t>
      </w:r>
      <w:r>
        <w:rPr>
          <w:rFonts w:hint="eastAsia" w:ascii="Times New Roman" w:hAnsi="Times New Roman" w:eastAsia="仿宋_GB2312" w:cs="Times New Roman"/>
          <w:kern w:val="2"/>
          <w:sz w:val="32"/>
          <w:szCs w:val="32"/>
          <w:lang w:val="en-US" w:eastAsia="zh-CN" w:bidi="ar-SA"/>
        </w:rPr>
        <w:t>年，区管委会办公室通过区管委网站主动公开各类政府信息107</w:t>
      </w:r>
      <w:r>
        <w:rPr>
          <w:rFonts w:hint="eastAsia" w:ascii="Times New Roman" w:hAnsi="Times New Roman" w:eastAsia="仿宋_GB2312" w:cs="Times New Roman"/>
          <w:color w:val="auto"/>
          <w:kern w:val="2"/>
          <w:sz w:val="32"/>
          <w:szCs w:val="32"/>
          <w:lang w:val="en-US" w:eastAsia="zh-CN" w:bidi="ar-SA"/>
        </w:rPr>
        <w:t>条</w:t>
      </w:r>
      <w:r>
        <w:rPr>
          <w:rFonts w:hint="eastAsia" w:ascii="Times New Roman" w:hAnsi="Times New Roman" w:eastAsia="仿宋_GB2312" w:cs="Times New Roman"/>
          <w:kern w:val="2"/>
          <w:sz w:val="32"/>
          <w:szCs w:val="32"/>
          <w:lang w:val="en-US" w:eastAsia="zh-CN" w:bidi="ar-SA"/>
        </w:rPr>
        <w:t>。无人大代表建议和政协委员提案办理情况。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Times New Roman" w:hAnsi="Times New Roman" w:eastAsia="楷体_GB2312" w:cs="Times New Roman"/>
          <w:i w:val="0"/>
          <w:caps w:val="0"/>
          <w:color w:val="000000"/>
          <w:spacing w:val="0"/>
          <w:sz w:val="32"/>
          <w:szCs w:val="32"/>
        </w:rPr>
      </w:pPr>
      <w:r>
        <w:rPr>
          <w:rFonts w:hint="eastAsia" w:ascii="Times New Roman" w:hAnsi="Times New Roman" w:eastAsia="楷体_GB2312" w:cs="Times New Roman"/>
          <w:i w:val="0"/>
          <w:caps w:val="0"/>
          <w:color w:val="000000"/>
          <w:spacing w:val="0"/>
          <w:sz w:val="32"/>
          <w:szCs w:val="32"/>
        </w:rPr>
        <w:t>2、依申请公开工作情况</w:t>
      </w:r>
    </w:p>
    <w:p>
      <w:pPr>
        <w:spacing w:line="560" w:lineRule="exact"/>
        <w:ind w:firstLine="640" w:firstLineChars="200"/>
        <w:rPr>
          <w:rFonts w:ascii="仿宋" w:hAnsi="仿宋" w:eastAsia="仿宋"/>
          <w:color w:val="000000"/>
          <w:sz w:val="32"/>
          <w:szCs w:val="32"/>
        </w:rPr>
      </w:pPr>
      <w:r>
        <w:rPr>
          <w:rFonts w:hint="eastAsia" w:ascii="Times New Roman" w:hAnsi="Times New Roman" w:eastAsia="仿宋_GB2312" w:cs="Times New Roman"/>
          <w:kern w:val="2"/>
          <w:sz w:val="32"/>
          <w:szCs w:val="32"/>
          <w:lang w:val="en-US" w:eastAsia="zh-CN" w:bidi="ar-SA"/>
        </w:rPr>
        <w:t>2020年，受理区管委会、区管委会办公室依申请公开信息5件，其中当面申请1件、信函申请1件、网上申请3件，按时办结3件，延期办结2件，无结转下年度继续办理件。</w:t>
      </w:r>
    </w:p>
    <w:p>
      <w:pPr>
        <w:pStyle w:val="3"/>
        <w:numPr>
          <w:ilvl w:val="0"/>
          <w:numId w:val="0"/>
        </w:numPr>
        <w:spacing w:before="0" w:beforeAutospacing="0" w:after="0" w:afterAutospacing="0" w:line="560" w:lineRule="exact"/>
        <w:ind w:right="0" w:rightChars="0" w:firstLine="640" w:firstLineChars="200"/>
        <w:rPr>
          <w:rFonts w:hint="default" w:ascii="楷体" w:hAnsi="楷体" w:eastAsia="楷体"/>
          <w:color w:val="000000"/>
          <w:sz w:val="32"/>
          <w:szCs w:val="32"/>
          <w:lang w:val="en-US"/>
        </w:rPr>
      </w:pPr>
      <w:r>
        <w:rPr>
          <w:rFonts w:hint="eastAsia" w:ascii="楷体" w:hAnsi="楷体" w:eastAsia="楷体"/>
          <w:color w:val="000000"/>
          <w:sz w:val="32"/>
          <w:szCs w:val="32"/>
          <w:lang w:val="en-US" w:eastAsia="zh-CN"/>
        </w:rPr>
        <w:t>3、</w:t>
      </w:r>
      <w:r>
        <w:rPr>
          <w:rFonts w:ascii="楷体" w:hAnsi="楷体" w:eastAsia="楷体"/>
          <w:color w:val="000000"/>
          <w:sz w:val="32"/>
          <w:szCs w:val="32"/>
        </w:rPr>
        <w:t>政府信息</w:t>
      </w:r>
      <w:r>
        <w:rPr>
          <w:rFonts w:hint="eastAsia" w:ascii="楷体" w:hAnsi="楷体" w:eastAsia="楷体"/>
          <w:color w:val="000000"/>
          <w:sz w:val="32"/>
          <w:szCs w:val="32"/>
          <w:lang w:val="en-US" w:eastAsia="zh-CN"/>
        </w:rPr>
        <w:t>管理工作情况</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rPr>
          <w:rFonts w:hint="default" w:ascii="Times New Roman" w:hAnsi="Times New Roman" w:eastAsia="仿宋_GB2312" w:cs="Times New Roman"/>
          <w:b w:val="0"/>
          <w:kern w:val="2"/>
          <w:sz w:val="32"/>
          <w:szCs w:val="32"/>
          <w:lang w:val="en-US" w:eastAsia="zh-CN" w:bidi="ar-SA"/>
        </w:rPr>
      </w:pPr>
      <w:r>
        <w:rPr>
          <w:rFonts w:hint="eastAsia" w:ascii="Times New Roman" w:hAnsi="Times New Roman" w:eastAsia="仿宋_GB2312" w:cs="Times New Roman"/>
          <w:b w:val="0"/>
          <w:kern w:val="2"/>
          <w:sz w:val="32"/>
          <w:szCs w:val="32"/>
          <w:lang w:val="en-US" w:eastAsia="zh-CN" w:bidi="ar-SA"/>
        </w:rPr>
        <w:t>9</w:t>
      </w:r>
      <w:r>
        <w:rPr>
          <w:rFonts w:hint="default" w:ascii="Times New Roman" w:hAnsi="Times New Roman" w:eastAsia="仿宋_GB2312" w:cs="Times New Roman"/>
          <w:b w:val="0"/>
          <w:kern w:val="2"/>
          <w:sz w:val="32"/>
          <w:szCs w:val="32"/>
          <w:lang w:val="en-US" w:eastAsia="zh-CN" w:bidi="ar-SA"/>
        </w:rPr>
        <w:t>月制定下发了</w:t>
      </w:r>
      <w:r>
        <w:rPr>
          <w:rFonts w:hint="eastAsia" w:ascii="Times New Roman" w:hAnsi="Times New Roman" w:eastAsia="仿宋_GB2312" w:cs="Times New Roman"/>
          <w:b w:val="0"/>
          <w:kern w:val="2"/>
          <w:sz w:val="32"/>
          <w:szCs w:val="32"/>
          <w:lang w:val="en-US" w:eastAsia="zh-CN" w:bidi="ar-SA"/>
        </w:rPr>
        <w:t>《2020年文昌湖区政务公开要点》（淄文昌管办字〔</w:t>
      </w:r>
      <w:r>
        <w:rPr>
          <w:rFonts w:hint="default" w:ascii="Times New Roman" w:hAnsi="Times New Roman" w:eastAsia="仿宋_GB2312" w:cs="Times New Roman"/>
          <w:b w:val="0"/>
          <w:kern w:val="2"/>
          <w:sz w:val="32"/>
          <w:szCs w:val="32"/>
          <w:lang w:val="en-US" w:eastAsia="zh-CN" w:bidi="ar-SA"/>
        </w:rPr>
        <w:t>2020</w:t>
      </w:r>
      <w:r>
        <w:rPr>
          <w:rFonts w:hint="eastAsia" w:ascii="Times New Roman" w:hAnsi="Times New Roman" w:eastAsia="仿宋_GB2312" w:cs="Times New Roman"/>
          <w:b w:val="0"/>
          <w:kern w:val="2"/>
          <w:sz w:val="32"/>
          <w:szCs w:val="32"/>
          <w:lang w:val="en-US" w:eastAsia="zh-CN" w:bidi="ar-SA"/>
        </w:rPr>
        <w:t>〕</w:t>
      </w:r>
      <w:r>
        <w:rPr>
          <w:rFonts w:hint="default" w:ascii="Times New Roman" w:hAnsi="Times New Roman" w:eastAsia="仿宋_GB2312" w:cs="Times New Roman"/>
          <w:b w:val="0"/>
          <w:kern w:val="2"/>
          <w:sz w:val="32"/>
          <w:szCs w:val="32"/>
          <w:lang w:val="en-US" w:eastAsia="zh-CN" w:bidi="ar-SA"/>
        </w:rPr>
        <w:t>43号</w:t>
      </w:r>
      <w:r>
        <w:rPr>
          <w:rFonts w:hint="eastAsia" w:ascii="Times New Roman" w:hAnsi="Times New Roman" w:eastAsia="仿宋_GB2312" w:cs="Times New Roman"/>
          <w:b w:val="0"/>
          <w:kern w:val="2"/>
          <w:sz w:val="32"/>
          <w:szCs w:val="32"/>
          <w:lang w:val="en-US" w:eastAsia="zh-CN" w:bidi="ar-SA"/>
        </w:rPr>
        <w:t>），</w:t>
      </w:r>
      <w:r>
        <w:rPr>
          <w:rFonts w:hint="default" w:ascii="Times New Roman" w:hAnsi="Times New Roman" w:eastAsia="仿宋_GB2312" w:cs="Times New Roman"/>
          <w:b w:val="0"/>
          <w:kern w:val="2"/>
          <w:sz w:val="32"/>
          <w:szCs w:val="32"/>
          <w:lang w:val="en-US" w:eastAsia="zh-CN" w:bidi="ar-SA"/>
        </w:rPr>
        <w:t>进一步明确各单位政务公开任务，细化政务公开工作要求，督促各单位政务公开工作顺利开展。</w:t>
      </w:r>
    </w:p>
    <w:p>
      <w:pPr>
        <w:pStyle w:val="3"/>
        <w:numPr>
          <w:ilvl w:val="0"/>
          <w:numId w:val="0"/>
        </w:numPr>
        <w:spacing w:before="0" w:beforeAutospacing="0" w:after="0" w:afterAutospacing="0" w:line="560" w:lineRule="exact"/>
        <w:ind w:right="0" w:rightChars="0" w:firstLine="640" w:firstLineChars="200"/>
        <w:rPr>
          <w:rFonts w:hint="default" w:ascii="楷体" w:hAnsi="楷体" w:eastAsia="楷体"/>
          <w:color w:val="000000"/>
          <w:sz w:val="32"/>
          <w:szCs w:val="32"/>
          <w:lang w:val="en-US" w:eastAsia="zh-CN"/>
        </w:rPr>
      </w:pPr>
      <w:r>
        <w:rPr>
          <w:rFonts w:hint="eastAsia" w:ascii="楷体" w:hAnsi="楷体" w:eastAsia="楷体"/>
          <w:color w:val="000000"/>
          <w:sz w:val="32"/>
          <w:szCs w:val="32"/>
          <w:lang w:val="en-US" w:eastAsia="zh-CN"/>
        </w:rPr>
        <w:t>4、平台建设工作情况</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充分发挥区管委会门户网站“第一公开平台”作用，区管委会办公室负责协调推进政务公开平台建设</w:t>
      </w:r>
      <w:r>
        <w:rPr>
          <w:rFonts w:hint="eastAsia" w:ascii="Times New Roman" w:hAnsi="Times New Roman" w:eastAsia="仿宋_GB2312" w:cs="Times New Roman"/>
          <w:b w:val="0"/>
          <w:kern w:val="2"/>
          <w:sz w:val="32"/>
          <w:szCs w:val="32"/>
          <w:lang w:val="en-US" w:eastAsia="zh-CN" w:bidi="ar-SA"/>
        </w:rPr>
        <w:t>，结合实际</w:t>
      </w:r>
      <w:r>
        <w:rPr>
          <w:rFonts w:hint="default" w:ascii="Times New Roman" w:hAnsi="Times New Roman" w:eastAsia="仿宋_GB2312" w:cs="Times New Roman"/>
          <w:b w:val="0"/>
          <w:kern w:val="2"/>
          <w:sz w:val="32"/>
          <w:szCs w:val="32"/>
          <w:lang w:val="en-US" w:eastAsia="zh-CN" w:bidi="ar-SA"/>
        </w:rPr>
        <w:t>，全面优化</w:t>
      </w:r>
      <w:r>
        <w:rPr>
          <w:rFonts w:hint="eastAsia" w:ascii="Times New Roman" w:hAnsi="Times New Roman" w:eastAsia="仿宋_GB2312" w:cs="Times New Roman"/>
          <w:b w:val="0"/>
          <w:kern w:val="2"/>
          <w:sz w:val="32"/>
          <w:szCs w:val="32"/>
          <w:lang w:val="en-US" w:eastAsia="zh-CN" w:bidi="ar-SA"/>
        </w:rPr>
        <w:t>“融公开”</w:t>
      </w:r>
      <w:r>
        <w:rPr>
          <w:rFonts w:hint="default" w:ascii="Times New Roman" w:hAnsi="Times New Roman" w:eastAsia="仿宋_GB2312" w:cs="Times New Roman"/>
          <w:b w:val="0"/>
          <w:kern w:val="2"/>
          <w:sz w:val="32"/>
          <w:szCs w:val="32"/>
          <w:lang w:val="en-US" w:eastAsia="zh-CN" w:bidi="ar-SA"/>
        </w:rPr>
        <w:t>网站栏目设置</w:t>
      </w:r>
      <w:r>
        <w:rPr>
          <w:rFonts w:hint="eastAsia" w:ascii="Times New Roman" w:hAnsi="Times New Roman" w:eastAsia="仿宋_GB2312" w:cs="Times New Roman"/>
          <w:b w:val="0"/>
          <w:kern w:val="2"/>
          <w:sz w:val="32"/>
          <w:szCs w:val="32"/>
          <w:lang w:val="en-US" w:eastAsia="zh-CN" w:bidi="ar-SA"/>
        </w:rPr>
        <w:t>，设立“政策文件、政府会议”等多个栏目，督促各镇各部门</w:t>
      </w:r>
      <w:r>
        <w:rPr>
          <w:rFonts w:hint="default" w:ascii="Times New Roman" w:hAnsi="Times New Roman" w:eastAsia="仿宋_GB2312" w:cs="Times New Roman"/>
          <w:b w:val="0"/>
          <w:kern w:val="2"/>
          <w:sz w:val="32"/>
          <w:szCs w:val="32"/>
          <w:lang w:val="en-US" w:eastAsia="zh-CN" w:bidi="ar-SA"/>
        </w:rPr>
        <w:t>随时做好内容更新维护。综合利用政务微博、微信等政务新媒体，扩大政府信息传播面，提升政府信息影响力。</w:t>
      </w:r>
      <w:r>
        <w:rPr>
          <w:rFonts w:hint="eastAsia" w:ascii="Times New Roman" w:hAnsi="Times New Roman" w:eastAsia="仿宋_GB2312" w:cs="Times New Roman"/>
          <w:b w:val="0"/>
          <w:kern w:val="2"/>
          <w:sz w:val="32"/>
          <w:szCs w:val="32"/>
          <w:lang w:val="en-US" w:eastAsia="zh-CN" w:bidi="ar-SA"/>
        </w:rPr>
        <w:t>在区政务服务中心</w:t>
      </w:r>
      <w:r>
        <w:rPr>
          <w:rFonts w:hint="default" w:ascii="Times New Roman" w:hAnsi="Times New Roman" w:eastAsia="仿宋_GB2312" w:cs="Times New Roman"/>
          <w:b w:val="0"/>
          <w:kern w:val="2"/>
          <w:sz w:val="32"/>
          <w:szCs w:val="32"/>
          <w:lang w:val="en-US" w:eastAsia="zh-CN" w:bidi="ar-SA"/>
        </w:rPr>
        <w:t>设立政务公开专区，提供政府信息查询、信息公开申请、办事咨询、政府信息打印复印等相关服务。</w:t>
      </w:r>
    </w:p>
    <w:p>
      <w:pPr>
        <w:spacing w:line="560" w:lineRule="exact"/>
        <w:ind w:firstLine="640" w:firstLineChars="200"/>
        <w:rPr>
          <w:rFonts w:ascii="仿宋" w:hAnsi="仿宋" w:eastAsia="仿宋"/>
          <w:color w:val="000000"/>
          <w:sz w:val="32"/>
          <w:szCs w:val="32"/>
        </w:rPr>
      </w:pPr>
      <w:r>
        <w:rPr>
          <w:rFonts w:hint="eastAsia" w:ascii="楷体_GB2312" w:hAnsi="宋体" w:eastAsia="楷体_GB2312" w:cs="楷体_GB2312"/>
          <w:i w:val="0"/>
          <w:caps w:val="0"/>
          <w:color w:val="000000"/>
          <w:spacing w:val="0"/>
          <w:sz w:val="32"/>
          <w:szCs w:val="32"/>
          <w:lang w:val="en-US" w:eastAsia="zh-CN"/>
        </w:rPr>
        <w:t>5</w:t>
      </w:r>
      <w:r>
        <w:rPr>
          <w:rFonts w:ascii="楷体_GB2312" w:hAnsi="宋体" w:eastAsia="楷体_GB2312" w:cs="楷体_GB2312"/>
          <w:i w:val="0"/>
          <w:caps w:val="0"/>
          <w:color w:val="000000"/>
          <w:spacing w:val="0"/>
          <w:sz w:val="32"/>
          <w:szCs w:val="32"/>
        </w:rPr>
        <w:t>.回应社会关切及互动交流情况</w:t>
      </w:r>
      <w:r>
        <w:rPr>
          <w:rFonts w:ascii="楷体" w:hAnsi="楷体" w:eastAsia="楷体" w:cs="楷体"/>
          <w:i w:val="0"/>
          <w:caps w:val="0"/>
          <w:color w:val="000000"/>
          <w:spacing w:val="0"/>
          <w:sz w:val="32"/>
          <w:szCs w:val="32"/>
        </w:rPr>
        <w:t>。</w:t>
      </w:r>
      <w:r>
        <w:rPr>
          <w:rFonts w:ascii="仿宋_GB2312" w:hAnsi="宋体" w:eastAsia="仿宋_GB2312" w:cs="仿宋_GB2312"/>
          <w:i w:val="0"/>
          <w:caps w:val="0"/>
          <w:color w:val="000000"/>
          <w:spacing w:val="0"/>
          <w:sz w:val="32"/>
          <w:szCs w:val="32"/>
        </w:rPr>
        <w:t>在管委会门户网站设立了政民互动栏目，放大民生热线服务品牌效应，强化疑难问题督办力度，不断拓宽热线服务功能。</w:t>
      </w:r>
      <w:r>
        <w:rPr>
          <w:rFonts w:ascii="仿宋" w:hAnsi="仿宋" w:eastAsia="仿宋"/>
          <w:color w:val="000000"/>
          <w:sz w:val="32"/>
          <w:szCs w:val="32"/>
        </w:rPr>
        <w:t>通过区长信箱等其他方式回应事件数</w:t>
      </w:r>
      <w:r>
        <w:rPr>
          <w:rFonts w:hint="eastAsia" w:ascii="仿宋" w:hAnsi="仿宋" w:eastAsia="仿宋"/>
          <w:color w:val="000000"/>
          <w:sz w:val="32"/>
          <w:szCs w:val="32"/>
          <w:lang w:val="en-US" w:eastAsia="zh-CN"/>
        </w:rPr>
        <w:t>16</w:t>
      </w:r>
      <w:r>
        <w:rPr>
          <w:rFonts w:ascii="仿宋" w:hAnsi="仿宋" w:eastAsia="仿宋"/>
          <w:color w:val="000000"/>
          <w:sz w:val="32"/>
          <w:szCs w:val="32"/>
        </w:rPr>
        <w:t>次。</w:t>
      </w:r>
    </w:p>
    <w:p>
      <w:pPr>
        <w:spacing w:line="540" w:lineRule="exact"/>
        <w:ind w:firstLine="640" w:firstLineChars="200"/>
        <w:rPr>
          <w:rFonts w:hint="eastAsia" w:ascii="仿宋" w:hAnsi="仿宋" w:eastAsia="仿宋"/>
          <w:sz w:val="32"/>
          <w:lang w:val="en-US" w:eastAsia="zh-CN"/>
        </w:rPr>
      </w:pPr>
      <w:r>
        <w:rPr>
          <w:rFonts w:hint="eastAsia" w:ascii="楷体" w:hAnsi="楷体" w:eastAsia="楷体"/>
          <w:color w:val="000000"/>
          <w:sz w:val="32"/>
          <w:szCs w:val="32"/>
          <w:lang w:val="en-US" w:eastAsia="zh-CN"/>
        </w:rPr>
        <w:t>6</w:t>
      </w:r>
      <w:r>
        <w:rPr>
          <w:rFonts w:hint="eastAsia" w:ascii="楷体" w:hAnsi="楷体" w:eastAsia="楷体"/>
          <w:color w:val="000000"/>
          <w:sz w:val="32"/>
          <w:szCs w:val="32"/>
          <w:lang w:eastAsia="zh-CN"/>
        </w:rPr>
        <w:t>、</w:t>
      </w:r>
      <w:r>
        <w:rPr>
          <w:rFonts w:hint="eastAsia" w:ascii="楷体" w:hAnsi="楷体" w:eastAsia="楷体"/>
          <w:color w:val="000000"/>
          <w:sz w:val="32"/>
          <w:szCs w:val="32"/>
          <w:lang w:val="en-US" w:eastAsia="zh-CN"/>
        </w:rPr>
        <w:t>监督保障</w:t>
      </w:r>
      <w:r>
        <w:rPr>
          <w:rFonts w:hint="eastAsia" w:ascii="楷体" w:hAnsi="楷体" w:eastAsia="楷体"/>
          <w:color w:val="000000"/>
          <w:sz w:val="32"/>
          <w:szCs w:val="32"/>
        </w:rPr>
        <w:t>。</w:t>
      </w:r>
      <w:r>
        <w:rPr>
          <w:rFonts w:ascii="仿宋" w:hAnsi="仿宋" w:eastAsia="仿宋"/>
          <w:sz w:val="32"/>
        </w:rPr>
        <w:t>要求各级各部门要将政务公开工作纳入重要议事日程，明确一位负责同志分管政务公开工作，并安排专人从事政务公开具体工作。为便于掌握、调度部门政务公开工作进展情况，及时更新我区政务公开工作网络联系表，加强与各级各部门的联系沟通。</w:t>
      </w:r>
      <w:r>
        <w:rPr>
          <w:rFonts w:hint="eastAsia" w:ascii="Times New Roman" w:hAnsi="Times New Roman" w:eastAsia="仿宋_GB2312" w:cs="Times New Roman"/>
          <w:b w:val="0"/>
          <w:kern w:val="2"/>
          <w:sz w:val="32"/>
          <w:szCs w:val="32"/>
          <w:lang w:val="en-US" w:eastAsia="zh-CN" w:bidi="ar-SA"/>
        </w:rPr>
        <w:t>由区管委会办公室定期对政务信息公开的内容进行监督检查，定期形成信息公开工作月报告发至各部门，及时督促各部门整改</w:t>
      </w:r>
      <w:r>
        <w:rPr>
          <w:rFonts w:hint="eastAsia" w:ascii="仿宋" w:hAnsi="仿宋" w:eastAsia="仿宋"/>
          <w:sz w:val="32"/>
          <w:lang w:val="en-US" w:eastAsia="zh-CN"/>
        </w:rPr>
        <w:t>，确保公开及时全面，准确。同时制定文昌湖区 2020 年度政务公开培训计划，积极组织各镇、各部门参加政府信息公开工作培训会议，增强主动公开意识，提升工作人员业务水平。</w:t>
      </w:r>
      <w:r>
        <w:rPr>
          <w:rFonts w:hint="eastAsia" w:ascii="仿宋" w:hAnsi="仿宋" w:eastAsia="仿宋"/>
          <w:sz w:val="32"/>
        </w:rPr>
        <w:t>召开</w:t>
      </w:r>
      <w:r>
        <w:rPr>
          <w:rFonts w:hint="eastAsia" w:ascii="仿宋" w:hAnsi="仿宋" w:eastAsia="仿宋"/>
          <w:sz w:val="32"/>
          <w:lang w:val="en-US" w:eastAsia="zh-CN"/>
        </w:rPr>
        <w:t>全区</w:t>
      </w:r>
      <w:r>
        <w:rPr>
          <w:rFonts w:hint="eastAsia" w:ascii="仿宋" w:hAnsi="仿宋" w:eastAsia="仿宋"/>
          <w:sz w:val="32"/>
        </w:rPr>
        <w:t>政府信息公开工作会议</w:t>
      </w:r>
      <w:r>
        <w:rPr>
          <w:rFonts w:hint="eastAsia" w:ascii="仿宋" w:hAnsi="仿宋" w:eastAsia="仿宋"/>
          <w:sz w:val="32"/>
          <w:lang w:val="en-US" w:eastAsia="zh-CN"/>
        </w:rPr>
        <w:t>3</w:t>
      </w:r>
      <w:bookmarkStart w:id="0" w:name="_GoBack"/>
      <w:bookmarkEnd w:id="0"/>
      <w:r>
        <w:rPr>
          <w:rFonts w:hint="eastAsia" w:ascii="仿宋" w:hAnsi="仿宋" w:eastAsia="仿宋"/>
          <w:sz w:val="32"/>
        </w:rPr>
        <w:t>次</w:t>
      </w:r>
      <w:r>
        <w:rPr>
          <w:rFonts w:hint="eastAsia" w:ascii="仿宋" w:hAnsi="仿宋" w:eastAsia="仿宋"/>
          <w:sz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二、主动公开政府信息情况</w:t>
      </w:r>
    </w:p>
    <w:p>
      <w:pPr>
        <w:rPr>
          <w:rFonts w:hint="eastAsia"/>
          <w:b/>
          <w:sz w:val="24"/>
          <w:szCs w:val="24"/>
        </w:rPr>
      </w:pPr>
    </w:p>
    <w:tbl>
      <w:tblPr>
        <w:tblStyle w:val="5"/>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985"/>
        <w:gridCol w:w="2030"/>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931" w:type="dxa"/>
            <w:gridSpan w:val="4"/>
            <w:vAlign w:val="center"/>
          </w:tcPr>
          <w:p>
            <w:pPr>
              <w:jc w:val="center"/>
              <w:rPr>
                <w:rFonts w:hint="eastAsia"/>
                <w:sz w:val="24"/>
                <w:szCs w:val="24"/>
              </w:rPr>
            </w:pPr>
            <w:r>
              <w:rPr>
                <w:rFonts w:hint="eastAsia"/>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694" w:type="dxa"/>
            <w:vAlign w:val="center"/>
          </w:tcPr>
          <w:p>
            <w:pPr>
              <w:jc w:val="center"/>
              <w:rPr>
                <w:rFonts w:hint="eastAsia"/>
                <w:sz w:val="24"/>
                <w:szCs w:val="24"/>
              </w:rPr>
            </w:pPr>
            <w:r>
              <w:rPr>
                <w:rFonts w:hint="eastAsia"/>
                <w:sz w:val="24"/>
                <w:szCs w:val="24"/>
              </w:rPr>
              <w:t>信息内容</w:t>
            </w:r>
          </w:p>
        </w:tc>
        <w:tc>
          <w:tcPr>
            <w:tcW w:w="1985" w:type="dxa"/>
            <w:vAlign w:val="center"/>
          </w:tcPr>
          <w:p>
            <w:pPr>
              <w:jc w:val="center"/>
              <w:rPr>
                <w:rFonts w:hint="eastAsia"/>
                <w:sz w:val="24"/>
                <w:szCs w:val="24"/>
              </w:rPr>
            </w:pPr>
            <w:r>
              <w:rPr>
                <w:rFonts w:hint="eastAsia"/>
                <w:sz w:val="24"/>
                <w:szCs w:val="24"/>
              </w:rPr>
              <w:t>本年新制作数量</w:t>
            </w:r>
          </w:p>
        </w:tc>
        <w:tc>
          <w:tcPr>
            <w:tcW w:w="2030" w:type="dxa"/>
            <w:vAlign w:val="center"/>
          </w:tcPr>
          <w:p>
            <w:pPr>
              <w:jc w:val="center"/>
              <w:rPr>
                <w:sz w:val="24"/>
                <w:szCs w:val="24"/>
              </w:rPr>
            </w:pPr>
            <w:r>
              <w:rPr>
                <w:rFonts w:hint="eastAsia"/>
                <w:sz w:val="24"/>
                <w:szCs w:val="24"/>
              </w:rPr>
              <w:t>本年新</w:t>
            </w:r>
          </w:p>
          <w:p>
            <w:pPr>
              <w:jc w:val="center"/>
              <w:rPr>
                <w:rFonts w:hint="eastAsia"/>
                <w:sz w:val="24"/>
                <w:szCs w:val="24"/>
              </w:rPr>
            </w:pPr>
            <w:r>
              <w:rPr>
                <w:rFonts w:hint="eastAsia"/>
                <w:sz w:val="24"/>
                <w:szCs w:val="24"/>
              </w:rPr>
              <w:t>公开数量</w:t>
            </w:r>
          </w:p>
        </w:tc>
        <w:tc>
          <w:tcPr>
            <w:tcW w:w="2222" w:type="dxa"/>
            <w:vAlign w:val="center"/>
          </w:tcPr>
          <w:p>
            <w:pPr>
              <w:jc w:val="center"/>
              <w:rPr>
                <w:sz w:val="24"/>
                <w:szCs w:val="24"/>
              </w:rPr>
            </w:pPr>
            <w:r>
              <w:rPr>
                <w:rFonts w:hint="eastAsia"/>
                <w:sz w:val="24"/>
                <w:szCs w:val="24"/>
              </w:rPr>
              <w:t>对外公开</w:t>
            </w:r>
          </w:p>
          <w:p>
            <w:pPr>
              <w:jc w:val="center"/>
              <w:rPr>
                <w:rFonts w:hint="eastAsia"/>
                <w:sz w:val="24"/>
                <w:szCs w:val="24"/>
              </w:rPr>
            </w:pPr>
            <w:r>
              <w:rPr>
                <w:rFonts w:hint="eastAsia"/>
                <w:sz w:val="24"/>
                <w:szCs w:val="24"/>
              </w:rPr>
              <w:t>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694" w:type="dxa"/>
            <w:vAlign w:val="center"/>
          </w:tcPr>
          <w:p>
            <w:pPr>
              <w:rPr>
                <w:rFonts w:hint="eastAsia"/>
                <w:sz w:val="24"/>
                <w:szCs w:val="24"/>
              </w:rPr>
            </w:pPr>
            <w:r>
              <w:rPr>
                <w:rFonts w:hint="eastAsia"/>
                <w:sz w:val="24"/>
                <w:szCs w:val="24"/>
              </w:rPr>
              <w:t>规章</w:t>
            </w:r>
          </w:p>
        </w:tc>
        <w:tc>
          <w:tcPr>
            <w:tcW w:w="1985" w:type="dxa"/>
            <w:vAlign w:val="center"/>
          </w:tcPr>
          <w:p>
            <w:pPr>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c>
          <w:tcPr>
            <w:tcW w:w="2030" w:type="dxa"/>
            <w:vAlign w:val="center"/>
          </w:tcPr>
          <w:p>
            <w:pPr>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c>
          <w:tcPr>
            <w:tcW w:w="2222" w:type="dxa"/>
            <w:vAlign w:val="center"/>
          </w:tcPr>
          <w:p>
            <w:pPr>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694" w:type="dxa"/>
            <w:vAlign w:val="center"/>
          </w:tcPr>
          <w:p>
            <w:pPr>
              <w:rPr>
                <w:rFonts w:hint="eastAsia"/>
                <w:sz w:val="24"/>
                <w:szCs w:val="24"/>
              </w:rPr>
            </w:pPr>
            <w:r>
              <w:rPr>
                <w:rFonts w:hint="eastAsia"/>
                <w:sz w:val="24"/>
                <w:szCs w:val="24"/>
              </w:rPr>
              <w:t>规范性文件</w:t>
            </w:r>
          </w:p>
        </w:tc>
        <w:tc>
          <w:tcPr>
            <w:tcW w:w="1985" w:type="dxa"/>
            <w:vAlign w:val="center"/>
          </w:tcPr>
          <w:p>
            <w:pPr>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c>
          <w:tcPr>
            <w:tcW w:w="2030" w:type="dxa"/>
            <w:vAlign w:val="center"/>
          </w:tcPr>
          <w:p>
            <w:pPr>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c>
          <w:tcPr>
            <w:tcW w:w="2222" w:type="dxa"/>
            <w:vAlign w:val="center"/>
          </w:tcPr>
          <w:p>
            <w:pPr>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31" w:type="dxa"/>
            <w:gridSpan w:val="4"/>
            <w:vAlign w:val="center"/>
          </w:tcPr>
          <w:p>
            <w:pPr>
              <w:jc w:val="center"/>
              <w:rPr>
                <w:rFonts w:hint="eastAsia"/>
                <w:sz w:val="24"/>
                <w:szCs w:val="24"/>
              </w:rPr>
            </w:pPr>
            <w:r>
              <w:rPr>
                <w:rFonts w:hint="eastAsia"/>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694" w:type="dxa"/>
            <w:vAlign w:val="center"/>
          </w:tcPr>
          <w:p>
            <w:pPr>
              <w:jc w:val="center"/>
              <w:rPr>
                <w:rFonts w:hint="eastAsia"/>
                <w:sz w:val="24"/>
                <w:szCs w:val="24"/>
              </w:rPr>
            </w:pPr>
            <w:r>
              <w:rPr>
                <w:rFonts w:hint="eastAsia"/>
                <w:sz w:val="24"/>
                <w:szCs w:val="24"/>
              </w:rPr>
              <w:t>信息内容</w:t>
            </w:r>
          </w:p>
        </w:tc>
        <w:tc>
          <w:tcPr>
            <w:tcW w:w="1985" w:type="dxa"/>
            <w:vAlign w:val="center"/>
          </w:tcPr>
          <w:p>
            <w:pPr>
              <w:rPr>
                <w:rFonts w:hint="eastAsia"/>
                <w:sz w:val="24"/>
                <w:szCs w:val="24"/>
              </w:rPr>
            </w:pPr>
            <w:r>
              <w:rPr>
                <w:rFonts w:hint="eastAsia"/>
                <w:sz w:val="24"/>
                <w:szCs w:val="24"/>
              </w:rPr>
              <w:t>上一年项目数量</w:t>
            </w:r>
          </w:p>
        </w:tc>
        <w:tc>
          <w:tcPr>
            <w:tcW w:w="2030" w:type="dxa"/>
            <w:vAlign w:val="center"/>
          </w:tcPr>
          <w:p>
            <w:pPr>
              <w:jc w:val="center"/>
              <w:rPr>
                <w:rFonts w:hint="eastAsia"/>
                <w:sz w:val="24"/>
                <w:szCs w:val="24"/>
              </w:rPr>
            </w:pPr>
            <w:r>
              <w:rPr>
                <w:rFonts w:hint="eastAsia"/>
                <w:sz w:val="24"/>
                <w:szCs w:val="24"/>
              </w:rPr>
              <w:t>本年增/减</w:t>
            </w:r>
          </w:p>
        </w:tc>
        <w:tc>
          <w:tcPr>
            <w:tcW w:w="2222" w:type="dxa"/>
            <w:vAlign w:val="center"/>
          </w:tcPr>
          <w:p>
            <w:pPr>
              <w:jc w:val="center"/>
              <w:rPr>
                <w:rFonts w:hint="eastAsia"/>
                <w:sz w:val="24"/>
                <w:szCs w:val="24"/>
              </w:rPr>
            </w:pPr>
            <w:r>
              <w:rPr>
                <w:rFonts w:hint="eastAsia"/>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694" w:type="dxa"/>
            <w:vAlign w:val="center"/>
          </w:tcPr>
          <w:p>
            <w:pPr>
              <w:rPr>
                <w:rFonts w:hint="eastAsia"/>
                <w:sz w:val="24"/>
                <w:szCs w:val="24"/>
              </w:rPr>
            </w:pPr>
            <w:r>
              <w:rPr>
                <w:rFonts w:hint="eastAsia"/>
                <w:sz w:val="24"/>
                <w:szCs w:val="24"/>
              </w:rPr>
              <w:t>行政许可</w:t>
            </w:r>
          </w:p>
        </w:tc>
        <w:tc>
          <w:tcPr>
            <w:tcW w:w="1985" w:type="dxa"/>
            <w:vAlign w:val="center"/>
          </w:tcPr>
          <w:p>
            <w:pPr>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c>
          <w:tcPr>
            <w:tcW w:w="2030" w:type="dxa"/>
            <w:vAlign w:val="center"/>
          </w:tcPr>
          <w:p>
            <w:pPr>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c>
          <w:tcPr>
            <w:tcW w:w="2222" w:type="dxa"/>
            <w:vAlign w:val="center"/>
          </w:tcPr>
          <w:p>
            <w:pPr>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694" w:type="dxa"/>
            <w:vAlign w:val="center"/>
          </w:tcPr>
          <w:p>
            <w:pPr>
              <w:rPr>
                <w:rFonts w:hint="eastAsia"/>
                <w:sz w:val="24"/>
                <w:szCs w:val="24"/>
              </w:rPr>
            </w:pPr>
            <w:r>
              <w:rPr>
                <w:rFonts w:hint="eastAsia"/>
                <w:sz w:val="24"/>
                <w:szCs w:val="24"/>
              </w:rPr>
              <w:t>其他对外管理服务事项</w:t>
            </w:r>
          </w:p>
        </w:tc>
        <w:tc>
          <w:tcPr>
            <w:tcW w:w="1985" w:type="dxa"/>
            <w:vAlign w:val="center"/>
          </w:tcPr>
          <w:p>
            <w:pPr>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c>
          <w:tcPr>
            <w:tcW w:w="2030" w:type="dxa"/>
            <w:vAlign w:val="center"/>
          </w:tcPr>
          <w:p>
            <w:pPr>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c>
          <w:tcPr>
            <w:tcW w:w="2222" w:type="dxa"/>
            <w:vAlign w:val="center"/>
          </w:tcPr>
          <w:p>
            <w:pPr>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931" w:type="dxa"/>
            <w:gridSpan w:val="4"/>
            <w:vAlign w:val="center"/>
          </w:tcPr>
          <w:p>
            <w:pPr>
              <w:jc w:val="center"/>
              <w:rPr>
                <w:rFonts w:hint="eastAsia"/>
                <w:sz w:val="24"/>
                <w:szCs w:val="24"/>
              </w:rPr>
            </w:pPr>
            <w:r>
              <w:rPr>
                <w:rFonts w:hint="eastAsia"/>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694" w:type="dxa"/>
            <w:vAlign w:val="center"/>
          </w:tcPr>
          <w:p>
            <w:pPr>
              <w:jc w:val="center"/>
              <w:rPr>
                <w:rFonts w:hint="eastAsia"/>
                <w:sz w:val="24"/>
                <w:szCs w:val="24"/>
              </w:rPr>
            </w:pPr>
            <w:r>
              <w:rPr>
                <w:rFonts w:hint="eastAsia"/>
                <w:sz w:val="24"/>
                <w:szCs w:val="24"/>
              </w:rPr>
              <w:t>信息内容</w:t>
            </w:r>
          </w:p>
        </w:tc>
        <w:tc>
          <w:tcPr>
            <w:tcW w:w="1985" w:type="dxa"/>
            <w:vAlign w:val="center"/>
          </w:tcPr>
          <w:p>
            <w:pPr>
              <w:rPr>
                <w:rFonts w:hint="eastAsia"/>
                <w:sz w:val="24"/>
                <w:szCs w:val="24"/>
              </w:rPr>
            </w:pPr>
            <w:r>
              <w:rPr>
                <w:rFonts w:hint="eastAsia"/>
                <w:sz w:val="24"/>
                <w:szCs w:val="24"/>
              </w:rPr>
              <w:t>上一年项目数量</w:t>
            </w:r>
          </w:p>
        </w:tc>
        <w:tc>
          <w:tcPr>
            <w:tcW w:w="2030" w:type="dxa"/>
            <w:vAlign w:val="center"/>
          </w:tcPr>
          <w:p>
            <w:pPr>
              <w:jc w:val="center"/>
              <w:rPr>
                <w:rFonts w:hint="eastAsia"/>
                <w:sz w:val="24"/>
                <w:szCs w:val="24"/>
              </w:rPr>
            </w:pPr>
            <w:r>
              <w:rPr>
                <w:rFonts w:hint="eastAsia"/>
                <w:sz w:val="24"/>
                <w:szCs w:val="24"/>
              </w:rPr>
              <w:t>本年增/减</w:t>
            </w:r>
          </w:p>
        </w:tc>
        <w:tc>
          <w:tcPr>
            <w:tcW w:w="2222" w:type="dxa"/>
            <w:vAlign w:val="center"/>
          </w:tcPr>
          <w:p>
            <w:pPr>
              <w:jc w:val="center"/>
              <w:rPr>
                <w:rFonts w:hint="eastAsia"/>
                <w:sz w:val="24"/>
                <w:szCs w:val="24"/>
              </w:rPr>
            </w:pPr>
            <w:r>
              <w:rPr>
                <w:rFonts w:hint="eastAsia"/>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94" w:type="dxa"/>
            <w:vAlign w:val="center"/>
          </w:tcPr>
          <w:p>
            <w:pPr>
              <w:rPr>
                <w:rFonts w:hint="eastAsia"/>
                <w:sz w:val="24"/>
                <w:szCs w:val="24"/>
              </w:rPr>
            </w:pPr>
            <w:r>
              <w:rPr>
                <w:rFonts w:hint="eastAsia"/>
                <w:sz w:val="24"/>
                <w:szCs w:val="24"/>
              </w:rPr>
              <w:t>行政处罚</w:t>
            </w:r>
          </w:p>
        </w:tc>
        <w:tc>
          <w:tcPr>
            <w:tcW w:w="1985" w:type="dxa"/>
            <w:vAlign w:val="center"/>
          </w:tcPr>
          <w:p>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2030" w:type="dxa"/>
            <w:vAlign w:val="center"/>
          </w:tcPr>
          <w:p>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2222" w:type="dxa"/>
            <w:vAlign w:val="center"/>
          </w:tcPr>
          <w:p>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94" w:type="dxa"/>
            <w:vAlign w:val="center"/>
          </w:tcPr>
          <w:p>
            <w:pPr>
              <w:rPr>
                <w:rFonts w:hint="eastAsia"/>
                <w:sz w:val="24"/>
                <w:szCs w:val="24"/>
              </w:rPr>
            </w:pPr>
            <w:r>
              <w:rPr>
                <w:rFonts w:hint="eastAsia"/>
                <w:sz w:val="24"/>
                <w:szCs w:val="24"/>
              </w:rPr>
              <w:t>行政强制</w:t>
            </w:r>
          </w:p>
        </w:tc>
        <w:tc>
          <w:tcPr>
            <w:tcW w:w="1985" w:type="dxa"/>
            <w:vAlign w:val="center"/>
          </w:tcPr>
          <w:p>
            <w:pPr>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c>
          <w:tcPr>
            <w:tcW w:w="2030" w:type="dxa"/>
            <w:vAlign w:val="center"/>
          </w:tcPr>
          <w:p>
            <w:pPr>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c>
          <w:tcPr>
            <w:tcW w:w="2222" w:type="dxa"/>
            <w:vAlign w:val="center"/>
          </w:tcPr>
          <w:p>
            <w:pPr>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931" w:type="dxa"/>
            <w:gridSpan w:val="4"/>
            <w:vAlign w:val="center"/>
          </w:tcPr>
          <w:p>
            <w:pPr>
              <w:jc w:val="center"/>
              <w:rPr>
                <w:rFonts w:hint="eastAsia"/>
                <w:sz w:val="24"/>
                <w:szCs w:val="24"/>
              </w:rPr>
            </w:pPr>
            <w:r>
              <w:rPr>
                <w:rFonts w:hint="eastAsia"/>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94" w:type="dxa"/>
            <w:vAlign w:val="center"/>
          </w:tcPr>
          <w:p>
            <w:pPr>
              <w:jc w:val="center"/>
              <w:rPr>
                <w:rFonts w:hint="eastAsia"/>
                <w:sz w:val="24"/>
                <w:szCs w:val="24"/>
              </w:rPr>
            </w:pPr>
            <w:r>
              <w:rPr>
                <w:rFonts w:hint="eastAsia"/>
                <w:sz w:val="24"/>
                <w:szCs w:val="24"/>
              </w:rPr>
              <w:t>信息内容</w:t>
            </w:r>
          </w:p>
        </w:tc>
        <w:tc>
          <w:tcPr>
            <w:tcW w:w="1985" w:type="dxa"/>
            <w:vAlign w:val="center"/>
          </w:tcPr>
          <w:p>
            <w:pPr>
              <w:rPr>
                <w:rFonts w:hint="eastAsia"/>
                <w:sz w:val="24"/>
                <w:szCs w:val="24"/>
              </w:rPr>
            </w:pPr>
            <w:r>
              <w:rPr>
                <w:rFonts w:hint="eastAsia"/>
                <w:sz w:val="24"/>
                <w:szCs w:val="24"/>
              </w:rPr>
              <w:t>上一年项目数量</w:t>
            </w:r>
          </w:p>
        </w:tc>
        <w:tc>
          <w:tcPr>
            <w:tcW w:w="4252" w:type="dxa"/>
            <w:gridSpan w:val="2"/>
            <w:vAlign w:val="center"/>
          </w:tcPr>
          <w:p>
            <w:pPr>
              <w:jc w:val="center"/>
              <w:rPr>
                <w:rFonts w:hint="eastAsia"/>
                <w:sz w:val="24"/>
                <w:szCs w:val="24"/>
              </w:rPr>
            </w:pPr>
            <w:r>
              <w:rPr>
                <w:rFonts w:hint="eastAsia"/>
                <w:sz w:val="24"/>
                <w:szCs w:val="24"/>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94" w:type="dxa"/>
            <w:vAlign w:val="center"/>
          </w:tcPr>
          <w:p>
            <w:pPr>
              <w:rPr>
                <w:rFonts w:hint="eastAsia"/>
                <w:sz w:val="24"/>
                <w:szCs w:val="24"/>
              </w:rPr>
            </w:pPr>
            <w:r>
              <w:rPr>
                <w:rFonts w:hint="eastAsia"/>
                <w:sz w:val="24"/>
                <w:szCs w:val="24"/>
              </w:rPr>
              <w:t>行政事业性收费</w:t>
            </w:r>
          </w:p>
        </w:tc>
        <w:tc>
          <w:tcPr>
            <w:tcW w:w="1985" w:type="dxa"/>
            <w:vAlign w:val="center"/>
          </w:tcPr>
          <w:p>
            <w:pPr>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c>
          <w:tcPr>
            <w:tcW w:w="4252" w:type="dxa"/>
            <w:gridSpan w:val="2"/>
            <w:vAlign w:val="center"/>
          </w:tcPr>
          <w:p>
            <w:pPr>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31" w:type="dxa"/>
            <w:gridSpan w:val="4"/>
            <w:vAlign w:val="center"/>
          </w:tcPr>
          <w:p>
            <w:pPr>
              <w:jc w:val="center"/>
              <w:rPr>
                <w:rFonts w:hint="eastAsia"/>
                <w:sz w:val="24"/>
                <w:szCs w:val="24"/>
              </w:rPr>
            </w:pPr>
            <w:r>
              <w:rPr>
                <w:rFonts w:hint="eastAsia"/>
                <w:sz w:val="24"/>
                <w:szCs w:val="24"/>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694" w:type="dxa"/>
            <w:vAlign w:val="center"/>
          </w:tcPr>
          <w:p>
            <w:pPr>
              <w:jc w:val="center"/>
              <w:rPr>
                <w:rFonts w:hint="eastAsia"/>
                <w:sz w:val="24"/>
                <w:szCs w:val="24"/>
              </w:rPr>
            </w:pPr>
            <w:r>
              <w:rPr>
                <w:rFonts w:hint="eastAsia"/>
                <w:sz w:val="24"/>
                <w:szCs w:val="24"/>
              </w:rPr>
              <w:t>信息内容</w:t>
            </w:r>
          </w:p>
        </w:tc>
        <w:tc>
          <w:tcPr>
            <w:tcW w:w="1985" w:type="dxa"/>
            <w:vAlign w:val="center"/>
          </w:tcPr>
          <w:p>
            <w:pPr>
              <w:jc w:val="center"/>
              <w:rPr>
                <w:rFonts w:hint="eastAsia"/>
                <w:sz w:val="24"/>
                <w:szCs w:val="24"/>
              </w:rPr>
            </w:pPr>
            <w:r>
              <w:rPr>
                <w:rFonts w:hint="eastAsia"/>
                <w:sz w:val="24"/>
                <w:szCs w:val="24"/>
              </w:rPr>
              <w:t>采购项目数量</w:t>
            </w:r>
          </w:p>
        </w:tc>
        <w:tc>
          <w:tcPr>
            <w:tcW w:w="4252" w:type="dxa"/>
            <w:gridSpan w:val="2"/>
            <w:vAlign w:val="center"/>
          </w:tcPr>
          <w:p>
            <w:pPr>
              <w:jc w:val="center"/>
              <w:rPr>
                <w:rFonts w:hint="eastAsia"/>
                <w:sz w:val="24"/>
                <w:szCs w:val="24"/>
              </w:rPr>
            </w:pPr>
            <w:r>
              <w:rPr>
                <w:rFonts w:hint="eastAsia"/>
                <w:sz w:val="24"/>
                <w:szCs w:val="24"/>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694" w:type="dxa"/>
            <w:vAlign w:val="center"/>
          </w:tcPr>
          <w:p>
            <w:pPr>
              <w:rPr>
                <w:rFonts w:hint="eastAsia"/>
                <w:sz w:val="24"/>
                <w:szCs w:val="24"/>
              </w:rPr>
            </w:pPr>
            <w:r>
              <w:rPr>
                <w:rFonts w:hint="eastAsia"/>
                <w:sz w:val="24"/>
                <w:szCs w:val="24"/>
              </w:rPr>
              <w:t>政府集中采购</w:t>
            </w:r>
          </w:p>
        </w:tc>
        <w:tc>
          <w:tcPr>
            <w:tcW w:w="1985" w:type="dxa"/>
            <w:vAlign w:val="center"/>
          </w:tcPr>
          <w:p>
            <w:pPr>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0</w:t>
            </w:r>
          </w:p>
        </w:tc>
        <w:tc>
          <w:tcPr>
            <w:tcW w:w="4252" w:type="dxa"/>
            <w:gridSpan w:val="2"/>
            <w:vAlign w:val="center"/>
          </w:tcPr>
          <w:p>
            <w:pPr>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0</w:t>
            </w:r>
          </w:p>
        </w:tc>
      </w:tr>
    </w:tbl>
    <w:p>
      <w:pPr>
        <w:rPr>
          <w:rFonts w:hint="eastAsia" w:ascii="黑体" w:hAnsi="黑体" w:eastAsia="黑体"/>
          <w:b/>
          <w:sz w:val="28"/>
          <w:szCs w:val="28"/>
        </w:rPr>
      </w:pPr>
      <w:r>
        <w:rPr>
          <w:rFonts w:hint="eastAsia" w:ascii="黑体" w:hAnsi="黑体" w:eastAsia="黑体" w:cs="黑体"/>
          <w:b w:val="0"/>
          <w:bCs/>
          <w:sz w:val="32"/>
          <w:szCs w:val="32"/>
        </w:rPr>
        <w:t>三、</w:t>
      </w:r>
      <w:r>
        <w:rPr>
          <w:rFonts w:hint="eastAsia" w:ascii="黑体" w:hAnsi="黑体" w:eastAsia="黑体" w:cs="黑体"/>
          <w:b w:val="0"/>
          <w:bCs/>
          <w:sz w:val="32"/>
          <w:szCs w:val="32"/>
          <w:lang w:val="en-US" w:eastAsia="zh-CN"/>
        </w:rPr>
        <w:t>收到和处理政府信息公开申请情况</w:t>
      </w:r>
    </w:p>
    <w:tbl>
      <w:tblPr>
        <w:tblStyle w:val="5"/>
        <w:tblW w:w="9781"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60"/>
        <w:gridCol w:w="2693"/>
        <w:gridCol w:w="567"/>
        <w:gridCol w:w="709"/>
        <w:gridCol w:w="708"/>
        <w:gridCol w:w="709"/>
        <w:gridCol w:w="709"/>
        <w:gridCol w:w="70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4820" w:type="dxa"/>
            <w:gridSpan w:val="3"/>
            <w:vMerge w:val="restart"/>
            <w:vAlign w:val="center"/>
          </w:tcPr>
          <w:p>
            <w:pPr>
              <w:rPr>
                <w:rFonts w:hint="eastAsia"/>
              </w:rPr>
            </w:pPr>
            <w:r>
              <w:rPr>
                <w:rFonts w:hint="eastAsia"/>
              </w:rPr>
              <w:t>（本列数据的勾稽关系为：第一项加第二项之和，等于第三项加第四项之和）</w:t>
            </w:r>
          </w:p>
        </w:tc>
        <w:tc>
          <w:tcPr>
            <w:tcW w:w="4961" w:type="dxa"/>
            <w:gridSpan w:val="7"/>
            <w:vAlign w:val="center"/>
          </w:tcPr>
          <w:p>
            <w:pPr>
              <w:jc w:val="center"/>
              <w:rPr>
                <w:rFonts w:hint="eastAsia"/>
                <w:szCs w:val="21"/>
              </w:rPr>
            </w:pPr>
            <w:r>
              <w:rPr>
                <w:rFonts w:hint="eastAsia"/>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4820" w:type="dxa"/>
            <w:gridSpan w:val="3"/>
            <w:vMerge w:val="continue"/>
          </w:tcPr>
          <w:p>
            <w:pPr>
              <w:rPr>
                <w:rFonts w:hint="eastAsia"/>
              </w:rPr>
            </w:pPr>
          </w:p>
        </w:tc>
        <w:tc>
          <w:tcPr>
            <w:tcW w:w="567" w:type="dxa"/>
            <w:vMerge w:val="restart"/>
            <w:vAlign w:val="center"/>
          </w:tcPr>
          <w:p>
            <w:pPr>
              <w:jc w:val="center"/>
              <w:rPr>
                <w:rFonts w:hint="eastAsia"/>
                <w:sz w:val="18"/>
                <w:szCs w:val="18"/>
              </w:rPr>
            </w:pPr>
            <w:r>
              <w:rPr>
                <w:rFonts w:hint="eastAsia"/>
                <w:szCs w:val="21"/>
              </w:rPr>
              <w:t>自然人</w:t>
            </w:r>
          </w:p>
        </w:tc>
        <w:tc>
          <w:tcPr>
            <w:tcW w:w="3544" w:type="dxa"/>
            <w:gridSpan w:val="5"/>
            <w:vAlign w:val="center"/>
          </w:tcPr>
          <w:p>
            <w:pPr>
              <w:jc w:val="center"/>
              <w:rPr>
                <w:rFonts w:hint="eastAsia"/>
                <w:szCs w:val="21"/>
              </w:rPr>
            </w:pPr>
            <w:r>
              <w:rPr>
                <w:rFonts w:hint="eastAsia"/>
                <w:szCs w:val="21"/>
              </w:rPr>
              <w:t>法人或其他组织</w:t>
            </w:r>
          </w:p>
        </w:tc>
        <w:tc>
          <w:tcPr>
            <w:tcW w:w="850" w:type="dxa"/>
            <w:vMerge w:val="restart"/>
            <w:vAlign w:val="center"/>
          </w:tcPr>
          <w:p>
            <w:pPr>
              <w:rPr>
                <w:rFonts w:hint="eastAsia"/>
                <w:szCs w:val="21"/>
              </w:rPr>
            </w:pPr>
            <w:r>
              <w:rPr>
                <w:rFonts w:hint="eastAsia"/>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4820" w:type="dxa"/>
            <w:gridSpan w:val="3"/>
            <w:vMerge w:val="continue"/>
          </w:tcPr>
          <w:p>
            <w:pPr>
              <w:rPr>
                <w:rFonts w:hint="eastAsia"/>
              </w:rPr>
            </w:pPr>
          </w:p>
        </w:tc>
        <w:tc>
          <w:tcPr>
            <w:tcW w:w="567" w:type="dxa"/>
            <w:vMerge w:val="continue"/>
          </w:tcPr>
          <w:p>
            <w:pPr>
              <w:rPr>
                <w:rFonts w:hint="eastAsia"/>
                <w:sz w:val="18"/>
                <w:szCs w:val="18"/>
              </w:rPr>
            </w:pPr>
          </w:p>
        </w:tc>
        <w:tc>
          <w:tcPr>
            <w:tcW w:w="709" w:type="dxa"/>
            <w:vAlign w:val="center"/>
          </w:tcPr>
          <w:p>
            <w:pPr>
              <w:rPr>
                <w:rFonts w:hint="eastAsia"/>
                <w:szCs w:val="21"/>
              </w:rPr>
            </w:pPr>
            <w:r>
              <w:rPr>
                <w:rFonts w:hint="eastAsia"/>
                <w:szCs w:val="21"/>
              </w:rPr>
              <w:t>商业企业</w:t>
            </w:r>
          </w:p>
        </w:tc>
        <w:tc>
          <w:tcPr>
            <w:tcW w:w="708" w:type="dxa"/>
            <w:vAlign w:val="center"/>
          </w:tcPr>
          <w:p>
            <w:pPr>
              <w:rPr>
                <w:rFonts w:hint="eastAsia"/>
                <w:szCs w:val="21"/>
              </w:rPr>
            </w:pPr>
            <w:r>
              <w:rPr>
                <w:rFonts w:hint="eastAsia"/>
                <w:szCs w:val="21"/>
              </w:rPr>
              <w:t>科研机构</w:t>
            </w:r>
          </w:p>
        </w:tc>
        <w:tc>
          <w:tcPr>
            <w:tcW w:w="709" w:type="dxa"/>
            <w:vAlign w:val="center"/>
          </w:tcPr>
          <w:p>
            <w:pPr>
              <w:rPr>
                <w:rFonts w:hint="eastAsia"/>
                <w:szCs w:val="21"/>
              </w:rPr>
            </w:pPr>
            <w:r>
              <w:rPr>
                <w:rFonts w:hint="eastAsia"/>
                <w:szCs w:val="21"/>
              </w:rPr>
              <w:t>社会公益组织</w:t>
            </w:r>
          </w:p>
        </w:tc>
        <w:tc>
          <w:tcPr>
            <w:tcW w:w="709" w:type="dxa"/>
            <w:vAlign w:val="center"/>
          </w:tcPr>
          <w:p>
            <w:pPr>
              <w:rPr>
                <w:rFonts w:hint="eastAsia"/>
                <w:szCs w:val="21"/>
              </w:rPr>
            </w:pPr>
            <w:r>
              <w:rPr>
                <w:rFonts w:hint="eastAsia"/>
                <w:szCs w:val="21"/>
              </w:rPr>
              <w:t>法律服务机构</w:t>
            </w:r>
          </w:p>
        </w:tc>
        <w:tc>
          <w:tcPr>
            <w:tcW w:w="709" w:type="dxa"/>
            <w:vAlign w:val="center"/>
          </w:tcPr>
          <w:p>
            <w:pPr>
              <w:rPr>
                <w:rFonts w:hint="eastAsia"/>
                <w:szCs w:val="21"/>
              </w:rPr>
            </w:pPr>
            <w:r>
              <w:rPr>
                <w:rFonts w:hint="eastAsia"/>
                <w:szCs w:val="21"/>
              </w:rPr>
              <w:t>其他</w:t>
            </w:r>
          </w:p>
        </w:tc>
        <w:tc>
          <w:tcPr>
            <w:tcW w:w="850" w:type="dxa"/>
            <w:vMerge w:val="continue"/>
            <w:vAlign w:val="center"/>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820" w:type="dxa"/>
            <w:gridSpan w:val="3"/>
          </w:tcPr>
          <w:p>
            <w:pPr>
              <w:rPr>
                <w:rFonts w:hint="eastAsia"/>
              </w:rPr>
            </w:pPr>
            <w:r>
              <w:rPr>
                <w:rFonts w:hint="eastAsia"/>
              </w:rPr>
              <w:t>一、本年新收政府信息公开申请数量</w:t>
            </w:r>
          </w:p>
        </w:tc>
        <w:tc>
          <w:tcPr>
            <w:tcW w:w="567" w:type="dxa"/>
            <w:vAlign w:val="center"/>
          </w:tcPr>
          <w:p>
            <w:pPr>
              <w:jc w:val="center"/>
              <w:rPr>
                <w:rFonts w:hint="default" w:eastAsiaTheme="minorEastAsia"/>
                <w:szCs w:val="21"/>
                <w:lang w:val="en-US" w:eastAsia="zh-CN"/>
              </w:rPr>
            </w:pPr>
            <w:r>
              <w:rPr>
                <w:rFonts w:hint="eastAsia"/>
                <w:szCs w:val="21"/>
                <w:lang w:val="en-US" w:eastAsia="zh-CN"/>
              </w:rPr>
              <w:t>1</w:t>
            </w:r>
          </w:p>
        </w:tc>
        <w:tc>
          <w:tcPr>
            <w:tcW w:w="709"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c>
          <w:tcPr>
            <w:tcW w:w="708"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c>
          <w:tcPr>
            <w:tcW w:w="709"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c>
          <w:tcPr>
            <w:tcW w:w="709"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c>
          <w:tcPr>
            <w:tcW w:w="709"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c>
          <w:tcPr>
            <w:tcW w:w="850" w:type="dxa"/>
            <w:vAlign w:val="center"/>
          </w:tcPr>
          <w:p>
            <w:pPr>
              <w:jc w:val="center"/>
              <w:rPr>
                <w:rFonts w:hint="eastAsia" w:eastAsiaTheme="minorEastAsia"/>
                <w:szCs w:val="21"/>
                <w:lang w:val="en-US" w:eastAsia="zh-CN"/>
              </w:rPr>
            </w:pPr>
            <w:r>
              <w:rPr>
                <w:rFonts w:hint="eastAsia"/>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20" w:type="dxa"/>
            <w:gridSpan w:val="3"/>
          </w:tcPr>
          <w:p>
            <w:pPr>
              <w:rPr>
                <w:rFonts w:hint="eastAsia"/>
              </w:rPr>
            </w:pPr>
            <w:r>
              <w:rPr>
                <w:rFonts w:hint="eastAsia"/>
              </w:rPr>
              <w:t>二、上年结转政府信息公开申请数量</w:t>
            </w:r>
          </w:p>
        </w:tc>
        <w:tc>
          <w:tcPr>
            <w:tcW w:w="567"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c>
          <w:tcPr>
            <w:tcW w:w="709"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c>
          <w:tcPr>
            <w:tcW w:w="708"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c>
          <w:tcPr>
            <w:tcW w:w="709"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c>
          <w:tcPr>
            <w:tcW w:w="709"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c>
          <w:tcPr>
            <w:tcW w:w="709"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c>
          <w:tcPr>
            <w:tcW w:w="850"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67" w:type="dxa"/>
            <w:vMerge w:val="restart"/>
            <w:vAlign w:val="center"/>
          </w:tcPr>
          <w:p>
            <w:pPr>
              <w:jc w:val="both"/>
              <w:rPr>
                <w:rFonts w:hint="eastAsia"/>
              </w:rPr>
            </w:pPr>
            <w:r>
              <w:rPr>
                <w:rFonts w:hint="eastAsia"/>
              </w:rPr>
              <w:t>三、本年度办理结果</w:t>
            </w:r>
          </w:p>
        </w:tc>
        <w:tc>
          <w:tcPr>
            <w:tcW w:w="4253" w:type="dxa"/>
            <w:gridSpan w:val="2"/>
          </w:tcPr>
          <w:p>
            <w:pPr>
              <w:rPr>
                <w:rFonts w:asciiTheme="minorEastAsia" w:hAnsiTheme="minorEastAsia"/>
                <w:sz w:val="18"/>
                <w:szCs w:val="18"/>
              </w:rPr>
            </w:pPr>
            <w:r>
              <w:rPr>
                <w:rFonts w:hint="eastAsia" w:asciiTheme="minorEastAsia" w:hAnsiTheme="minorEastAsia"/>
                <w:sz w:val="18"/>
                <w:szCs w:val="18"/>
              </w:rPr>
              <w:t>（一）予以公开</w:t>
            </w:r>
          </w:p>
        </w:tc>
        <w:tc>
          <w:tcPr>
            <w:tcW w:w="567"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850"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rFonts w:hint="eastAsia"/>
              </w:rPr>
            </w:pPr>
          </w:p>
        </w:tc>
        <w:tc>
          <w:tcPr>
            <w:tcW w:w="4253" w:type="dxa"/>
            <w:gridSpan w:val="2"/>
          </w:tcPr>
          <w:p>
            <w:pPr>
              <w:rPr>
                <w:rFonts w:asciiTheme="minorEastAsia" w:hAnsiTheme="minorEastAsia"/>
                <w:sz w:val="18"/>
                <w:szCs w:val="18"/>
              </w:rPr>
            </w:pPr>
            <w:r>
              <w:rPr>
                <w:rFonts w:hint="eastAsia" w:asciiTheme="minorEastAsia" w:hAnsiTheme="minorEastAsia"/>
                <w:sz w:val="18"/>
                <w:szCs w:val="18"/>
              </w:rPr>
              <w:t>（二）部分公开（区分处理的，只计这一情形，不计其他情形）</w:t>
            </w:r>
          </w:p>
        </w:tc>
        <w:tc>
          <w:tcPr>
            <w:tcW w:w="567"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850"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67" w:type="dxa"/>
            <w:vMerge w:val="continue"/>
          </w:tcPr>
          <w:p>
            <w:pPr>
              <w:rPr>
                <w:rFonts w:hint="eastAsia"/>
              </w:rPr>
            </w:pPr>
          </w:p>
        </w:tc>
        <w:tc>
          <w:tcPr>
            <w:tcW w:w="1560" w:type="dxa"/>
            <w:vMerge w:val="restart"/>
            <w:vAlign w:val="center"/>
          </w:tcPr>
          <w:p>
            <w:pPr>
              <w:rPr>
                <w:rFonts w:asciiTheme="minorEastAsia" w:hAnsiTheme="minorEastAsia"/>
                <w:sz w:val="18"/>
                <w:szCs w:val="18"/>
              </w:rPr>
            </w:pPr>
            <w:r>
              <w:rPr>
                <w:rFonts w:hint="eastAsia" w:asciiTheme="minorEastAsia" w:hAnsiTheme="minorEastAsia"/>
                <w:sz w:val="18"/>
                <w:szCs w:val="18"/>
              </w:rPr>
              <w:t>（三）不予公开</w:t>
            </w:r>
          </w:p>
        </w:tc>
        <w:tc>
          <w:tcPr>
            <w:tcW w:w="2693" w:type="dxa"/>
          </w:tcPr>
          <w:p>
            <w:pPr>
              <w:rPr>
                <w:rFonts w:asciiTheme="minorEastAsia" w:hAnsiTheme="minorEastAsia"/>
                <w:sz w:val="18"/>
                <w:szCs w:val="18"/>
              </w:rPr>
            </w:pPr>
            <w:r>
              <w:rPr>
                <w:rFonts w:asciiTheme="minorEastAsia" w:hAnsiTheme="minorEastAsia"/>
                <w:sz w:val="18"/>
                <w:szCs w:val="18"/>
              </w:rPr>
              <w:t>1</w:t>
            </w:r>
            <w:r>
              <w:rPr>
                <w:rFonts w:hint="eastAsia" w:asciiTheme="minorEastAsia" w:hAnsiTheme="minorEastAsia"/>
                <w:sz w:val="18"/>
                <w:szCs w:val="18"/>
              </w:rPr>
              <w:t>．属于国家秘密</w:t>
            </w:r>
          </w:p>
        </w:tc>
        <w:tc>
          <w:tcPr>
            <w:tcW w:w="567"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850"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567" w:type="dxa"/>
            <w:vMerge w:val="continue"/>
          </w:tcPr>
          <w:p>
            <w:pPr>
              <w:rPr>
                <w:rFonts w:hint="eastAsia"/>
              </w:rPr>
            </w:pPr>
          </w:p>
        </w:tc>
        <w:tc>
          <w:tcPr>
            <w:tcW w:w="1560" w:type="dxa"/>
            <w:vMerge w:val="continue"/>
            <w:vAlign w:val="center"/>
          </w:tcPr>
          <w:p>
            <w:pPr>
              <w:rPr>
                <w:rFonts w:asciiTheme="minorEastAsia" w:hAnsiTheme="minorEastAsia"/>
                <w:sz w:val="18"/>
                <w:szCs w:val="18"/>
              </w:rPr>
            </w:pPr>
          </w:p>
        </w:tc>
        <w:tc>
          <w:tcPr>
            <w:tcW w:w="2693" w:type="dxa"/>
          </w:tcPr>
          <w:p>
            <w:pPr>
              <w:rPr>
                <w:rFonts w:asciiTheme="minorEastAsia" w:hAnsiTheme="minorEastAsia"/>
                <w:sz w:val="18"/>
                <w:szCs w:val="18"/>
              </w:rPr>
            </w:pPr>
            <w:r>
              <w:rPr>
                <w:rFonts w:hint="eastAsia" w:asciiTheme="minorEastAsia" w:hAnsiTheme="minorEastAsia"/>
                <w:sz w:val="18"/>
                <w:szCs w:val="18"/>
              </w:rPr>
              <w:t>2．其他法律行政法规禁止公开</w:t>
            </w:r>
          </w:p>
        </w:tc>
        <w:tc>
          <w:tcPr>
            <w:tcW w:w="567"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850"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567" w:type="dxa"/>
            <w:vMerge w:val="continue"/>
          </w:tcPr>
          <w:p>
            <w:pPr>
              <w:rPr>
                <w:rFonts w:hint="eastAsia"/>
              </w:rPr>
            </w:pPr>
          </w:p>
        </w:tc>
        <w:tc>
          <w:tcPr>
            <w:tcW w:w="1560" w:type="dxa"/>
            <w:vMerge w:val="continue"/>
            <w:vAlign w:val="center"/>
          </w:tcPr>
          <w:p>
            <w:pPr>
              <w:rPr>
                <w:rFonts w:hint="eastAsia"/>
                <w:sz w:val="18"/>
                <w:szCs w:val="18"/>
              </w:rPr>
            </w:pPr>
          </w:p>
        </w:tc>
        <w:tc>
          <w:tcPr>
            <w:tcW w:w="2693" w:type="dxa"/>
          </w:tcPr>
          <w:p>
            <w:pPr>
              <w:rPr>
                <w:rFonts w:asciiTheme="minorEastAsia" w:hAnsiTheme="minorEastAsia"/>
                <w:sz w:val="18"/>
                <w:szCs w:val="18"/>
              </w:rPr>
            </w:pPr>
            <w:r>
              <w:rPr>
                <w:rFonts w:hint="eastAsia" w:asciiTheme="minorEastAsia" w:hAnsiTheme="minorEastAsia"/>
                <w:sz w:val="18"/>
                <w:szCs w:val="18"/>
              </w:rPr>
              <w:t>3．危及“三安全一稳定”</w:t>
            </w:r>
          </w:p>
        </w:tc>
        <w:tc>
          <w:tcPr>
            <w:tcW w:w="567"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850"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7" w:type="dxa"/>
            <w:vMerge w:val="continue"/>
          </w:tcPr>
          <w:p>
            <w:pPr>
              <w:rPr>
                <w:rFonts w:hint="eastAsia"/>
              </w:rPr>
            </w:pPr>
          </w:p>
        </w:tc>
        <w:tc>
          <w:tcPr>
            <w:tcW w:w="1560" w:type="dxa"/>
            <w:vMerge w:val="continue"/>
            <w:vAlign w:val="center"/>
          </w:tcPr>
          <w:p>
            <w:pPr>
              <w:rPr>
                <w:rFonts w:hint="eastAsia"/>
                <w:sz w:val="18"/>
                <w:szCs w:val="18"/>
              </w:rPr>
            </w:pPr>
          </w:p>
        </w:tc>
        <w:tc>
          <w:tcPr>
            <w:tcW w:w="2693" w:type="dxa"/>
          </w:tcPr>
          <w:p>
            <w:pPr>
              <w:rPr>
                <w:rFonts w:asciiTheme="minorEastAsia" w:hAnsiTheme="minorEastAsia"/>
                <w:sz w:val="18"/>
                <w:szCs w:val="18"/>
              </w:rPr>
            </w:pPr>
            <w:r>
              <w:rPr>
                <w:rFonts w:hint="eastAsia" w:asciiTheme="minorEastAsia" w:hAnsiTheme="minorEastAsia"/>
                <w:sz w:val="18"/>
                <w:szCs w:val="18"/>
              </w:rPr>
              <w:t>4．保护第三方合法权益</w:t>
            </w:r>
          </w:p>
        </w:tc>
        <w:tc>
          <w:tcPr>
            <w:tcW w:w="567"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850"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7" w:type="dxa"/>
            <w:vMerge w:val="continue"/>
          </w:tcPr>
          <w:p>
            <w:pPr>
              <w:rPr>
                <w:rFonts w:hint="eastAsia"/>
              </w:rPr>
            </w:pPr>
          </w:p>
        </w:tc>
        <w:tc>
          <w:tcPr>
            <w:tcW w:w="1560" w:type="dxa"/>
            <w:vMerge w:val="continue"/>
            <w:vAlign w:val="center"/>
          </w:tcPr>
          <w:p>
            <w:pPr>
              <w:rPr>
                <w:rFonts w:hint="eastAsia"/>
                <w:sz w:val="18"/>
                <w:szCs w:val="18"/>
              </w:rPr>
            </w:pPr>
          </w:p>
        </w:tc>
        <w:tc>
          <w:tcPr>
            <w:tcW w:w="2693" w:type="dxa"/>
          </w:tcPr>
          <w:p>
            <w:pPr>
              <w:rPr>
                <w:rFonts w:asciiTheme="minorEastAsia" w:hAnsiTheme="minorEastAsia"/>
                <w:sz w:val="18"/>
                <w:szCs w:val="18"/>
              </w:rPr>
            </w:pPr>
            <w:r>
              <w:rPr>
                <w:rFonts w:hint="eastAsia" w:asciiTheme="minorEastAsia" w:hAnsiTheme="minorEastAsia"/>
                <w:sz w:val="18"/>
                <w:szCs w:val="18"/>
              </w:rPr>
              <w:t>5．属于三类内部事务信息</w:t>
            </w:r>
          </w:p>
        </w:tc>
        <w:tc>
          <w:tcPr>
            <w:tcW w:w="567"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850"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67" w:type="dxa"/>
            <w:vMerge w:val="continue"/>
          </w:tcPr>
          <w:p>
            <w:pPr>
              <w:rPr>
                <w:rFonts w:hint="eastAsia"/>
              </w:rPr>
            </w:pPr>
          </w:p>
        </w:tc>
        <w:tc>
          <w:tcPr>
            <w:tcW w:w="1560" w:type="dxa"/>
            <w:vMerge w:val="continue"/>
            <w:vAlign w:val="center"/>
          </w:tcPr>
          <w:p>
            <w:pPr>
              <w:rPr>
                <w:rFonts w:hint="eastAsia"/>
                <w:sz w:val="18"/>
                <w:szCs w:val="18"/>
              </w:rPr>
            </w:pPr>
          </w:p>
        </w:tc>
        <w:tc>
          <w:tcPr>
            <w:tcW w:w="2693" w:type="dxa"/>
          </w:tcPr>
          <w:p>
            <w:pPr>
              <w:rPr>
                <w:rFonts w:asciiTheme="minorEastAsia" w:hAnsiTheme="minorEastAsia"/>
                <w:sz w:val="18"/>
                <w:szCs w:val="18"/>
              </w:rPr>
            </w:pPr>
            <w:r>
              <w:rPr>
                <w:rFonts w:hint="eastAsia" w:asciiTheme="minorEastAsia" w:hAnsiTheme="minorEastAsia"/>
                <w:sz w:val="18"/>
                <w:szCs w:val="18"/>
              </w:rPr>
              <w:t>6．属于四类过程性信息</w:t>
            </w:r>
          </w:p>
        </w:tc>
        <w:tc>
          <w:tcPr>
            <w:tcW w:w="567"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850"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67" w:type="dxa"/>
            <w:vMerge w:val="continue"/>
          </w:tcPr>
          <w:p>
            <w:pPr>
              <w:rPr>
                <w:rFonts w:hint="eastAsia"/>
              </w:rPr>
            </w:pPr>
          </w:p>
        </w:tc>
        <w:tc>
          <w:tcPr>
            <w:tcW w:w="1560" w:type="dxa"/>
            <w:vMerge w:val="continue"/>
            <w:vAlign w:val="center"/>
          </w:tcPr>
          <w:p>
            <w:pPr>
              <w:rPr>
                <w:rFonts w:hint="eastAsia"/>
                <w:sz w:val="18"/>
                <w:szCs w:val="18"/>
              </w:rPr>
            </w:pPr>
          </w:p>
        </w:tc>
        <w:tc>
          <w:tcPr>
            <w:tcW w:w="2693" w:type="dxa"/>
          </w:tcPr>
          <w:p>
            <w:pPr>
              <w:rPr>
                <w:rFonts w:asciiTheme="minorEastAsia" w:hAnsiTheme="minorEastAsia"/>
                <w:sz w:val="18"/>
                <w:szCs w:val="18"/>
              </w:rPr>
            </w:pPr>
            <w:r>
              <w:rPr>
                <w:rFonts w:hint="eastAsia" w:asciiTheme="minorEastAsia" w:hAnsiTheme="minorEastAsia"/>
                <w:sz w:val="18"/>
                <w:szCs w:val="18"/>
              </w:rPr>
              <w:t>7．属于行政执法案卷</w:t>
            </w:r>
          </w:p>
        </w:tc>
        <w:tc>
          <w:tcPr>
            <w:tcW w:w="567"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850"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67" w:type="dxa"/>
            <w:vMerge w:val="continue"/>
          </w:tcPr>
          <w:p>
            <w:pPr>
              <w:rPr>
                <w:rFonts w:hint="eastAsia"/>
              </w:rPr>
            </w:pPr>
          </w:p>
        </w:tc>
        <w:tc>
          <w:tcPr>
            <w:tcW w:w="1560" w:type="dxa"/>
            <w:vMerge w:val="continue"/>
            <w:vAlign w:val="center"/>
          </w:tcPr>
          <w:p>
            <w:pPr>
              <w:rPr>
                <w:rFonts w:hint="eastAsia"/>
                <w:sz w:val="18"/>
                <w:szCs w:val="18"/>
              </w:rPr>
            </w:pPr>
          </w:p>
        </w:tc>
        <w:tc>
          <w:tcPr>
            <w:tcW w:w="2693" w:type="dxa"/>
          </w:tcPr>
          <w:p>
            <w:pPr>
              <w:rPr>
                <w:rFonts w:asciiTheme="minorEastAsia" w:hAnsiTheme="minorEastAsia"/>
                <w:sz w:val="18"/>
                <w:szCs w:val="18"/>
              </w:rPr>
            </w:pPr>
            <w:r>
              <w:rPr>
                <w:rFonts w:hint="eastAsia" w:asciiTheme="minorEastAsia" w:hAnsiTheme="minorEastAsia"/>
                <w:sz w:val="18"/>
                <w:szCs w:val="18"/>
              </w:rPr>
              <w:t>8．属于行政查询事项</w:t>
            </w:r>
          </w:p>
        </w:tc>
        <w:tc>
          <w:tcPr>
            <w:tcW w:w="567"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850"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67" w:type="dxa"/>
            <w:vMerge w:val="continue"/>
          </w:tcPr>
          <w:p>
            <w:pPr>
              <w:rPr>
                <w:rFonts w:hint="eastAsia"/>
              </w:rPr>
            </w:pPr>
          </w:p>
        </w:tc>
        <w:tc>
          <w:tcPr>
            <w:tcW w:w="1560" w:type="dxa"/>
            <w:vMerge w:val="restart"/>
            <w:vAlign w:val="center"/>
          </w:tcPr>
          <w:p>
            <w:pPr>
              <w:rPr>
                <w:rFonts w:hint="eastAsia"/>
                <w:sz w:val="18"/>
                <w:szCs w:val="18"/>
              </w:rPr>
            </w:pPr>
            <w:r>
              <w:rPr>
                <w:rFonts w:hint="eastAsia"/>
                <w:sz w:val="18"/>
                <w:szCs w:val="18"/>
              </w:rPr>
              <w:t>（四）无法提供</w:t>
            </w:r>
          </w:p>
        </w:tc>
        <w:tc>
          <w:tcPr>
            <w:tcW w:w="2693" w:type="dxa"/>
          </w:tcPr>
          <w:p>
            <w:pPr>
              <w:rPr>
                <w:rFonts w:asciiTheme="minorEastAsia" w:hAnsiTheme="minorEastAsia"/>
                <w:sz w:val="18"/>
                <w:szCs w:val="18"/>
              </w:rPr>
            </w:pPr>
            <w:r>
              <w:rPr>
                <w:rFonts w:hint="eastAsia" w:asciiTheme="minorEastAsia" w:hAnsiTheme="minorEastAsia"/>
                <w:sz w:val="18"/>
                <w:szCs w:val="18"/>
              </w:rPr>
              <w:t>1．本机关不掌握相关政府信息</w:t>
            </w:r>
          </w:p>
        </w:tc>
        <w:tc>
          <w:tcPr>
            <w:tcW w:w="567"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1</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850"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67" w:type="dxa"/>
            <w:vMerge w:val="continue"/>
          </w:tcPr>
          <w:p>
            <w:pPr>
              <w:rPr>
                <w:rFonts w:hint="eastAsia"/>
              </w:rPr>
            </w:pPr>
          </w:p>
        </w:tc>
        <w:tc>
          <w:tcPr>
            <w:tcW w:w="1560" w:type="dxa"/>
            <w:vMerge w:val="continue"/>
            <w:vAlign w:val="center"/>
          </w:tcPr>
          <w:p>
            <w:pPr>
              <w:rPr>
                <w:rFonts w:hint="eastAsia"/>
                <w:sz w:val="18"/>
                <w:szCs w:val="18"/>
              </w:rPr>
            </w:pPr>
          </w:p>
        </w:tc>
        <w:tc>
          <w:tcPr>
            <w:tcW w:w="2693" w:type="dxa"/>
          </w:tcPr>
          <w:p>
            <w:pPr>
              <w:rPr>
                <w:rFonts w:asciiTheme="minorEastAsia" w:hAnsiTheme="minorEastAsia"/>
                <w:sz w:val="18"/>
                <w:szCs w:val="18"/>
              </w:rPr>
            </w:pPr>
            <w:r>
              <w:rPr>
                <w:rFonts w:hint="eastAsia" w:asciiTheme="minorEastAsia" w:hAnsiTheme="minorEastAsia"/>
                <w:sz w:val="18"/>
                <w:szCs w:val="18"/>
              </w:rPr>
              <w:t>2．没有现成信息需要另行制作</w:t>
            </w:r>
          </w:p>
        </w:tc>
        <w:tc>
          <w:tcPr>
            <w:tcW w:w="567"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850"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rFonts w:hint="eastAsia"/>
              </w:rPr>
            </w:pPr>
          </w:p>
        </w:tc>
        <w:tc>
          <w:tcPr>
            <w:tcW w:w="1560" w:type="dxa"/>
            <w:vMerge w:val="continue"/>
            <w:vAlign w:val="center"/>
          </w:tcPr>
          <w:p>
            <w:pPr>
              <w:rPr>
                <w:rFonts w:hint="eastAsia"/>
                <w:sz w:val="18"/>
                <w:szCs w:val="18"/>
              </w:rPr>
            </w:pPr>
          </w:p>
        </w:tc>
        <w:tc>
          <w:tcPr>
            <w:tcW w:w="2693" w:type="dxa"/>
          </w:tcPr>
          <w:p>
            <w:pPr>
              <w:rPr>
                <w:rFonts w:asciiTheme="minorEastAsia" w:hAnsiTheme="minorEastAsia"/>
                <w:sz w:val="18"/>
                <w:szCs w:val="18"/>
              </w:rPr>
            </w:pPr>
            <w:r>
              <w:rPr>
                <w:rFonts w:hint="eastAsia" w:asciiTheme="minorEastAsia" w:hAnsiTheme="minorEastAsia"/>
                <w:sz w:val="18"/>
                <w:szCs w:val="18"/>
              </w:rPr>
              <w:t>3．补正后申请内容仍不明确</w:t>
            </w:r>
          </w:p>
        </w:tc>
        <w:tc>
          <w:tcPr>
            <w:tcW w:w="567"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850"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567" w:type="dxa"/>
            <w:vMerge w:val="continue"/>
          </w:tcPr>
          <w:p>
            <w:pPr>
              <w:rPr>
                <w:rFonts w:hint="eastAsia"/>
              </w:rPr>
            </w:pPr>
          </w:p>
        </w:tc>
        <w:tc>
          <w:tcPr>
            <w:tcW w:w="1560" w:type="dxa"/>
            <w:vMerge w:val="restart"/>
            <w:vAlign w:val="center"/>
          </w:tcPr>
          <w:p>
            <w:pPr>
              <w:rPr>
                <w:rFonts w:hint="eastAsia"/>
                <w:sz w:val="18"/>
                <w:szCs w:val="18"/>
              </w:rPr>
            </w:pPr>
            <w:r>
              <w:rPr>
                <w:rFonts w:hint="eastAsia"/>
                <w:sz w:val="18"/>
                <w:szCs w:val="18"/>
              </w:rPr>
              <w:t>（五）</w:t>
            </w:r>
            <w:r>
              <w:rPr>
                <w:rFonts w:hint="eastAsia" w:asciiTheme="minorEastAsia" w:hAnsiTheme="minorEastAsia"/>
                <w:sz w:val="18"/>
                <w:szCs w:val="18"/>
              </w:rPr>
              <w:t>不予处理</w:t>
            </w:r>
          </w:p>
        </w:tc>
        <w:tc>
          <w:tcPr>
            <w:tcW w:w="2693" w:type="dxa"/>
          </w:tcPr>
          <w:p>
            <w:pPr>
              <w:rPr>
                <w:rFonts w:asciiTheme="minorEastAsia" w:hAnsiTheme="minorEastAsia"/>
                <w:sz w:val="18"/>
                <w:szCs w:val="18"/>
              </w:rPr>
            </w:pPr>
            <w:r>
              <w:rPr>
                <w:rFonts w:hint="eastAsia" w:asciiTheme="minorEastAsia" w:hAnsiTheme="minorEastAsia"/>
                <w:sz w:val="18"/>
                <w:szCs w:val="18"/>
              </w:rPr>
              <w:t>1．信访举报投诉类申请</w:t>
            </w:r>
          </w:p>
        </w:tc>
        <w:tc>
          <w:tcPr>
            <w:tcW w:w="567" w:type="dxa"/>
            <w:vAlign w:val="center"/>
          </w:tcPr>
          <w:p>
            <w:pPr>
              <w:jc w:val="center"/>
              <w:rPr>
                <w:rFonts w:hint="eastAsia" w:eastAsiaTheme="minorEastAsia"/>
                <w:lang w:val="en-US" w:eastAsia="zh-CN"/>
              </w:rPr>
            </w:pPr>
            <w:r>
              <w:rPr>
                <w:rFonts w:hint="eastAsia"/>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850"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rFonts w:hint="eastAsia"/>
              </w:rPr>
            </w:pPr>
          </w:p>
        </w:tc>
        <w:tc>
          <w:tcPr>
            <w:tcW w:w="1560" w:type="dxa"/>
            <w:vMerge w:val="continue"/>
          </w:tcPr>
          <w:p>
            <w:pPr>
              <w:rPr>
                <w:rFonts w:hint="eastAsia"/>
              </w:rPr>
            </w:pPr>
          </w:p>
        </w:tc>
        <w:tc>
          <w:tcPr>
            <w:tcW w:w="2693" w:type="dxa"/>
          </w:tcPr>
          <w:p>
            <w:pPr>
              <w:rPr>
                <w:rFonts w:asciiTheme="minorEastAsia" w:hAnsiTheme="minorEastAsia"/>
                <w:sz w:val="18"/>
                <w:szCs w:val="18"/>
              </w:rPr>
            </w:pPr>
            <w:r>
              <w:rPr>
                <w:rFonts w:hint="eastAsia" w:asciiTheme="minorEastAsia" w:hAnsiTheme="minorEastAsia"/>
                <w:sz w:val="18"/>
                <w:szCs w:val="18"/>
              </w:rPr>
              <w:t>2．重复申请</w:t>
            </w:r>
          </w:p>
        </w:tc>
        <w:tc>
          <w:tcPr>
            <w:tcW w:w="567"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850"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67" w:type="dxa"/>
            <w:vMerge w:val="continue"/>
          </w:tcPr>
          <w:p>
            <w:pPr>
              <w:rPr>
                <w:rFonts w:hint="eastAsia"/>
              </w:rPr>
            </w:pPr>
          </w:p>
        </w:tc>
        <w:tc>
          <w:tcPr>
            <w:tcW w:w="1560" w:type="dxa"/>
            <w:vMerge w:val="continue"/>
          </w:tcPr>
          <w:p>
            <w:pPr>
              <w:rPr>
                <w:rFonts w:hint="eastAsia"/>
              </w:rPr>
            </w:pPr>
          </w:p>
        </w:tc>
        <w:tc>
          <w:tcPr>
            <w:tcW w:w="2693" w:type="dxa"/>
          </w:tcPr>
          <w:p>
            <w:pPr>
              <w:rPr>
                <w:rFonts w:asciiTheme="minorEastAsia" w:hAnsiTheme="minorEastAsia"/>
                <w:sz w:val="18"/>
                <w:szCs w:val="18"/>
              </w:rPr>
            </w:pPr>
            <w:r>
              <w:rPr>
                <w:rFonts w:asciiTheme="minorEastAsia" w:hAnsiTheme="minorEastAsia"/>
                <w:sz w:val="18"/>
                <w:szCs w:val="18"/>
              </w:rPr>
              <w:t>3</w:t>
            </w:r>
            <w:r>
              <w:rPr>
                <w:rFonts w:hint="eastAsia" w:asciiTheme="minorEastAsia" w:hAnsiTheme="minorEastAsia"/>
                <w:sz w:val="18"/>
                <w:szCs w:val="18"/>
              </w:rPr>
              <w:t>．要求提供公开出版物</w:t>
            </w:r>
          </w:p>
        </w:tc>
        <w:tc>
          <w:tcPr>
            <w:tcW w:w="567"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850"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7" w:type="dxa"/>
            <w:vMerge w:val="continue"/>
          </w:tcPr>
          <w:p>
            <w:pPr>
              <w:rPr>
                <w:rFonts w:hint="eastAsia"/>
              </w:rPr>
            </w:pPr>
          </w:p>
        </w:tc>
        <w:tc>
          <w:tcPr>
            <w:tcW w:w="1560" w:type="dxa"/>
            <w:vMerge w:val="continue"/>
          </w:tcPr>
          <w:p>
            <w:pPr>
              <w:rPr>
                <w:rFonts w:hint="eastAsia"/>
              </w:rPr>
            </w:pPr>
          </w:p>
        </w:tc>
        <w:tc>
          <w:tcPr>
            <w:tcW w:w="2693" w:type="dxa"/>
          </w:tcPr>
          <w:p>
            <w:pPr>
              <w:rPr>
                <w:rFonts w:asciiTheme="minorEastAsia" w:hAnsiTheme="minorEastAsia"/>
                <w:sz w:val="18"/>
                <w:szCs w:val="18"/>
              </w:rPr>
            </w:pPr>
            <w:r>
              <w:rPr>
                <w:rFonts w:hint="eastAsia" w:asciiTheme="minorEastAsia" w:hAnsiTheme="minorEastAsia"/>
                <w:sz w:val="18"/>
                <w:szCs w:val="18"/>
              </w:rPr>
              <w:t>4．无正当理由大量反复申请</w:t>
            </w:r>
          </w:p>
        </w:tc>
        <w:tc>
          <w:tcPr>
            <w:tcW w:w="567"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850"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rFonts w:hint="eastAsia"/>
              </w:rPr>
            </w:pPr>
          </w:p>
        </w:tc>
        <w:tc>
          <w:tcPr>
            <w:tcW w:w="1560" w:type="dxa"/>
            <w:vMerge w:val="continue"/>
          </w:tcPr>
          <w:p>
            <w:pPr>
              <w:rPr>
                <w:rFonts w:hint="eastAsia"/>
              </w:rPr>
            </w:pPr>
          </w:p>
        </w:tc>
        <w:tc>
          <w:tcPr>
            <w:tcW w:w="2693" w:type="dxa"/>
          </w:tcPr>
          <w:p>
            <w:pPr>
              <w:ind w:left="180" w:hanging="180" w:hangingChars="100"/>
              <w:rPr>
                <w:rFonts w:asciiTheme="minorEastAsia" w:hAnsiTheme="minorEastAsia"/>
                <w:sz w:val="18"/>
                <w:szCs w:val="18"/>
              </w:rPr>
            </w:pPr>
            <w:r>
              <w:rPr>
                <w:rFonts w:hint="eastAsia" w:asciiTheme="minorEastAsia" w:hAnsiTheme="minorEastAsia"/>
                <w:sz w:val="18"/>
                <w:szCs w:val="18"/>
              </w:rPr>
              <w:t>5．要求行政机关确认或重新出具已获取信息</w:t>
            </w:r>
          </w:p>
        </w:tc>
        <w:tc>
          <w:tcPr>
            <w:tcW w:w="567"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709"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c>
          <w:tcPr>
            <w:tcW w:w="850"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67" w:type="dxa"/>
          </w:tcPr>
          <w:p>
            <w:pPr>
              <w:rPr>
                <w:rFonts w:hint="eastAsia"/>
              </w:rPr>
            </w:pPr>
          </w:p>
        </w:tc>
        <w:tc>
          <w:tcPr>
            <w:tcW w:w="4253" w:type="dxa"/>
            <w:gridSpan w:val="2"/>
            <w:vAlign w:val="center"/>
          </w:tcPr>
          <w:p>
            <w:pPr>
              <w:rPr>
                <w:rFonts w:hint="eastAsia"/>
                <w:sz w:val="18"/>
                <w:szCs w:val="18"/>
              </w:rPr>
            </w:pPr>
            <w:r>
              <w:rPr>
                <w:rFonts w:hint="eastAsia"/>
                <w:sz w:val="18"/>
                <w:szCs w:val="18"/>
              </w:rPr>
              <w:t>（六）其他处理</w:t>
            </w:r>
          </w:p>
        </w:tc>
        <w:tc>
          <w:tcPr>
            <w:tcW w:w="567" w:type="dxa"/>
            <w:vAlign w:val="center"/>
          </w:tcPr>
          <w:p>
            <w:pPr>
              <w:jc w:val="center"/>
              <w:rPr>
                <w:rFonts w:hint="eastAsia" w:eastAsiaTheme="minorEastAsia"/>
                <w:lang w:eastAsia="zh-CN"/>
              </w:rPr>
            </w:pPr>
            <w:r>
              <w:rPr>
                <w:rFonts w:hint="eastAsia"/>
                <w:szCs w:val="21"/>
                <w:lang w:val="en-US" w:eastAsia="zh-CN"/>
              </w:rPr>
              <w:t>0</w:t>
            </w:r>
          </w:p>
        </w:tc>
        <w:tc>
          <w:tcPr>
            <w:tcW w:w="709" w:type="dxa"/>
            <w:vAlign w:val="center"/>
          </w:tcPr>
          <w:p>
            <w:pPr>
              <w:jc w:val="center"/>
              <w:rPr>
                <w:rFonts w:hint="eastAsia" w:eastAsiaTheme="minorEastAsia"/>
                <w:lang w:val="en-US" w:eastAsia="zh-CN"/>
              </w:rPr>
            </w:pPr>
            <w:r>
              <w:rPr>
                <w:rFonts w:hint="eastAsia" w:eastAsiaTheme="minorEastAsia"/>
                <w:szCs w:val="21"/>
                <w:lang w:val="en-US" w:eastAsia="zh-CN"/>
              </w:rPr>
              <w:t>0</w:t>
            </w:r>
          </w:p>
        </w:tc>
        <w:tc>
          <w:tcPr>
            <w:tcW w:w="708" w:type="dxa"/>
            <w:vAlign w:val="center"/>
          </w:tcPr>
          <w:p>
            <w:pPr>
              <w:jc w:val="center"/>
              <w:rPr>
                <w:rFonts w:hint="eastAsia"/>
              </w:rPr>
            </w:pPr>
            <w:r>
              <w:rPr>
                <w:rFonts w:hint="eastAsia" w:eastAsiaTheme="minorEastAsia"/>
                <w:szCs w:val="21"/>
                <w:lang w:val="en-US" w:eastAsia="zh-CN"/>
              </w:rPr>
              <w:t>0</w:t>
            </w:r>
          </w:p>
        </w:tc>
        <w:tc>
          <w:tcPr>
            <w:tcW w:w="709" w:type="dxa"/>
            <w:vAlign w:val="center"/>
          </w:tcPr>
          <w:p>
            <w:pPr>
              <w:jc w:val="center"/>
              <w:rPr>
                <w:rFonts w:hint="eastAsia"/>
              </w:rPr>
            </w:pPr>
            <w:r>
              <w:rPr>
                <w:rFonts w:hint="eastAsia" w:eastAsiaTheme="minorEastAsia"/>
                <w:szCs w:val="21"/>
                <w:lang w:val="en-US" w:eastAsia="zh-CN"/>
              </w:rPr>
              <w:t>0</w:t>
            </w:r>
          </w:p>
        </w:tc>
        <w:tc>
          <w:tcPr>
            <w:tcW w:w="709" w:type="dxa"/>
            <w:vAlign w:val="center"/>
          </w:tcPr>
          <w:p>
            <w:pPr>
              <w:jc w:val="center"/>
              <w:rPr>
                <w:rFonts w:hint="eastAsia"/>
              </w:rPr>
            </w:pPr>
            <w:r>
              <w:rPr>
                <w:rFonts w:hint="eastAsia" w:eastAsiaTheme="minorEastAsia"/>
                <w:szCs w:val="21"/>
                <w:lang w:val="en-US" w:eastAsia="zh-CN"/>
              </w:rPr>
              <w:t>0</w:t>
            </w:r>
          </w:p>
        </w:tc>
        <w:tc>
          <w:tcPr>
            <w:tcW w:w="709" w:type="dxa"/>
            <w:vAlign w:val="center"/>
          </w:tcPr>
          <w:p>
            <w:pPr>
              <w:jc w:val="center"/>
              <w:rPr>
                <w:rFonts w:hint="eastAsia"/>
              </w:rPr>
            </w:pPr>
            <w:r>
              <w:rPr>
                <w:rFonts w:hint="eastAsia" w:eastAsiaTheme="minorEastAsia"/>
                <w:szCs w:val="21"/>
                <w:lang w:val="en-US" w:eastAsia="zh-CN"/>
              </w:rPr>
              <w:t>0</w:t>
            </w:r>
          </w:p>
        </w:tc>
        <w:tc>
          <w:tcPr>
            <w:tcW w:w="850" w:type="dxa"/>
            <w:vAlign w:val="center"/>
          </w:tcPr>
          <w:p>
            <w:pPr>
              <w:jc w:val="center"/>
              <w:rPr>
                <w:rFonts w:hint="eastAsia"/>
              </w:rPr>
            </w:pPr>
            <w:r>
              <w:rPr>
                <w:rFonts w:hint="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67" w:type="dxa"/>
          </w:tcPr>
          <w:p>
            <w:pPr>
              <w:rPr>
                <w:rFonts w:hint="eastAsia"/>
              </w:rPr>
            </w:pPr>
          </w:p>
        </w:tc>
        <w:tc>
          <w:tcPr>
            <w:tcW w:w="4253" w:type="dxa"/>
            <w:gridSpan w:val="2"/>
            <w:vAlign w:val="center"/>
          </w:tcPr>
          <w:p>
            <w:pPr>
              <w:rPr>
                <w:rFonts w:hint="eastAsia"/>
                <w:sz w:val="18"/>
                <w:szCs w:val="18"/>
              </w:rPr>
            </w:pPr>
            <w:r>
              <w:rPr>
                <w:rFonts w:hint="eastAsia"/>
                <w:sz w:val="18"/>
                <w:szCs w:val="18"/>
              </w:rPr>
              <w:t>（七）总计</w:t>
            </w:r>
          </w:p>
        </w:tc>
        <w:tc>
          <w:tcPr>
            <w:tcW w:w="567" w:type="dxa"/>
            <w:vAlign w:val="center"/>
          </w:tcPr>
          <w:p>
            <w:pPr>
              <w:jc w:val="center"/>
              <w:rPr>
                <w:rFonts w:hint="eastAsia" w:eastAsiaTheme="minorEastAsia"/>
                <w:lang w:val="en-US" w:eastAsia="zh-CN"/>
              </w:rPr>
            </w:pPr>
            <w:r>
              <w:rPr>
                <w:rFonts w:hint="eastAsia"/>
                <w:lang w:val="en-US" w:eastAsia="zh-CN"/>
              </w:rPr>
              <w:t>1</w:t>
            </w:r>
          </w:p>
        </w:tc>
        <w:tc>
          <w:tcPr>
            <w:tcW w:w="709" w:type="dxa"/>
            <w:vAlign w:val="center"/>
          </w:tcPr>
          <w:p>
            <w:pPr>
              <w:jc w:val="center"/>
              <w:rPr>
                <w:rFonts w:hint="eastAsia" w:eastAsiaTheme="minorEastAsia"/>
                <w:lang w:val="en-US" w:eastAsia="zh-CN"/>
              </w:rPr>
            </w:pPr>
            <w:r>
              <w:rPr>
                <w:rFonts w:hint="eastAsia"/>
                <w:lang w:val="en-US" w:eastAsia="zh-CN"/>
              </w:rPr>
              <w:t>0</w:t>
            </w:r>
          </w:p>
        </w:tc>
        <w:tc>
          <w:tcPr>
            <w:tcW w:w="708" w:type="dxa"/>
            <w:vAlign w:val="center"/>
          </w:tcPr>
          <w:p>
            <w:pPr>
              <w:jc w:val="center"/>
              <w:rPr>
                <w:rFonts w:hint="default"/>
                <w:lang w:val="en-US"/>
              </w:rPr>
            </w:pPr>
            <w:r>
              <w:rPr>
                <w:rFonts w:hint="eastAsia"/>
                <w:lang w:val="en-US" w:eastAsia="zh-CN"/>
              </w:rPr>
              <w:t>0</w:t>
            </w:r>
          </w:p>
        </w:tc>
        <w:tc>
          <w:tcPr>
            <w:tcW w:w="709" w:type="dxa"/>
            <w:vAlign w:val="center"/>
          </w:tcPr>
          <w:p>
            <w:pPr>
              <w:jc w:val="center"/>
              <w:rPr>
                <w:rFonts w:hint="default"/>
                <w:lang w:val="en-US"/>
              </w:rPr>
            </w:pPr>
            <w:r>
              <w:rPr>
                <w:rFonts w:hint="eastAsia"/>
                <w:lang w:val="en-US" w:eastAsia="zh-CN"/>
              </w:rPr>
              <w:t>0</w:t>
            </w:r>
          </w:p>
        </w:tc>
        <w:tc>
          <w:tcPr>
            <w:tcW w:w="709" w:type="dxa"/>
            <w:vAlign w:val="center"/>
          </w:tcPr>
          <w:p>
            <w:pPr>
              <w:jc w:val="center"/>
              <w:rPr>
                <w:rFonts w:hint="default"/>
                <w:lang w:val="en-US"/>
              </w:rPr>
            </w:pPr>
            <w:r>
              <w:rPr>
                <w:rFonts w:hint="eastAsia"/>
                <w:lang w:val="en-US" w:eastAsia="zh-CN"/>
              </w:rPr>
              <w:t>0</w:t>
            </w:r>
          </w:p>
        </w:tc>
        <w:tc>
          <w:tcPr>
            <w:tcW w:w="709" w:type="dxa"/>
            <w:vAlign w:val="center"/>
          </w:tcPr>
          <w:p>
            <w:pPr>
              <w:jc w:val="center"/>
              <w:rPr>
                <w:rFonts w:hint="default"/>
                <w:lang w:val="en-US"/>
              </w:rPr>
            </w:pPr>
            <w:r>
              <w:rPr>
                <w:rFonts w:hint="eastAsia"/>
                <w:lang w:val="en-US" w:eastAsia="zh-CN"/>
              </w:rPr>
              <w:t>0</w:t>
            </w:r>
          </w:p>
        </w:tc>
        <w:tc>
          <w:tcPr>
            <w:tcW w:w="850" w:type="dxa"/>
            <w:vAlign w:val="center"/>
          </w:tcPr>
          <w:p>
            <w:pPr>
              <w:jc w:val="center"/>
              <w:rPr>
                <w:rFonts w:hint="default"/>
                <w:lang w:val="en-US"/>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gridSpan w:val="3"/>
            <w:vAlign w:val="center"/>
          </w:tcPr>
          <w:p>
            <w:pPr>
              <w:rPr>
                <w:rFonts w:hint="eastAsia"/>
              </w:rPr>
            </w:pPr>
            <w:r>
              <w:rPr>
                <w:rFonts w:hint="eastAsia"/>
              </w:rPr>
              <w:t>四、结转下年度继续办理</w:t>
            </w:r>
          </w:p>
        </w:tc>
        <w:tc>
          <w:tcPr>
            <w:tcW w:w="567" w:type="dxa"/>
            <w:vAlign w:val="center"/>
          </w:tcPr>
          <w:p>
            <w:pPr>
              <w:jc w:val="center"/>
              <w:rPr>
                <w:rFonts w:hint="eastAsia" w:eastAsiaTheme="minorEastAsia"/>
                <w:lang w:val="en-US" w:eastAsia="zh-CN"/>
              </w:rPr>
            </w:pPr>
            <w:r>
              <w:rPr>
                <w:rFonts w:hint="eastAsia"/>
                <w:lang w:val="en-US" w:eastAsia="zh-CN"/>
              </w:rPr>
              <w:t>0</w:t>
            </w:r>
          </w:p>
        </w:tc>
        <w:tc>
          <w:tcPr>
            <w:tcW w:w="709" w:type="dxa"/>
            <w:vAlign w:val="center"/>
          </w:tcPr>
          <w:p>
            <w:pPr>
              <w:jc w:val="center"/>
              <w:rPr>
                <w:rFonts w:hint="eastAsia" w:eastAsiaTheme="minorEastAsia"/>
                <w:lang w:val="en-US" w:eastAsia="zh-CN"/>
              </w:rPr>
            </w:pPr>
            <w:r>
              <w:rPr>
                <w:rFonts w:hint="eastAsia"/>
                <w:lang w:val="en-US" w:eastAsia="zh-CN"/>
              </w:rPr>
              <w:t>0</w:t>
            </w:r>
          </w:p>
        </w:tc>
        <w:tc>
          <w:tcPr>
            <w:tcW w:w="708" w:type="dxa"/>
            <w:vAlign w:val="center"/>
          </w:tcPr>
          <w:p>
            <w:pPr>
              <w:jc w:val="center"/>
              <w:rPr>
                <w:rFonts w:hint="eastAsia" w:eastAsiaTheme="minorEastAsia"/>
                <w:lang w:val="en-US" w:eastAsia="zh-CN"/>
              </w:rPr>
            </w:pPr>
            <w:r>
              <w:rPr>
                <w:rFonts w:hint="eastAsia"/>
                <w:lang w:val="en-US" w:eastAsia="zh-CN"/>
              </w:rPr>
              <w:t>0</w:t>
            </w:r>
          </w:p>
        </w:tc>
        <w:tc>
          <w:tcPr>
            <w:tcW w:w="709" w:type="dxa"/>
            <w:vAlign w:val="center"/>
          </w:tcPr>
          <w:p>
            <w:pPr>
              <w:jc w:val="center"/>
              <w:rPr>
                <w:rFonts w:hint="eastAsia" w:eastAsiaTheme="minorEastAsia"/>
                <w:lang w:val="en-US" w:eastAsia="zh-CN"/>
              </w:rPr>
            </w:pPr>
            <w:r>
              <w:rPr>
                <w:rFonts w:hint="eastAsia"/>
                <w:lang w:val="en-US" w:eastAsia="zh-CN"/>
              </w:rPr>
              <w:t>0</w:t>
            </w:r>
          </w:p>
        </w:tc>
        <w:tc>
          <w:tcPr>
            <w:tcW w:w="709" w:type="dxa"/>
            <w:vAlign w:val="center"/>
          </w:tcPr>
          <w:p>
            <w:pPr>
              <w:jc w:val="center"/>
              <w:rPr>
                <w:rFonts w:hint="eastAsia" w:eastAsiaTheme="minorEastAsia"/>
                <w:lang w:val="en-US" w:eastAsia="zh-CN"/>
              </w:rPr>
            </w:pPr>
            <w:r>
              <w:rPr>
                <w:rFonts w:hint="eastAsia"/>
                <w:lang w:val="en-US" w:eastAsia="zh-CN"/>
              </w:rPr>
              <w:t>0</w:t>
            </w:r>
          </w:p>
        </w:tc>
        <w:tc>
          <w:tcPr>
            <w:tcW w:w="709" w:type="dxa"/>
            <w:vAlign w:val="center"/>
          </w:tcPr>
          <w:p>
            <w:pPr>
              <w:jc w:val="center"/>
              <w:rPr>
                <w:rFonts w:hint="eastAsia" w:eastAsiaTheme="minorEastAsia"/>
                <w:lang w:val="en-US" w:eastAsia="zh-CN"/>
              </w:rPr>
            </w:pPr>
            <w:r>
              <w:rPr>
                <w:rFonts w:hint="eastAsia"/>
                <w:lang w:val="en-US" w:eastAsia="zh-CN"/>
              </w:rPr>
              <w:t>0</w:t>
            </w:r>
          </w:p>
        </w:tc>
        <w:tc>
          <w:tcPr>
            <w:tcW w:w="850" w:type="dxa"/>
            <w:vAlign w:val="center"/>
          </w:tcPr>
          <w:p>
            <w:pPr>
              <w:jc w:val="center"/>
              <w:rPr>
                <w:rFonts w:hint="eastAsia" w:eastAsiaTheme="minorEastAsia"/>
                <w:lang w:val="en-US" w:eastAsia="zh-CN"/>
              </w:rPr>
            </w:pPr>
            <w:r>
              <w:rPr>
                <w:rFonts w:hint="eastAsia"/>
                <w:lang w:val="en-US" w:eastAsia="zh-CN"/>
              </w:rPr>
              <w:t>0</w:t>
            </w:r>
          </w:p>
        </w:tc>
      </w:tr>
    </w:tbl>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黑体" w:hAnsi="黑体" w:eastAsia="黑体" w:cs="黑体"/>
          <w:b w:val="0"/>
          <w:bCs/>
          <w:sz w:val="32"/>
          <w:szCs w:val="32"/>
        </w:rPr>
      </w:pPr>
      <w:r>
        <w:rPr>
          <w:rFonts w:hint="eastAsia" w:ascii="黑体" w:hAnsi="黑体" w:eastAsia="黑体" w:cs="黑体"/>
          <w:b w:val="0"/>
          <w:bCs/>
          <w:sz w:val="32"/>
          <w:szCs w:val="32"/>
        </w:rPr>
        <w:t>四、政府信息公开行政复议、行政诉讼情况</w:t>
      </w:r>
    </w:p>
    <w:tbl>
      <w:tblPr>
        <w:tblStyle w:val="5"/>
        <w:tblW w:w="1020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8"/>
        <w:gridCol w:w="709"/>
        <w:gridCol w:w="682"/>
        <w:gridCol w:w="594"/>
        <w:gridCol w:w="709"/>
        <w:gridCol w:w="709"/>
        <w:gridCol w:w="709"/>
        <w:gridCol w:w="708"/>
        <w:gridCol w:w="567"/>
        <w:gridCol w:w="851"/>
        <w:gridCol w:w="650"/>
        <w:gridCol w:w="767"/>
        <w:gridCol w:w="709"/>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402" w:type="dxa"/>
            <w:gridSpan w:val="5"/>
            <w:vAlign w:val="center"/>
          </w:tcPr>
          <w:p>
            <w:pPr>
              <w:jc w:val="center"/>
              <w:rPr>
                <w:rFonts w:hint="eastAsia"/>
                <w:szCs w:val="21"/>
              </w:rPr>
            </w:pPr>
            <w:r>
              <w:rPr>
                <w:rFonts w:hint="eastAsia"/>
                <w:szCs w:val="21"/>
              </w:rPr>
              <w:t>行政复议</w:t>
            </w:r>
          </w:p>
        </w:tc>
        <w:tc>
          <w:tcPr>
            <w:tcW w:w="6804" w:type="dxa"/>
            <w:gridSpan w:val="10"/>
            <w:vAlign w:val="center"/>
          </w:tcPr>
          <w:p>
            <w:pPr>
              <w:jc w:val="center"/>
              <w:rPr>
                <w:rFonts w:hint="eastAsia"/>
                <w:szCs w:val="21"/>
              </w:rPr>
            </w:pPr>
            <w:r>
              <w:rPr>
                <w:rFonts w:hint="eastAsia"/>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09" w:type="dxa"/>
            <w:vMerge w:val="restart"/>
            <w:vAlign w:val="center"/>
          </w:tcPr>
          <w:p>
            <w:pPr>
              <w:jc w:val="center"/>
              <w:rPr>
                <w:rFonts w:hint="eastAsia"/>
                <w:szCs w:val="21"/>
              </w:rPr>
            </w:pPr>
            <w:r>
              <w:rPr>
                <w:rFonts w:hint="eastAsia"/>
                <w:szCs w:val="21"/>
              </w:rPr>
              <w:t>结果维持</w:t>
            </w:r>
          </w:p>
        </w:tc>
        <w:tc>
          <w:tcPr>
            <w:tcW w:w="708" w:type="dxa"/>
            <w:vMerge w:val="restart"/>
            <w:vAlign w:val="center"/>
          </w:tcPr>
          <w:p>
            <w:pPr>
              <w:jc w:val="center"/>
              <w:rPr>
                <w:rFonts w:hint="eastAsia"/>
                <w:szCs w:val="21"/>
              </w:rPr>
            </w:pPr>
            <w:r>
              <w:rPr>
                <w:rFonts w:hint="eastAsia"/>
                <w:szCs w:val="21"/>
              </w:rPr>
              <w:t>结果纠正</w:t>
            </w:r>
          </w:p>
        </w:tc>
        <w:tc>
          <w:tcPr>
            <w:tcW w:w="709" w:type="dxa"/>
            <w:vMerge w:val="restart"/>
            <w:vAlign w:val="center"/>
          </w:tcPr>
          <w:p>
            <w:pPr>
              <w:jc w:val="center"/>
              <w:rPr>
                <w:rFonts w:hint="eastAsia"/>
                <w:szCs w:val="21"/>
              </w:rPr>
            </w:pPr>
            <w:r>
              <w:rPr>
                <w:rFonts w:hint="eastAsia"/>
                <w:szCs w:val="21"/>
              </w:rPr>
              <w:t>其他结果</w:t>
            </w:r>
          </w:p>
        </w:tc>
        <w:tc>
          <w:tcPr>
            <w:tcW w:w="682" w:type="dxa"/>
            <w:vMerge w:val="restart"/>
            <w:vAlign w:val="center"/>
          </w:tcPr>
          <w:p>
            <w:pPr>
              <w:jc w:val="center"/>
              <w:rPr>
                <w:rFonts w:hint="eastAsia"/>
                <w:szCs w:val="21"/>
              </w:rPr>
            </w:pPr>
            <w:r>
              <w:rPr>
                <w:rFonts w:hint="eastAsia"/>
                <w:szCs w:val="21"/>
              </w:rPr>
              <w:t>尚未审结</w:t>
            </w:r>
          </w:p>
        </w:tc>
        <w:tc>
          <w:tcPr>
            <w:tcW w:w="594" w:type="dxa"/>
            <w:vMerge w:val="restart"/>
            <w:vAlign w:val="center"/>
          </w:tcPr>
          <w:p>
            <w:pPr>
              <w:jc w:val="center"/>
              <w:rPr>
                <w:rFonts w:hint="eastAsia"/>
                <w:szCs w:val="21"/>
              </w:rPr>
            </w:pPr>
            <w:r>
              <w:rPr>
                <w:rFonts w:hint="eastAsia"/>
                <w:szCs w:val="21"/>
              </w:rPr>
              <w:t>总计</w:t>
            </w:r>
          </w:p>
        </w:tc>
        <w:tc>
          <w:tcPr>
            <w:tcW w:w="3402" w:type="dxa"/>
            <w:gridSpan w:val="5"/>
            <w:vAlign w:val="center"/>
          </w:tcPr>
          <w:p>
            <w:pPr>
              <w:jc w:val="center"/>
              <w:rPr>
                <w:rFonts w:hint="eastAsia"/>
                <w:szCs w:val="21"/>
              </w:rPr>
            </w:pPr>
            <w:r>
              <w:rPr>
                <w:rFonts w:hint="eastAsia"/>
                <w:szCs w:val="21"/>
              </w:rPr>
              <w:t>未经复议直接起诉</w:t>
            </w:r>
          </w:p>
        </w:tc>
        <w:tc>
          <w:tcPr>
            <w:tcW w:w="3402" w:type="dxa"/>
            <w:gridSpan w:val="5"/>
            <w:vAlign w:val="center"/>
          </w:tcPr>
          <w:p>
            <w:pPr>
              <w:jc w:val="center"/>
              <w:rPr>
                <w:rFonts w:hint="eastAsia"/>
                <w:szCs w:val="21"/>
              </w:rPr>
            </w:pPr>
            <w:r>
              <w:rPr>
                <w:rFonts w:hint="eastAsia"/>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jc w:val="center"/>
              <w:rPr>
                <w:rFonts w:hint="eastAsia"/>
                <w:sz w:val="18"/>
                <w:szCs w:val="18"/>
              </w:rPr>
            </w:pPr>
          </w:p>
        </w:tc>
        <w:tc>
          <w:tcPr>
            <w:tcW w:w="708" w:type="dxa"/>
            <w:vMerge w:val="continue"/>
            <w:vAlign w:val="center"/>
          </w:tcPr>
          <w:p>
            <w:pPr>
              <w:jc w:val="center"/>
              <w:rPr>
                <w:rFonts w:hint="eastAsia"/>
                <w:sz w:val="18"/>
                <w:szCs w:val="18"/>
              </w:rPr>
            </w:pPr>
          </w:p>
        </w:tc>
        <w:tc>
          <w:tcPr>
            <w:tcW w:w="709" w:type="dxa"/>
            <w:vMerge w:val="continue"/>
            <w:vAlign w:val="center"/>
          </w:tcPr>
          <w:p>
            <w:pPr>
              <w:jc w:val="center"/>
              <w:rPr>
                <w:rFonts w:hint="eastAsia"/>
                <w:sz w:val="18"/>
                <w:szCs w:val="18"/>
              </w:rPr>
            </w:pPr>
          </w:p>
        </w:tc>
        <w:tc>
          <w:tcPr>
            <w:tcW w:w="682" w:type="dxa"/>
            <w:vMerge w:val="continue"/>
            <w:vAlign w:val="center"/>
          </w:tcPr>
          <w:p>
            <w:pPr>
              <w:jc w:val="center"/>
              <w:rPr>
                <w:rFonts w:hint="eastAsia"/>
                <w:szCs w:val="21"/>
              </w:rPr>
            </w:pPr>
          </w:p>
        </w:tc>
        <w:tc>
          <w:tcPr>
            <w:tcW w:w="594" w:type="dxa"/>
            <w:vMerge w:val="continue"/>
            <w:vAlign w:val="center"/>
          </w:tcPr>
          <w:p>
            <w:pPr>
              <w:jc w:val="center"/>
              <w:rPr>
                <w:rFonts w:hint="eastAsia"/>
                <w:szCs w:val="21"/>
              </w:rPr>
            </w:pPr>
          </w:p>
        </w:tc>
        <w:tc>
          <w:tcPr>
            <w:tcW w:w="709" w:type="dxa"/>
            <w:vAlign w:val="center"/>
          </w:tcPr>
          <w:p>
            <w:pPr>
              <w:jc w:val="center"/>
              <w:rPr>
                <w:rFonts w:hint="eastAsia"/>
                <w:szCs w:val="21"/>
              </w:rPr>
            </w:pPr>
            <w:r>
              <w:rPr>
                <w:rFonts w:hint="eastAsia"/>
                <w:szCs w:val="21"/>
              </w:rPr>
              <w:t>结果维持</w:t>
            </w:r>
          </w:p>
        </w:tc>
        <w:tc>
          <w:tcPr>
            <w:tcW w:w="709" w:type="dxa"/>
            <w:vAlign w:val="center"/>
          </w:tcPr>
          <w:p>
            <w:pPr>
              <w:jc w:val="center"/>
              <w:rPr>
                <w:rFonts w:hint="eastAsia"/>
                <w:szCs w:val="21"/>
              </w:rPr>
            </w:pPr>
            <w:r>
              <w:rPr>
                <w:rFonts w:hint="eastAsia"/>
                <w:szCs w:val="21"/>
              </w:rPr>
              <w:t>结果纠正</w:t>
            </w:r>
          </w:p>
        </w:tc>
        <w:tc>
          <w:tcPr>
            <w:tcW w:w="709" w:type="dxa"/>
            <w:vAlign w:val="center"/>
          </w:tcPr>
          <w:p>
            <w:pPr>
              <w:jc w:val="center"/>
              <w:rPr>
                <w:rFonts w:hint="eastAsia"/>
                <w:szCs w:val="21"/>
              </w:rPr>
            </w:pPr>
            <w:r>
              <w:rPr>
                <w:rFonts w:hint="eastAsia"/>
                <w:szCs w:val="21"/>
              </w:rPr>
              <w:t>其他结果</w:t>
            </w:r>
          </w:p>
        </w:tc>
        <w:tc>
          <w:tcPr>
            <w:tcW w:w="708" w:type="dxa"/>
            <w:vAlign w:val="center"/>
          </w:tcPr>
          <w:p>
            <w:pPr>
              <w:jc w:val="center"/>
              <w:rPr>
                <w:rFonts w:hint="eastAsia"/>
                <w:szCs w:val="21"/>
              </w:rPr>
            </w:pPr>
            <w:r>
              <w:rPr>
                <w:rFonts w:hint="eastAsia"/>
                <w:szCs w:val="21"/>
              </w:rPr>
              <w:t>尚未审结</w:t>
            </w:r>
          </w:p>
        </w:tc>
        <w:tc>
          <w:tcPr>
            <w:tcW w:w="567" w:type="dxa"/>
            <w:vAlign w:val="center"/>
          </w:tcPr>
          <w:p>
            <w:pPr>
              <w:jc w:val="center"/>
              <w:rPr>
                <w:rFonts w:hint="eastAsia"/>
                <w:szCs w:val="21"/>
              </w:rPr>
            </w:pPr>
            <w:r>
              <w:rPr>
                <w:rFonts w:hint="eastAsia"/>
                <w:szCs w:val="21"/>
              </w:rPr>
              <w:t>总计</w:t>
            </w:r>
          </w:p>
        </w:tc>
        <w:tc>
          <w:tcPr>
            <w:tcW w:w="851" w:type="dxa"/>
            <w:vAlign w:val="center"/>
          </w:tcPr>
          <w:p>
            <w:pPr>
              <w:jc w:val="center"/>
              <w:rPr>
                <w:rFonts w:hint="eastAsia"/>
                <w:szCs w:val="21"/>
              </w:rPr>
            </w:pPr>
            <w:r>
              <w:rPr>
                <w:rFonts w:hint="eastAsia"/>
                <w:szCs w:val="21"/>
              </w:rPr>
              <w:t>结果维持</w:t>
            </w:r>
          </w:p>
        </w:tc>
        <w:tc>
          <w:tcPr>
            <w:tcW w:w="650" w:type="dxa"/>
            <w:vAlign w:val="center"/>
          </w:tcPr>
          <w:p>
            <w:pPr>
              <w:jc w:val="center"/>
              <w:rPr>
                <w:rFonts w:hint="eastAsia"/>
                <w:szCs w:val="21"/>
              </w:rPr>
            </w:pPr>
            <w:r>
              <w:rPr>
                <w:rFonts w:hint="eastAsia"/>
                <w:szCs w:val="21"/>
              </w:rPr>
              <w:t>结果纠正</w:t>
            </w:r>
          </w:p>
        </w:tc>
        <w:tc>
          <w:tcPr>
            <w:tcW w:w="767" w:type="dxa"/>
            <w:vAlign w:val="center"/>
          </w:tcPr>
          <w:p>
            <w:pPr>
              <w:jc w:val="center"/>
              <w:rPr>
                <w:rFonts w:hint="eastAsia"/>
                <w:szCs w:val="21"/>
              </w:rPr>
            </w:pPr>
            <w:r>
              <w:rPr>
                <w:rFonts w:hint="eastAsia"/>
                <w:szCs w:val="21"/>
              </w:rPr>
              <w:t>其他结果</w:t>
            </w:r>
          </w:p>
        </w:tc>
        <w:tc>
          <w:tcPr>
            <w:tcW w:w="709" w:type="dxa"/>
            <w:vAlign w:val="center"/>
          </w:tcPr>
          <w:p>
            <w:pPr>
              <w:jc w:val="center"/>
              <w:rPr>
                <w:rFonts w:hint="eastAsia"/>
                <w:szCs w:val="21"/>
              </w:rPr>
            </w:pPr>
            <w:r>
              <w:rPr>
                <w:rFonts w:hint="eastAsia"/>
                <w:szCs w:val="21"/>
              </w:rPr>
              <w:t>尚未审结</w:t>
            </w:r>
          </w:p>
        </w:tc>
        <w:tc>
          <w:tcPr>
            <w:tcW w:w="425" w:type="dxa"/>
            <w:vAlign w:val="center"/>
          </w:tcPr>
          <w:p>
            <w:pPr>
              <w:jc w:val="center"/>
              <w:rPr>
                <w:rFonts w:hint="eastAsia"/>
                <w:szCs w:val="21"/>
              </w:rPr>
            </w:pPr>
            <w:r>
              <w:rPr>
                <w:rFonts w:hint="eastAsia"/>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09" w:type="dxa"/>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0</w:t>
            </w:r>
          </w:p>
        </w:tc>
        <w:tc>
          <w:tcPr>
            <w:tcW w:w="708" w:type="dxa"/>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0</w:t>
            </w:r>
          </w:p>
        </w:tc>
        <w:tc>
          <w:tcPr>
            <w:tcW w:w="709" w:type="dxa"/>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0</w:t>
            </w:r>
          </w:p>
        </w:tc>
        <w:tc>
          <w:tcPr>
            <w:tcW w:w="682" w:type="dxa"/>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0</w:t>
            </w:r>
          </w:p>
        </w:tc>
        <w:tc>
          <w:tcPr>
            <w:tcW w:w="594" w:type="dxa"/>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0</w:t>
            </w:r>
          </w:p>
        </w:tc>
        <w:tc>
          <w:tcPr>
            <w:tcW w:w="709" w:type="dxa"/>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0</w:t>
            </w:r>
          </w:p>
        </w:tc>
        <w:tc>
          <w:tcPr>
            <w:tcW w:w="709" w:type="dxa"/>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0</w:t>
            </w:r>
          </w:p>
        </w:tc>
        <w:tc>
          <w:tcPr>
            <w:tcW w:w="709" w:type="dxa"/>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0</w:t>
            </w:r>
          </w:p>
        </w:tc>
        <w:tc>
          <w:tcPr>
            <w:tcW w:w="708" w:type="dxa"/>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0</w:t>
            </w:r>
          </w:p>
        </w:tc>
        <w:tc>
          <w:tcPr>
            <w:tcW w:w="567" w:type="dxa"/>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0</w:t>
            </w:r>
          </w:p>
        </w:tc>
        <w:tc>
          <w:tcPr>
            <w:tcW w:w="851" w:type="dxa"/>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0</w:t>
            </w:r>
          </w:p>
        </w:tc>
        <w:tc>
          <w:tcPr>
            <w:tcW w:w="650" w:type="dxa"/>
            <w:vAlign w:val="center"/>
          </w:tcPr>
          <w:p>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767" w:type="dxa"/>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0</w:t>
            </w:r>
          </w:p>
        </w:tc>
        <w:tc>
          <w:tcPr>
            <w:tcW w:w="709" w:type="dxa"/>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0</w:t>
            </w:r>
          </w:p>
        </w:tc>
        <w:tc>
          <w:tcPr>
            <w:tcW w:w="425" w:type="dxa"/>
            <w:vAlign w:val="center"/>
          </w:tcPr>
          <w:p>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r>
    </w:tbl>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黑体" w:hAnsi="黑体" w:eastAsia="黑体"/>
          <w:b w:val="0"/>
          <w:bCs/>
          <w:sz w:val="32"/>
          <w:szCs w:val="32"/>
        </w:rPr>
      </w:pPr>
      <w:r>
        <w:rPr>
          <w:rFonts w:hint="eastAsia" w:ascii="黑体" w:hAnsi="黑体" w:eastAsia="黑体"/>
          <w:b w:val="0"/>
          <w:bCs/>
          <w:sz w:val="32"/>
          <w:szCs w:val="32"/>
        </w:rPr>
        <w:t>五、存在的主要问题及改进情况</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公开信息的质量和时效有待提升。偏于注重结果公开，有时忽略了过程公开。公开途径有待于进一步拓宽。</w:t>
      </w:r>
      <w:r>
        <w:rPr>
          <w:rFonts w:ascii="仿宋_GB2312" w:hAnsi="宋体" w:eastAsia="仿宋_GB2312" w:cs="仿宋_GB2312"/>
          <w:i w:val="0"/>
          <w:caps w:val="0"/>
          <w:color w:val="000000"/>
          <w:spacing w:val="0"/>
          <w:sz w:val="32"/>
          <w:szCs w:val="32"/>
        </w:rPr>
        <w:t>：</w:t>
      </w:r>
      <w:r>
        <w:rPr>
          <w:rFonts w:hint="eastAsia" w:ascii="仿宋_GB2312" w:hAnsi="宋体" w:eastAsia="仿宋_GB2312" w:cs="仿宋_GB2312"/>
          <w:i w:val="0"/>
          <w:caps w:val="0"/>
          <w:color w:val="000000"/>
          <w:spacing w:val="0"/>
          <w:sz w:val="32"/>
          <w:szCs w:val="32"/>
        </w:rPr>
        <w:t>主要是职能部门信息公开的主动性有待进一步提升，依法答复社会公众信息公开申请的能力有待进一步提高，对公开信息的解读和回应有待进一步加强。</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b w:val="0"/>
          <w:bCs/>
          <w:sz w:val="32"/>
          <w:szCs w:val="32"/>
        </w:rPr>
      </w:pPr>
      <w:r>
        <w:rPr>
          <w:rFonts w:hint="eastAsia" w:ascii="黑体" w:hAnsi="黑体" w:eastAsia="黑体"/>
          <w:b w:val="0"/>
          <w:bCs/>
          <w:sz w:val="32"/>
          <w:szCs w:val="32"/>
        </w:rPr>
        <w:t>六、其他需要报告的事项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499EB2"/>
    <w:multiLevelType w:val="singleLevel"/>
    <w:tmpl w:val="DA499EB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258"/>
    <w:rsid w:val="00024810"/>
    <w:rsid w:val="000414C6"/>
    <w:rsid w:val="00087FF0"/>
    <w:rsid w:val="00216261"/>
    <w:rsid w:val="00270C0E"/>
    <w:rsid w:val="002A188B"/>
    <w:rsid w:val="002B6F68"/>
    <w:rsid w:val="003D7EB2"/>
    <w:rsid w:val="00405DB6"/>
    <w:rsid w:val="00420F86"/>
    <w:rsid w:val="00481ED7"/>
    <w:rsid w:val="004D2882"/>
    <w:rsid w:val="00697EE4"/>
    <w:rsid w:val="00714451"/>
    <w:rsid w:val="00717EE3"/>
    <w:rsid w:val="00732D81"/>
    <w:rsid w:val="00733F31"/>
    <w:rsid w:val="00741A40"/>
    <w:rsid w:val="00746739"/>
    <w:rsid w:val="007611C0"/>
    <w:rsid w:val="007F43FC"/>
    <w:rsid w:val="00892DC4"/>
    <w:rsid w:val="00920A8C"/>
    <w:rsid w:val="00935E77"/>
    <w:rsid w:val="0096093C"/>
    <w:rsid w:val="00A93492"/>
    <w:rsid w:val="00AC222F"/>
    <w:rsid w:val="00AD49B5"/>
    <w:rsid w:val="00BF42A9"/>
    <w:rsid w:val="00C61A42"/>
    <w:rsid w:val="00C762CA"/>
    <w:rsid w:val="00CA24FE"/>
    <w:rsid w:val="00D201BD"/>
    <w:rsid w:val="00D33F3A"/>
    <w:rsid w:val="00D7673F"/>
    <w:rsid w:val="00E03F11"/>
    <w:rsid w:val="00E04258"/>
    <w:rsid w:val="00E82A61"/>
    <w:rsid w:val="00EA3993"/>
    <w:rsid w:val="00EE7882"/>
    <w:rsid w:val="00FA3378"/>
    <w:rsid w:val="00FE3091"/>
    <w:rsid w:val="02BD31B4"/>
    <w:rsid w:val="044A4EAC"/>
    <w:rsid w:val="070604CD"/>
    <w:rsid w:val="11703DFD"/>
    <w:rsid w:val="13AF31B7"/>
    <w:rsid w:val="173E4F4A"/>
    <w:rsid w:val="1BEE7696"/>
    <w:rsid w:val="21A010F4"/>
    <w:rsid w:val="243057BB"/>
    <w:rsid w:val="268F009F"/>
    <w:rsid w:val="27FD06BF"/>
    <w:rsid w:val="2D1D3F3A"/>
    <w:rsid w:val="36D819E2"/>
    <w:rsid w:val="382A3163"/>
    <w:rsid w:val="398117A6"/>
    <w:rsid w:val="3A3E5737"/>
    <w:rsid w:val="3C69398F"/>
    <w:rsid w:val="3FFA0F50"/>
    <w:rsid w:val="46434D7A"/>
    <w:rsid w:val="4CB859A0"/>
    <w:rsid w:val="4DE93206"/>
    <w:rsid w:val="4E0D2A64"/>
    <w:rsid w:val="4FAA149C"/>
    <w:rsid w:val="51F3635E"/>
    <w:rsid w:val="52E064C1"/>
    <w:rsid w:val="54B128F3"/>
    <w:rsid w:val="5A121C04"/>
    <w:rsid w:val="5B1912EB"/>
    <w:rsid w:val="5DF51376"/>
    <w:rsid w:val="5E701435"/>
    <w:rsid w:val="5FD92895"/>
    <w:rsid w:val="64895791"/>
    <w:rsid w:val="67837CE2"/>
    <w:rsid w:val="69C53A4A"/>
    <w:rsid w:val="6EAE4408"/>
    <w:rsid w:val="7E141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22"/>
    <w:rPr>
      <w:b/>
    </w:rPr>
  </w:style>
  <w:style w:type="character" w:styleId="8">
    <w:name w:val="FollowedHyperlink"/>
    <w:basedOn w:val="6"/>
    <w:semiHidden/>
    <w:unhideWhenUsed/>
    <w:qFormat/>
    <w:uiPriority w:val="99"/>
    <w:rPr>
      <w:color w:val="800080"/>
      <w:u w:val="none"/>
    </w:rPr>
  </w:style>
  <w:style w:type="character" w:styleId="9">
    <w:name w:val="Emphasis"/>
    <w:basedOn w:val="6"/>
    <w:qFormat/>
    <w:uiPriority w:val="20"/>
    <w:rPr>
      <w:b/>
    </w:rPr>
  </w:style>
  <w:style w:type="character" w:styleId="10">
    <w:name w:val="HTML Definition"/>
    <w:basedOn w:val="6"/>
    <w:semiHidden/>
    <w:unhideWhenUsed/>
    <w:qFormat/>
    <w:uiPriority w:val="99"/>
  </w:style>
  <w:style w:type="character" w:styleId="11">
    <w:name w:val="HTML Variable"/>
    <w:basedOn w:val="6"/>
    <w:semiHidden/>
    <w:unhideWhenUsed/>
    <w:qFormat/>
    <w:uiPriority w:val="99"/>
  </w:style>
  <w:style w:type="character" w:styleId="12">
    <w:name w:val="Hyperlink"/>
    <w:basedOn w:val="6"/>
    <w:semiHidden/>
    <w:unhideWhenUsed/>
    <w:qFormat/>
    <w:uiPriority w:val="99"/>
    <w:rPr>
      <w:color w:val="0000FF"/>
      <w:u w:val="none"/>
    </w:rPr>
  </w:style>
  <w:style w:type="character" w:styleId="13">
    <w:name w:val="HTML Code"/>
    <w:basedOn w:val="6"/>
    <w:semiHidden/>
    <w:unhideWhenUsed/>
    <w:qFormat/>
    <w:uiPriority w:val="99"/>
    <w:rPr>
      <w:rFonts w:ascii="Courier New" w:hAnsi="Courier New"/>
      <w:sz w:val="20"/>
    </w:rPr>
  </w:style>
  <w:style w:type="character" w:styleId="14">
    <w:name w:val="HTML Cite"/>
    <w:basedOn w:val="6"/>
    <w:semiHidden/>
    <w:unhideWhenUsed/>
    <w:qFormat/>
    <w:uiPriority w:val="99"/>
  </w:style>
  <w:style w:type="character" w:styleId="15">
    <w:name w:val="HTML Keyboard"/>
    <w:basedOn w:val="6"/>
    <w:semiHidden/>
    <w:unhideWhenUsed/>
    <w:qFormat/>
    <w:uiPriority w:val="99"/>
    <w:rPr>
      <w:rFonts w:ascii="Courier New" w:hAnsi="Courier New"/>
      <w:color w:val="666666"/>
      <w:sz w:val="18"/>
      <w:szCs w:val="18"/>
    </w:rPr>
  </w:style>
  <w:style w:type="character" w:styleId="16">
    <w:name w:val="HTML Sample"/>
    <w:basedOn w:val="6"/>
    <w:semiHidden/>
    <w:unhideWhenUsed/>
    <w:qFormat/>
    <w:uiPriority w:val="99"/>
    <w:rPr>
      <w:rFonts w:ascii="Courier New" w:hAnsi="Courier New"/>
      <w:color w:val="FFFFFF"/>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172</Words>
  <Characters>984</Characters>
  <Lines>8</Lines>
  <Paragraphs>2</Paragraphs>
  <TotalTime>57</TotalTime>
  <ScaleCrop>false</ScaleCrop>
  <LinksUpToDate>false</LinksUpToDate>
  <CharactersWithSpaces>1154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2020-01-06T10:32:00Z</dcterms:created>
  <dc:creator>China</dc:creator>
  <cp:lastModifiedBy>Administrator</cp:lastModifiedBy>
  <cp:lastPrinted>2021-01-22T01:36:00Z</cp:lastPrinted>
  <dcterms:modified xsi:type="dcterms:W3CDTF">2021-05-20T02:42:01Z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CF689E009A8A49D598BC305418E180EF</vt:lpwstr>
  </property>
</Properties>
</file>