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auto"/>
          <w:spacing w:val="0"/>
          <w:kern w:val="21"/>
          <w:sz w:val="36"/>
          <w:szCs w:val="36"/>
          <w:highlight w:val="none"/>
        </w:rPr>
      </w:pPr>
      <w:bookmarkStart w:id="0" w:name="_Hlk57883707"/>
      <w:bookmarkStart w:id="1" w:name="_Hlk57884087"/>
    </w:p>
    <w:p>
      <w:pPr>
        <w:pStyle w:val="2"/>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eastAsia="仿宋_GB2312" w:cs="Times New Roman"/>
          <w:color w:val="auto"/>
          <w:spacing w:val="0"/>
          <w:kern w:val="21"/>
          <w:sz w:val="36"/>
          <w:szCs w:val="36"/>
          <w:highlight w:val="none"/>
        </w:rPr>
      </w:pPr>
    </w:p>
    <w:p>
      <w:pPr>
        <w:adjustRightInd w:val="0"/>
        <w:snapToGrid w:val="0"/>
        <w:jc w:val="center"/>
        <w:outlineLvl w:val="9"/>
        <w:rPr>
          <w:rFonts w:hint="default" w:ascii="Times New Roman" w:hAnsi="Times New Roman" w:eastAsia="方正小标宋_GBK" w:cs="Times New Roman"/>
          <w:bCs/>
          <w:color w:val="auto"/>
          <w:spacing w:val="0"/>
          <w:kern w:val="21"/>
          <w:sz w:val="72"/>
          <w:szCs w:val="72"/>
          <w:highlight w:val="none"/>
        </w:rPr>
      </w:pPr>
      <w:r>
        <w:rPr>
          <w:rFonts w:hint="default" w:ascii="Times New Roman" w:hAnsi="Times New Roman" w:eastAsia="方正小标宋_GBK" w:cs="Times New Roman"/>
          <w:bCs/>
          <w:color w:val="auto"/>
          <w:spacing w:val="0"/>
          <w:kern w:val="21"/>
          <w:sz w:val="72"/>
          <w:szCs w:val="72"/>
          <w:highlight w:val="none"/>
        </w:rPr>
        <w:t>建设项目环境影响报告表</w:t>
      </w:r>
    </w:p>
    <w:p>
      <w:pPr>
        <w:adjustRightInd w:val="0"/>
        <w:snapToGrid w:val="0"/>
        <w:spacing w:before="192" w:beforeLines="80"/>
        <w:jc w:val="center"/>
        <w:rPr>
          <w:rFonts w:hint="default" w:ascii="Times New Roman" w:hAnsi="Times New Roman" w:eastAsia="楷体_GB2312" w:cs="Times New Roman"/>
          <w:bCs/>
          <w:color w:val="auto"/>
          <w:spacing w:val="0"/>
          <w:kern w:val="21"/>
          <w:sz w:val="48"/>
          <w:szCs w:val="48"/>
          <w:highlight w:val="none"/>
        </w:rPr>
      </w:pPr>
      <w:r>
        <w:rPr>
          <w:rFonts w:hint="default" w:ascii="Times New Roman" w:hAnsi="Times New Roman" w:eastAsia="楷体_GB2312" w:cs="Times New Roman"/>
          <w:bCs/>
          <w:color w:val="auto"/>
          <w:spacing w:val="0"/>
          <w:kern w:val="21"/>
          <w:sz w:val="48"/>
          <w:szCs w:val="48"/>
          <w:highlight w:val="none"/>
        </w:rPr>
        <w:t>（污染影响类）</w:t>
      </w:r>
    </w:p>
    <w:p>
      <w:pPr>
        <w:adjustRightInd w:val="0"/>
        <w:snapToGrid w:val="0"/>
        <w:spacing w:line="288" w:lineRule="auto"/>
        <w:jc w:val="center"/>
        <w:outlineLvl w:val="9"/>
        <w:rPr>
          <w:rFonts w:hint="default" w:ascii="Times New Roman" w:hAnsi="Times New Roman" w:eastAsia="华文仿宋" w:cs="Times New Roman"/>
          <w:color w:val="auto"/>
          <w:spacing w:val="0"/>
          <w:kern w:val="21"/>
          <w:sz w:val="44"/>
          <w:szCs w:val="44"/>
          <w:highlight w:val="none"/>
          <w:lang w:eastAsia="zh-CN"/>
        </w:rPr>
      </w:pPr>
    </w:p>
    <w:p>
      <w:pPr>
        <w:ind w:firstLine="1040"/>
        <w:rPr>
          <w:rFonts w:hint="default" w:ascii="Times New Roman" w:hAnsi="Times New Roman" w:eastAsia="仿宋" w:cs="Times New Roman"/>
          <w:color w:val="auto"/>
          <w:spacing w:val="0"/>
          <w:kern w:val="21"/>
          <w:sz w:val="44"/>
          <w:szCs w:val="44"/>
          <w:highlight w:val="none"/>
        </w:rPr>
      </w:pPr>
    </w:p>
    <w:p>
      <w:pPr>
        <w:ind w:firstLine="1040"/>
        <w:rPr>
          <w:rFonts w:hint="default" w:ascii="Times New Roman" w:hAnsi="Times New Roman" w:eastAsia="仿宋" w:cs="Times New Roman"/>
          <w:color w:val="auto"/>
          <w:spacing w:val="0"/>
          <w:kern w:val="21"/>
          <w:sz w:val="44"/>
          <w:szCs w:val="44"/>
          <w:highlight w:val="none"/>
        </w:rPr>
      </w:pPr>
    </w:p>
    <w:p>
      <w:pPr>
        <w:ind w:firstLine="1040"/>
        <w:rPr>
          <w:rFonts w:hint="default" w:ascii="Times New Roman" w:hAnsi="Times New Roman" w:eastAsia="仿宋" w:cs="Times New Roman"/>
          <w:color w:val="auto"/>
          <w:spacing w:val="0"/>
          <w:kern w:val="21"/>
          <w:sz w:val="44"/>
          <w:szCs w:val="44"/>
          <w:highlight w:val="none"/>
        </w:rPr>
      </w:pPr>
    </w:p>
    <w:p>
      <w:pPr>
        <w:pStyle w:val="2"/>
        <w:rPr>
          <w:rFonts w:hint="default" w:ascii="Times New Roman" w:hAnsi="Times New Roman" w:cs="Times New Roman"/>
          <w:color w:val="auto"/>
          <w:highlight w:val="none"/>
        </w:rPr>
      </w:pPr>
    </w:p>
    <w:p>
      <w:pPr>
        <w:ind w:firstLine="1040"/>
        <w:rPr>
          <w:rFonts w:hint="default" w:ascii="Times New Roman" w:hAnsi="Times New Roman" w:eastAsia="仿宋" w:cs="Times New Roman"/>
          <w:color w:val="auto"/>
          <w:spacing w:val="0"/>
          <w:kern w:val="21"/>
          <w:sz w:val="44"/>
          <w:szCs w:val="4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jc w:val="both"/>
        <w:textAlignment w:val="auto"/>
        <w:rPr>
          <w:rFonts w:hint="default" w:ascii="Times New Roman" w:hAnsi="Times New Roman" w:eastAsia="仿宋_GB2312" w:cs="Times New Roman"/>
          <w:color w:val="auto"/>
          <w:spacing w:val="0"/>
          <w:kern w:val="21"/>
          <w:sz w:val="36"/>
          <w:szCs w:val="36"/>
          <w:highlight w:val="none"/>
          <w:u w:val="single"/>
          <w:lang w:val="en-US" w:eastAsia="zh-CN"/>
        </w:rPr>
      </w:pPr>
      <w:r>
        <w:rPr>
          <w:rFonts w:hint="default" w:ascii="Times New Roman" w:hAnsi="Times New Roman" w:eastAsia="仿宋_GB2312" w:cs="Times New Roman"/>
          <w:color w:val="auto"/>
          <w:spacing w:val="0"/>
          <w:kern w:val="21"/>
          <w:sz w:val="36"/>
          <w:szCs w:val="36"/>
          <w:highlight w:val="none"/>
        </w:rPr>
        <w:t>项目名称：</w:t>
      </w:r>
      <w:r>
        <w:rPr>
          <w:rFonts w:hint="default" w:ascii="Times New Roman" w:hAnsi="Times New Roman" w:eastAsia="仿宋_GB2312" w:cs="Times New Roman"/>
          <w:color w:val="auto"/>
          <w:spacing w:val="0"/>
          <w:kern w:val="21"/>
          <w:sz w:val="36"/>
          <w:szCs w:val="36"/>
          <w:highlight w:val="none"/>
          <w:u w:val="single"/>
          <w:lang w:val="en-US" w:eastAsia="zh-CN"/>
        </w:rPr>
        <w:t xml:space="preserve"> </w:t>
      </w:r>
      <w:r>
        <w:rPr>
          <w:rFonts w:hint="default" w:ascii="Times New Roman" w:hAnsi="Times New Roman" w:eastAsia="仿宋_GB2312" w:cs="Times New Roman"/>
          <w:color w:val="auto"/>
          <w:spacing w:val="0"/>
          <w:kern w:val="21"/>
          <w:sz w:val="36"/>
          <w:szCs w:val="36"/>
          <w:highlight w:val="none"/>
          <w:u w:val="single"/>
          <w:lang w:eastAsia="zh-CN"/>
        </w:rPr>
        <w:t>年产3000万米印染布设备升级改造项目</w:t>
      </w:r>
      <w:r>
        <w:rPr>
          <w:rFonts w:hint="default" w:ascii="Times New Roman" w:hAnsi="Times New Roman" w:eastAsia="仿宋_GB2312" w:cs="Times New Roman"/>
          <w:color w:val="auto"/>
          <w:spacing w:val="0"/>
          <w:kern w:val="21"/>
          <w:sz w:val="36"/>
          <w:szCs w:val="36"/>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jc w:val="both"/>
        <w:textAlignment w:val="auto"/>
        <w:rPr>
          <w:rFonts w:hint="default" w:ascii="Times New Roman" w:hAnsi="Times New Roman" w:eastAsia="仿宋_GB2312" w:cs="Times New Roman"/>
          <w:color w:val="auto"/>
          <w:spacing w:val="0"/>
          <w:kern w:val="21"/>
          <w:sz w:val="36"/>
          <w:szCs w:val="36"/>
          <w:highlight w:val="none"/>
          <w:u w:val="single"/>
          <w:lang w:val="en-US" w:eastAsia="zh-CN"/>
        </w:rPr>
      </w:pPr>
      <w:r>
        <w:rPr>
          <w:rFonts w:hint="default" w:ascii="Times New Roman" w:hAnsi="Times New Roman" w:eastAsia="仿宋_GB2312" w:cs="Times New Roman"/>
          <w:color w:val="auto"/>
          <w:spacing w:val="0"/>
          <w:kern w:val="21"/>
          <w:sz w:val="36"/>
          <w:szCs w:val="36"/>
          <w:highlight w:val="none"/>
        </w:rPr>
        <w:t>建设单位（盖章）：</w:t>
      </w:r>
      <w:r>
        <w:rPr>
          <w:rFonts w:hint="default" w:ascii="Times New Roman" w:hAnsi="Times New Roman" w:eastAsia="仿宋_GB2312" w:cs="Times New Roman"/>
          <w:color w:val="auto"/>
          <w:spacing w:val="0"/>
          <w:kern w:val="21"/>
          <w:sz w:val="36"/>
          <w:szCs w:val="36"/>
          <w:highlight w:val="none"/>
          <w:lang w:val="en-US" w:eastAsia="zh-CN"/>
        </w:rPr>
        <w:t xml:space="preserve"> </w:t>
      </w:r>
      <w:bookmarkStart w:id="2" w:name="OLE_LINK17"/>
      <w:r>
        <w:rPr>
          <w:rFonts w:hint="default" w:ascii="Times New Roman" w:hAnsi="Times New Roman" w:eastAsia="仿宋_GB2312" w:cs="Times New Roman"/>
          <w:color w:val="auto"/>
          <w:spacing w:val="0"/>
          <w:kern w:val="21"/>
          <w:sz w:val="36"/>
          <w:szCs w:val="36"/>
          <w:highlight w:val="none"/>
          <w:u w:val="single"/>
          <w:lang w:eastAsia="zh-CN"/>
        </w:rPr>
        <w:t>淄博市周村雅曼印染厂</w:t>
      </w:r>
      <w:bookmarkEnd w:id="2"/>
      <w:r>
        <w:rPr>
          <w:rFonts w:hint="default" w:ascii="Times New Roman" w:hAnsi="Times New Roman" w:eastAsia="仿宋_GB2312" w:cs="Times New Roman"/>
          <w:color w:val="auto"/>
          <w:spacing w:val="0"/>
          <w:kern w:val="21"/>
          <w:sz w:val="36"/>
          <w:szCs w:val="36"/>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textAlignment w:val="auto"/>
        <w:rPr>
          <w:rFonts w:hint="default" w:ascii="Times New Roman" w:hAnsi="Times New Roman" w:eastAsia="仿宋_GB2312" w:cs="Times New Roman"/>
          <w:color w:val="auto"/>
          <w:spacing w:val="0"/>
          <w:kern w:val="21"/>
          <w:sz w:val="36"/>
          <w:szCs w:val="36"/>
          <w:highlight w:val="none"/>
        </w:rPr>
      </w:pPr>
      <w:r>
        <w:rPr>
          <w:rFonts w:hint="default" w:ascii="Times New Roman" w:hAnsi="Times New Roman" w:eastAsia="仿宋_GB2312" w:cs="Times New Roman"/>
          <w:color w:val="auto"/>
          <w:spacing w:val="0"/>
          <w:kern w:val="21"/>
          <w:sz w:val="36"/>
          <w:szCs w:val="36"/>
          <w:highlight w:val="none"/>
        </w:rPr>
        <w:t>编制日期：</w:t>
      </w:r>
      <w:r>
        <w:rPr>
          <w:rFonts w:hint="default" w:ascii="Times New Roman" w:hAnsi="Times New Roman" w:eastAsia="仿宋_GB2312" w:cs="Times New Roman"/>
          <w:color w:val="auto"/>
          <w:spacing w:val="0"/>
          <w:kern w:val="21"/>
          <w:sz w:val="36"/>
          <w:szCs w:val="36"/>
          <w:highlight w:val="none"/>
          <w:u w:val="single"/>
          <w:lang w:val="en-US" w:eastAsia="zh-CN"/>
        </w:rPr>
        <w:t xml:space="preserve">             2025年10月          </w:t>
      </w:r>
    </w:p>
    <w:p>
      <w:pPr>
        <w:adjustRightInd w:val="0"/>
        <w:snapToGrid w:val="0"/>
        <w:spacing w:line="288" w:lineRule="auto"/>
        <w:ind w:firstLine="1040"/>
        <w:rPr>
          <w:rFonts w:hint="default" w:ascii="Times New Roman" w:hAnsi="Times New Roman" w:eastAsia="仿宋_GB2312" w:cs="Times New Roman"/>
          <w:color w:val="auto"/>
          <w:spacing w:val="0"/>
          <w:kern w:val="21"/>
          <w:sz w:val="36"/>
          <w:szCs w:val="36"/>
          <w:highlight w:val="none"/>
          <w:u w:val="single"/>
        </w:rPr>
      </w:pPr>
    </w:p>
    <w:p>
      <w:pPr>
        <w:adjustRightInd w:val="0"/>
        <w:snapToGrid w:val="0"/>
        <w:spacing w:line="288" w:lineRule="auto"/>
        <w:ind w:firstLine="1040"/>
        <w:rPr>
          <w:rFonts w:hint="default" w:ascii="Times New Roman" w:hAnsi="Times New Roman" w:eastAsia="仿宋_GB2312" w:cs="Times New Roman"/>
          <w:color w:val="auto"/>
          <w:spacing w:val="0"/>
          <w:kern w:val="21"/>
          <w:sz w:val="36"/>
          <w:szCs w:val="36"/>
          <w:highlight w:val="none"/>
        </w:rPr>
      </w:pPr>
    </w:p>
    <w:p>
      <w:pPr>
        <w:adjustRightInd w:val="0"/>
        <w:snapToGrid w:val="0"/>
        <w:spacing w:line="288" w:lineRule="auto"/>
        <w:ind w:firstLine="1040"/>
        <w:rPr>
          <w:rFonts w:hint="default" w:ascii="Times New Roman" w:hAnsi="Times New Roman" w:eastAsia="仿宋_GB2312" w:cs="Times New Roman"/>
          <w:color w:val="auto"/>
          <w:spacing w:val="0"/>
          <w:kern w:val="21"/>
          <w:sz w:val="36"/>
          <w:szCs w:val="36"/>
          <w:highlight w:val="none"/>
        </w:rPr>
      </w:pPr>
    </w:p>
    <w:p>
      <w:pPr>
        <w:pStyle w:val="2"/>
        <w:rPr>
          <w:rFonts w:hint="default" w:ascii="Times New Roman" w:hAnsi="Times New Roman" w:cs="Times New Roman"/>
          <w:color w:val="auto"/>
          <w:highlight w:val="none"/>
        </w:rPr>
      </w:pPr>
    </w:p>
    <w:p>
      <w:pPr>
        <w:adjustRightInd w:val="0"/>
        <w:snapToGrid w:val="0"/>
        <w:spacing w:line="288" w:lineRule="auto"/>
        <w:jc w:val="center"/>
        <w:rPr>
          <w:rFonts w:hint="default" w:ascii="Times New Roman" w:hAnsi="Times New Roman" w:eastAsia="楷体_GB2312" w:cs="Times New Roman"/>
          <w:color w:val="auto"/>
          <w:spacing w:val="0"/>
          <w:kern w:val="21"/>
          <w:sz w:val="36"/>
          <w:szCs w:val="36"/>
          <w:highlight w:val="none"/>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default" w:ascii="Times New Roman" w:hAnsi="Times New Roman" w:eastAsia="楷体_GB2312" w:cs="Times New Roman"/>
          <w:color w:val="auto"/>
          <w:spacing w:val="0"/>
          <w:kern w:val="21"/>
          <w:sz w:val="36"/>
          <w:szCs w:val="36"/>
          <w:highlight w:val="none"/>
        </w:rPr>
        <w:t>中华人民共和国生态环境部制</w:t>
      </w:r>
    </w:p>
    <w:bookmarkEnd w:id="0"/>
    <w:bookmarkEnd w:id="1"/>
    <w:p>
      <w:pPr>
        <w:pStyle w:val="33"/>
        <w:jc w:val="center"/>
        <w:outlineLvl w:val="0"/>
        <w:rPr>
          <w:rFonts w:hint="default" w:ascii="Times New Roman" w:hAnsi="Times New Roman" w:eastAsia="黑体" w:cs="Times New Roman"/>
          <w:snapToGrid w:val="0"/>
          <w:color w:val="auto"/>
          <w:sz w:val="30"/>
          <w:szCs w:val="30"/>
          <w:highlight w:val="none"/>
        </w:rPr>
      </w:pPr>
      <w:bookmarkStart w:id="3" w:name="_Toc13795"/>
      <w:r>
        <w:rPr>
          <w:rFonts w:hint="default" w:ascii="Times New Roman" w:hAnsi="Times New Roman" w:eastAsia="黑体" w:cs="Times New Roman"/>
          <w:snapToGrid w:val="0"/>
          <w:color w:val="auto"/>
          <w:sz w:val="30"/>
          <w:szCs w:val="30"/>
          <w:highlight w:val="none"/>
        </w:rPr>
        <w:t>一、建设项目基本情况</w:t>
      </w:r>
      <w:bookmarkEnd w:id="3"/>
    </w:p>
    <w:tbl>
      <w:tblPr>
        <w:tblStyle w:val="36"/>
        <w:tblW w:w="516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578"/>
        <w:gridCol w:w="2183"/>
        <w:gridCol w:w="1467"/>
        <w:gridCol w:w="39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建设项目名称</w:t>
            </w:r>
          </w:p>
        </w:tc>
        <w:tc>
          <w:tcPr>
            <w:tcW w:w="4139" w:type="pct"/>
            <w:gridSpan w:val="3"/>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cs="Times New Roman"/>
                <w:color w:val="auto"/>
                <w:sz w:val="21"/>
                <w:szCs w:val="21"/>
                <w:highlight w:val="none"/>
                <w:lang w:val="en-US" w:eastAsia="zh-CN"/>
              </w:rPr>
              <w:t>年产3000万米印染布设备升级改造项目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项目代码</w:t>
            </w:r>
          </w:p>
        </w:tc>
        <w:tc>
          <w:tcPr>
            <w:tcW w:w="4139" w:type="pct"/>
            <w:gridSpan w:val="3"/>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rPr>
            </w:pPr>
            <w:r>
              <w:rPr>
                <w:rFonts w:hint="default" w:ascii="Times New Roman" w:hAnsi="Times New Roman" w:cs="Times New Roman"/>
                <w:color w:val="auto"/>
                <w:spacing w:val="0"/>
                <w:sz w:val="21"/>
                <w:szCs w:val="21"/>
                <w:highlight w:val="none"/>
                <w:lang w:val="en-US" w:eastAsia="zh-CN"/>
              </w:rPr>
              <w:t>2506-370392-89-02-796338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建设单位联系人</w:t>
            </w:r>
          </w:p>
        </w:tc>
        <w:tc>
          <w:tcPr>
            <w:tcW w:w="1189"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郭迎琴</w:t>
            </w:r>
          </w:p>
        </w:tc>
        <w:tc>
          <w:tcPr>
            <w:tcW w:w="799"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联系方式</w:t>
            </w:r>
          </w:p>
        </w:tc>
        <w:tc>
          <w:tcPr>
            <w:tcW w:w="2150"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18866633299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建设地点</w:t>
            </w:r>
          </w:p>
        </w:tc>
        <w:tc>
          <w:tcPr>
            <w:tcW w:w="4139" w:type="pct"/>
            <w:gridSpan w:val="3"/>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bidi="ar-SA"/>
              </w:rPr>
              <w:t>淄博市文昌湖旅游度假区萌水镇水磨村西侧5m处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地理坐标</w:t>
            </w:r>
          </w:p>
        </w:tc>
        <w:tc>
          <w:tcPr>
            <w:tcW w:w="4139" w:type="pct"/>
            <w:gridSpan w:val="3"/>
            <w:noWrap w:val="0"/>
            <w:vAlign w:val="center"/>
          </w:tcPr>
          <w:p>
            <w:pPr>
              <w:adjustRightInd w:val="0"/>
              <w:snapToGrid w:val="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（E：117度54分54.219秒；N：36度44分18.679秒）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国民经济</w:t>
            </w:r>
          </w:p>
          <w:p>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行业类别</w:t>
            </w:r>
          </w:p>
        </w:tc>
        <w:tc>
          <w:tcPr>
            <w:tcW w:w="1189" w:type="pct"/>
            <w:noWrap w:val="0"/>
            <w:vAlign w:val="center"/>
          </w:tcPr>
          <w:p>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C</w:t>
            </w:r>
            <w:r>
              <w:rPr>
                <w:rFonts w:hint="default" w:ascii="Times New Roman" w:hAnsi="Times New Roman" w:cs="Times New Roman"/>
                <w:color w:val="auto"/>
                <w:kern w:val="0"/>
                <w:sz w:val="21"/>
                <w:szCs w:val="21"/>
                <w:highlight w:val="none"/>
                <w:lang w:val="en-US" w:eastAsia="zh-CN" w:bidi="ar-SA"/>
              </w:rPr>
              <w:t>1713</w:t>
            </w:r>
            <w:r>
              <w:rPr>
                <w:rFonts w:hint="default" w:ascii="Times New Roman" w:hAnsi="Times New Roman" w:eastAsia="宋体" w:cs="Times New Roman"/>
                <w:color w:val="auto"/>
                <w:kern w:val="0"/>
                <w:sz w:val="21"/>
                <w:szCs w:val="21"/>
                <w:highlight w:val="none"/>
                <w:lang w:val="en-US" w:eastAsia="zh-CN" w:bidi="ar-SA"/>
              </w:rPr>
              <w:t xml:space="preserve"> </w:t>
            </w:r>
            <w:r>
              <w:rPr>
                <w:rFonts w:hint="default" w:ascii="Times New Roman" w:hAnsi="Times New Roman" w:cs="Times New Roman"/>
                <w:color w:val="auto"/>
                <w:kern w:val="0"/>
                <w:sz w:val="21"/>
                <w:szCs w:val="21"/>
                <w:highlight w:val="none"/>
                <w:lang w:val="en-US" w:eastAsia="zh-CN" w:bidi="ar-SA"/>
              </w:rPr>
              <w:t>棉印染精加工</w:t>
            </w:r>
          </w:p>
        </w:tc>
        <w:tc>
          <w:tcPr>
            <w:tcW w:w="799" w:type="pct"/>
            <w:noWrap w:val="0"/>
            <w:vAlign w:val="center"/>
          </w:tcPr>
          <w:p>
            <w:pPr>
              <w:adjustRightInd w:val="0"/>
              <w:snapToGrid w:val="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建设项目</w:t>
            </w:r>
          </w:p>
          <w:p>
            <w:pPr>
              <w:adjustRightInd w:val="0"/>
              <w:snapToGrid w:val="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行业类别</w:t>
            </w:r>
          </w:p>
        </w:tc>
        <w:tc>
          <w:tcPr>
            <w:tcW w:w="2150" w:type="pct"/>
            <w:noWrap w:val="0"/>
            <w:vAlign w:val="center"/>
          </w:tcPr>
          <w:p>
            <w:pPr>
              <w:numPr>
                <w:ilvl w:val="0"/>
                <w:numId w:val="0"/>
              </w:numPr>
              <w:adjustRightInd w:val="0"/>
              <w:snapToGrid w:val="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十四、纺织业 1728棉纺织及印染精加工171*有喷墨印花或数码印花工艺的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建设性质</w:t>
            </w:r>
          </w:p>
        </w:tc>
        <w:tc>
          <w:tcPr>
            <w:tcW w:w="1189" w:type="pct"/>
            <w:noWrap w:val="0"/>
            <w:vAlign w:val="center"/>
          </w:tcPr>
          <w:p>
            <w:pPr>
              <w:adjustRightInd w:val="0"/>
              <w:snapToGrid w:val="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A3"/>
            </w:r>
            <w:r>
              <w:rPr>
                <w:rFonts w:hint="default" w:ascii="Times New Roman" w:hAnsi="Times New Roman" w:eastAsia="宋体" w:cs="Times New Roman"/>
                <w:color w:val="auto"/>
                <w:spacing w:val="0"/>
                <w:sz w:val="21"/>
                <w:szCs w:val="21"/>
                <w:highlight w:val="none"/>
              </w:rPr>
              <w:t>新建（迁建）</w:t>
            </w:r>
          </w:p>
          <w:p>
            <w:pPr>
              <w:adjustRightInd w:val="0"/>
              <w:snapToGrid w:val="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A3"/>
            </w:r>
            <w:r>
              <w:rPr>
                <w:rFonts w:hint="default" w:ascii="Times New Roman" w:hAnsi="Times New Roman" w:eastAsia="宋体" w:cs="Times New Roman"/>
                <w:color w:val="auto"/>
                <w:spacing w:val="0"/>
                <w:sz w:val="21"/>
                <w:szCs w:val="21"/>
                <w:highlight w:val="none"/>
              </w:rPr>
              <w:t>改建</w:t>
            </w:r>
          </w:p>
          <w:p>
            <w:pPr>
              <w:adjustRightInd w:val="0"/>
              <w:snapToGrid w:val="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A3"/>
            </w:r>
            <w:r>
              <w:rPr>
                <w:rFonts w:hint="default" w:ascii="Times New Roman" w:hAnsi="Times New Roman" w:eastAsia="宋体" w:cs="Times New Roman"/>
                <w:color w:val="auto"/>
                <w:spacing w:val="0"/>
                <w:sz w:val="21"/>
                <w:szCs w:val="21"/>
                <w:highlight w:val="none"/>
              </w:rPr>
              <w:t>扩建</w:t>
            </w:r>
          </w:p>
          <w:p>
            <w:pPr>
              <w:adjustRightInd w:val="0"/>
              <w:snapToGrid w:val="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52"/>
            </w:r>
            <w:r>
              <w:rPr>
                <w:rFonts w:hint="default" w:ascii="Times New Roman" w:hAnsi="Times New Roman" w:eastAsia="宋体" w:cs="Times New Roman"/>
                <w:color w:val="auto"/>
                <w:spacing w:val="0"/>
                <w:sz w:val="21"/>
                <w:szCs w:val="21"/>
                <w:highlight w:val="none"/>
              </w:rPr>
              <w:t>技术改造</w:t>
            </w:r>
          </w:p>
        </w:tc>
        <w:tc>
          <w:tcPr>
            <w:tcW w:w="799"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建设项目</w:t>
            </w:r>
          </w:p>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申报情形</w:t>
            </w:r>
          </w:p>
        </w:tc>
        <w:tc>
          <w:tcPr>
            <w:tcW w:w="2150" w:type="pct"/>
            <w:noWrap w:val="0"/>
            <w:vAlign w:val="center"/>
          </w:tcPr>
          <w:p>
            <w:pPr>
              <w:adjustRightInd w:val="0"/>
              <w:snapToGrid w:val="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52"/>
            </w:r>
            <w:r>
              <w:rPr>
                <w:rFonts w:hint="default" w:ascii="Times New Roman" w:hAnsi="Times New Roman" w:eastAsia="宋体" w:cs="Times New Roman"/>
                <w:color w:val="auto"/>
                <w:spacing w:val="0"/>
                <w:sz w:val="21"/>
                <w:szCs w:val="21"/>
                <w:highlight w:val="none"/>
              </w:rPr>
              <w:t>首次申报项目</w:t>
            </w:r>
          </w:p>
          <w:p>
            <w:pPr>
              <w:adjustRightInd w:val="0"/>
              <w:snapToGrid w:val="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A3"/>
            </w:r>
            <w:r>
              <w:rPr>
                <w:rFonts w:hint="default" w:ascii="Times New Roman" w:hAnsi="Times New Roman" w:eastAsia="宋体" w:cs="Times New Roman"/>
                <w:color w:val="auto"/>
                <w:spacing w:val="0"/>
                <w:sz w:val="21"/>
                <w:szCs w:val="21"/>
                <w:highlight w:val="none"/>
              </w:rPr>
              <w:t>不予批准后再次申报项目</w:t>
            </w:r>
          </w:p>
          <w:p>
            <w:pPr>
              <w:adjustRightInd w:val="0"/>
              <w:snapToGrid w:val="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A3"/>
            </w:r>
            <w:r>
              <w:rPr>
                <w:rFonts w:hint="default" w:ascii="Times New Roman" w:hAnsi="Times New Roman" w:eastAsia="宋体" w:cs="Times New Roman"/>
                <w:color w:val="auto"/>
                <w:spacing w:val="0"/>
                <w:sz w:val="21"/>
                <w:szCs w:val="21"/>
                <w:highlight w:val="none"/>
              </w:rPr>
              <w:t>超五年重新审核项目</w:t>
            </w:r>
          </w:p>
          <w:p>
            <w:pPr>
              <w:adjustRightInd w:val="0"/>
              <w:snapToGrid w:val="0"/>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A3"/>
            </w:r>
            <w:r>
              <w:rPr>
                <w:rFonts w:hint="default" w:ascii="Times New Roman" w:hAnsi="Times New Roman" w:eastAsia="宋体" w:cs="Times New Roman"/>
                <w:color w:val="auto"/>
                <w:spacing w:val="0"/>
                <w:sz w:val="21"/>
                <w:szCs w:val="21"/>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项目备案部门</w:t>
            </w:r>
          </w:p>
        </w:tc>
        <w:tc>
          <w:tcPr>
            <w:tcW w:w="1189"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淄博市文昌湖省级旅游度假区经济发展局</w:t>
            </w:r>
          </w:p>
        </w:tc>
        <w:tc>
          <w:tcPr>
            <w:tcW w:w="799"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项目备案文号</w:t>
            </w:r>
          </w:p>
        </w:tc>
        <w:tc>
          <w:tcPr>
            <w:tcW w:w="2150"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cs="Times New Roman"/>
                <w:color w:val="auto"/>
                <w:spacing w:val="0"/>
                <w:sz w:val="21"/>
                <w:szCs w:val="21"/>
                <w:highlight w:val="none"/>
                <w:lang w:val="en-US" w:eastAsia="zh-CN"/>
              </w:rPr>
              <w:t>2506-370392-89-02-796338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总投资（万元）</w:t>
            </w:r>
          </w:p>
        </w:tc>
        <w:tc>
          <w:tcPr>
            <w:tcW w:w="1189"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830</w:t>
            </w:r>
          </w:p>
        </w:tc>
        <w:tc>
          <w:tcPr>
            <w:tcW w:w="799"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环保投资</w:t>
            </w:r>
          </w:p>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（万元）</w:t>
            </w:r>
          </w:p>
        </w:tc>
        <w:tc>
          <w:tcPr>
            <w:tcW w:w="2150"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环保投资占比（%）</w:t>
            </w:r>
          </w:p>
        </w:tc>
        <w:tc>
          <w:tcPr>
            <w:tcW w:w="1189"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1.2</w:t>
            </w:r>
          </w:p>
        </w:tc>
        <w:tc>
          <w:tcPr>
            <w:tcW w:w="799"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施工工期</w:t>
            </w:r>
          </w:p>
        </w:tc>
        <w:tc>
          <w:tcPr>
            <w:tcW w:w="2150" w:type="pct"/>
            <w:noWrap w:val="0"/>
            <w:vAlign w:val="center"/>
          </w:tcPr>
          <w:p>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6</w:t>
            </w:r>
            <w:r>
              <w:rPr>
                <w:rFonts w:hint="default" w:ascii="Times New Roman" w:hAnsi="Times New Roman" w:eastAsia="宋体" w:cs="Times New Roman"/>
                <w:color w:val="auto"/>
                <w:spacing w:val="0"/>
                <w:sz w:val="21"/>
                <w:szCs w:val="21"/>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860"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是否开工建设</w:t>
            </w:r>
          </w:p>
        </w:tc>
        <w:tc>
          <w:tcPr>
            <w:tcW w:w="1189" w:type="pct"/>
            <w:noWrap w:val="0"/>
            <w:vAlign w:val="center"/>
          </w:tcPr>
          <w:p>
            <w:pPr>
              <w:adjustRightInd w:val="0"/>
              <w:snapToGrid w:val="0"/>
              <w:ind w:firstLine="105"/>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sym w:font="Wingdings 2" w:char="0052"/>
            </w:r>
            <w:r>
              <w:rPr>
                <w:rFonts w:hint="default" w:ascii="Times New Roman" w:hAnsi="Times New Roman" w:eastAsia="宋体" w:cs="Times New Roman"/>
                <w:color w:val="auto"/>
                <w:spacing w:val="0"/>
                <w:sz w:val="21"/>
                <w:szCs w:val="21"/>
                <w:highlight w:val="none"/>
              </w:rPr>
              <w:t>否</w:t>
            </w:r>
          </w:p>
          <w:p>
            <w:pPr>
              <w:adjustRightInd w:val="0"/>
              <w:snapToGrid w:val="0"/>
              <w:ind w:firstLine="92"/>
              <w:jc w:val="left"/>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sym w:font="Wingdings 2" w:char="00A3"/>
            </w:r>
            <w:r>
              <w:rPr>
                <w:rFonts w:hint="default" w:ascii="Times New Roman" w:hAnsi="Times New Roman" w:eastAsia="宋体" w:cs="Times New Roman"/>
                <w:color w:val="auto"/>
                <w:spacing w:val="0"/>
                <w:sz w:val="21"/>
                <w:szCs w:val="21"/>
                <w:highlight w:val="none"/>
              </w:rPr>
              <w:t>是：</w:t>
            </w:r>
            <w:r>
              <w:rPr>
                <w:rFonts w:hint="default" w:ascii="Times New Roman" w:hAnsi="Times New Roman" w:eastAsia="宋体" w:cs="Times New Roman"/>
                <w:color w:val="auto"/>
                <w:spacing w:val="0"/>
                <w:kern w:val="21"/>
                <w:sz w:val="21"/>
                <w:szCs w:val="21"/>
                <w:highlight w:val="none"/>
                <w:u w:val="single"/>
              </w:rPr>
              <w:t xml:space="preserve">          </w:t>
            </w:r>
          </w:p>
        </w:tc>
        <w:tc>
          <w:tcPr>
            <w:tcW w:w="799" w:type="pct"/>
            <w:noWrap w:val="0"/>
            <w:vAlign w:val="center"/>
          </w:tcPr>
          <w:p>
            <w:pPr>
              <w:adjustRightInd w:val="0"/>
              <w:snapToGrid w:val="0"/>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用地面积（m</w:t>
            </w:r>
            <w:r>
              <w:rPr>
                <w:rFonts w:hint="default" w:ascii="Times New Roman" w:hAnsi="Times New Roman" w:eastAsia="宋体" w:cs="Times New Roman"/>
                <w:color w:val="auto"/>
                <w:spacing w:val="0"/>
                <w:sz w:val="21"/>
                <w:szCs w:val="21"/>
                <w:highlight w:val="none"/>
                <w:vertAlign w:val="superscript"/>
              </w:rPr>
              <w:t>2</w:t>
            </w:r>
            <w:r>
              <w:rPr>
                <w:rFonts w:hint="default" w:ascii="Times New Roman" w:hAnsi="Times New Roman" w:eastAsia="宋体" w:cs="Times New Roman"/>
                <w:color w:val="auto"/>
                <w:spacing w:val="0"/>
                <w:sz w:val="21"/>
                <w:szCs w:val="21"/>
                <w:highlight w:val="none"/>
              </w:rPr>
              <w:t>）</w:t>
            </w:r>
          </w:p>
        </w:tc>
        <w:tc>
          <w:tcPr>
            <w:tcW w:w="2150" w:type="pct"/>
            <w:noWrap w:val="0"/>
            <w:vAlign w:val="center"/>
          </w:tcPr>
          <w:p>
            <w:pPr>
              <w:adjustRightInd w:val="0"/>
              <w:snapToGrid w:val="0"/>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sz w:val="21"/>
                <w:szCs w:val="21"/>
                <w:highlight w:val="none"/>
                <w:lang w:val="en-US" w:eastAsia="zh-CN"/>
              </w:rPr>
              <w:t>17000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60" w:type="pct"/>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专项评价设置</w:t>
            </w:r>
          </w:p>
          <w:p>
            <w:pPr>
              <w:autoSpaceDE w:val="0"/>
              <w:autoSpaceDN w:val="0"/>
              <w:adjustRightInd w:val="0"/>
              <w:snapToGrid w:val="0"/>
              <w:jc w:val="center"/>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情况</w:t>
            </w:r>
          </w:p>
        </w:tc>
        <w:tc>
          <w:tcPr>
            <w:tcW w:w="4139" w:type="pct"/>
            <w:gridSpan w:val="3"/>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
                <w:bCs/>
                <w:color w:val="auto"/>
                <w:highlight w:val="none"/>
                <w:lang w:eastAsia="zh-CN"/>
              </w:rPr>
              <w:t>表</w:t>
            </w:r>
            <w:r>
              <w:rPr>
                <w:rFonts w:hint="default" w:ascii="Times New Roman" w:hAnsi="Times New Roman" w:cs="Times New Roman"/>
                <w:b/>
                <w:bCs/>
                <w:color w:val="auto"/>
                <w:highlight w:val="none"/>
                <w:lang w:val="en-US" w:eastAsia="zh-CN"/>
              </w:rPr>
              <w:t>1-</w:t>
            </w:r>
            <w:r>
              <w:rPr>
                <w:rFonts w:hint="default" w:ascii="Times New Roman" w:hAnsi="Times New Roman" w:eastAsia="宋体" w:cs="Times New Roman"/>
                <w:b/>
                <w:bCs/>
                <w:color w:val="auto"/>
                <w:highlight w:val="none"/>
                <w:lang w:val="en-US" w:eastAsia="zh-CN"/>
              </w:rPr>
              <w:t xml:space="preserve">1 </w:t>
            </w:r>
            <w:r>
              <w:rPr>
                <w:rFonts w:hint="default" w:ascii="Times New Roman" w:hAnsi="Times New Roman" w:cs="Times New Roman"/>
                <w:b/>
                <w:bCs/>
                <w:color w:val="auto"/>
                <w:highlight w:val="none"/>
                <w:lang w:val="en-US" w:eastAsia="zh-CN"/>
              </w:rPr>
              <w:t xml:space="preserve"> </w:t>
            </w:r>
            <w:r>
              <w:rPr>
                <w:rFonts w:hint="default" w:ascii="Times New Roman" w:hAnsi="Times New Roman" w:eastAsia="宋体" w:cs="Times New Roman"/>
                <w:b/>
                <w:bCs/>
                <w:color w:val="auto"/>
                <w:highlight w:val="none"/>
                <w:lang w:val="en-US" w:eastAsia="zh-CN"/>
              </w:rPr>
              <w:t>专项评价设置情况表</w:t>
            </w:r>
          </w:p>
          <w:tbl>
            <w:tblPr>
              <w:tblStyle w:val="36"/>
              <w:tblW w:w="49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5"/>
              <w:gridCol w:w="3470"/>
              <w:gridCol w:w="2371"/>
              <w:gridCol w:w="6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专项评价类别</w:t>
                  </w:r>
                </w:p>
              </w:tc>
              <w:tc>
                <w:tcPr>
                  <w:tcW w:w="2325"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设置原则</w:t>
                  </w:r>
                </w:p>
              </w:tc>
              <w:tc>
                <w:tcPr>
                  <w:tcW w:w="1589"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本项目情况</w:t>
                  </w:r>
                </w:p>
              </w:tc>
              <w:tc>
                <w:tcPr>
                  <w:tcW w:w="432"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是否</w:t>
                  </w:r>
                </w:p>
                <w:p>
                  <w:pPr>
                    <w:autoSpaceDE w:val="0"/>
                    <w:autoSpaceDN w:val="0"/>
                    <w:adjustRightInd w:val="0"/>
                    <w:snapToGrid w:val="0"/>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设置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大气</w:t>
                  </w:r>
                </w:p>
              </w:tc>
              <w:tc>
                <w:tcPr>
                  <w:tcW w:w="2325"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排放废气含有毒有害污染物</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二噁英、苯并[a]芘、氰化物、氯气且厂界外500米范围内有环境空气保护目标的建设项目</w:t>
                  </w:r>
                </w:p>
              </w:tc>
              <w:tc>
                <w:tcPr>
                  <w:tcW w:w="1589"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本项目</w:t>
                  </w:r>
                  <w:r>
                    <w:rPr>
                      <w:rFonts w:hint="default" w:ascii="Times New Roman" w:hAnsi="Times New Roman" w:cs="Times New Roman"/>
                      <w:color w:val="auto"/>
                      <w:kern w:val="0"/>
                      <w:sz w:val="21"/>
                      <w:szCs w:val="21"/>
                      <w:highlight w:val="none"/>
                      <w:lang w:val="en-US" w:eastAsia="zh-CN"/>
                    </w:rPr>
                    <w:t>不涉及前述有毒有害污染物排放</w:t>
                  </w:r>
                </w:p>
              </w:tc>
              <w:tc>
                <w:tcPr>
                  <w:tcW w:w="432"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地表水</w:t>
                  </w:r>
                </w:p>
              </w:tc>
              <w:tc>
                <w:tcPr>
                  <w:tcW w:w="2325"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新增工业废水直排建设项目（槽罐车外送污水处理厂的除外）；新增废水直排的污水集中处理厂</w:t>
                  </w:r>
                </w:p>
              </w:tc>
              <w:tc>
                <w:tcPr>
                  <w:tcW w:w="1589"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Cs w:val="21"/>
                      <w:highlight w:val="none"/>
                    </w:rPr>
                    <w:t>本项目</w:t>
                  </w:r>
                  <w:r>
                    <w:rPr>
                      <w:rFonts w:hint="default" w:ascii="Times New Roman" w:hAnsi="Times New Roman" w:cs="Times New Roman"/>
                      <w:color w:val="auto"/>
                      <w:kern w:val="0"/>
                      <w:szCs w:val="21"/>
                      <w:highlight w:val="none"/>
                      <w:lang w:val="en-US" w:eastAsia="zh-CN"/>
                    </w:rPr>
                    <w:t>不新增</w:t>
                  </w:r>
                  <w:r>
                    <w:rPr>
                      <w:rFonts w:hint="default" w:ascii="Times New Roman" w:hAnsi="Times New Roman" w:cs="Times New Roman"/>
                      <w:color w:val="auto"/>
                      <w:kern w:val="0"/>
                      <w:szCs w:val="21"/>
                      <w:highlight w:val="none"/>
                      <w:lang w:eastAsia="zh-CN"/>
                    </w:rPr>
                    <w:t>废水</w:t>
                  </w:r>
                  <w:r>
                    <w:rPr>
                      <w:rFonts w:hint="default" w:ascii="Times New Roman" w:hAnsi="Times New Roman" w:cs="Times New Roman"/>
                      <w:color w:val="auto"/>
                      <w:kern w:val="0"/>
                      <w:szCs w:val="21"/>
                      <w:highlight w:val="none"/>
                      <w:lang w:val="en-US" w:eastAsia="zh-CN"/>
                    </w:rPr>
                    <w:t>排放</w:t>
                  </w:r>
                </w:p>
              </w:tc>
              <w:tc>
                <w:tcPr>
                  <w:tcW w:w="432"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环境</w:t>
                  </w:r>
                </w:p>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风险</w:t>
                  </w:r>
                </w:p>
              </w:tc>
              <w:tc>
                <w:tcPr>
                  <w:tcW w:w="2325"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有毒有害和易燃易爆危险物质存储量超过临界量的建设项目</w:t>
                  </w:r>
                </w:p>
              </w:tc>
              <w:tc>
                <w:tcPr>
                  <w:tcW w:w="1589"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lang w:val="en-US"/>
                    </w:rPr>
                  </w:pPr>
                  <w:r>
                    <w:rPr>
                      <w:rFonts w:hint="default" w:ascii="Times New Roman" w:hAnsi="Times New Roman" w:cs="Times New Roman"/>
                      <w:color w:val="auto"/>
                      <w:sz w:val="21"/>
                      <w:szCs w:val="21"/>
                      <w:highlight w:val="none"/>
                      <w:vertAlign w:val="baseline"/>
                      <w:lang w:val="en-US" w:eastAsia="zh-CN"/>
                    </w:rPr>
                    <w:t>本项目危险物质</w:t>
                  </w:r>
                  <w:r>
                    <w:rPr>
                      <w:rFonts w:hint="default" w:ascii="Times New Roman" w:hAnsi="Times New Roman" w:cs="Times New Roman"/>
                      <w:color w:val="auto"/>
                      <w:kern w:val="0"/>
                      <w:sz w:val="21"/>
                      <w:szCs w:val="21"/>
                      <w:highlight w:val="none"/>
                    </w:rPr>
                    <w:t>存储量</w:t>
                  </w:r>
                  <w:r>
                    <w:rPr>
                      <w:rFonts w:hint="default" w:ascii="Times New Roman" w:hAnsi="Times New Roman" w:cs="Times New Roman"/>
                      <w:color w:val="auto"/>
                      <w:kern w:val="0"/>
                      <w:sz w:val="21"/>
                      <w:szCs w:val="21"/>
                      <w:highlight w:val="none"/>
                      <w:lang w:val="en-US" w:eastAsia="zh-CN"/>
                    </w:rPr>
                    <w:t>未</w:t>
                  </w:r>
                  <w:r>
                    <w:rPr>
                      <w:rFonts w:hint="default" w:ascii="Times New Roman" w:hAnsi="Times New Roman" w:cs="Times New Roman"/>
                      <w:color w:val="auto"/>
                      <w:kern w:val="0"/>
                      <w:sz w:val="21"/>
                      <w:szCs w:val="21"/>
                      <w:highlight w:val="none"/>
                    </w:rPr>
                    <w:t>超过临界量</w:t>
                  </w:r>
                </w:p>
              </w:tc>
              <w:tc>
                <w:tcPr>
                  <w:tcW w:w="432"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生态</w:t>
                  </w:r>
                </w:p>
              </w:tc>
              <w:tc>
                <w:tcPr>
                  <w:tcW w:w="2325"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取水口下游500米范围内有重要水生生物的自然产卵场、索饵场、越冬场和洄游通道的新增河道取水的污染类建设项目</w:t>
                  </w:r>
                </w:p>
              </w:tc>
              <w:tc>
                <w:tcPr>
                  <w:tcW w:w="1589"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不涉及</w:t>
                  </w:r>
                </w:p>
              </w:tc>
              <w:tc>
                <w:tcPr>
                  <w:tcW w:w="432"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海洋</w:t>
                  </w:r>
                </w:p>
              </w:tc>
              <w:tc>
                <w:tcPr>
                  <w:tcW w:w="2325"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直接向海排放污染物的海洋工程建设项目</w:t>
                  </w:r>
                </w:p>
              </w:tc>
              <w:tc>
                <w:tcPr>
                  <w:tcW w:w="1589"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不涉及</w:t>
                  </w:r>
                </w:p>
              </w:tc>
              <w:tc>
                <w:tcPr>
                  <w:tcW w:w="432" w:type="pct"/>
                  <w:tcBorders>
                    <w:tl2br w:val="nil"/>
                    <w:tr2bl w:val="nil"/>
                  </w:tcBorders>
                  <w:noWrap w:val="0"/>
                  <w:vAlign w:val="center"/>
                </w:tcPr>
                <w:p>
                  <w:pPr>
                    <w:autoSpaceDE w:val="0"/>
                    <w:autoSpaceDN w:val="0"/>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否</w:t>
                  </w:r>
                </w:p>
              </w:tc>
            </w:tr>
          </w:tbl>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0"/>
                <w:szCs w:val="21"/>
                <w:highlight w:val="none"/>
                <w:lang w:eastAsia="zh-CN"/>
              </w:rPr>
              <w:t>根据上表，本次环评</w:t>
            </w:r>
            <w:r>
              <w:rPr>
                <w:rFonts w:hint="default" w:ascii="Times New Roman" w:hAnsi="Times New Roman" w:cs="Times New Roman"/>
                <w:color w:val="auto"/>
                <w:kern w:val="0"/>
                <w:szCs w:val="21"/>
                <w:highlight w:val="none"/>
                <w:lang w:eastAsia="zh-CN"/>
              </w:rPr>
              <w:t>无须设置</w:t>
            </w:r>
            <w:r>
              <w:rPr>
                <w:rFonts w:hint="default" w:ascii="Times New Roman" w:hAnsi="Times New Roman" w:cs="Times New Roman"/>
                <w:color w:val="auto"/>
                <w:kern w:val="0"/>
                <w:szCs w:val="21"/>
                <w:highlight w:val="none"/>
                <w:lang w:val="en-US" w:eastAsia="zh-CN"/>
              </w:rPr>
              <w:t>专项评价</w:t>
            </w:r>
            <w:r>
              <w:rPr>
                <w:rFonts w:hint="default" w:ascii="Times New Roman" w:hAnsi="Times New Roman" w:eastAsia="宋体" w:cs="Times New Roman"/>
                <w:color w:val="auto"/>
                <w:kern w:val="0"/>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60" w:type="pct"/>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规划情况</w:t>
            </w:r>
          </w:p>
        </w:tc>
        <w:tc>
          <w:tcPr>
            <w:tcW w:w="4139" w:type="pct"/>
            <w:gridSpan w:val="3"/>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规划名称：《关于划定萌水镇、商家镇工业集聚区的意见》</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发布机关：淄博文昌湖省级旅游度假区管理委员会</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eastAsia="zh-CN"/>
              </w:rPr>
              <w:t>审批文件名称及文号：淄博文昌湖省级旅游度假区管理委员会《关于划定萌水镇、商家镇工业集聚区的意见》（淄文昌管发〔2021〕12号）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60" w:type="pct"/>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规划环境影响</w:t>
            </w:r>
          </w:p>
          <w:p>
            <w:pPr>
              <w:autoSpaceDE w:val="0"/>
              <w:autoSpaceDN w:val="0"/>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评价情况</w:t>
            </w:r>
          </w:p>
        </w:tc>
        <w:tc>
          <w:tcPr>
            <w:tcW w:w="4139" w:type="pct"/>
            <w:gridSpan w:val="3"/>
            <w:noWrap w:val="0"/>
            <w:tcMar>
              <w:top w:w="16" w:type="dxa"/>
              <w:left w:w="16" w:type="dxa"/>
              <w:right w:w="16" w:type="dxa"/>
            </w:tcMar>
            <w:vAlign w:val="bottom"/>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60" w:type="pct"/>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规划及规划环境影响评价符合性分析</w:t>
            </w:r>
          </w:p>
        </w:tc>
        <w:tc>
          <w:tcPr>
            <w:tcW w:w="4139" w:type="pct"/>
            <w:gridSpan w:val="3"/>
            <w:noWrap w:val="0"/>
            <w:tcMar>
              <w:top w:w="16" w:type="dxa"/>
              <w:left w:w="16" w:type="dxa"/>
              <w:right w:w="16" w:type="dxa"/>
            </w:tcMar>
            <w:vAlign w:val="center"/>
          </w:tcPr>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项目与淄博文昌湖省级旅游度假区管理委员会关于规划萌水镇、商家镇工业集聚区的意见（淄文昌管发</w:t>
            </w:r>
            <w:r>
              <w:rPr>
                <w:rFonts w:hint="default" w:ascii="Times New Roman" w:hAnsi="Times New Roman" w:eastAsia="宋体" w:cs="Times New Roman"/>
                <w:color w:val="auto"/>
                <w:spacing w:val="0"/>
                <w:sz w:val="21"/>
                <w:szCs w:val="21"/>
                <w:highlight w:val="none"/>
                <w:lang w:eastAsia="zh-CN"/>
              </w:rPr>
              <w:t>〔2021〕12号</w:t>
            </w:r>
            <w:r>
              <w:rPr>
                <w:rFonts w:hint="default" w:ascii="Times New Roman" w:hAnsi="Times New Roman" w:eastAsia="宋体" w:cs="Times New Roman"/>
                <w:color w:val="auto"/>
                <w:highlight w:val="none"/>
                <w:lang w:val="en-US" w:eastAsia="zh-CN"/>
              </w:rPr>
              <w:t>）符合性分析：</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根据淄博文昌湖省级旅游度假区管理委员会出</w:t>
            </w:r>
            <w:r>
              <w:rPr>
                <w:rFonts w:hint="default" w:ascii="Times New Roman" w:hAnsi="Times New Roman" w:cs="Times New Roman"/>
                <w:color w:val="auto"/>
                <w:highlight w:val="none"/>
                <w:lang w:val="en-US" w:eastAsia="zh-CN"/>
              </w:rPr>
              <w:t>具的</w:t>
            </w:r>
            <w:r>
              <w:rPr>
                <w:rFonts w:hint="default" w:ascii="Times New Roman" w:hAnsi="Times New Roman" w:eastAsia="宋体" w:cs="Times New Roman"/>
                <w:color w:val="auto"/>
                <w:highlight w:val="none"/>
                <w:lang w:val="en-US" w:eastAsia="zh-CN"/>
              </w:rPr>
              <w:t>关于规划萌水镇、商家镇工业集聚区的意见：为推动经济高质量发展和生态环境高水平保护，按照省生态环境厅、省发展和改革委员会、省工业和信息化厅、省自然资源厅联合下发的《关于严格项目审批工作坚决防止新上</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散乱污</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项目的通知》</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鲁环字</w:t>
            </w:r>
            <w:r>
              <w:rPr>
                <w:rFonts w:hint="default" w:ascii="Times New Roman" w:hAnsi="Times New Roman" w:cs="Times New Roman"/>
                <w:color w:val="auto"/>
                <w:highlight w:val="none"/>
                <w:lang w:val="en-US" w:eastAsia="zh-CN"/>
              </w:rPr>
              <w:t>〔2021〕58号）</w:t>
            </w:r>
            <w:r>
              <w:rPr>
                <w:rFonts w:hint="default" w:ascii="Times New Roman" w:hAnsi="Times New Roman" w:eastAsia="宋体" w:cs="Times New Roman"/>
                <w:color w:val="auto"/>
                <w:highlight w:val="none"/>
                <w:lang w:val="en-US" w:eastAsia="zh-CN"/>
              </w:rPr>
              <w:t>要求，新建有污染物排放的工业项目，除在安全生产等方面有特殊要求的以外，应当进入工业园区或工业集聚区。经区管委会研究，确定在萌水镇和商家镇划定工业集聚区范围，按照产业定位和有关要求，规范审批工业项目，推动经济发展。</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一、萌水镇工业集聚区</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萌水镇新材料产业片区</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位于庆淄路两侧、文昌大道以北、杨萌路以南、张博附线以西，总占地约1300余亩。主导产业：金属磨料、非金属磨料、其它新材料等，形成新材料产业集群。</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萌水镇智能制造产业片区</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位于张博附线以东及原三衣工业园，总占地约1500余亩。主导产业：装备制造、新能源汽车配套装备等，形成智能制造产业集群。</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萌水镇仓储物流产业片区</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位于文昌湖高速路下路口两侧及对面，总占地约360余亩。主导产业：冷链物流、仓储运输、集散配送等，形成物流仓储产业集群。</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r>
              <w:rPr>
                <w:rFonts w:hint="default" w:ascii="Times New Roman" w:hAnsi="Times New Roman" w:cs="Times New Roman"/>
                <w:color w:val="auto"/>
                <w:highlight w:val="none"/>
                <w:lang w:val="en-US" w:eastAsia="zh-CN"/>
              </w:rPr>
              <w:t>、三衣西片（龙口龙泉北安扈家）产业片区</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包含龙口、龙泉、北安村内产业片区，占地约1157亩，企业77家，园区内分布有磨料、玻璃制品、机械、针织等行业为主。</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萌水镇中心工业片区</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包括镇政府驻地、官三村、水磨工业园内原三元公司、三利绸缎印染、现丰雁电子元件、淄博瑞泽非制造布有限公司等企业及湿地公园、污水处理厂、嘉丰公司等，规划约800余亩，主要有电子元件和玻璃机械等行业。</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萌水镇西工业片区</w:t>
            </w:r>
          </w:p>
          <w:p>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包括萌水镇城乡统筹服务中心、北王工业园及正阳路以西、S102两侧的部分企业，总占地面积约300亩，主要以医疗器械、机械制造、纺织、家具制造为主。</w:t>
            </w:r>
          </w:p>
          <w:p>
            <w:pPr>
              <w:spacing w:line="360" w:lineRule="auto"/>
              <w:ind w:firstLine="420" w:firstLineChars="200"/>
              <w:jc w:val="left"/>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highlight w:val="none"/>
                <w:lang w:val="en-US" w:eastAsia="zh-CN"/>
              </w:rPr>
              <w:t>本项目位于</w:t>
            </w:r>
            <w:r>
              <w:rPr>
                <w:rFonts w:hint="default" w:ascii="Times New Roman" w:hAnsi="Times New Roman" w:cs="Times New Roman"/>
                <w:color w:val="auto"/>
                <w:highlight w:val="none"/>
                <w:lang w:val="en-US" w:eastAsia="zh-CN"/>
              </w:rPr>
              <w:t>萌水镇中心工业片区</w:t>
            </w:r>
            <w:r>
              <w:rPr>
                <w:rFonts w:hint="default" w:ascii="Times New Roman" w:hAnsi="Times New Roman" w:eastAsia="宋体" w:cs="Times New Roman"/>
                <w:color w:val="auto"/>
                <w:highlight w:val="none"/>
                <w:lang w:val="en-US" w:eastAsia="zh-CN"/>
              </w:rPr>
              <w:t>，</w:t>
            </w:r>
            <w:r>
              <w:rPr>
                <w:rFonts w:hint="default" w:ascii="Times New Roman" w:hAnsi="Times New Roman" w:cs="Times New Roman"/>
                <w:color w:val="auto"/>
                <w:highlight w:val="none"/>
                <w:lang w:val="en-US" w:eastAsia="zh-CN"/>
              </w:rPr>
              <w:t>本项目属于棉印染精加工，</w:t>
            </w:r>
            <w:r>
              <w:rPr>
                <w:rFonts w:hint="default" w:ascii="Times New Roman" w:hAnsi="Times New Roman" w:eastAsia="宋体" w:cs="Times New Roman"/>
                <w:color w:val="auto"/>
                <w:highlight w:val="none"/>
                <w:lang w:val="en-US" w:eastAsia="zh-CN"/>
              </w:rPr>
              <w:t>符合国土空间规划和产业发展规划要求。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60" w:type="pct"/>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eastAsia="宋体" w:cs="Times New Roman"/>
                <w:color w:val="auto"/>
                <w:spacing w:val="0"/>
                <w:kern w:val="0"/>
                <w:sz w:val="21"/>
                <w:szCs w:val="21"/>
                <w:highlight w:val="none"/>
              </w:rPr>
            </w:pPr>
            <w:bookmarkStart w:id="4" w:name="_Hlk56690880"/>
            <w:r>
              <w:rPr>
                <w:rFonts w:hint="default" w:ascii="Times New Roman" w:hAnsi="Times New Roman" w:eastAsia="宋体" w:cs="Times New Roman"/>
                <w:color w:val="auto"/>
                <w:spacing w:val="0"/>
                <w:kern w:val="0"/>
                <w:sz w:val="21"/>
                <w:szCs w:val="21"/>
                <w:highlight w:val="none"/>
              </w:rPr>
              <w:t>其他符合性分析</w:t>
            </w:r>
            <w:bookmarkEnd w:id="4"/>
          </w:p>
        </w:tc>
        <w:tc>
          <w:tcPr>
            <w:tcW w:w="4139" w:type="pct"/>
            <w:gridSpan w:val="3"/>
            <w:noWrap w:val="0"/>
            <w:tcMar>
              <w:top w:w="16" w:type="dxa"/>
              <w:left w:w="16" w:type="dxa"/>
              <w:right w:w="16" w:type="dxa"/>
            </w:tcMar>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2" w:firstLineChars="200"/>
              <w:jc w:val="both"/>
              <w:textAlignment w:val="auto"/>
              <w:outlineLvl w:val="9"/>
              <w:rPr>
                <w:rFonts w:hint="default" w:ascii="Times New Roman" w:hAnsi="Times New Roman" w:eastAsia="宋体" w:cs="Times New Roman"/>
                <w:b/>
                <w:bCs/>
                <w:color w:val="auto"/>
                <w:kern w:val="2"/>
                <w:sz w:val="21"/>
                <w:szCs w:val="21"/>
                <w:highlight w:val="none"/>
                <w:lang w:val="en-US" w:eastAsia="zh-CN" w:bidi="zh-CN"/>
              </w:rPr>
            </w:pPr>
            <w:r>
              <w:rPr>
                <w:rFonts w:hint="default" w:ascii="Times New Roman" w:hAnsi="Times New Roman" w:eastAsia="宋体" w:cs="Times New Roman"/>
                <w:b/>
                <w:bCs/>
                <w:color w:val="auto"/>
                <w:kern w:val="2"/>
                <w:sz w:val="21"/>
                <w:szCs w:val="21"/>
                <w:highlight w:val="none"/>
                <w:lang w:val="en-US" w:eastAsia="zh-CN" w:bidi="zh-CN"/>
              </w:rPr>
              <w:t>1、产业政策符合性分析</w:t>
            </w:r>
          </w:p>
          <w:p>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本项目产品、工艺、设备和生产能力均不属于国家发展和改革委员会发布的《产业结构调整指导目录（2024年本）》“鼓励类”、“淘汰类”和“限制类”中的项目，为允许类建设项目，符合国家产业政策。</w:t>
            </w:r>
          </w:p>
          <w:p>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所用设备、工艺均不属于《全市重点淘汰的落后工艺技术、装备及产品目录》中落后的工艺技术、装备及产品项目，不属于淄博市人民政府办公厅发布的《关于印发淄博市产业结构调整指导意见和指导目录的通知》（淄政办发〔2011〕35号）中鼓励类、限制类和淘汰类之列，属于允许类建设项目，符合淄博市产业政策。</w:t>
            </w:r>
            <w:r>
              <w:rPr>
                <w:rFonts w:hint="default" w:ascii="Times New Roman" w:hAnsi="Times New Roman" w:cs="Times New Roman"/>
                <w:color w:val="auto"/>
                <w:highlight w:val="none"/>
              </w:rPr>
              <w:t>本项目已在山东省投资项目在线审批监管平台登记备案，备案号</w:t>
            </w:r>
            <w:r>
              <w:rPr>
                <w:rFonts w:hint="default" w:ascii="Times New Roman" w:hAnsi="Times New Roman" w:cs="Times New Roman"/>
                <w:color w:val="auto"/>
                <w:highlight w:val="none"/>
                <w:lang w:eastAsia="zh-CN"/>
              </w:rPr>
              <w:t>：</w:t>
            </w:r>
            <w:r>
              <w:rPr>
                <w:rFonts w:hint="default" w:ascii="Times New Roman" w:hAnsi="Times New Roman" w:cs="Times New Roman"/>
                <w:color w:val="auto"/>
                <w:spacing w:val="0"/>
                <w:sz w:val="21"/>
                <w:szCs w:val="21"/>
                <w:highlight w:val="none"/>
                <w:lang w:val="en-US" w:eastAsia="zh-CN"/>
              </w:rPr>
              <w:t>2506-370392-89-02-796338</w:t>
            </w:r>
            <w:r>
              <w:rPr>
                <w:rFonts w:hint="default" w:ascii="Times New Roman" w:hAnsi="Times New Roman" w:cs="Times New Roman"/>
                <w:color w:val="auto"/>
                <w:highlight w:val="none"/>
              </w:rPr>
              <w:t>。</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综上所述，本项目建设符合国家及淄博市产业政策的要求</w:t>
            </w:r>
            <w:r>
              <w:rPr>
                <w:rFonts w:hint="default" w:ascii="Times New Roman" w:hAnsi="Times New Roman" w:cs="Times New Roman"/>
                <w:color w:val="auto"/>
                <w:highlight w:val="none"/>
              </w:rPr>
              <w:t>。</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2" w:firstLineChars="200"/>
              <w:jc w:val="left"/>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2、用地符合性分析</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本项目位于</w:t>
            </w:r>
            <w:r>
              <w:rPr>
                <w:rFonts w:hint="default" w:ascii="Times New Roman" w:hAnsi="Times New Roman" w:cs="Times New Roman"/>
                <w:color w:val="auto"/>
                <w:kern w:val="0"/>
                <w:sz w:val="21"/>
                <w:szCs w:val="21"/>
                <w:highlight w:val="none"/>
                <w:lang w:val="en-US" w:eastAsia="zh-CN" w:bidi="ar-SA"/>
              </w:rPr>
              <w:t>淄博市文昌湖旅游度假区萌水镇水磨村西侧5m处</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位于萌水镇工业集聚区</w:t>
            </w:r>
            <w:r>
              <w:rPr>
                <w:rFonts w:hint="default" w:ascii="Times New Roman" w:hAnsi="Times New Roman" w:cs="Times New Roman"/>
                <w:color w:val="auto"/>
                <w:highlight w:val="none"/>
                <w:lang w:val="en-US" w:eastAsia="zh-CN"/>
              </w:rPr>
              <w:t>萌水镇中心工业片区，项目用地不属于自然资源部、国家发展和改革委员会、国家林业和草原局印发的《自然资源要素支撑产业高质量发展指导目录（2024年本）》的通知中的“限制类”和“禁止类”，符合用地规划。</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2" w:firstLineChars="200"/>
              <w:jc w:val="left"/>
              <w:textAlignment w:val="auto"/>
              <w:outlineLvl w:val="9"/>
              <w:rPr>
                <w:rFonts w:hint="default" w:ascii="Times New Roman" w:hAnsi="Times New Roman" w:eastAsia="宋体" w:cs="Times New Roman"/>
                <w:b/>
                <w:bCs/>
                <w:color w:val="auto"/>
                <w:kern w:val="2"/>
                <w:sz w:val="21"/>
                <w:szCs w:val="21"/>
                <w:highlight w:val="none"/>
                <w:lang w:val="en-US" w:eastAsia="zh-CN" w:bidi="zh-CN"/>
              </w:rPr>
            </w:pPr>
            <w:r>
              <w:rPr>
                <w:rFonts w:hint="default" w:ascii="Times New Roman" w:hAnsi="Times New Roman" w:cs="Times New Roman"/>
                <w:b/>
                <w:bCs/>
                <w:color w:val="auto"/>
                <w:kern w:val="2"/>
                <w:sz w:val="21"/>
                <w:szCs w:val="21"/>
                <w:highlight w:val="none"/>
                <w:lang w:val="en-US" w:eastAsia="zh-CN" w:bidi="zh-CN"/>
              </w:rPr>
              <w:t>3</w:t>
            </w:r>
            <w:r>
              <w:rPr>
                <w:rFonts w:hint="default" w:ascii="Times New Roman" w:hAnsi="Times New Roman" w:eastAsia="宋体" w:cs="Times New Roman"/>
                <w:b/>
                <w:bCs/>
                <w:color w:val="auto"/>
                <w:kern w:val="2"/>
                <w:sz w:val="21"/>
                <w:szCs w:val="21"/>
                <w:highlight w:val="none"/>
                <w:lang w:val="en-US" w:eastAsia="zh-CN" w:bidi="zh-CN"/>
              </w:rPr>
              <w:t>、</w:t>
            </w:r>
            <w:r>
              <w:rPr>
                <w:rFonts w:hint="default" w:ascii="Times New Roman" w:hAnsi="Times New Roman" w:cs="Times New Roman"/>
                <w:b/>
                <w:bCs/>
                <w:color w:val="auto"/>
                <w:kern w:val="2"/>
                <w:sz w:val="21"/>
                <w:szCs w:val="21"/>
                <w:highlight w:val="none"/>
                <w:lang w:val="en-US" w:eastAsia="zh-CN" w:bidi="zh-CN"/>
              </w:rPr>
              <w:t>“</w:t>
            </w:r>
            <w:r>
              <w:rPr>
                <w:rFonts w:hint="default" w:ascii="Times New Roman" w:hAnsi="Times New Roman" w:eastAsia="宋体" w:cs="Times New Roman"/>
                <w:b/>
                <w:bCs/>
                <w:color w:val="auto"/>
                <w:kern w:val="2"/>
                <w:sz w:val="21"/>
                <w:szCs w:val="21"/>
                <w:highlight w:val="none"/>
                <w:lang w:val="en-US" w:eastAsia="zh-CN" w:bidi="zh-CN"/>
              </w:rPr>
              <w:t>三线一单</w:t>
            </w:r>
            <w:r>
              <w:rPr>
                <w:rFonts w:hint="default" w:ascii="Times New Roman" w:hAnsi="Times New Roman" w:cs="Times New Roman"/>
                <w:b/>
                <w:bCs/>
                <w:color w:val="auto"/>
                <w:kern w:val="2"/>
                <w:sz w:val="21"/>
                <w:szCs w:val="21"/>
                <w:highlight w:val="none"/>
                <w:lang w:val="en-US" w:eastAsia="zh-CN" w:bidi="zh-CN"/>
              </w:rPr>
              <w:t>”</w:t>
            </w:r>
            <w:r>
              <w:rPr>
                <w:rFonts w:hint="default" w:ascii="Times New Roman" w:hAnsi="Times New Roman" w:eastAsia="宋体" w:cs="Times New Roman"/>
                <w:b/>
                <w:bCs/>
                <w:color w:val="auto"/>
                <w:kern w:val="2"/>
                <w:sz w:val="21"/>
                <w:szCs w:val="21"/>
                <w:highlight w:val="none"/>
                <w:lang w:val="en-US" w:eastAsia="zh-CN" w:bidi="zh-CN"/>
              </w:rPr>
              <w:t>符合性分析</w:t>
            </w:r>
          </w:p>
          <w:p>
            <w:pPr>
              <w:adjustRightInd w:val="0"/>
              <w:snapToGrid w:val="0"/>
              <w:spacing w:line="360" w:lineRule="auto"/>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w:t>
            </w:r>
            <w:r>
              <w:rPr>
                <w:rFonts w:hint="default" w:ascii="Times New Roman" w:hAnsi="Times New Roman" w:eastAsia="宋体" w:cs="Times New Roman"/>
                <w:color w:val="auto"/>
                <w:highlight w:val="none"/>
              </w:rPr>
              <w:t>生态保护红线</w:t>
            </w:r>
            <w:r>
              <w:rPr>
                <w:rFonts w:hint="default" w:ascii="Times New Roman" w:hAnsi="Times New Roman" w:cs="Times New Roman"/>
                <w:color w:val="auto"/>
                <w:highlight w:val="none"/>
                <w:lang w:val="en-US" w:eastAsia="zh-CN"/>
              </w:rPr>
              <w:t>符合性分析</w:t>
            </w:r>
          </w:p>
          <w:p>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根据自然资源部办公厅发布的《自然资源部办公厅关于北京等省（区、市）启用</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三区三线</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划定成果作为报批建设项目用地用海依据的函》（自然资办函</w:t>
            </w:r>
            <w:r>
              <w:rPr>
                <w:rFonts w:hint="default" w:ascii="Times New Roman" w:hAnsi="Times New Roman" w:cs="Times New Roman"/>
                <w:color w:val="auto"/>
                <w:highlight w:val="none"/>
                <w:lang w:eastAsia="zh-CN"/>
              </w:rPr>
              <w:t>〔2022〕2207号</w:t>
            </w:r>
            <w:r>
              <w:rPr>
                <w:rFonts w:hint="default" w:ascii="Times New Roman" w:hAnsi="Times New Roman" w:eastAsia="宋体" w:cs="Times New Roman"/>
                <w:color w:val="auto"/>
                <w:highlight w:val="none"/>
                <w:lang w:val="en-US" w:eastAsia="zh-CN"/>
              </w:rPr>
              <w:t>）</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按照《全国国土空间规划纲要（2021-2035年）》确定的耕地和永久基本农田保护红线任务和《全国</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三区三线</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划定规划》山东省</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三区三线</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划定成果符合质检要求，即日起正式启用，作为建设项目用地用海组卷报批的依据。根据山东省生态保护红线2022版矢量数据及</w:t>
            </w:r>
            <w:r>
              <w:rPr>
                <w:rFonts w:hint="default" w:ascii="Times New Roman" w:hAnsi="Times New Roman" w:cs="Times New Roman"/>
                <w:color w:val="auto"/>
                <w:highlight w:val="none"/>
                <w:lang w:val="en-US" w:eastAsia="zh-CN"/>
              </w:rPr>
              <w:t>淄博文昌湖省级旅游度假区“</w:t>
            </w:r>
            <w:r>
              <w:rPr>
                <w:rFonts w:hint="default" w:ascii="Times New Roman" w:hAnsi="Times New Roman" w:eastAsia="宋体" w:cs="Times New Roman"/>
                <w:color w:val="auto"/>
                <w:highlight w:val="none"/>
                <w:lang w:val="en-US" w:eastAsia="zh-CN"/>
              </w:rPr>
              <w:t>三区三线</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永久基本农田及城镇开发边界分布示意图</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zh-CN" w:eastAsia="zh-CN"/>
              </w:rPr>
              <w:t>附图</w:t>
            </w:r>
            <w:r>
              <w:rPr>
                <w:rFonts w:hint="default"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lang w:val="en-US" w:eastAsia="zh-CN"/>
              </w:rPr>
              <w:t>，本项目所在区域不涉及生态保护红线和永久基本农田，符合</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三区三线</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要求。</w:t>
            </w:r>
          </w:p>
          <w:p>
            <w:pPr>
              <w:adjustRightInd w:val="0"/>
              <w:snapToGrid w:val="0"/>
              <w:spacing w:line="360" w:lineRule="auto"/>
              <w:ind w:firstLine="420" w:firstLineChars="200"/>
              <w:rPr>
                <w:rFonts w:hint="default" w:ascii="Times New Roman" w:hAnsi="Times New Roman" w:eastAsia="宋体" w:cs="Times New Roman"/>
                <w:color w:val="auto"/>
                <w:highlight w:val="none"/>
                <w:lang w:val="zh-CN" w:eastAsia="zh-CN"/>
              </w:rPr>
            </w:pPr>
            <w:r>
              <w:rPr>
                <w:rFonts w:hint="default" w:ascii="Times New Roman" w:hAnsi="Times New Roman" w:cs="Times New Roman"/>
                <w:color w:val="auto"/>
                <w:highlight w:val="none"/>
                <w:lang w:val="zh-CN" w:eastAsia="zh-CN"/>
              </w:rPr>
              <w:t>（</w:t>
            </w:r>
            <w:r>
              <w:rPr>
                <w:rFonts w:hint="default" w:ascii="Times New Roman" w:hAnsi="Times New Roman" w:cs="Times New Roman"/>
                <w:color w:val="auto"/>
                <w:highlight w:val="none"/>
                <w:lang w:val="en-US" w:eastAsia="zh-CN"/>
              </w:rPr>
              <w:t>2）</w:t>
            </w:r>
            <w:r>
              <w:rPr>
                <w:rFonts w:hint="default" w:ascii="Times New Roman" w:hAnsi="Times New Roman" w:eastAsia="宋体" w:cs="Times New Roman"/>
                <w:color w:val="auto"/>
                <w:highlight w:val="none"/>
                <w:lang w:val="zh-CN" w:eastAsia="zh-CN"/>
              </w:rPr>
              <w:t>环境质量底线</w:t>
            </w:r>
            <w:r>
              <w:rPr>
                <w:rFonts w:hint="default" w:ascii="Times New Roman" w:hAnsi="Times New Roman" w:cs="Times New Roman"/>
                <w:color w:val="auto"/>
                <w:highlight w:val="none"/>
                <w:lang w:val="en-US" w:eastAsia="zh-CN"/>
              </w:rPr>
              <w:t>符合性分析</w:t>
            </w:r>
          </w:p>
          <w:p>
            <w:pPr>
              <w:snapToGrid w:val="0"/>
              <w:spacing w:line="360" w:lineRule="auto"/>
              <w:ind w:firstLine="420" w:firstLineChars="200"/>
              <w:rPr>
                <w:rFonts w:hint="default" w:ascii="Times New Roman" w:hAnsi="Times New Roman" w:eastAsia="宋体" w:cs="Times New Roman"/>
                <w:color w:val="auto"/>
                <w:kern w:val="0"/>
                <w:sz w:val="21"/>
                <w:szCs w:val="21"/>
                <w:highlight w:val="none"/>
                <w:lang w:val="zh-CN"/>
              </w:rPr>
            </w:pPr>
            <w:r>
              <w:rPr>
                <w:rFonts w:hint="default" w:ascii="Times New Roman" w:hAnsi="Times New Roman" w:cs="Times New Roman"/>
                <w:color w:val="auto"/>
                <w:sz w:val="21"/>
                <w:szCs w:val="21"/>
                <w:highlight w:val="none"/>
              </w:rPr>
              <w:t>根据淄博市生态环境局</w:t>
            </w:r>
            <w:r>
              <w:rPr>
                <w:rFonts w:hint="default" w:ascii="Times New Roman" w:hAnsi="Times New Roman" w:cs="Times New Roman"/>
                <w:color w:val="auto"/>
                <w:sz w:val="21"/>
                <w:szCs w:val="21"/>
                <w:highlight w:val="none"/>
                <w:lang w:val="en-US" w:eastAsia="zh-CN"/>
              </w:rPr>
              <w:t>2025</w:t>
            </w:r>
            <w:r>
              <w:rPr>
                <w:rFonts w:hint="default" w:ascii="Times New Roman" w:hAnsi="Times New Roman" w:cs="Times New Roman"/>
                <w:color w:val="auto"/>
                <w:sz w:val="21"/>
                <w:szCs w:val="21"/>
                <w:highlight w:val="none"/>
              </w:rPr>
              <w:t>年</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月</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7日发布的《2024年12月份及全年环境空气质量情况通报》，</w:t>
            </w:r>
            <w:r>
              <w:rPr>
                <w:rFonts w:hint="default" w:ascii="Times New Roman" w:hAnsi="Times New Roman" w:cs="Times New Roman"/>
                <w:color w:val="auto"/>
                <w:sz w:val="21"/>
                <w:szCs w:val="21"/>
                <w:highlight w:val="none"/>
                <w:lang w:val="en-US" w:eastAsia="zh-CN"/>
              </w:rPr>
              <w:t>2024</w:t>
            </w:r>
            <w:r>
              <w:rPr>
                <w:rFonts w:hint="default" w:ascii="Times New Roman" w:hAnsi="Times New Roman" w:cs="Times New Roman"/>
                <w:color w:val="auto"/>
                <w:sz w:val="21"/>
                <w:szCs w:val="21"/>
                <w:highlight w:val="none"/>
              </w:rPr>
              <w:t>年度，</w:t>
            </w:r>
            <w:r>
              <w:rPr>
                <w:rFonts w:hint="default" w:ascii="Times New Roman" w:hAnsi="Times New Roman" w:cs="Times New Roman"/>
                <w:color w:val="auto"/>
                <w:sz w:val="21"/>
                <w:szCs w:val="21"/>
                <w:highlight w:val="none"/>
                <w:lang w:val="en-US" w:eastAsia="zh-CN"/>
              </w:rPr>
              <w:t>文昌湖省级旅游度假区</w:t>
            </w:r>
            <w:r>
              <w:rPr>
                <w:rFonts w:hint="default" w:ascii="Times New Roman" w:hAnsi="Times New Roman" w:cs="Times New Roman"/>
                <w:color w:val="auto"/>
                <w:sz w:val="21"/>
                <w:szCs w:val="21"/>
                <w:highlight w:val="none"/>
              </w:rPr>
              <w:t>范围内环境空气中污染物SO</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vertAlign w:val="baseline"/>
                <w:lang w:val="en-US" w:eastAsia="zh-CN"/>
              </w:rPr>
              <w:t>达标</w:t>
            </w:r>
            <w:r>
              <w:rPr>
                <w:rFonts w:hint="default" w:ascii="Times New Roman" w:hAnsi="Times New Roman" w:cs="Times New Roman"/>
                <w:color w:val="auto"/>
                <w:sz w:val="21"/>
                <w:szCs w:val="21"/>
                <w:highlight w:val="none"/>
              </w:rPr>
              <w:t>、NO</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30</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vertAlign w:val="baseline"/>
                <w:lang w:val="en-US" w:eastAsia="zh-CN"/>
              </w:rPr>
              <w:t>达标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PM</w:t>
            </w:r>
            <w:r>
              <w:rPr>
                <w:rFonts w:hint="default" w:ascii="Times New Roman" w:hAnsi="Times New Roman" w:cs="Times New Roman"/>
                <w:color w:val="auto"/>
                <w:sz w:val="21"/>
                <w:szCs w:val="21"/>
                <w:highlight w:val="none"/>
                <w:vertAlign w:val="subscript"/>
              </w:rPr>
              <w:t>10</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68</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vertAlign w:val="baseline"/>
                <w:lang w:val="en-US" w:eastAsia="zh-CN"/>
              </w:rPr>
              <w:t>达标</w:t>
            </w:r>
            <w:r>
              <w:rPr>
                <w:rFonts w:hint="default" w:ascii="Times New Roman" w:hAnsi="Times New Roman" w:cs="Times New Roman"/>
                <w:color w:val="auto"/>
                <w:sz w:val="21"/>
                <w:szCs w:val="21"/>
                <w:highlight w:val="none"/>
              </w:rPr>
              <w:t>、PM</w:t>
            </w:r>
            <w:r>
              <w:rPr>
                <w:rFonts w:hint="default" w:ascii="Times New Roman" w:hAnsi="Times New Roman" w:cs="Times New Roman"/>
                <w:color w:val="auto"/>
                <w:sz w:val="21"/>
                <w:szCs w:val="21"/>
                <w:highlight w:val="none"/>
                <w:vertAlign w:val="subscript"/>
              </w:rPr>
              <w:t>2.5</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39</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vertAlign w:val="baseline"/>
                <w:lang w:val="en-US" w:eastAsia="zh-CN"/>
              </w:rPr>
              <w:t>不达标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CO</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1100</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vertAlign w:val="baseline"/>
                <w:lang w:val="en-US" w:eastAsia="zh-CN"/>
              </w:rPr>
              <w:t>达标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O</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190</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vertAlign w:val="baseline"/>
                <w:lang w:val="en-US" w:eastAsia="zh-CN"/>
              </w:rPr>
              <w:t>不达标</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kern w:val="0"/>
                <w:sz w:val="21"/>
                <w:szCs w:val="21"/>
                <w:highlight w:val="none"/>
                <w:lang w:val="en-US" w:eastAsia="zh-CN"/>
              </w:rPr>
              <w:t>区域</w:t>
            </w:r>
            <w:r>
              <w:rPr>
                <w:rFonts w:hint="default" w:ascii="Times New Roman" w:hAnsi="Times New Roman" w:eastAsia="宋体" w:cs="Times New Roman"/>
                <w:color w:val="auto"/>
                <w:kern w:val="0"/>
                <w:sz w:val="21"/>
                <w:szCs w:val="21"/>
                <w:highlight w:val="none"/>
                <w:lang w:val="zh-CN"/>
              </w:rPr>
              <w:t>环境空气不满足《环境空气质量标准》（GB3095-2012）及修改单中的二级标准，淄博市及</w:t>
            </w:r>
            <w:r>
              <w:rPr>
                <w:rFonts w:hint="default" w:ascii="Times New Roman" w:hAnsi="Times New Roman" w:cs="Times New Roman"/>
                <w:color w:val="auto"/>
                <w:kern w:val="0"/>
                <w:sz w:val="21"/>
                <w:szCs w:val="21"/>
                <w:highlight w:val="none"/>
                <w:lang w:val="en-US" w:eastAsia="zh-CN"/>
              </w:rPr>
              <w:t>文昌湖省级旅游度假区</w:t>
            </w:r>
            <w:r>
              <w:rPr>
                <w:rFonts w:hint="default" w:ascii="Times New Roman" w:hAnsi="Times New Roman" w:eastAsia="宋体" w:cs="Times New Roman"/>
                <w:color w:val="auto"/>
                <w:kern w:val="0"/>
                <w:sz w:val="21"/>
                <w:szCs w:val="21"/>
                <w:highlight w:val="none"/>
                <w:lang w:val="zh-CN"/>
              </w:rPr>
              <w:t>已采取相关措施，该区域大气环境质量已日趋改善。</w:t>
            </w:r>
            <w:r>
              <w:rPr>
                <w:rFonts w:hint="default" w:ascii="Times New Roman" w:hAnsi="Times New Roman" w:eastAsia="宋体" w:cs="Times New Roman"/>
                <w:color w:val="auto"/>
                <w:sz w:val="21"/>
                <w:szCs w:val="21"/>
                <w:highlight w:val="none"/>
                <w:lang w:val="zh-CN" w:eastAsia="zh-CN"/>
              </w:rPr>
              <w:t>本项目</w:t>
            </w:r>
            <w:r>
              <w:rPr>
                <w:rFonts w:hint="default" w:ascii="Times New Roman" w:hAnsi="Times New Roman" w:cs="Times New Roman"/>
                <w:color w:val="auto"/>
                <w:sz w:val="21"/>
                <w:szCs w:val="21"/>
                <w:highlight w:val="none"/>
                <w:lang w:val="en-US" w:eastAsia="zh-CN"/>
              </w:rPr>
              <w:t>距离最近的区域</w:t>
            </w:r>
            <w:r>
              <w:rPr>
                <w:rFonts w:hint="default" w:ascii="Times New Roman" w:hAnsi="Times New Roman" w:eastAsia="宋体" w:cs="Times New Roman"/>
                <w:color w:val="auto"/>
                <w:sz w:val="21"/>
                <w:szCs w:val="21"/>
                <w:highlight w:val="none"/>
                <w:lang w:val="zh-CN" w:eastAsia="zh-CN"/>
              </w:rPr>
              <w:t>地表水为</w:t>
            </w:r>
            <w:r>
              <w:rPr>
                <w:rFonts w:hint="default" w:ascii="Times New Roman" w:hAnsi="Times New Roman" w:cs="Times New Roman"/>
                <w:color w:val="auto"/>
                <w:sz w:val="21"/>
                <w:szCs w:val="21"/>
                <w:highlight w:val="none"/>
                <w:lang w:val="en-US" w:eastAsia="zh-CN"/>
              </w:rPr>
              <w:t>东南240m处的范</w:t>
            </w:r>
            <w:r>
              <w:rPr>
                <w:rFonts w:hint="default" w:ascii="Times New Roman" w:hAnsi="Times New Roman" w:eastAsia="宋体" w:cs="Times New Roman"/>
                <w:color w:val="auto"/>
                <w:sz w:val="21"/>
                <w:szCs w:val="21"/>
                <w:highlight w:val="none"/>
                <w:lang w:val="en-US" w:eastAsia="zh-CN"/>
              </w:rPr>
              <w:t>阳河，根据</w:t>
            </w:r>
            <w:r>
              <w:rPr>
                <w:rFonts w:hint="default" w:ascii="Times New Roman" w:hAnsi="Times New Roman" w:cs="Times New Roman"/>
                <w:color w:val="auto"/>
                <w:sz w:val="21"/>
                <w:szCs w:val="21"/>
                <w:highlight w:val="none"/>
                <w:lang w:val="en-US" w:eastAsia="zh-CN"/>
              </w:rPr>
              <w:t>2025</w:t>
            </w:r>
            <w:r>
              <w:rPr>
                <w:rFonts w:hint="default" w:ascii="Times New Roman" w:hAnsi="Times New Roman" w:eastAsia="宋体" w:cs="Times New Roman"/>
                <w:color w:val="auto"/>
                <w:sz w:val="21"/>
                <w:szCs w:val="21"/>
                <w:highlight w:val="none"/>
                <w:lang w:val="en-US" w:eastAsia="zh-CN"/>
              </w:rPr>
              <w:t>年</w:t>
            </w: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月</w:t>
            </w:r>
            <w:r>
              <w:rPr>
                <w:rFonts w:hint="default" w:ascii="Times New Roman" w:hAnsi="Times New Roman" w:cs="Times New Roman"/>
                <w:color w:val="auto"/>
                <w:sz w:val="21"/>
                <w:szCs w:val="21"/>
                <w:highlight w:val="none"/>
                <w:lang w:val="en-US" w:eastAsia="zh-CN"/>
              </w:rPr>
              <w:t>25</w:t>
            </w:r>
            <w:r>
              <w:rPr>
                <w:rFonts w:hint="default" w:ascii="Times New Roman" w:hAnsi="Times New Roman" w:eastAsia="宋体" w:cs="Times New Roman"/>
                <w:color w:val="auto"/>
                <w:sz w:val="21"/>
                <w:szCs w:val="21"/>
                <w:highlight w:val="none"/>
                <w:lang w:val="en-US" w:eastAsia="zh-CN"/>
              </w:rPr>
              <w:t>日淄博市生态环境局发布的</w:t>
            </w:r>
            <w:r>
              <w:rPr>
                <w:rFonts w:hint="default" w:ascii="Times New Roman" w:hAnsi="Times New Roman" w:eastAsia="宋体" w:cs="Times New Roman"/>
                <w:color w:val="auto"/>
                <w:sz w:val="21"/>
                <w:szCs w:val="21"/>
                <w:highlight w:val="none"/>
                <w:lang w:val="zh-CN" w:eastAsia="zh-CN"/>
              </w:rPr>
              <w:t>《2024年1-12月全市地表水环境质量状况》</w:t>
            </w:r>
            <w:r>
              <w:rPr>
                <w:rFonts w:hint="default" w:ascii="Times New Roman" w:hAnsi="Times New Roman" w:eastAsia="宋体" w:cs="Times New Roman"/>
                <w:color w:val="auto"/>
                <w:sz w:val="21"/>
                <w:szCs w:val="21"/>
                <w:highlight w:val="none"/>
                <w:lang w:val="en-US" w:eastAsia="zh-CN"/>
              </w:rPr>
              <w:t>，距离本项目最近的</w:t>
            </w:r>
            <w:r>
              <w:rPr>
                <w:rFonts w:hint="default" w:ascii="Times New Roman" w:hAnsi="Times New Roman" w:cs="Times New Roman"/>
                <w:color w:val="auto"/>
                <w:sz w:val="21"/>
                <w:szCs w:val="21"/>
                <w:highlight w:val="none"/>
                <w:lang w:val="en-US" w:eastAsia="zh-CN"/>
              </w:rPr>
              <w:t>文昌湖省级旅游度假区</w:t>
            </w:r>
            <w:r>
              <w:rPr>
                <w:rFonts w:hint="default" w:ascii="Times New Roman" w:hAnsi="Times New Roman" w:eastAsia="宋体" w:cs="Times New Roman"/>
                <w:color w:val="auto"/>
                <w:sz w:val="21"/>
                <w:szCs w:val="21"/>
                <w:highlight w:val="none"/>
                <w:lang w:val="en-US" w:eastAsia="zh-CN"/>
              </w:rPr>
              <w:t>范阳河张博路附线站点水质类别为II类，水质符合《地表水环境质量标准》（GB3838-2002）III类水质要求。说明项目所在地地表水质量良好</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eastAsia="宋体" w:cs="Times New Roman"/>
                <w:color w:val="auto"/>
                <w:kern w:val="0"/>
                <w:sz w:val="21"/>
                <w:szCs w:val="21"/>
                <w:highlight w:val="none"/>
                <w:lang w:val="zh-CN"/>
              </w:rPr>
              <w:t>项目区域周围50m范围内无声环境保护目标，</w:t>
            </w:r>
            <w:r>
              <w:rPr>
                <w:rFonts w:hint="default" w:ascii="Times New Roman" w:hAnsi="Times New Roman" w:cs="Times New Roman"/>
                <w:color w:val="auto"/>
                <w:kern w:val="0"/>
                <w:sz w:val="21"/>
                <w:szCs w:val="21"/>
                <w:highlight w:val="none"/>
                <w:lang w:val="en-US" w:eastAsia="zh-CN"/>
              </w:rPr>
              <w:t>根据现场踏勘结果</w:t>
            </w:r>
            <w:r>
              <w:rPr>
                <w:rFonts w:hint="default" w:ascii="Times New Roman" w:hAnsi="Times New Roman" w:eastAsia="宋体" w:cs="Times New Roman"/>
                <w:color w:val="auto"/>
                <w:kern w:val="0"/>
                <w:sz w:val="21"/>
                <w:szCs w:val="21"/>
                <w:highlight w:val="none"/>
                <w:lang w:val="zh-CN"/>
              </w:rPr>
              <w:t>，能够达到《声环境质量标准》（GB3096-2008）中2类区环境噪声限值要求。</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left"/>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本项目废气、废水和噪声经治理后对环境污染较小，固废可做到无害化处置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采取本环评提出的相关防治措施后，本项目排放的污染物不会对区域环境质量底线造成冲击</w:t>
            </w:r>
            <w:r>
              <w:rPr>
                <w:rFonts w:hint="default" w:ascii="Times New Roman" w:hAnsi="Times New Roman" w:cs="Times New Roman"/>
                <w:color w:val="auto"/>
                <w:highlight w:val="none"/>
                <w:lang w:val="en-US" w:eastAsia="zh-CN"/>
              </w:rPr>
              <w:t>。</w:t>
            </w:r>
          </w:p>
          <w:p>
            <w:pPr>
              <w:adjustRightInd w:val="0"/>
              <w:snapToGrid w:val="0"/>
              <w:spacing w:line="360" w:lineRule="auto"/>
              <w:ind w:firstLine="420" w:firstLineChars="200"/>
              <w:rPr>
                <w:rFonts w:hint="default" w:ascii="Times New Roman" w:hAnsi="Times New Roman" w:eastAsia="宋体" w:cs="Times New Roman"/>
                <w:color w:val="auto"/>
                <w:highlight w:val="none"/>
                <w:lang w:val="zh-CN" w:eastAsia="zh-CN"/>
              </w:rPr>
            </w:pPr>
            <w:r>
              <w:rPr>
                <w:rFonts w:hint="default" w:ascii="Times New Roman" w:hAnsi="Times New Roman" w:cs="Times New Roman"/>
                <w:color w:val="auto"/>
                <w:highlight w:val="none"/>
                <w:lang w:val="zh-CN" w:eastAsia="zh-CN"/>
              </w:rPr>
              <w:t>（</w:t>
            </w:r>
            <w:r>
              <w:rPr>
                <w:rFonts w:hint="default" w:ascii="Times New Roman" w:hAnsi="Times New Roman" w:cs="Times New Roman"/>
                <w:color w:val="auto"/>
                <w:highlight w:val="none"/>
                <w:lang w:val="en-US" w:eastAsia="zh-CN"/>
              </w:rPr>
              <w:t>3）</w:t>
            </w:r>
            <w:r>
              <w:rPr>
                <w:rFonts w:hint="default" w:ascii="Times New Roman" w:hAnsi="Times New Roman" w:eastAsia="宋体" w:cs="Times New Roman"/>
                <w:color w:val="auto"/>
                <w:highlight w:val="none"/>
                <w:lang w:val="zh-CN" w:eastAsia="zh-CN"/>
              </w:rPr>
              <w:t>资源利用上线</w:t>
            </w:r>
            <w:r>
              <w:rPr>
                <w:rFonts w:hint="default" w:ascii="Times New Roman" w:hAnsi="Times New Roman" w:cs="Times New Roman"/>
                <w:color w:val="auto"/>
                <w:highlight w:val="none"/>
                <w:lang w:val="en-US" w:eastAsia="zh-CN"/>
              </w:rPr>
              <w:t>符合性分析</w:t>
            </w:r>
          </w:p>
          <w:p>
            <w:pPr>
              <w:adjustRightInd w:val="0"/>
              <w:snapToGrid w:val="0"/>
              <w:spacing w:line="360" w:lineRule="auto"/>
              <w:ind w:firstLine="420" w:firstLineChars="200"/>
              <w:rPr>
                <w:rFonts w:hint="default" w:ascii="Times New Roman" w:hAnsi="Times New Roman" w:eastAsia="宋体" w:cs="Times New Roman"/>
                <w:color w:val="auto"/>
                <w:highlight w:val="none"/>
                <w:lang w:val="zh-CN" w:eastAsia="zh-CN"/>
              </w:rPr>
            </w:pPr>
            <w:r>
              <w:rPr>
                <w:rFonts w:hint="default" w:ascii="Times New Roman" w:hAnsi="Times New Roman" w:eastAsia="宋体" w:cs="Times New Roman"/>
                <w:color w:val="auto"/>
                <w:highlight w:val="none"/>
                <w:lang w:val="zh-CN" w:eastAsia="zh-CN"/>
              </w:rPr>
              <w:t>本项目</w:t>
            </w:r>
            <w:r>
              <w:rPr>
                <w:rFonts w:hint="default" w:ascii="Times New Roman" w:hAnsi="Times New Roman" w:cs="Times New Roman"/>
                <w:color w:val="auto"/>
                <w:highlight w:val="none"/>
                <w:lang w:val="zh-CN" w:eastAsia="zh-CN"/>
              </w:rPr>
              <w:t>不属于“两高”项目，</w:t>
            </w:r>
            <w:r>
              <w:rPr>
                <w:rFonts w:hint="default" w:ascii="Times New Roman" w:hAnsi="Times New Roman" w:eastAsia="宋体" w:cs="Times New Roman"/>
                <w:color w:val="auto"/>
                <w:highlight w:val="none"/>
                <w:lang w:val="zh-CN" w:eastAsia="zh-CN"/>
              </w:rPr>
              <w:t>运行过程中消耗一定量的水、电</w:t>
            </w:r>
            <w:r>
              <w:rPr>
                <w:rFonts w:hint="default" w:ascii="Times New Roman" w:hAnsi="Times New Roman" w:cs="Times New Roman"/>
                <w:color w:val="auto"/>
                <w:highlight w:val="none"/>
                <w:lang w:val="zh-CN" w:eastAsia="zh-CN"/>
              </w:rPr>
              <w:t>、</w:t>
            </w:r>
            <w:r>
              <w:rPr>
                <w:rFonts w:hint="default" w:ascii="Times New Roman" w:hAnsi="Times New Roman" w:cs="Times New Roman"/>
                <w:color w:val="auto"/>
                <w:highlight w:val="none"/>
                <w:lang w:val="en-US" w:eastAsia="zh-CN"/>
              </w:rPr>
              <w:t>天然气</w:t>
            </w:r>
            <w:r>
              <w:rPr>
                <w:rFonts w:hint="default" w:ascii="Times New Roman" w:hAnsi="Times New Roman" w:eastAsia="宋体" w:cs="Times New Roman"/>
                <w:color w:val="auto"/>
                <w:highlight w:val="none"/>
                <w:lang w:val="zh-CN" w:eastAsia="zh-CN"/>
              </w:rPr>
              <w:t>等资源</w:t>
            </w:r>
            <w:r>
              <w:rPr>
                <w:rFonts w:hint="default" w:ascii="Times New Roman" w:hAnsi="Times New Roman" w:cs="Times New Roman"/>
                <w:color w:val="auto"/>
                <w:highlight w:val="none"/>
                <w:lang w:val="zh-CN" w:eastAsia="zh-CN"/>
              </w:rPr>
              <w:t>，</w:t>
            </w:r>
            <w:r>
              <w:rPr>
                <w:rFonts w:hint="default" w:ascii="Times New Roman" w:hAnsi="Times New Roman" w:cs="Times New Roman"/>
                <w:color w:val="auto"/>
                <w:highlight w:val="none"/>
                <w:lang w:val="en-US" w:eastAsia="zh-CN"/>
              </w:rPr>
              <w:t>技改后新增用电和天然气</w:t>
            </w:r>
            <w:r>
              <w:rPr>
                <w:rFonts w:hint="default" w:ascii="Times New Roman" w:hAnsi="Times New Roman" w:eastAsia="宋体" w:cs="Times New Roman"/>
                <w:color w:val="auto"/>
                <w:highlight w:val="none"/>
                <w:lang w:val="zh-CN" w:eastAsia="zh-CN"/>
              </w:rPr>
              <w:t>，项目资源消耗量相对区域资源利用总量较少，不涉及高污染物燃料的燃烧。符合资源利用上线要求。</w:t>
            </w:r>
          </w:p>
          <w:p>
            <w:pPr>
              <w:adjustRightInd w:val="0"/>
              <w:snapToGrid w:val="0"/>
              <w:spacing w:line="360" w:lineRule="auto"/>
              <w:ind w:firstLine="420" w:firstLineChars="200"/>
              <w:rPr>
                <w:rFonts w:hint="default" w:ascii="Times New Roman" w:hAnsi="Times New Roman" w:eastAsia="宋体" w:cs="Times New Roman"/>
                <w:color w:val="auto"/>
                <w:highlight w:val="none"/>
                <w:lang w:val="zh-CN" w:eastAsia="zh-CN"/>
              </w:rPr>
            </w:pPr>
            <w:r>
              <w:rPr>
                <w:rFonts w:hint="default" w:ascii="Times New Roman" w:hAnsi="Times New Roman" w:cs="Times New Roman"/>
                <w:color w:val="auto"/>
                <w:highlight w:val="none"/>
                <w:lang w:val="zh-CN" w:eastAsia="zh-CN"/>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lang w:val="zh-CN" w:eastAsia="zh-CN"/>
              </w:rPr>
              <w:t>）</w:t>
            </w:r>
            <w:r>
              <w:rPr>
                <w:rFonts w:hint="default" w:ascii="Times New Roman" w:hAnsi="Times New Roman" w:eastAsia="宋体" w:cs="Times New Roman"/>
                <w:color w:val="auto"/>
                <w:highlight w:val="none"/>
                <w:lang w:val="zh-CN" w:eastAsia="zh-CN"/>
              </w:rPr>
              <w:t>生态环境准入清单</w:t>
            </w:r>
            <w:r>
              <w:rPr>
                <w:rFonts w:hint="default" w:ascii="Times New Roman" w:hAnsi="Times New Roman" w:cs="Times New Roman"/>
                <w:color w:val="auto"/>
                <w:highlight w:val="none"/>
                <w:lang w:val="en-US" w:eastAsia="zh-CN"/>
              </w:rPr>
              <w:t>符合性分析</w:t>
            </w:r>
          </w:p>
          <w:p>
            <w:pPr>
              <w:pStyle w:val="19"/>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highlight w:val="none"/>
                <w:lang w:val="zh-CN" w:eastAsia="zh-CN"/>
              </w:rPr>
            </w:pPr>
            <w:r>
              <w:rPr>
                <w:rFonts w:hint="default" w:ascii="Times New Roman" w:hAnsi="Times New Roman" w:cs="Times New Roman"/>
                <w:color w:val="auto"/>
                <w:highlight w:val="none"/>
                <w:lang w:val="zh-CN" w:eastAsia="zh-CN"/>
              </w:rPr>
              <w:t>按照生态环境法律法规和国家、省环境管理政策，结合区域发展战略和生态功能定位，全市共划定环境管控单元11</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lang w:val="zh-CN" w:eastAsia="zh-CN"/>
              </w:rPr>
              <w:t>个，分为优先保护单元、重点管控单元和一般管控单元三类。项目位于</w:t>
            </w:r>
            <w:r>
              <w:rPr>
                <w:rFonts w:hint="default" w:ascii="Times New Roman" w:hAnsi="Times New Roman" w:cs="Times New Roman"/>
                <w:color w:val="auto"/>
                <w:kern w:val="0"/>
                <w:sz w:val="21"/>
                <w:szCs w:val="21"/>
                <w:highlight w:val="none"/>
                <w:lang w:val="en-US" w:eastAsia="zh-CN" w:bidi="ar-SA"/>
              </w:rPr>
              <w:t>淄博市文昌湖旅游度假区萌水镇水磨村西侧5m处，</w:t>
            </w:r>
            <w:r>
              <w:rPr>
                <w:rFonts w:hint="default" w:ascii="Times New Roman" w:hAnsi="Times New Roman" w:eastAsia="宋体" w:cs="Times New Roman"/>
                <w:color w:val="auto"/>
                <w:highlight w:val="none"/>
                <w:lang w:val="zh-CN" w:eastAsia="zh-CN"/>
              </w:rPr>
              <w:t>根据</w:t>
            </w:r>
            <w:r>
              <w:rPr>
                <w:rFonts w:hint="default" w:ascii="Times New Roman" w:hAnsi="Times New Roman" w:eastAsia="宋体" w:cs="Times New Roman"/>
                <w:color w:val="auto"/>
                <w:highlight w:val="none"/>
                <w:lang w:val="zh-CN"/>
              </w:rPr>
              <w:t>淄博市生态环境委员会办公室关于印发《淄博市2023年生态环境分区管控成果动态更新项目生态环境准入清单》的通知（2024年4月18日）</w:t>
            </w:r>
            <w:r>
              <w:rPr>
                <w:rFonts w:hint="default" w:ascii="Times New Roman" w:hAnsi="Times New Roman" w:eastAsia="宋体" w:cs="Times New Roman"/>
                <w:color w:val="auto"/>
                <w:highlight w:val="none"/>
                <w:lang w:val="zh-CN" w:eastAsia="zh-CN"/>
              </w:rPr>
              <w:t>，项目属于</w:t>
            </w:r>
            <w:r>
              <w:rPr>
                <w:rFonts w:hint="default" w:ascii="Times New Roman" w:hAnsi="Times New Roman" w:eastAsia="宋体" w:cs="Times New Roman"/>
                <w:color w:val="auto"/>
                <w:highlight w:val="none"/>
                <w:lang w:val="en-US" w:eastAsia="zh-CN"/>
              </w:rPr>
              <w:t>萌水镇</w:t>
            </w:r>
            <w:r>
              <w:rPr>
                <w:rFonts w:hint="default" w:ascii="Times New Roman" w:hAnsi="Times New Roman" w:eastAsia="宋体" w:cs="Times New Roman"/>
                <w:color w:val="auto"/>
                <w:highlight w:val="none"/>
                <w:lang w:val="zh-CN" w:eastAsia="zh-CN"/>
              </w:rPr>
              <w:t>环境管控单元，管控单元编码</w:t>
            </w:r>
            <w:r>
              <w:rPr>
                <w:rFonts w:hint="default" w:ascii="Times New Roman" w:hAnsi="Times New Roman" w:eastAsia="宋体" w:cs="Times New Roman"/>
                <w:color w:val="auto"/>
                <w:highlight w:val="none"/>
                <w:lang w:val="en-US" w:eastAsia="zh-CN"/>
              </w:rPr>
              <w:t>ZH37030630002</w:t>
            </w:r>
            <w:r>
              <w:rPr>
                <w:rFonts w:hint="default" w:ascii="Times New Roman" w:hAnsi="Times New Roman" w:eastAsia="宋体" w:cs="Times New Roman"/>
                <w:color w:val="auto"/>
                <w:highlight w:val="none"/>
                <w:lang w:val="zh-CN" w:eastAsia="zh-CN"/>
              </w:rPr>
              <w:t>，为</w:t>
            </w:r>
            <w:r>
              <w:rPr>
                <w:rFonts w:hint="default" w:ascii="Times New Roman" w:hAnsi="Times New Roman" w:eastAsia="宋体" w:cs="Times New Roman"/>
                <w:color w:val="auto"/>
                <w:highlight w:val="none"/>
                <w:lang w:val="en-US" w:eastAsia="zh-CN"/>
              </w:rPr>
              <w:t>一般</w:t>
            </w:r>
            <w:r>
              <w:rPr>
                <w:rFonts w:hint="default" w:ascii="Times New Roman" w:hAnsi="Times New Roman" w:eastAsia="宋体" w:cs="Times New Roman"/>
                <w:color w:val="auto"/>
                <w:highlight w:val="none"/>
                <w:lang w:val="zh-CN" w:eastAsia="zh-CN"/>
              </w:rPr>
              <w:t>管控单元。本项目与</w:t>
            </w:r>
            <w:r>
              <w:rPr>
                <w:rFonts w:hint="default" w:ascii="Times New Roman" w:hAnsi="Times New Roman" w:cs="Times New Roman" w:eastAsiaTheme="majorEastAsia"/>
                <w:i w:val="0"/>
                <w:iCs w:val="0"/>
                <w:color w:val="auto"/>
                <w:kern w:val="0"/>
                <w:sz w:val="21"/>
                <w:szCs w:val="21"/>
                <w:highlight w:val="none"/>
                <w:u w:val="none"/>
                <w:lang w:val="en-US" w:eastAsia="zh-CN" w:bidi="ar"/>
              </w:rPr>
              <w:t>萌水镇</w:t>
            </w:r>
            <w:r>
              <w:rPr>
                <w:rFonts w:hint="default" w:ascii="Times New Roman" w:hAnsi="Times New Roman" w:eastAsia="宋体" w:cs="Times New Roman"/>
                <w:color w:val="auto"/>
                <w:highlight w:val="none"/>
                <w:lang w:val="zh-CN" w:eastAsia="zh-CN"/>
              </w:rPr>
              <w:t>环境管控单元管控要求符合性分析见下表。</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rPr>
              <w:t>表</w:t>
            </w:r>
            <w:r>
              <w:rPr>
                <w:rFonts w:hint="default" w:ascii="Times New Roman" w:hAnsi="Times New Roman" w:cs="Times New Roman"/>
                <w:b/>
                <w:bCs/>
                <w:color w:val="auto"/>
                <w:highlight w:val="none"/>
                <w:lang w:val="en-US" w:eastAsia="zh-CN"/>
              </w:rPr>
              <w:t>1-</w:t>
            </w:r>
            <w:r>
              <w:rPr>
                <w:rFonts w:hint="default" w:ascii="Times New Roman" w:hAnsi="Times New Roman" w:cs="Times New Roman"/>
                <w:b/>
                <w:bCs/>
                <w:color w:val="auto"/>
                <w:spacing w:val="0"/>
                <w:sz w:val="21"/>
                <w:szCs w:val="21"/>
                <w:highlight w:val="none"/>
                <w:lang w:val="en-US" w:eastAsia="zh-CN"/>
              </w:rPr>
              <w:t>2</w:t>
            </w:r>
            <w:r>
              <w:rPr>
                <w:rFonts w:hint="default" w:ascii="Times New Roman" w:hAnsi="Times New Roman" w:eastAsia="宋体" w:cs="Times New Roman"/>
                <w:b/>
                <w:bCs/>
                <w:color w:val="auto"/>
                <w:spacing w:val="0"/>
                <w:sz w:val="21"/>
                <w:szCs w:val="21"/>
                <w:highlight w:val="none"/>
                <w:lang w:val="en-US" w:eastAsia="zh-CN"/>
              </w:rPr>
              <w:t xml:space="preserve"> </w:t>
            </w:r>
            <w:r>
              <w:rPr>
                <w:rFonts w:hint="default" w:ascii="Times New Roman" w:hAnsi="Times New Roman" w:cs="Times New Roman"/>
                <w:b/>
                <w:bCs/>
                <w:color w:val="auto"/>
                <w:spacing w:val="0"/>
                <w:sz w:val="21"/>
                <w:szCs w:val="21"/>
                <w:highlight w:val="none"/>
                <w:lang w:val="en-US" w:eastAsia="zh-CN"/>
              </w:rPr>
              <w:t xml:space="preserve"> 与萌水镇</w:t>
            </w:r>
            <w:r>
              <w:rPr>
                <w:rFonts w:hint="default" w:ascii="Times New Roman" w:hAnsi="Times New Roman" w:eastAsia="宋体" w:cs="Times New Roman"/>
                <w:b/>
                <w:bCs/>
                <w:color w:val="auto"/>
                <w:spacing w:val="0"/>
                <w:sz w:val="21"/>
                <w:szCs w:val="21"/>
                <w:highlight w:val="none"/>
                <w:lang w:val="en-US" w:eastAsia="zh-CN"/>
              </w:rPr>
              <w:t>环境管控单元</w:t>
            </w:r>
            <w:r>
              <w:rPr>
                <w:rFonts w:hint="default" w:ascii="Times New Roman" w:hAnsi="Times New Roman" w:eastAsia="宋体" w:cs="Times New Roman"/>
                <w:b/>
                <w:bCs/>
                <w:color w:val="auto"/>
                <w:spacing w:val="0"/>
                <w:sz w:val="21"/>
                <w:szCs w:val="21"/>
                <w:highlight w:val="none"/>
              </w:rPr>
              <w:t>符合性</w:t>
            </w:r>
            <w:r>
              <w:rPr>
                <w:rFonts w:hint="default" w:ascii="Times New Roman" w:hAnsi="Times New Roman" w:cs="Times New Roman"/>
                <w:b/>
                <w:bCs/>
                <w:color w:val="auto"/>
                <w:spacing w:val="0"/>
                <w:sz w:val="21"/>
                <w:szCs w:val="21"/>
                <w:highlight w:val="none"/>
                <w:lang w:val="en-US" w:eastAsia="zh-CN"/>
              </w:rPr>
              <w:t>分析一览表</w:t>
            </w:r>
          </w:p>
          <w:tbl>
            <w:tblPr>
              <w:tblStyle w:val="37"/>
              <w:tblW w:w="494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741"/>
              <w:gridCol w:w="2315"/>
              <w:gridCol w:w="7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b/>
                      <w:bCs/>
                      <w:color w:val="auto"/>
                      <w:spacing w:val="0"/>
                      <w:sz w:val="21"/>
                      <w:szCs w:val="21"/>
                      <w:highlight w:val="none"/>
                      <w:vertAlign w:val="baseline"/>
                      <w:lang w:val="en-US" w:eastAsia="zh-CN"/>
                    </w:rPr>
                  </w:pPr>
                  <w:r>
                    <w:rPr>
                      <w:rFonts w:hint="default" w:ascii="Times New Roman" w:hAnsi="Times New Roman" w:eastAsia="宋体" w:cs="Times New Roman"/>
                      <w:b/>
                      <w:bCs/>
                      <w:color w:val="auto"/>
                      <w:spacing w:val="0"/>
                      <w:sz w:val="21"/>
                      <w:szCs w:val="21"/>
                      <w:highlight w:val="none"/>
                      <w:lang w:eastAsia="zh-CN"/>
                    </w:rPr>
                    <w:t>管控</w:t>
                  </w:r>
                  <w:r>
                    <w:rPr>
                      <w:rFonts w:hint="default" w:ascii="Times New Roman" w:hAnsi="Times New Roman" w:eastAsia="宋体" w:cs="Times New Roman"/>
                      <w:b/>
                      <w:bCs/>
                      <w:color w:val="auto"/>
                      <w:spacing w:val="0"/>
                      <w:sz w:val="21"/>
                      <w:szCs w:val="21"/>
                      <w:highlight w:val="none"/>
                    </w:rPr>
                    <w:t>要求</w:t>
                  </w:r>
                </w:p>
              </w:tc>
              <w:tc>
                <w:tcPr>
                  <w:tcW w:w="3733" w:type="dxa"/>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b/>
                      <w:bCs/>
                      <w:color w:val="auto"/>
                      <w:spacing w:val="0"/>
                      <w:sz w:val="21"/>
                      <w:szCs w:val="21"/>
                      <w:highlight w:val="none"/>
                      <w:vertAlign w:val="baseline"/>
                      <w:lang w:val="en-US" w:eastAsia="zh-CN"/>
                    </w:rPr>
                  </w:pPr>
                  <w:r>
                    <w:rPr>
                      <w:rFonts w:hint="default" w:ascii="Times New Roman" w:hAnsi="Times New Roman" w:cs="Times New Roman"/>
                      <w:b/>
                      <w:bCs/>
                      <w:color w:val="auto"/>
                      <w:spacing w:val="0"/>
                      <w:sz w:val="21"/>
                      <w:szCs w:val="21"/>
                      <w:highlight w:val="none"/>
                      <w:lang w:val="en-US" w:eastAsia="zh-CN"/>
                    </w:rPr>
                    <w:t>具体规定</w:t>
                  </w:r>
                </w:p>
              </w:tc>
              <w:tc>
                <w:tcPr>
                  <w:tcW w:w="2310" w:type="dxa"/>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b/>
                      <w:bCs/>
                      <w:color w:val="auto"/>
                      <w:spacing w:val="0"/>
                      <w:sz w:val="21"/>
                      <w:szCs w:val="21"/>
                      <w:highlight w:val="none"/>
                      <w:vertAlign w:val="baseline"/>
                      <w:lang w:val="en-US" w:eastAsia="zh-CN"/>
                    </w:rPr>
                  </w:pPr>
                  <w:r>
                    <w:rPr>
                      <w:rFonts w:hint="default" w:ascii="Times New Roman" w:hAnsi="Times New Roman" w:eastAsia="宋体" w:cs="Times New Roman"/>
                      <w:b/>
                      <w:bCs/>
                      <w:color w:val="auto"/>
                      <w:spacing w:val="0"/>
                      <w:sz w:val="21"/>
                      <w:szCs w:val="21"/>
                      <w:highlight w:val="none"/>
                    </w:rPr>
                    <w:t>本项目情况</w:t>
                  </w:r>
                </w:p>
              </w:tc>
              <w:tc>
                <w:tcPr>
                  <w:tcW w:w="754" w:type="dxa"/>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b/>
                      <w:bCs/>
                      <w:color w:val="auto"/>
                      <w:spacing w:val="0"/>
                      <w:sz w:val="21"/>
                      <w:szCs w:val="21"/>
                      <w:highlight w:val="none"/>
                      <w:vertAlign w:val="baseline"/>
                      <w:lang w:val="en-US" w:eastAsia="zh-CN"/>
                    </w:rPr>
                  </w:pPr>
                  <w:r>
                    <w:rPr>
                      <w:rFonts w:hint="default" w:ascii="Times New Roman" w:hAnsi="Times New Roman" w:eastAsia="宋体" w:cs="Times New Roman"/>
                      <w:b/>
                      <w:bCs/>
                      <w:color w:val="auto"/>
                      <w:spacing w:val="0"/>
                      <w:sz w:val="21"/>
                      <w:szCs w:val="21"/>
                      <w:highlight w:val="none"/>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restart"/>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空间布局约束</w:t>
                  </w: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1.</w:t>
                  </w:r>
                  <w:r>
                    <w:rPr>
                      <w:rStyle w:val="114"/>
                      <w:rFonts w:hint="default" w:ascii="Times New Roman" w:hAnsi="Times New Roman" w:cs="Times New Roman" w:eastAsiaTheme="majorEastAsia"/>
                      <w:color w:val="auto"/>
                      <w:sz w:val="21"/>
                      <w:szCs w:val="21"/>
                      <w:highlight w:val="none"/>
                      <w:lang w:val="en-US" w:eastAsia="zh-CN" w:bidi="ar"/>
                    </w:rPr>
                    <w:t>禁止新建、扩建《产业结构调整指导目录》（现行）明确的淘汰类项目和引入《市场准入负面清单》（现行）禁止准入类事项；鼓励对列入《产业结构调整指导目录》的限制类、淘汰类工业项目进行淘汰和提升改造。</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cs="Times New Roman"/>
                      <w:color w:val="auto"/>
                      <w:kern w:val="0"/>
                      <w:sz w:val="21"/>
                      <w:szCs w:val="21"/>
                      <w:highlight w:val="none"/>
                      <w:lang w:bidi="ar"/>
                    </w:rPr>
                    <w:t>项目不属于《产业结构调整指导目录》（现行）明确的淘汰类项目和引入《市场准入负面清单》（现行）禁止准入类事项</w:t>
                  </w:r>
                  <w:r>
                    <w:rPr>
                      <w:rFonts w:hint="default" w:ascii="Times New Roman" w:hAnsi="Times New Roman" w:cs="Times New Roman"/>
                      <w:color w:val="auto"/>
                      <w:kern w:val="0"/>
                      <w:sz w:val="21"/>
                      <w:szCs w:val="21"/>
                      <w:highlight w:val="none"/>
                      <w:lang w:eastAsia="zh-CN" w:bidi="ar"/>
                    </w:rPr>
                    <w:t>。</w:t>
                  </w:r>
                </w:p>
              </w:tc>
              <w:tc>
                <w:tcPr>
                  <w:tcW w:w="754" w:type="dxa"/>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2.</w:t>
                  </w:r>
                  <w:r>
                    <w:rPr>
                      <w:rStyle w:val="114"/>
                      <w:rFonts w:hint="default" w:ascii="Times New Roman" w:hAnsi="Times New Roman" w:cs="Times New Roman" w:eastAsiaTheme="majorEastAsia"/>
                      <w:color w:val="auto"/>
                      <w:sz w:val="21"/>
                      <w:szCs w:val="21"/>
                      <w:highlight w:val="none"/>
                      <w:lang w:val="en-US" w:eastAsia="zh-CN" w:bidi="ar"/>
                    </w:rPr>
                    <w:t>生态保护红线内禁止城镇化和工业化活动，严禁开展不符合主体功能定位的各类开发活动。对生态保护红线内文昌湖赤眼鳟国家级水产种质资源保护区、文昌湖省级湿地公园的管理，严格按照《关于在国土空间规划中统筹划定落实三条控制线的指导意见》（</w:t>
                  </w:r>
                  <w:r>
                    <w:rPr>
                      <w:rStyle w:val="95"/>
                      <w:rFonts w:hint="default" w:ascii="Times New Roman" w:hAnsi="Times New Roman" w:cs="Times New Roman" w:eastAsiaTheme="majorEastAsia"/>
                      <w:color w:val="auto"/>
                      <w:sz w:val="21"/>
                      <w:szCs w:val="21"/>
                      <w:highlight w:val="none"/>
                      <w:lang w:val="en-US" w:eastAsia="zh-CN" w:bidi="ar"/>
                    </w:rPr>
                    <w:t>2019</w:t>
                  </w:r>
                  <w:r>
                    <w:rPr>
                      <w:rStyle w:val="114"/>
                      <w:rFonts w:hint="default" w:ascii="Times New Roman" w:hAnsi="Times New Roman" w:cs="Times New Roman" w:eastAsiaTheme="majorEastAsia"/>
                      <w:color w:val="auto"/>
                      <w:sz w:val="21"/>
                      <w:szCs w:val="21"/>
                      <w:highlight w:val="none"/>
                      <w:lang w:val="en-US" w:eastAsia="zh-CN" w:bidi="ar"/>
                    </w:rPr>
                    <w:t>年</w:t>
                  </w:r>
                  <w:r>
                    <w:rPr>
                      <w:rStyle w:val="95"/>
                      <w:rFonts w:hint="default" w:ascii="Times New Roman" w:hAnsi="Times New Roman" w:cs="Times New Roman" w:eastAsiaTheme="majorEastAsia"/>
                      <w:color w:val="auto"/>
                      <w:sz w:val="21"/>
                      <w:szCs w:val="21"/>
                      <w:highlight w:val="none"/>
                      <w:lang w:val="en-US" w:eastAsia="zh-CN" w:bidi="ar"/>
                    </w:rPr>
                    <w:t>11</w:t>
                  </w:r>
                  <w:r>
                    <w:rPr>
                      <w:rStyle w:val="114"/>
                      <w:rFonts w:hint="default" w:ascii="Times New Roman" w:hAnsi="Times New Roman" w:cs="Times New Roman" w:eastAsiaTheme="majorEastAsia"/>
                      <w:color w:val="auto"/>
                      <w:sz w:val="21"/>
                      <w:szCs w:val="21"/>
                      <w:highlight w:val="none"/>
                      <w:lang w:val="en-US" w:eastAsia="zh-CN" w:bidi="ar"/>
                    </w:rPr>
                    <w:t>月）、《关于划定并严守生态保护红线的若干意见》《自然生态空间用途管制办法（试行）》（国土资发〔</w:t>
                  </w:r>
                  <w:r>
                    <w:rPr>
                      <w:rStyle w:val="95"/>
                      <w:rFonts w:hint="default" w:ascii="Times New Roman" w:hAnsi="Times New Roman" w:cs="Times New Roman" w:eastAsiaTheme="majorEastAsia"/>
                      <w:color w:val="auto"/>
                      <w:sz w:val="21"/>
                      <w:szCs w:val="21"/>
                      <w:highlight w:val="none"/>
                      <w:lang w:val="en-US" w:eastAsia="zh-CN" w:bidi="ar"/>
                    </w:rPr>
                    <w:t>2017</w:t>
                  </w:r>
                  <w:r>
                    <w:rPr>
                      <w:rStyle w:val="114"/>
                      <w:rFonts w:hint="default" w:ascii="Times New Roman" w:hAnsi="Times New Roman" w:cs="Times New Roman" w:eastAsiaTheme="majorEastAsia"/>
                      <w:color w:val="auto"/>
                      <w:sz w:val="21"/>
                      <w:szCs w:val="21"/>
                      <w:highlight w:val="none"/>
                      <w:lang w:val="en-US" w:eastAsia="zh-CN" w:bidi="ar"/>
                    </w:rPr>
                    <w:t>〕</w:t>
                  </w:r>
                  <w:r>
                    <w:rPr>
                      <w:rStyle w:val="95"/>
                      <w:rFonts w:hint="default" w:ascii="Times New Roman" w:hAnsi="Times New Roman" w:cs="Times New Roman" w:eastAsiaTheme="majorEastAsia"/>
                      <w:color w:val="auto"/>
                      <w:sz w:val="21"/>
                      <w:szCs w:val="21"/>
                      <w:highlight w:val="none"/>
                      <w:lang w:val="en-US" w:eastAsia="zh-CN" w:bidi="ar"/>
                    </w:rPr>
                    <w:t>33</w:t>
                  </w:r>
                  <w:r>
                    <w:rPr>
                      <w:rStyle w:val="114"/>
                      <w:rFonts w:hint="default" w:ascii="Times New Roman" w:hAnsi="Times New Roman" w:cs="Times New Roman" w:eastAsiaTheme="majorEastAsia"/>
                      <w:color w:val="auto"/>
                      <w:sz w:val="21"/>
                      <w:szCs w:val="21"/>
                      <w:highlight w:val="none"/>
                      <w:lang w:val="en-US" w:eastAsia="zh-CN" w:bidi="ar"/>
                    </w:rPr>
                    <w:t>号）等相关要求管控。</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cs="Times New Roman"/>
                      <w:color w:val="auto"/>
                      <w:kern w:val="0"/>
                      <w:sz w:val="21"/>
                      <w:szCs w:val="21"/>
                      <w:highlight w:val="none"/>
                      <w:lang w:bidi="ar"/>
                    </w:rPr>
                    <w:t>项目不位于淄博市各生态保护红线区范围内</w:t>
                  </w:r>
                  <w:r>
                    <w:rPr>
                      <w:rFonts w:hint="default" w:ascii="Times New Roman" w:hAnsi="Times New Roman" w:cs="Times New Roman"/>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3.</w:t>
                  </w:r>
                  <w:r>
                    <w:rPr>
                      <w:rStyle w:val="114"/>
                      <w:rFonts w:hint="default" w:ascii="Times New Roman" w:hAnsi="Times New Roman" w:cs="Times New Roman" w:eastAsiaTheme="majorEastAsia"/>
                      <w:color w:val="auto"/>
                      <w:sz w:val="21"/>
                      <w:szCs w:val="21"/>
                      <w:highlight w:val="none"/>
                      <w:lang w:val="en-US" w:eastAsia="zh-CN" w:bidi="ar"/>
                    </w:rPr>
                    <w:t>生态保护红线外的生态空间，依法依规以保护为主，严格限制大规模、高强度的区域开发，并根据其主导生态功能进行分类管控。</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cs="Times New Roman"/>
                      <w:color w:val="auto"/>
                      <w:kern w:val="0"/>
                      <w:sz w:val="21"/>
                      <w:szCs w:val="21"/>
                      <w:highlight w:val="none"/>
                      <w:lang w:bidi="ar"/>
                    </w:rPr>
                    <w:t>项目位于山东省淄博市文昌湖区萌水镇，属于一般管控单元</w:t>
                  </w:r>
                  <w:r>
                    <w:rPr>
                      <w:rFonts w:hint="default" w:ascii="Times New Roman" w:hAnsi="Times New Roman" w:cs="Times New Roman"/>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4.</w:t>
                  </w:r>
                  <w:r>
                    <w:rPr>
                      <w:rStyle w:val="114"/>
                      <w:rFonts w:hint="default" w:ascii="Times New Roman" w:hAnsi="Times New Roman" w:cs="Times New Roman" w:eastAsiaTheme="majorEastAsia"/>
                      <w:color w:val="auto"/>
                      <w:sz w:val="21"/>
                      <w:szCs w:val="21"/>
                      <w:highlight w:val="none"/>
                      <w:lang w:val="en-US" w:eastAsia="zh-CN" w:bidi="ar"/>
                    </w:rPr>
                    <w:t>按《土壤污染防治行动计划》的要求管理：严格控制在优先保护类耕地集中区域新建有色金属冶炼、石油加工、化工、焦化、电镀、制革等行业企业。对永久基本农田实行严格保护，确保其面积不减少、土壤环境质量不下降，除法律规定的重点建设项目选址确实无法避让外，其他任何建设不得占用。</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sz w:val="21"/>
                      <w:szCs w:val="21"/>
                      <w:highlight w:val="none"/>
                      <w:lang w:eastAsia="zh-CN"/>
                    </w:rPr>
                    <w:t>本项目不属于前述行业类别，且</w:t>
                  </w:r>
                  <w:r>
                    <w:rPr>
                      <w:rFonts w:hint="default" w:ascii="Times New Roman" w:hAnsi="Times New Roman" w:cs="Times New Roman"/>
                      <w:color w:val="auto"/>
                      <w:kern w:val="0"/>
                      <w:sz w:val="21"/>
                      <w:szCs w:val="21"/>
                      <w:highlight w:val="none"/>
                      <w:lang w:bidi="ar"/>
                    </w:rPr>
                    <w:t>不占用永久基本农田</w:t>
                  </w:r>
                  <w:r>
                    <w:rPr>
                      <w:rFonts w:hint="default" w:ascii="Times New Roman" w:hAnsi="Times New Roman" w:cs="Times New Roman"/>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5.</w:t>
                  </w:r>
                  <w:r>
                    <w:rPr>
                      <w:rStyle w:val="114"/>
                      <w:rFonts w:hint="default" w:ascii="Times New Roman" w:hAnsi="Times New Roman" w:cs="Times New Roman" w:eastAsiaTheme="majorEastAsia"/>
                      <w:color w:val="auto"/>
                      <w:sz w:val="21"/>
                      <w:szCs w:val="21"/>
                      <w:highlight w:val="none"/>
                      <w:lang w:val="en-US" w:eastAsia="zh-CN" w:bidi="ar"/>
                    </w:rPr>
                    <w:t>大气布局敏感区从严控制新建、扩建排放大气污染物的工业项目；科学合理规划布局商业、居住并严格执行。</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cs="Times New Roman"/>
                      <w:color w:val="auto"/>
                      <w:kern w:val="0"/>
                      <w:sz w:val="21"/>
                      <w:szCs w:val="21"/>
                      <w:highlight w:val="none"/>
                      <w:lang w:bidi="ar"/>
                    </w:rPr>
                    <w:t>项目位于山东省淄博市文昌湖区萌水镇，属于一般管控单元</w:t>
                  </w:r>
                  <w:r>
                    <w:rPr>
                      <w:rFonts w:hint="default" w:ascii="Times New Roman" w:hAnsi="Times New Roman" w:cs="Times New Roman"/>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6.</w:t>
                  </w:r>
                  <w:r>
                    <w:rPr>
                      <w:rStyle w:val="114"/>
                      <w:rFonts w:hint="default" w:ascii="Times New Roman" w:hAnsi="Times New Roman" w:cs="Times New Roman" w:eastAsiaTheme="majorEastAsia"/>
                      <w:color w:val="auto"/>
                      <w:sz w:val="21"/>
                      <w:szCs w:val="21"/>
                      <w:highlight w:val="none"/>
                      <w:lang w:val="en-US" w:eastAsia="zh-CN" w:bidi="ar"/>
                    </w:rPr>
                    <w:t>污水处理设施不健全、未正常运行或污水管网未覆盖的地区，未配套污水处理设施的项目不得建设。</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eastAsia="宋体" w:cs="Times New Roman"/>
                      <w:color w:val="auto"/>
                      <w:kern w:val="0"/>
                      <w:sz w:val="21"/>
                      <w:szCs w:val="21"/>
                      <w:highlight w:val="none"/>
                      <w:lang w:bidi="ar"/>
                    </w:rPr>
                    <w:t>项目</w:t>
                  </w:r>
                  <w:r>
                    <w:rPr>
                      <w:rFonts w:hint="default" w:ascii="Times New Roman" w:hAnsi="Times New Roman" w:cs="Times New Roman"/>
                      <w:color w:val="auto"/>
                      <w:kern w:val="0"/>
                      <w:sz w:val="21"/>
                      <w:szCs w:val="21"/>
                      <w:highlight w:val="none"/>
                      <w:lang w:val="en-US" w:eastAsia="zh-CN" w:bidi="ar"/>
                    </w:rPr>
                    <w:t>所在区域污水管网已覆盖，企业配套污水处理装置</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Style w:val="100"/>
                      <w:rFonts w:hint="default" w:ascii="Times New Roman" w:hAnsi="Times New Roman" w:cs="Times New Roman" w:eastAsiaTheme="majorEastAsia"/>
                      <w:color w:val="auto"/>
                      <w:sz w:val="21"/>
                      <w:szCs w:val="21"/>
                      <w:highlight w:val="none"/>
                      <w:lang w:val="en-US" w:eastAsia="zh-CN" w:bidi="ar"/>
                    </w:rPr>
                  </w:pPr>
                  <w:r>
                    <w:rPr>
                      <w:rStyle w:val="100"/>
                      <w:rFonts w:hint="default" w:ascii="Times New Roman" w:hAnsi="Times New Roman" w:cs="Times New Roman" w:eastAsiaTheme="majorEastAsia"/>
                      <w:color w:val="auto"/>
                      <w:sz w:val="21"/>
                      <w:szCs w:val="21"/>
                      <w:highlight w:val="none"/>
                      <w:lang w:val="en-US" w:eastAsia="zh-CN" w:bidi="ar"/>
                    </w:rPr>
                    <w:t>7.</w:t>
                  </w:r>
                  <w:r>
                    <w:rPr>
                      <w:rStyle w:val="115"/>
                      <w:rFonts w:hint="default" w:ascii="Times New Roman" w:hAnsi="Times New Roman" w:cs="Times New Roman" w:eastAsiaTheme="majorEastAsia"/>
                      <w:color w:val="auto"/>
                      <w:sz w:val="21"/>
                      <w:szCs w:val="21"/>
                      <w:highlight w:val="none"/>
                      <w:lang w:val="en-US" w:eastAsia="zh-CN" w:bidi="ar"/>
                    </w:rPr>
                    <w:t>新建有污染物排放的工业项目，除在安全生产等方面有特殊要求的以外，应当进入工业园区或工业聚集区。</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eastAsia="宋体" w:cs="Times New Roman"/>
                      <w:color w:val="auto"/>
                      <w:kern w:val="0"/>
                      <w:sz w:val="21"/>
                      <w:szCs w:val="21"/>
                      <w:highlight w:val="none"/>
                      <w:lang w:bidi="ar"/>
                    </w:rPr>
                    <w:t>项目位于山东省淄博市文昌湖区萌水镇工业集聚区</w:t>
                  </w:r>
                  <w:r>
                    <w:rPr>
                      <w:rFonts w:hint="default" w:ascii="Times New Roman" w:hAnsi="Times New Roman" w:cs="Times New Roman"/>
                      <w:color w:val="auto"/>
                      <w:highlight w:val="none"/>
                      <w:lang w:val="en-US" w:eastAsia="zh-CN"/>
                    </w:rPr>
                    <w:t>萌水镇中心工业片区。</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100"/>
                      <w:rFonts w:hint="default" w:ascii="Times New Roman" w:hAnsi="Times New Roman" w:cs="Times New Roman" w:eastAsiaTheme="majorEastAsia"/>
                      <w:color w:val="auto"/>
                      <w:sz w:val="21"/>
                      <w:szCs w:val="21"/>
                      <w:highlight w:val="none"/>
                      <w:lang w:val="en-US" w:eastAsia="zh-CN" w:bidi="ar"/>
                    </w:rPr>
                    <w:t>8.</w:t>
                  </w:r>
                  <w:r>
                    <w:rPr>
                      <w:rStyle w:val="115"/>
                      <w:rFonts w:hint="default" w:ascii="Times New Roman" w:hAnsi="Times New Roman" w:cs="Times New Roman" w:eastAsiaTheme="majorEastAsia"/>
                      <w:color w:val="auto"/>
                      <w:sz w:val="21"/>
                      <w:szCs w:val="21"/>
                      <w:highlight w:val="none"/>
                      <w:lang w:val="en-US" w:eastAsia="zh-CN" w:bidi="ar"/>
                    </w:rPr>
                    <w:t>按照省市要求，严格控制</w:t>
                  </w:r>
                  <w:r>
                    <w:rPr>
                      <w:rStyle w:val="100"/>
                      <w:rFonts w:hint="default" w:ascii="Times New Roman" w:hAnsi="Times New Roman" w:cs="Times New Roman" w:eastAsiaTheme="majorEastAsia"/>
                      <w:color w:val="auto"/>
                      <w:sz w:val="21"/>
                      <w:szCs w:val="21"/>
                      <w:highlight w:val="none"/>
                      <w:lang w:val="en-US" w:eastAsia="zh-CN" w:bidi="ar"/>
                    </w:rPr>
                    <w:t>“</w:t>
                  </w:r>
                  <w:r>
                    <w:rPr>
                      <w:rStyle w:val="115"/>
                      <w:rFonts w:hint="default" w:ascii="Times New Roman" w:hAnsi="Times New Roman" w:cs="Times New Roman" w:eastAsiaTheme="majorEastAsia"/>
                      <w:color w:val="auto"/>
                      <w:sz w:val="21"/>
                      <w:szCs w:val="21"/>
                      <w:highlight w:val="none"/>
                      <w:lang w:val="en-US" w:eastAsia="zh-CN" w:bidi="ar"/>
                    </w:rPr>
                    <w:t>两高</w:t>
                  </w:r>
                  <w:r>
                    <w:rPr>
                      <w:rStyle w:val="100"/>
                      <w:rFonts w:hint="default" w:ascii="Times New Roman" w:hAnsi="Times New Roman" w:cs="Times New Roman" w:eastAsiaTheme="majorEastAsia"/>
                      <w:color w:val="auto"/>
                      <w:sz w:val="21"/>
                      <w:szCs w:val="21"/>
                      <w:highlight w:val="none"/>
                      <w:lang w:val="en-US" w:eastAsia="zh-CN" w:bidi="ar"/>
                    </w:rPr>
                    <w:t>”</w:t>
                  </w:r>
                  <w:r>
                    <w:rPr>
                      <w:rStyle w:val="115"/>
                      <w:rFonts w:hint="default" w:ascii="Times New Roman" w:hAnsi="Times New Roman" w:cs="Times New Roman" w:eastAsiaTheme="majorEastAsia"/>
                      <w:color w:val="auto"/>
                      <w:sz w:val="21"/>
                      <w:szCs w:val="21"/>
                      <w:highlight w:val="none"/>
                      <w:lang w:val="en-US" w:eastAsia="zh-CN" w:bidi="ar"/>
                    </w:rPr>
                    <w:t>项目，新建</w:t>
                  </w:r>
                  <w:r>
                    <w:rPr>
                      <w:rStyle w:val="100"/>
                      <w:rFonts w:hint="default" w:ascii="Times New Roman" w:hAnsi="Times New Roman" w:cs="Times New Roman" w:eastAsiaTheme="majorEastAsia"/>
                      <w:color w:val="auto"/>
                      <w:sz w:val="21"/>
                      <w:szCs w:val="21"/>
                      <w:highlight w:val="none"/>
                      <w:lang w:val="en-US" w:eastAsia="zh-CN" w:bidi="ar"/>
                    </w:rPr>
                    <w:t>“</w:t>
                  </w:r>
                  <w:r>
                    <w:rPr>
                      <w:rStyle w:val="115"/>
                      <w:rFonts w:hint="default" w:ascii="Times New Roman" w:hAnsi="Times New Roman" w:cs="Times New Roman" w:eastAsiaTheme="majorEastAsia"/>
                      <w:color w:val="auto"/>
                      <w:sz w:val="21"/>
                      <w:szCs w:val="21"/>
                      <w:highlight w:val="none"/>
                      <w:lang w:val="en-US" w:eastAsia="zh-CN" w:bidi="ar"/>
                    </w:rPr>
                    <w:t>两高</w:t>
                  </w:r>
                  <w:r>
                    <w:rPr>
                      <w:rStyle w:val="100"/>
                      <w:rFonts w:hint="default" w:ascii="Times New Roman" w:hAnsi="Times New Roman" w:cs="Times New Roman" w:eastAsiaTheme="majorEastAsia"/>
                      <w:color w:val="auto"/>
                      <w:sz w:val="21"/>
                      <w:szCs w:val="21"/>
                      <w:highlight w:val="none"/>
                      <w:lang w:val="en-US" w:eastAsia="zh-CN" w:bidi="ar"/>
                    </w:rPr>
                    <w:t>”</w:t>
                  </w:r>
                  <w:r>
                    <w:rPr>
                      <w:rStyle w:val="115"/>
                      <w:rFonts w:hint="default" w:ascii="Times New Roman" w:hAnsi="Times New Roman" w:cs="Times New Roman" w:eastAsiaTheme="majorEastAsia"/>
                      <w:color w:val="auto"/>
                      <w:sz w:val="21"/>
                      <w:szCs w:val="21"/>
                      <w:highlight w:val="none"/>
                      <w:lang w:val="en-US" w:eastAsia="zh-CN" w:bidi="ar"/>
                    </w:rPr>
                    <w:t>项目实行</w:t>
                  </w:r>
                  <w:r>
                    <w:rPr>
                      <w:rStyle w:val="100"/>
                      <w:rFonts w:hint="default" w:ascii="Times New Roman" w:hAnsi="Times New Roman" w:cs="Times New Roman" w:eastAsiaTheme="majorEastAsia"/>
                      <w:color w:val="auto"/>
                      <w:sz w:val="21"/>
                      <w:szCs w:val="21"/>
                      <w:highlight w:val="none"/>
                      <w:lang w:val="en-US" w:eastAsia="zh-CN" w:bidi="ar"/>
                    </w:rPr>
                    <w:t>“</w:t>
                  </w:r>
                  <w:r>
                    <w:rPr>
                      <w:rStyle w:val="115"/>
                      <w:rFonts w:hint="default" w:ascii="Times New Roman" w:hAnsi="Times New Roman" w:cs="Times New Roman" w:eastAsiaTheme="majorEastAsia"/>
                      <w:color w:val="auto"/>
                      <w:sz w:val="21"/>
                      <w:szCs w:val="21"/>
                      <w:highlight w:val="none"/>
                      <w:lang w:val="en-US" w:eastAsia="zh-CN" w:bidi="ar"/>
                    </w:rPr>
                    <w:t>五个减量替代</w:t>
                  </w:r>
                  <w:r>
                    <w:rPr>
                      <w:rStyle w:val="100"/>
                      <w:rFonts w:hint="default" w:ascii="Times New Roman" w:hAnsi="Times New Roman" w:cs="Times New Roman" w:eastAsiaTheme="majorEastAsia"/>
                      <w:color w:val="auto"/>
                      <w:sz w:val="21"/>
                      <w:szCs w:val="21"/>
                      <w:highlight w:val="none"/>
                      <w:lang w:val="en-US" w:eastAsia="zh-CN" w:bidi="ar"/>
                    </w:rPr>
                    <w:t>”</w:t>
                  </w:r>
                  <w:r>
                    <w:rPr>
                      <w:rStyle w:val="115"/>
                      <w:rFonts w:hint="default" w:ascii="Times New Roman" w:hAnsi="Times New Roman" w:cs="Times New Roman" w:eastAsiaTheme="majorEastAsia"/>
                      <w:color w:val="auto"/>
                      <w:sz w:val="21"/>
                      <w:szCs w:val="21"/>
                      <w:highlight w:val="none"/>
                      <w:lang w:val="en-US" w:eastAsia="zh-CN" w:bidi="ar"/>
                    </w:rPr>
                    <w:t>。</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eastAsia="宋体" w:cs="Times New Roman"/>
                      <w:color w:val="auto"/>
                      <w:kern w:val="0"/>
                      <w:sz w:val="21"/>
                      <w:szCs w:val="21"/>
                      <w:highlight w:val="none"/>
                      <w:lang w:bidi="ar"/>
                    </w:rPr>
                    <w:t>项目不属于</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eastAsia="宋体" w:cs="Times New Roman"/>
                      <w:color w:val="auto"/>
                      <w:kern w:val="0"/>
                      <w:sz w:val="21"/>
                      <w:szCs w:val="21"/>
                      <w:highlight w:val="none"/>
                      <w:lang w:bidi="ar"/>
                    </w:rPr>
                    <w:t>两高</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eastAsia="宋体" w:cs="Times New Roman"/>
                      <w:color w:val="auto"/>
                      <w:kern w:val="0"/>
                      <w:sz w:val="21"/>
                      <w:szCs w:val="21"/>
                      <w:highlight w:val="none"/>
                      <w:lang w:bidi="ar"/>
                    </w:rPr>
                    <w:t>项目</w:t>
                  </w:r>
                  <w:r>
                    <w:rPr>
                      <w:rFonts w:hint="default" w:ascii="Times New Roman" w:hAnsi="Times New Roman" w:cs="Times New Roman"/>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restart"/>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r>
                    <w:rPr>
                      <w:rFonts w:hint="default" w:ascii="Times New Roman" w:hAnsi="Times New Roman" w:eastAsia="宋体" w:cs="Times New Roman"/>
                      <w:color w:val="auto"/>
                      <w:spacing w:val="0"/>
                      <w:sz w:val="21"/>
                      <w:szCs w:val="21"/>
                      <w:highlight w:val="none"/>
                    </w:rPr>
                    <w:t>污染物排放管控</w:t>
                  </w: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100"/>
                      <w:rFonts w:hint="default" w:ascii="Times New Roman" w:hAnsi="Times New Roman" w:cs="Times New Roman" w:eastAsiaTheme="majorEastAsia"/>
                      <w:color w:val="auto"/>
                      <w:sz w:val="21"/>
                      <w:szCs w:val="21"/>
                      <w:highlight w:val="none"/>
                      <w:lang w:val="en-US" w:eastAsia="zh-CN" w:bidi="ar"/>
                    </w:rPr>
                    <w:t>1.</w:t>
                  </w:r>
                  <w:r>
                    <w:rPr>
                      <w:rStyle w:val="115"/>
                      <w:rFonts w:hint="default" w:ascii="Times New Roman" w:hAnsi="Times New Roman" w:cs="Times New Roman" w:eastAsiaTheme="majorEastAsia"/>
                      <w:color w:val="auto"/>
                      <w:sz w:val="21"/>
                      <w:szCs w:val="21"/>
                      <w:highlight w:val="none"/>
                      <w:lang w:val="en-US" w:eastAsia="zh-CN" w:bidi="ar"/>
                    </w:rPr>
                    <w:t>涉</w:t>
                  </w:r>
                  <w:r>
                    <w:rPr>
                      <w:rStyle w:val="100"/>
                      <w:rFonts w:hint="default" w:ascii="Times New Roman" w:hAnsi="Times New Roman" w:cs="Times New Roman" w:eastAsiaTheme="majorEastAsia"/>
                      <w:color w:val="auto"/>
                      <w:sz w:val="21"/>
                      <w:szCs w:val="21"/>
                      <w:highlight w:val="none"/>
                      <w:lang w:val="en-US" w:eastAsia="zh-CN" w:bidi="ar"/>
                    </w:rPr>
                    <w:t>“</w:t>
                  </w:r>
                  <w:r>
                    <w:rPr>
                      <w:rStyle w:val="115"/>
                      <w:rFonts w:hint="default" w:ascii="Times New Roman" w:hAnsi="Times New Roman" w:cs="Times New Roman" w:eastAsiaTheme="majorEastAsia"/>
                      <w:color w:val="auto"/>
                      <w:sz w:val="21"/>
                      <w:szCs w:val="21"/>
                      <w:highlight w:val="none"/>
                      <w:lang w:val="en-US" w:eastAsia="zh-CN" w:bidi="ar"/>
                    </w:rPr>
                    <w:t>两高</w:t>
                  </w:r>
                  <w:r>
                    <w:rPr>
                      <w:rStyle w:val="100"/>
                      <w:rFonts w:hint="default" w:ascii="Times New Roman" w:hAnsi="Times New Roman" w:cs="Times New Roman" w:eastAsiaTheme="majorEastAsia"/>
                      <w:color w:val="auto"/>
                      <w:sz w:val="21"/>
                      <w:szCs w:val="21"/>
                      <w:highlight w:val="none"/>
                      <w:lang w:val="en-US" w:eastAsia="zh-CN" w:bidi="ar"/>
                    </w:rPr>
                    <w:t>”</w:t>
                  </w:r>
                  <w:r>
                    <w:rPr>
                      <w:rStyle w:val="115"/>
                      <w:rFonts w:hint="default" w:ascii="Times New Roman" w:hAnsi="Times New Roman" w:cs="Times New Roman" w:eastAsiaTheme="majorEastAsia"/>
                      <w:color w:val="auto"/>
                      <w:sz w:val="21"/>
                      <w:szCs w:val="21"/>
                      <w:highlight w:val="none"/>
                      <w:lang w:val="en-US" w:eastAsia="zh-CN" w:bidi="ar"/>
                    </w:rPr>
                    <w:t>项目企业应当积极实施节能改造提升，提高能源使用效率，推进节能减排。</w:t>
                  </w:r>
                </w:p>
              </w:tc>
              <w:tc>
                <w:tcPr>
                  <w:tcW w:w="2310" w:type="dxa"/>
                  <w:tcBorders>
                    <w:tl2br w:val="nil"/>
                    <w:tr2bl w:val="nil"/>
                  </w:tcBorders>
                  <w:shd w:val="clear" w:color="auto" w:fill="auto"/>
                  <w:noWrap w:val="0"/>
                  <w:vAlign w:val="center"/>
                </w:tcPr>
                <w:p>
                  <w:pPr>
                    <w:snapToGrid w:val="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eastAsia="宋体" w:cs="Times New Roman"/>
                      <w:color w:val="auto"/>
                      <w:kern w:val="0"/>
                      <w:sz w:val="21"/>
                      <w:szCs w:val="21"/>
                      <w:highlight w:val="none"/>
                      <w:lang w:bidi="ar"/>
                    </w:rPr>
                    <w:t>项目不属于</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eastAsia="宋体" w:cs="Times New Roman"/>
                      <w:color w:val="auto"/>
                      <w:kern w:val="0"/>
                      <w:sz w:val="21"/>
                      <w:szCs w:val="21"/>
                      <w:highlight w:val="none"/>
                      <w:lang w:bidi="ar"/>
                    </w:rPr>
                    <w:t>两高</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eastAsia="宋体" w:cs="Times New Roman"/>
                      <w:color w:val="auto"/>
                      <w:kern w:val="0"/>
                      <w:sz w:val="21"/>
                      <w:szCs w:val="21"/>
                      <w:highlight w:val="none"/>
                      <w:lang w:bidi="ar"/>
                    </w:rPr>
                    <w:t>项目</w:t>
                  </w:r>
                  <w:r>
                    <w:rPr>
                      <w:rFonts w:hint="default" w:ascii="Times New Roman" w:hAnsi="Times New Roman" w:cs="Times New Roman"/>
                      <w:color w:val="auto"/>
                      <w:kern w:val="0"/>
                      <w:sz w:val="21"/>
                      <w:szCs w:val="21"/>
                      <w:highlight w:val="none"/>
                      <w:lang w:eastAsia="zh-CN" w:bidi="ar"/>
                    </w:rPr>
                    <w:t>。</w:t>
                  </w:r>
                </w:p>
              </w:tc>
              <w:tc>
                <w:tcPr>
                  <w:tcW w:w="754" w:type="dxa"/>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100"/>
                      <w:rFonts w:hint="default" w:ascii="Times New Roman" w:hAnsi="Times New Roman" w:cs="Times New Roman" w:eastAsiaTheme="majorEastAsia"/>
                      <w:color w:val="auto"/>
                      <w:sz w:val="21"/>
                      <w:szCs w:val="21"/>
                      <w:highlight w:val="none"/>
                      <w:lang w:val="en-US" w:eastAsia="zh-CN" w:bidi="ar"/>
                    </w:rPr>
                    <w:t>2.</w:t>
                  </w:r>
                  <w:r>
                    <w:rPr>
                      <w:rStyle w:val="115"/>
                      <w:rFonts w:hint="default" w:ascii="Times New Roman" w:hAnsi="Times New Roman" w:cs="Times New Roman" w:eastAsiaTheme="majorEastAsia"/>
                      <w:color w:val="auto"/>
                      <w:sz w:val="21"/>
                      <w:szCs w:val="21"/>
                      <w:highlight w:val="none"/>
                      <w:lang w:val="en-US" w:eastAsia="zh-CN" w:bidi="ar"/>
                    </w:rPr>
                    <w:t>落实主要污染物总量替代要求，按照山东省生态环境厅《关于印发山东省建设项目主要大气污染物排放总量替代指标核算及管理办法的通知》，实施动态管控替代。</w:t>
                  </w:r>
                </w:p>
              </w:tc>
              <w:tc>
                <w:tcPr>
                  <w:tcW w:w="2310" w:type="dxa"/>
                  <w:tcBorders>
                    <w:tl2br w:val="nil"/>
                    <w:tr2bl w:val="nil"/>
                  </w:tcBorders>
                  <w:shd w:val="clear" w:color="auto" w:fill="auto"/>
                  <w:noWrap w:val="0"/>
                  <w:vAlign w:val="center"/>
                </w:tcPr>
                <w:p>
                  <w:pPr>
                    <w:snapToGrid w:val="0"/>
                    <w:jc w:val="both"/>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本</w:t>
                  </w:r>
                  <w:r>
                    <w:rPr>
                      <w:rFonts w:hint="default" w:ascii="Times New Roman" w:hAnsi="Times New Roman" w:cs="Times New Roman"/>
                      <w:color w:val="auto"/>
                      <w:sz w:val="21"/>
                      <w:szCs w:val="21"/>
                      <w:highlight w:val="none"/>
                    </w:rPr>
                    <w:t>项目</w:t>
                  </w:r>
                  <w:r>
                    <w:rPr>
                      <w:rFonts w:hint="default" w:ascii="Times New Roman" w:hAnsi="Times New Roman" w:cs="Times New Roman"/>
                      <w:color w:val="auto"/>
                      <w:sz w:val="21"/>
                      <w:szCs w:val="21"/>
                      <w:highlight w:val="none"/>
                      <w:lang w:val="en-US" w:eastAsia="zh-CN"/>
                    </w:rPr>
                    <w:t>严格落实总量替代要求，</w:t>
                  </w:r>
                  <w:r>
                    <w:rPr>
                      <w:rFonts w:hint="default" w:ascii="Times New Roman" w:hAnsi="Times New Roman" w:cs="Times New Roman"/>
                      <w:color w:val="auto"/>
                      <w:sz w:val="21"/>
                      <w:szCs w:val="21"/>
                      <w:highlight w:val="none"/>
                    </w:rPr>
                    <w:t>建成后需及时</w:t>
                  </w:r>
                  <w:r>
                    <w:rPr>
                      <w:rFonts w:hint="default" w:ascii="Times New Roman" w:hAnsi="Times New Roman" w:cs="Times New Roman"/>
                      <w:color w:val="auto"/>
                      <w:sz w:val="21"/>
                      <w:szCs w:val="21"/>
                      <w:highlight w:val="none"/>
                      <w:lang w:val="en-US" w:eastAsia="zh-CN"/>
                    </w:rPr>
                    <w:t>按要求及时变更排污许可证</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3.</w:t>
                  </w:r>
                  <w:r>
                    <w:rPr>
                      <w:rStyle w:val="114"/>
                      <w:rFonts w:hint="default" w:ascii="Times New Roman" w:hAnsi="Times New Roman" w:cs="Times New Roman" w:eastAsiaTheme="majorEastAsia"/>
                      <w:color w:val="auto"/>
                      <w:sz w:val="21"/>
                      <w:szCs w:val="21"/>
                      <w:highlight w:val="none"/>
                      <w:lang w:val="en-US" w:eastAsia="zh-CN" w:bidi="ar"/>
                    </w:rPr>
                    <w:t>废水应当按照要求进行预处理，达到行业排放标准或是综合排放标准后方可排放。</w:t>
                  </w:r>
                </w:p>
              </w:tc>
              <w:tc>
                <w:tcPr>
                  <w:tcW w:w="2310" w:type="dxa"/>
                  <w:vMerge w:val="restart"/>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eastAsia="宋体" w:cs="Times New Roman"/>
                      <w:color w:val="auto"/>
                      <w:kern w:val="0"/>
                      <w:sz w:val="21"/>
                      <w:szCs w:val="21"/>
                      <w:highlight w:val="none"/>
                      <w:lang w:bidi="ar"/>
                    </w:rPr>
                    <w:t>项目</w:t>
                  </w:r>
                  <w:r>
                    <w:rPr>
                      <w:rFonts w:hint="default" w:ascii="Times New Roman" w:hAnsi="Times New Roman" w:cs="Times New Roman"/>
                      <w:color w:val="auto"/>
                      <w:kern w:val="0"/>
                      <w:sz w:val="21"/>
                      <w:szCs w:val="21"/>
                      <w:highlight w:val="none"/>
                      <w:lang w:val="en-US" w:eastAsia="zh-CN" w:bidi="ar"/>
                    </w:rPr>
                    <w:t>生产废水和职工</w:t>
                  </w:r>
                  <w:r>
                    <w:rPr>
                      <w:rFonts w:hint="default" w:ascii="Times New Roman" w:hAnsi="Times New Roman" w:eastAsia="宋体" w:cs="Times New Roman"/>
                      <w:color w:val="auto"/>
                      <w:kern w:val="0"/>
                      <w:sz w:val="21"/>
                      <w:szCs w:val="21"/>
                      <w:highlight w:val="none"/>
                      <w:lang w:bidi="ar"/>
                    </w:rPr>
                    <w:t>生活污水</w:t>
                  </w:r>
                  <w:r>
                    <w:rPr>
                      <w:rFonts w:hint="default" w:ascii="Times New Roman" w:hAnsi="Times New Roman" w:cs="Times New Roman"/>
                      <w:color w:val="auto"/>
                      <w:kern w:val="0"/>
                      <w:sz w:val="21"/>
                      <w:szCs w:val="21"/>
                      <w:highlight w:val="none"/>
                      <w:lang w:val="en-US" w:eastAsia="zh-CN" w:bidi="ar"/>
                    </w:rPr>
                    <w:t>经厂区内污水处理站处理后排入淄博沃特水务能源开发有限公司</w:t>
                  </w:r>
                  <w:r>
                    <w:rPr>
                      <w:rFonts w:hint="default" w:ascii="Times New Roman" w:hAnsi="Times New Roman" w:cs="Times New Roman"/>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4.</w:t>
                  </w:r>
                  <w:r>
                    <w:rPr>
                      <w:rStyle w:val="114"/>
                      <w:rFonts w:hint="default" w:ascii="Times New Roman" w:hAnsi="Times New Roman" w:cs="Times New Roman" w:eastAsiaTheme="majorEastAsia"/>
                      <w:color w:val="auto"/>
                      <w:sz w:val="21"/>
                      <w:szCs w:val="21"/>
                      <w:highlight w:val="none"/>
                      <w:lang w:val="en-US" w:eastAsia="zh-CN" w:bidi="ar"/>
                    </w:rPr>
                    <w:t>禁止工业废水和生活污水未经处理直排环境；原则上除工业污水集中处理设施、城镇污水处理厂外不得新建入河排污口。</w:t>
                  </w:r>
                </w:p>
              </w:tc>
              <w:tc>
                <w:tcPr>
                  <w:tcW w:w="2310" w:type="dxa"/>
                  <w:vMerge w:val="continue"/>
                  <w:tcBorders>
                    <w:tl2br w:val="nil"/>
                    <w:tr2bl w:val="nil"/>
                  </w:tcBorders>
                  <w:shd w:val="clear" w:color="auto" w:fill="auto"/>
                  <w:noWrap w:val="0"/>
                  <w:vAlign w:val="center"/>
                </w:tcPr>
                <w:p>
                  <w:pPr>
                    <w:numPr>
                      <w:ilvl w:val="0"/>
                      <w:numId w:val="0"/>
                    </w:numPr>
                    <w:bidi w:val="0"/>
                    <w:spacing w:line="240" w:lineRule="auto"/>
                    <w:ind w:left="0" w:leftChars="0" w:firstLine="0" w:firstLineChars="0"/>
                    <w:jc w:val="both"/>
                    <w:rPr>
                      <w:rFonts w:hint="default" w:ascii="Times New Roman" w:hAnsi="Times New Roman" w:eastAsia="宋体" w:cs="Times New Roman"/>
                      <w:color w:val="auto"/>
                      <w:kern w:val="2"/>
                      <w:sz w:val="21"/>
                      <w:szCs w:val="21"/>
                      <w:highlight w:val="none"/>
                      <w:lang w:val="en-US" w:eastAsia="zh-CN" w:bidi="ar-SA"/>
                    </w:rPr>
                  </w:pP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5.</w:t>
                  </w:r>
                  <w:r>
                    <w:rPr>
                      <w:rStyle w:val="114"/>
                      <w:rFonts w:hint="default" w:ascii="Times New Roman" w:hAnsi="Times New Roman" w:cs="Times New Roman" w:eastAsiaTheme="majorEastAsia"/>
                      <w:color w:val="auto"/>
                      <w:sz w:val="21"/>
                      <w:szCs w:val="21"/>
                      <w:highlight w:val="none"/>
                      <w:lang w:val="en-US" w:eastAsia="zh-CN" w:bidi="ar"/>
                    </w:rPr>
                    <w:t>包装印刷、表面涂装等涉VOCs排放的行业，严格按照淄博市行业环境管控要求，实施源头替代，建立健全治理设施，确保污染物稳定达标排放，做到持证排污。</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eastAsia="宋体" w:cs="Times New Roman"/>
                      <w:color w:val="auto"/>
                      <w:kern w:val="0"/>
                      <w:sz w:val="21"/>
                      <w:szCs w:val="21"/>
                      <w:highlight w:val="none"/>
                      <w:lang w:bidi="ar"/>
                    </w:rPr>
                    <w:t>项目各污染物</w:t>
                  </w:r>
                  <w:r>
                    <w:rPr>
                      <w:rStyle w:val="114"/>
                      <w:rFonts w:hint="default" w:ascii="Times New Roman" w:hAnsi="Times New Roman" w:cs="Times New Roman" w:eastAsiaTheme="majorEastAsia"/>
                      <w:color w:val="auto"/>
                      <w:sz w:val="21"/>
                      <w:szCs w:val="21"/>
                      <w:highlight w:val="none"/>
                      <w:lang w:val="en-US" w:eastAsia="zh-CN" w:bidi="ar"/>
                    </w:rPr>
                    <w:t>稳定达标排放</w:t>
                  </w:r>
                  <w:r>
                    <w:rPr>
                      <w:rFonts w:hint="default" w:ascii="Times New Roman" w:hAnsi="Times New Roman" w:eastAsia="宋体" w:cs="Times New Roman"/>
                      <w:color w:val="auto"/>
                      <w:kern w:val="0"/>
                      <w:sz w:val="21"/>
                      <w:szCs w:val="21"/>
                      <w:highlight w:val="none"/>
                      <w:lang w:bidi="ar"/>
                    </w:rPr>
                    <w:t>，</w:t>
                  </w:r>
                  <w:r>
                    <w:rPr>
                      <w:rFonts w:hint="default" w:ascii="Times New Roman" w:hAnsi="Times New Roman" w:cs="Times New Roman"/>
                      <w:color w:val="auto"/>
                      <w:kern w:val="0"/>
                      <w:sz w:val="21"/>
                      <w:szCs w:val="21"/>
                      <w:highlight w:val="none"/>
                      <w:lang w:val="en-US" w:eastAsia="zh-CN" w:bidi="ar"/>
                    </w:rPr>
                    <w:t>项目技改</w:t>
                  </w:r>
                  <w:r>
                    <w:rPr>
                      <w:rFonts w:hint="default" w:ascii="Times New Roman" w:hAnsi="Times New Roman" w:eastAsia="宋体" w:cs="Times New Roman"/>
                      <w:color w:val="auto"/>
                      <w:kern w:val="0"/>
                      <w:sz w:val="21"/>
                      <w:szCs w:val="21"/>
                      <w:highlight w:val="none"/>
                      <w:lang w:bidi="ar"/>
                    </w:rPr>
                    <w:t>后</w:t>
                  </w:r>
                  <w:r>
                    <w:rPr>
                      <w:rFonts w:hint="default" w:ascii="Times New Roman" w:hAnsi="Times New Roman" w:cs="Times New Roman"/>
                      <w:color w:val="auto"/>
                      <w:kern w:val="0"/>
                      <w:sz w:val="21"/>
                      <w:szCs w:val="21"/>
                      <w:highlight w:val="none"/>
                      <w:lang w:eastAsia="zh-CN" w:bidi="ar"/>
                    </w:rPr>
                    <w:t>及时按要求变更排污许可证</w:t>
                  </w:r>
                  <w:r>
                    <w:rPr>
                      <w:rFonts w:hint="default" w:ascii="Times New Roman" w:hAnsi="Times New Roman" w:cs="Times New Roman"/>
                      <w:color w:val="auto"/>
                      <w:szCs w:val="21"/>
                      <w:highlight w:val="none"/>
                      <w:lang w:eastAsia="zh-CN"/>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restart"/>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r>
                    <w:rPr>
                      <w:rFonts w:hint="default" w:ascii="Times New Roman" w:hAnsi="Times New Roman" w:eastAsia="宋体" w:cs="Times New Roman"/>
                      <w:color w:val="auto"/>
                      <w:spacing w:val="0"/>
                      <w:sz w:val="21"/>
                      <w:szCs w:val="21"/>
                      <w:highlight w:val="none"/>
                    </w:rPr>
                    <w:t>环境风险防控</w:t>
                  </w: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1.</w:t>
                  </w:r>
                  <w:r>
                    <w:rPr>
                      <w:rStyle w:val="114"/>
                      <w:rFonts w:hint="default" w:ascii="Times New Roman" w:hAnsi="Times New Roman" w:cs="Times New Roman" w:eastAsiaTheme="majorEastAsia"/>
                      <w:color w:val="auto"/>
                      <w:sz w:val="21"/>
                      <w:szCs w:val="21"/>
                      <w:highlight w:val="none"/>
                      <w:lang w:val="en-US" w:eastAsia="zh-CN" w:bidi="ar"/>
                    </w:rPr>
                    <w:t>建立生态保护红线常态化日常巡护。</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cs="Times New Roman"/>
                      <w:b w:val="0"/>
                      <w:bCs/>
                      <w:color w:val="auto"/>
                      <w:kern w:val="0"/>
                      <w:sz w:val="21"/>
                      <w:szCs w:val="21"/>
                      <w:highlight w:val="none"/>
                      <w:lang w:val="en-US" w:eastAsia="zh-CN" w:bidi="ar"/>
                    </w:rPr>
                    <w:t>本</w:t>
                  </w:r>
                  <w:r>
                    <w:rPr>
                      <w:rFonts w:hint="default" w:ascii="Times New Roman" w:hAnsi="Times New Roman" w:cs="Times New Roman"/>
                      <w:b w:val="0"/>
                      <w:bCs/>
                      <w:color w:val="auto"/>
                      <w:kern w:val="0"/>
                      <w:sz w:val="21"/>
                      <w:szCs w:val="21"/>
                      <w:highlight w:val="none"/>
                      <w:lang w:bidi="ar"/>
                    </w:rPr>
                    <w:t>项目不位于淄博市各生态保护红线区范围内</w:t>
                  </w:r>
                  <w:r>
                    <w:rPr>
                      <w:rFonts w:hint="default" w:ascii="Times New Roman" w:hAnsi="Times New Roman" w:cs="Times New Roman"/>
                      <w:b w:val="0"/>
                      <w:bCs/>
                      <w:color w:val="auto"/>
                      <w:kern w:val="0"/>
                      <w:sz w:val="21"/>
                      <w:szCs w:val="21"/>
                      <w:highlight w:val="none"/>
                      <w:lang w:eastAsia="zh-CN" w:bidi="ar"/>
                    </w:rPr>
                    <w:t>。</w:t>
                  </w:r>
                </w:p>
              </w:tc>
              <w:tc>
                <w:tcPr>
                  <w:tcW w:w="754" w:type="dxa"/>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2.</w:t>
                  </w:r>
                  <w:r>
                    <w:rPr>
                      <w:rStyle w:val="114"/>
                      <w:rFonts w:hint="default" w:ascii="Times New Roman" w:hAnsi="Times New Roman" w:cs="Times New Roman" w:eastAsiaTheme="majorEastAsia"/>
                      <w:color w:val="auto"/>
                      <w:sz w:val="21"/>
                      <w:szCs w:val="21"/>
                      <w:highlight w:val="none"/>
                      <w:lang w:val="en-US" w:eastAsia="zh-CN" w:bidi="ar"/>
                    </w:rPr>
                    <w:t>加强农田土壤、灌溉水的监测，对周边区域环境风险源进行评估。</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cs="Times New Roman"/>
                      <w:b w:val="0"/>
                      <w:bCs/>
                      <w:color w:val="auto"/>
                      <w:kern w:val="0"/>
                      <w:sz w:val="21"/>
                      <w:szCs w:val="21"/>
                      <w:highlight w:val="none"/>
                      <w:lang w:val="en-US" w:eastAsia="zh-CN" w:bidi="ar"/>
                    </w:rPr>
                    <w:t>本</w:t>
                  </w:r>
                  <w:r>
                    <w:rPr>
                      <w:rFonts w:hint="default" w:ascii="Times New Roman" w:hAnsi="Times New Roman" w:cs="Times New Roman"/>
                      <w:b w:val="0"/>
                      <w:bCs/>
                      <w:color w:val="auto"/>
                      <w:kern w:val="0"/>
                      <w:sz w:val="21"/>
                      <w:szCs w:val="21"/>
                      <w:highlight w:val="none"/>
                      <w:lang w:bidi="ar"/>
                    </w:rPr>
                    <w:t>项目</w:t>
                  </w:r>
                  <w:r>
                    <w:rPr>
                      <w:rFonts w:hint="default" w:ascii="Times New Roman" w:hAnsi="Times New Roman" w:cs="Times New Roman"/>
                      <w:b w:val="0"/>
                      <w:bCs/>
                      <w:color w:val="auto"/>
                      <w:kern w:val="0"/>
                      <w:sz w:val="21"/>
                      <w:szCs w:val="21"/>
                      <w:highlight w:val="none"/>
                      <w:lang w:val="en-US" w:eastAsia="zh-CN" w:bidi="ar"/>
                    </w:rPr>
                    <w:t>利用现有厂区用地，</w:t>
                  </w:r>
                  <w:r>
                    <w:rPr>
                      <w:rFonts w:hint="default" w:ascii="Times New Roman" w:hAnsi="Times New Roman" w:cs="Times New Roman"/>
                      <w:b w:val="0"/>
                      <w:bCs/>
                      <w:color w:val="auto"/>
                      <w:kern w:val="0"/>
                      <w:sz w:val="21"/>
                      <w:szCs w:val="21"/>
                      <w:highlight w:val="none"/>
                      <w:lang w:bidi="ar"/>
                    </w:rPr>
                    <w:t>不占用永久基本农田</w:t>
                  </w:r>
                  <w:r>
                    <w:rPr>
                      <w:rFonts w:hint="default" w:ascii="Times New Roman" w:hAnsi="Times New Roman" w:cs="Times New Roman"/>
                      <w:b w:val="0"/>
                      <w:bCs/>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95"/>
                      <w:rFonts w:hint="default" w:ascii="Times New Roman" w:hAnsi="Times New Roman" w:cs="Times New Roman" w:eastAsiaTheme="majorEastAsia"/>
                      <w:color w:val="auto"/>
                      <w:sz w:val="21"/>
                      <w:szCs w:val="21"/>
                      <w:highlight w:val="none"/>
                      <w:lang w:val="en-US" w:eastAsia="zh-CN" w:bidi="ar"/>
                    </w:rPr>
                    <w:t>3.</w:t>
                  </w:r>
                  <w:r>
                    <w:rPr>
                      <w:rStyle w:val="114"/>
                      <w:rFonts w:hint="default" w:ascii="Times New Roman" w:hAnsi="Times New Roman" w:cs="Times New Roman" w:eastAsiaTheme="majorEastAsia"/>
                      <w:color w:val="auto"/>
                      <w:sz w:val="21"/>
                      <w:szCs w:val="21"/>
                      <w:highlight w:val="none"/>
                      <w:lang w:val="en-US" w:eastAsia="zh-CN" w:bidi="ar"/>
                    </w:rPr>
                    <w:t>企业事业单位根据法律法规、管理部门要求和《企业事业单位突发环境事件应急预案备案管理办法（试行）》等规定，依法依规编制环境应急预案并定期开展演练。</w:t>
                  </w:r>
                </w:p>
              </w:tc>
              <w:tc>
                <w:tcPr>
                  <w:tcW w:w="2310" w:type="dxa"/>
                  <w:tcBorders>
                    <w:tl2br w:val="nil"/>
                    <w:tr2bl w:val="nil"/>
                  </w:tcBorders>
                  <w:shd w:val="clear" w:color="auto" w:fill="auto"/>
                  <w:noWrap w:val="0"/>
                  <w:vAlign w:val="center"/>
                </w:tcPr>
                <w:p>
                  <w:pPr>
                    <w:pStyle w:val="45"/>
                    <w:spacing w:before="0" w:beforeLines="0" w:line="240" w:lineRule="auto"/>
                    <w:ind w:left="0" w:leftChars="0" w:right="0" w:rightChars="0" w:firstLine="0" w:firstLineChars="0"/>
                    <w:jc w:val="both"/>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cs="Times New Roman"/>
                      <w:b w:val="0"/>
                      <w:bCs/>
                      <w:color w:val="auto"/>
                      <w:kern w:val="0"/>
                      <w:sz w:val="21"/>
                      <w:szCs w:val="21"/>
                      <w:highlight w:val="none"/>
                      <w:lang w:val="en-US" w:eastAsia="zh-CN" w:bidi="ar"/>
                    </w:rPr>
                    <w:t>本</w:t>
                  </w:r>
                  <w:r>
                    <w:rPr>
                      <w:rFonts w:hint="default" w:ascii="Times New Roman" w:hAnsi="Times New Roman" w:cs="Times New Roman"/>
                      <w:b w:val="0"/>
                      <w:bCs/>
                      <w:color w:val="auto"/>
                      <w:kern w:val="0"/>
                      <w:sz w:val="21"/>
                      <w:szCs w:val="21"/>
                      <w:highlight w:val="none"/>
                      <w:lang w:bidi="ar"/>
                    </w:rPr>
                    <w:t>项目</w:t>
                  </w:r>
                  <w:r>
                    <w:rPr>
                      <w:rFonts w:hint="default" w:ascii="Times New Roman" w:hAnsi="Times New Roman" w:cs="Times New Roman"/>
                      <w:b w:val="0"/>
                      <w:bCs/>
                      <w:color w:val="auto"/>
                      <w:kern w:val="0"/>
                      <w:sz w:val="21"/>
                      <w:szCs w:val="21"/>
                      <w:highlight w:val="none"/>
                      <w:lang w:val="en-US" w:eastAsia="zh-CN" w:bidi="ar"/>
                    </w:rPr>
                    <w:t>建成后，按要求更新</w:t>
                  </w:r>
                  <w:r>
                    <w:rPr>
                      <w:rFonts w:hint="default" w:ascii="Times New Roman" w:hAnsi="Times New Roman" w:cs="Times New Roman"/>
                      <w:b w:val="0"/>
                      <w:bCs/>
                      <w:color w:val="auto"/>
                      <w:kern w:val="0"/>
                      <w:sz w:val="21"/>
                      <w:szCs w:val="21"/>
                      <w:highlight w:val="none"/>
                      <w:lang w:bidi="ar"/>
                    </w:rPr>
                    <w:t>企业事业单位突发环境事件应急预案并定期开展演练</w:t>
                  </w:r>
                  <w:r>
                    <w:rPr>
                      <w:rFonts w:hint="default" w:ascii="Times New Roman" w:hAnsi="Times New Roman" w:cs="Times New Roman"/>
                      <w:b w:val="0"/>
                      <w:bCs/>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100"/>
                      <w:rFonts w:hint="default" w:ascii="Times New Roman" w:hAnsi="Times New Roman" w:cs="Times New Roman" w:eastAsiaTheme="majorEastAsia"/>
                      <w:color w:val="auto"/>
                      <w:sz w:val="21"/>
                      <w:szCs w:val="21"/>
                      <w:highlight w:val="none"/>
                      <w:lang w:val="en-US" w:eastAsia="zh-CN" w:bidi="ar"/>
                    </w:rPr>
                    <w:t>4.</w:t>
                  </w:r>
                  <w:r>
                    <w:rPr>
                      <w:rStyle w:val="115"/>
                      <w:rFonts w:hint="default" w:ascii="Times New Roman" w:hAnsi="Times New Roman" w:cs="Times New Roman" w:eastAsiaTheme="majorEastAsia"/>
                      <w:color w:val="auto"/>
                      <w:sz w:val="21"/>
                      <w:szCs w:val="21"/>
                      <w:highlight w:val="none"/>
                      <w:lang w:val="en-US" w:eastAsia="zh-CN" w:bidi="ar"/>
                    </w:rPr>
                    <w:t>建立各企业危险废物的贮存、申报、经营许可（“无废城市”建设豁免的除外）、转移及处置管理制度，并负责对危废相应活动的全程监管和环境安全保障。</w:t>
                  </w:r>
                </w:p>
              </w:tc>
              <w:tc>
                <w:tcPr>
                  <w:tcW w:w="2310" w:type="dxa"/>
                  <w:tcBorders>
                    <w:tl2br w:val="nil"/>
                    <w:tr2bl w:val="nil"/>
                  </w:tcBorders>
                  <w:shd w:val="clear" w:color="auto" w:fill="auto"/>
                  <w:noWrap w:val="0"/>
                  <w:vAlign w:val="center"/>
                </w:tcPr>
                <w:p>
                  <w:pPr>
                    <w:pStyle w:val="45"/>
                    <w:spacing w:before="0" w:beforeLines="0" w:line="240" w:lineRule="auto"/>
                    <w:ind w:left="0" w:leftChars="0" w:right="0" w:rightChars="0" w:firstLine="0" w:firstLineChars="0"/>
                    <w:jc w:val="both"/>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cs="Times New Roman"/>
                      <w:b w:val="0"/>
                      <w:bCs/>
                      <w:color w:val="auto"/>
                      <w:kern w:val="0"/>
                      <w:sz w:val="21"/>
                      <w:szCs w:val="21"/>
                      <w:highlight w:val="none"/>
                      <w:lang w:val="en-US" w:eastAsia="zh-CN" w:bidi="ar"/>
                    </w:rPr>
                    <w:t>本</w:t>
                  </w:r>
                  <w:r>
                    <w:rPr>
                      <w:rFonts w:hint="default" w:ascii="Times New Roman" w:hAnsi="Times New Roman" w:eastAsia="宋体" w:cs="Times New Roman"/>
                      <w:b w:val="0"/>
                      <w:bCs/>
                      <w:color w:val="auto"/>
                      <w:kern w:val="0"/>
                      <w:sz w:val="21"/>
                      <w:szCs w:val="21"/>
                      <w:highlight w:val="none"/>
                      <w:lang w:val="en-US" w:eastAsia="zh-CN" w:bidi="ar"/>
                    </w:rPr>
                    <w:t>项目</w:t>
                  </w:r>
                  <w:r>
                    <w:rPr>
                      <w:rFonts w:hint="default" w:ascii="Times New Roman" w:hAnsi="Times New Roman" w:cs="Times New Roman"/>
                      <w:b w:val="0"/>
                      <w:bCs/>
                      <w:color w:val="auto"/>
                      <w:kern w:val="0"/>
                      <w:sz w:val="21"/>
                      <w:szCs w:val="21"/>
                      <w:highlight w:val="none"/>
                      <w:lang w:val="en-US" w:eastAsia="zh-CN" w:bidi="ar"/>
                    </w:rPr>
                    <w:t>厂区已建设危废间和危废管理相关制度，按要求对危废的产生、贮存、转运进行管理。</w:t>
                  </w:r>
                </w:p>
              </w:tc>
              <w:tc>
                <w:tcPr>
                  <w:tcW w:w="754" w:type="dxa"/>
                  <w:tcBorders>
                    <w:tl2br w:val="nil"/>
                    <w:tr2bl w:val="nil"/>
                  </w:tcBorders>
                  <w:noWrap w:val="0"/>
                  <w:vAlign w:val="center"/>
                </w:tcPr>
                <w:p>
                  <w:pPr>
                    <w:pStyle w:val="45"/>
                    <w:spacing w:before="0" w:beforeLines="0" w:line="240" w:lineRule="auto"/>
                    <w:ind w:left="0" w:leftChars="0" w:right="0" w:rightChars="0" w:firstLine="0" w:firstLineChars="0"/>
                    <w:jc w:val="center"/>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val="en-US" w:eastAsia="zh-CN" w:bidi="ar"/>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Style w:val="100"/>
                      <w:rFonts w:hint="default" w:ascii="Times New Roman" w:hAnsi="Times New Roman" w:cs="Times New Roman" w:eastAsiaTheme="majorEastAsia"/>
                      <w:color w:val="auto"/>
                      <w:sz w:val="21"/>
                      <w:szCs w:val="21"/>
                      <w:highlight w:val="none"/>
                      <w:lang w:val="en-US" w:eastAsia="zh-CN" w:bidi="ar"/>
                    </w:rPr>
                    <w:t>5.</w:t>
                  </w:r>
                  <w:r>
                    <w:rPr>
                      <w:rStyle w:val="115"/>
                      <w:rFonts w:hint="default" w:ascii="Times New Roman" w:hAnsi="Times New Roman" w:cs="Times New Roman" w:eastAsiaTheme="majorEastAsia"/>
                      <w:color w:val="auto"/>
                      <w:sz w:val="21"/>
                      <w:szCs w:val="21"/>
                      <w:highlight w:val="none"/>
                      <w:lang w:val="en-US" w:eastAsia="zh-CN" w:bidi="ar"/>
                    </w:rPr>
                    <w:t>按照省市要求，做好清洁取暖改造工作。</w:t>
                  </w:r>
                </w:p>
              </w:tc>
              <w:tc>
                <w:tcPr>
                  <w:tcW w:w="2310" w:type="dxa"/>
                  <w:tcBorders>
                    <w:tl2br w:val="nil"/>
                    <w:tr2bl w:val="nil"/>
                  </w:tcBorders>
                  <w:shd w:val="clear" w:color="auto" w:fill="auto"/>
                  <w:noWrap w:val="0"/>
                  <w:vAlign w:val="center"/>
                </w:tcPr>
                <w:p>
                  <w:pPr>
                    <w:pStyle w:val="45"/>
                    <w:spacing w:before="0" w:beforeLines="0" w:line="240" w:lineRule="auto"/>
                    <w:ind w:left="0" w:leftChars="0" w:right="0" w:rightChars="0" w:firstLine="0" w:firstLineChars="0"/>
                    <w:jc w:val="both"/>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bidi="ar"/>
                    </w:rPr>
                    <w:t>本项目</w:t>
                  </w:r>
                  <w:r>
                    <w:rPr>
                      <w:rFonts w:hint="default" w:ascii="Times New Roman" w:hAnsi="Times New Roman" w:cs="Times New Roman"/>
                      <w:b w:val="0"/>
                      <w:bCs/>
                      <w:color w:val="auto"/>
                      <w:kern w:val="0"/>
                      <w:sz w:val="21"/>
                      <w:szCs w:val="21"/>
                      <w:highlight w:val="none"/>
                      <w:lang w:val="en-US" w:eastAsia="zh-CN" w:bidi="ar"/>
                    </w:rPr>
                    <w:t>生产区不供热，办公区</w:t>
                  </w:r>
                  <w:r>
                    <w:rPr>
                      <w:rFonts w:hint="default" w:ascii="Times New Roman" w:hAnsi="Times New Roman" w:eastAsia="宋体" w:cs="Times New Roman"/>
                      <w:b w:val="0"/>
                      <w:bCs/>
                      <w:color w:val="auto"/>
                      <w:kern w:val="0"/>
                      <w:sz w:val="21"/>
                      <w:szCs w:val="21"/>
                      <w:highlight w:val="none"/>
                      <w:lang w:bidi="ar"/>
                    </w:rPr>
                    <w:t>采用空调采暖</w:t>
                  </w:r>
                  <w:r>
                    <w:rPr>
                      <w:rFonts w:hint="default" w:ascii="Times New Roman" w:hAnsi="Times New Roman" w:cs="Times New Roman"/>
                      <w:b w:val="0"/>
                      <w:bCs/>
                      <w:color w:val="auto"/>
                      <w:kern w:val="0"/>
                      <w:sz w:val="21"/>
                      <w:szCs w:val="21"/>
                      <w:highlight w:val="none"/>
                      <w:lang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restart"/>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r>
                    <w:rPr>
                      <w:rFonts w:hint="default" w:ascii="Times New Roman" w:hAnsi="Times New Roman" w:eastAsia="宋体" w:cs="Times New Roman"/>
                      <w:color w:val="auto"/>
                      <w:spacing w:val="0"/>
                      <w:sz w:val="21"/>
                      <w:szCs w:val="21"/>
                      <w:highlight w:val="none"/>
                      <w:vertAlign w:val="baseline"/>
                      <w:lang w:val="en-US" w:eastAsia="zh-CN"/>
                    </w:rPr>
                    <w:t>资源开发效率要求</w:t>
                  </w: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eastAsiaTheme="majorEastAsia"/>
                      <w:i w:val="0"/>
                      <w:iCs w:val="0"/>
                      <w:color w:val="auto"/>
                      <w:kern w:val="0"/>
                      <w:sz w:val="21"/>
                      <w:szCs w:val="21"/>
                      <w:highlight w:val="none"/>
                      <w:u w:val="none"/>
                      <w:lang w:val="en-US" w:eastAsia="zh-CN" w:bidi="ar"/>
                    </w:rPr>
                    <w:t>1.加强农业节水，提高水资源使用效率。</w:t>
                  </w:r>
                </w:p>
              </w:tc>
              <w:tc>
                <w:tcPr>
                  <w:tcW w:w="2310" w:type="dxa"/>
                  <w:tcBorders>
                    <w:tl2br w:val="nil"/>
                    <w:tr2bl w:val="nil"/>
                  </w:tcBorders>
                  <w:shd w:val="clear" w:color="auto" w:fill="auto"/>
                  <w:noWrap w:val="0"/>
                  <w:vAlign w:val="center"/>
                </w:tcPr>
                <w:p>
                  <w:pPr>
                    <w:widowControl/>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本</w:t>
                  </w:r>
                  <w:r>
                    <w:rPr>
                      <w:rFonts w:hint="default" w:ascii="Times New Roman" w:hAnsi="Times New Roman" w:eastAsia="宋体" w:cs="Times New Roman"/>
                      <w:color w:val="auto"/>
                      <w:kern w:val="0"/>
                      <w:sz w:val="21"/>
                      <w:szCs w:val="21"/>
                      <w:highlight w:val="none"/>
                      <w:lang w:bidi="ar"/>
                    </w:rPr>
                    <w:t>项目</w:t>
                  </w:r>
                  <w:r>
                    <w:rPr>
                      <w:rFonts w:hint="default" w:ascii="Times New Roman" w:hAnsi="Times New Roman" w:cs="Times New Roman"/>
                      <w:color w:val="auto"/>
                      <w:kern w:val="0"/>
                      <w:sz w:val="21"/>
                      <w:szCs w:val="21"/>
                      <w:highlight w:val="none"/>
                      <w:lang w:val="en-US" w:eastAsia="zh-CN" w:bidi="ar"/>
                    </w:rPr>
                    <w:t>按标准节约用水。</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eastAsiaTheme="majorEastAsia"/>
                      <w:i w:val="0"/>
                      <w:iCs w:val="0"/>
                      <w:color w:val="auto"/>
                      <w:kern w:val="0"/>
                      <w:sz w:val="21"/>
                      <w:szCs w:val="21"/>
                      <w:highlight w:val="none"/>
                      <w:u w:val="none"/>
                      <w:lang w:val="en-US" w:eastAsia="zh-CN" w:bidi="ar"/>
                    </w:rPr>
                    <w:t>2.提升土地集约化水平。</w:t>
                  </w:r>
                </w:p>
              </w:tc>
              <w:tc>
                <w:tcPr>
                  <w:tcW w:w="2310" w:type="dxa"/>
                  <w:tcBorders>
                    <w:tl2br w:val="nil"/>
                    <w:tr2bl w:val="nil"/>
                  </w:tcBorders>
                  <w:shd w:val="clear" w:color="auto" w:fill="auto"/>
                  <w:noWrap w:val="0"/>
                  <w:vAlign w:val="center"/>
                </w:tcPr>
                <w:p>
                  <w:pPr>
                    <w:pStyle w:val="45"/>
                    <w:spacing w:before="0" w:beforeLines="0" w:line="240" w:lineRule="auto"/>
                    <w:ind w:left="0" w:leftChars="0" w:right="0" w:rightChars="0" w:firstLine="0" w:firstLineChars="0"/>
                    <w:jc w:val="both"/>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cs="Times New Roman"/>
                      <w:b w:val="0"/>
                      <w:bCs/>
                      <w:color w:val="auto"/>
                      <w:kern w:val="0"/>
                      <w:sz w:val="21"/>
                      <w:szCs w:val="21"/>
                      <w:highlight w:val="none"/>
                      <w:lang w:val="en-US" w:eastAsia="zh-CN" w:bidi="ar"/>
                    </w:rPr>
                    <w:t>本</w:t>
                  </w:r>
                  <w:r>
                    <w:rPr>
                      <w:rFonts w:hint="default" w:ascii="Times New Roman" w:hAnsi="Times New Roman" w:eastAsia="宋体" w:cs="Times New Roman"/>
                      <w:b w:val="0"/>
                      <w:bCs/>
                      <w:color w:val="auto"/>
                      <w:kern w:val="0"/>
                      <w:sz w:val="21"/>
                      <w:szCs w:val="21"/>
                      <w:highlight w:val="none"/>
                      <w:lang w:val="en-US" w:eastAsia="zh-CN" w:bidi="ar"/>
                    </w:rPr>
                    <w:t>项目通过布局优化、标准控制等，节约土地、提高土地利用效率</w:t>
                  </w:r>
                  <w:r>
                    <w:rPr>
                      <w:rFonts w:hint="default" w:ascii="Times New Roman" w:hAnsi="Times New Roman" w:cs="Times New Roman"/>
                      <w:b w:val="0"/>
                      <w:bCs/>
                      <w:color w:val="auto"/>
                      <w:kern w:val="0"/>
                      <w:sz w:val="21"/>
                      <w:szCs w:val="21"/>
                      <w:highlight w:val="none"/>
                      <w:lang w:val="en-US" w:eastAsia="zh-CN" w:bidi="ar"/>
                    </w:rPr>
                    <w:t>。</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tcBorders>
                    <w:tl2br w:val="nil"/>
                    <w:tr2bl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vertAlign w:val="baseline"/>
                      <w:lang w:val="en-US" w:eastAsia="zh-CN"/>
                    </w:rPr>
                  </w:pPr>
                </w:p>
              </w:tc>
              <w:tc>
                <w:tcPr>
                  <w:tcW w:w="3733" w:type="dxa"/>
                  <w:tcBorders>
                    <w:tl2br w:val="nil"/>
                    <w:tr2bl w:val="nil"/>
                  </w:tcBorders>
                  <w:noWrap w:val="0"/>
                  <w:vAlign w:val="center"/>
                </w:tcPr>
                <w:p>
                  <w:pPr>
                    <w:numPr>
                      <w:ilvl w:val="0"/>
                      <w:numId w:val="0"/>
                    </w:numPr>
                    <w:bidi w:val="0"/>
                    <w:spacing w:line="240" w:lineRule="auto"/>
                    <w:ind w:left="0" w:leftChars="0" w:firstLine="0" w:firstLineChars="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eastAsiaTheme="majorEastAsia"/>
                      <w:i w:val="0"/>
                      <w:iCs w:val="0"/>
                      <w:color w:val="auto"/>
                      <w:kern w:val="0"/>
                      <w:sz w:val="21"/>
                      <w:szCs w:val="21"/>
                      <w:highlight w:val="none"/>
                      <w:u w:val="none"/>
                      <w:lang w:val="en-US" w:eastAsia="zh-CN" w:bidi="ar"/>
                    </w:rPr>
                    <w:t>3.调整能源利用结构，控制煤炭消费量，实现减量化，鼓励使用清洁能源、新能源和可再生能源。</w:t>
                  </w:r>
                </w:p>
              </w:tc>
              <w:tc>
                <w:tcPr>
                  <w:tcW w:w="2310" w:type="dxa"/>
                  <w:tcBorders>
                    <w:tl2br w:val="nil"/>
                    <w:tr2bl w:val="nil"/>
                  </w:tcBorders>
                  <w:shd w:val="clear" w:color="auto" w:fill="auto"/>
                  <w:noWrap w:val="0"/>
                  <w:vAlign w:val="center"/>
                </w:tcPr>
                <w:p>
                  <w:pPr>
                    <w:pStyle w:val="45"/>
                    <w:spacing w:before="0" w:beforeLines="0" w:line="240" w:lineRule="auto"/>
                    <w:ind w:left="0" w:leftChars="0" w:right="0" w:rightChars="0" w:firstLine="0" w:firstLineChars="0"/>
                    <w:jc w:val="both"/>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cs="Times New Roman"/>
                      <w:b w:val="0"/>
                      <w:bCs/>
                      <w:color w:val="auto"/>
                      <w:kern w:val="0"/>
                      <w:sz w:val="21"/>
                      <w:szCs w:val="21"/>
                      <w:highlight w:val="none"/>
                      <w:lang w:val="en-US" w:eastAsia="zh-CN" w:bidi="ar"/>
                    </w:rPr>
                    <w:t>本</w:t>
                  </w:r>
                  <w:r>
                    <w:rPr>
                      <w:rFonts w:hint="default" w:ascii="Times New Roman" w:hAnsi="Times New Roman" w:eastAsia="宋体" w:cs="Times New Roman"/>
                      <w:b w:val="0"/>
                      <w:bCs/>
                      <w:color w:val="auto"/>
                      <w:kern w:val="0"/>
                      <w:sz w:val="21"/>
                      <w:szCs w:val="21"/>
                      <w:highlight w:val="none"/>
                      <w:lang w:val="en-US" w:eastAsia="zh-CN" w:bidi="ar"/>
                    </w:rPr>
                    <w:t>项目使用电</w:t>
                  </w:r>
                  <w:r>
                    <w:rPr>
                      <w:rFonts w:hint="default" w:ascii="Times New Roman" w:hAnsi="Times New Roman" w:cs="Times New Roman"/>
                      <w:b w:val="0"/>
                      <w:bCs/>
                      <w:color w:val="auto"/>
                      <w:kern w:val="0"/>
                      <w:sz w:val="21"/>
                      <w:szCs w:val="21"/>
                      <w:highlight w:val="none"/>
                      <w:lang w:val="en-US" w:eastAsia="zh-CN" w:bidi="ar"/>
                    </w:rPr>
                    <w:t>和天然气</w:t>
                  </w:r>
                  <w:r>
                    <w:rPr>
                      <w:rFonts w:hint="default" w:ascii="Times New Roman" w:hAnsi="Times New Roman" w:eastAsia="宋体" w:cs="Times New Roman"/>
                      <w:b w:val="0"/>
                      <w:bCs/>
                      <w:color w:val="auto"/>
                      <w:kern w:val="0"/>
                      <w:sz w:val="21"/>
                      <w:szCs w:val="21"/>
                      <w:highlight w:val="none"/>
                      <w:lang w:val="en-US" w:eastAsia="zh-CN" w:bidi="ar"/>
                    </w:rPr>
                    <w:t>，不使用煤炭。</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bl>
          <w:p>
            <w:pPr>
              <w:adjustRightInd w:val="0"/>
              <w:snapToGrid w:val="0"/>
              <w:spacing w:line="360" w:lineRule="auto"/>
              <w:ind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eastAsia="zh-CN"/>
              </w:rPr>
              <w:t>综上所述，本项目符合</w:t>
            </w:r>
            <w:r>
              <w:rPr>
                <w:rFonts w:hint="default" w:ascii="Times New Roman" w:hAnsi="Times New Roman" w:eastAsia="宋体" w:cs="Times New Roman"/>
                <w:b w:val="0"/>
                <w:bCs w:val="0"/>
                <w:color w:val="auto"/>
                <w:spacing w:val="0"/>
                <w:sz w:val="21"/>
                <w:szCs w:val="21"/>
                <w:highlight w:val="none"/>
              </w:rPr>
              <w:t>《淄</w:t>
            </w:r>
            <w:r>
              <w:rPr>
                <w:rFonts w:hint="default" w:ascii="Times New Roman" w:hAnsi="Times New Roman" w:eastAsia="宋体" w:cs="Times New Roman"/>
                <w:color w:val="auto"/>
                <w:spacing w:val="0"/>
                <w:sz w:val="21"/>
                <w:szCs w:val="21"/>
                <w:highlight w:val="none"/>
              </w:rPr>
              <w:t>博市</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eastAsia="zh-CN"/>
              </w:rPr>
              <w:t>三线一单</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生态环境准入清单》（</w:t>
            </w:r>
            <w:r>
              <w:rPr>
                <w:rFonts w:hint="default" w:ascii="Times New Roman" w:hAnsi="Times New Roman" w:cs="Times New Roman"/>
                <w:color w:val="auto"/>
                <w:spacing w:val="0"/>
                <w:sz w:val="21"/>
                <w:szCs w:val="21"/>
                <w:highlight w:val="none"/>
                <w:lang w:eastAsia="zh-CN"/>
              </w:rPr>
              <w:t>动态更新版</w:t>
            </w: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sz w:val="21"/>
                <w:szCs w:val="21"/>
                <w:highlight w:val="none"/>
                <w:lang w:eastAsia="zh-CN"/>
              </w:rPr>
              <w:t>中</w:t>
            </w:r>
            <w:r>
              <w:rPr>
                <w:rFonts w:hint="default" w:ascii="Times New Roman" w:hAnsi="Times New Roman" w:eastAsia="宋体" w:cs="Times New Roman"/>
                <w:color w:val="auto"/>
                <w:spacing w:val="0"/>
                <w:sz w:val="21"/>
                <w:szCs w:val="21"/>
                <w:highlight w:val="none"/>
              </w:rPr>
              <w:t>生态环境准入清单要求</w:t>
            </w:r>
            <w:r>
              <w:rPr>
                <w:rFonts w:hint="default" w:ascii="Times New Roman" w:hAnsi="Times New Roman" w:eastAsia="宋体" w:cs="Times New Roman"/>
                <w:color w:val="auto"/>
                <w:spacing w:val="0"/>
                <w:sz w:val="21"/>
                <w:szCs w:val="21"/>
                <w:highlight w:val="none"/>
                <w:lang w:eastAsia="zh-CN"/>
              </w:rPr>
              <w:t>，淄博市环境管控单元图详见</w:t>
            </w:r>
            <w:r>
              <w:rPr>
                <w:rFonts w:hint="default" w:ascii="Times New Roman" w:hAnsi="Times New Roman" w:cs="Times New Roman"/>
                <w:color w:val="auto"/>
                <w:spacing w:val="0"/>
                <w:sz w:val="21"/>
                <w:szCs w:val="21"/>
                <w:highlight w:val="none"/>
                <w:lang w:eastAsia="zh-CN"/>
              </w:rPr>
              <w:t>附</w:t>
            </w:r>
            <w:r>
              <w:rPr>
                <w:rFonts w:hint="default" w:ascii="Times New Roman" w:hAnsi="Times New Roman" w:eastAsia="宋体" w:cs="Times New Roman"/>
                <w:color w:val="auto"/>
                <w:spacing w:val="0"/>
                <w:sz w:val="21"/>
                <w:szCs w:val="21"/>
                <w:highlight w:val="none"/>
                <w:lang w:eastAsia="zh-CN"/>
              </w:rPr>
              <w:t>图</w:t>
            </w:r>
            <w:r>
              <w:rPr>
                <w:rFonts w:hint="default" w:ascii="Times New Roman" w:hAnsi="Times New Roman" w:cs="Times New Roman"/>
                <w:color w:val="auto"/>
                <w:spacing w:val="0"/>
                <w:sz w:val="21"/>
                <w:szCs w:val="21"/>
                <w:highlight w:val="none"/>
                <w:lang w:val="en-US" w:eastAsia="zh-CN"/>
              </w:rPr>
              <w:t>5</w:t>
            </w:r>
            <w:r>
              <w:rPr>
                <w:rFonts w:hint="default" w:ascii="Times New Roman" w:hAnsi="Times New Roman" w:eastAsia="宋体" w:cs="Times New Roman"/>
                <w:color w:val="auto"/>
                <w:sz w:val="21"/>
                <w:szCs w:val="21"/>
                <w:highlight w:val="none"/>
              </w:rPr>
              <w:t>。</w:t>
            </w:r>
          </w:p>
          <w:p>
            <w:pPr>
              <w:pStyle w:val="90"/>
              <w:keepNext w:val="0"/>
              <w:keepLines w:val="0"/>
              <w:pageBreakBefore w:val="0"/>
              <w:widowControl w:val="0"/>
              <w:numPr>
                <w:ilvl w:val="0"/>
                <w:numId w:val="0"/>
              </w:numPr>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kern w:val="2"/>
                <w:sz w:val="21"/>
                <w:szCs w:val="21"/>
                <w:highlight w:val="none"/>
                <w:lang w:val="en-US" w:eastAsia="zh-CN" w:bidi="ar-SA"/>
              </w:rPr>
              <w:t>4、</w:t>
            </w:r>
            <w:r>
              <w:rPr>
                <w:rFonts w:hint="default" w:ascii="Times New Roman" w:hAnsi="Times New Roman" w:eastAsia="宋体" w:cs="Times New Roman"/>
                <w:b/>
                <w:bCs/>
                <w:color w:val="auto"/>
                <w:kern w:val="2"/>
                <w:sz w:val="21"/>
                <w:szCs w:val="21"/>
                <w:highlight w:val="none"/>
                <w:lang w:val="en-US" w:eastAsia="zh-CN" w:bidi="ar-SA"/>
              </w:rPr>
              <w:t>与《山东省环境保护条例》的符合性</w:t>
            </w:r>
          </w:p>
          <w:p>
            <w:pPr>
              <w:pStyle w:val="14"/>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表</w:t>
            </w:r>
            <w:r>
              <w:rPr>
                <w:rFonts w:hint="default" w:ascii="Times New Roman" w:hAnsi="Times New Roman" w:cs="Times New Roman"/>
                <w:b/>
                <w:bCs/>
                <w:color w:val="auto"/>
                <w:highlight w:val="none"/>
                <w:lang w:val="en-US" w:eastAsia="zh-CN"/>
              </w:rPr>
              <w:t>1-</w:t>
            </w:r>
            <w:r>
              <w:rPr>
                <w:rFonts w:hint="default" w:ascii="Times New Roman" w:hAnsi="Times New Roman" w:cs="Times New Roman"/>
                <w:b/>
                <w:bCs/>
                <w:color w:val="auto"/>
                <w:sz w:val="21"/>
                <w:szCs w:val="21"/>
                <w:highlight w:val="none"/>
                <w:lang w:val="en-US" w:eastAsia="zh-CN"/>
              </w:rPr>
              <w:t xml:space="preserve">3 </w:t>
            </w:r>
            <w:r>
              <w:rPr>
                <w:rFonts w:hint="default"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rPr>
              <w:t>与《山东省环境保护条例》符合性分析</w:t>
            </w:r>
            <w:r>
              <w:rPr>
                <w:rFonts w:hint="default" w:ascii="Times New Roman" w:hAnsi="Times New Roman" w:cs="Times New Roman"/>
                <w:b/>
                <w:bCs/>
                <w:color w:val="auto"/>
                <w:sz w:val="21"/>
                <w:szCs w:val="21"/>
                <w:highlight w:val="none"/>
                <w:lang w:val="en-US" w:eastAsia="zh-CN"/>
              </w:rPr>
              <w:t>一览表</w:t>
            </w:r>
          </w:p>
          <w:tbl>
            <w:tblPr>
              <w:tblStyle w:val="36"/>
              <w:tblW w:w="494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10"/>
              <w:gridCol w:w="1900"/>
              <w:gridCol w:w="8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文件要求</w:t>
                  </w:r>
                </w:p>
              </w:tc>
              <w:tc>
                <w:tcPr>
                  <w:tcW w:w="1273"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本项目</w:t>
                  </w:r>
                  <w:r>
                    <w:rPr>
                      <w:rFonts w:hint="default" w:ascii="Times New Roman" w:hAnsi="Times New Roman" w:eastAsia="宋体" w:cs="Times New Roman"/>
                      <w:b/>
                      <w:bCs/>
                      <w:color w:val="auto"/>
                      <w:sz w:val="21"/>
                      <w:szCs w:val="21"/>
                      <w:highlight w:val="none"/>
                    </w:rPr>
                    <w:t>情况</w:t>
                  </w:r>
                </w:p>
              </w:tc>
              <w:tc>
                <w:tcPr>
                  <w:tcW w:w="569"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shd w:val="clear" w:color="auto" w:fill="auto"/>
                  <w:noWrap w:val="0"/>
                  <w:vAlign w:val="center"/>
                </w:tcPr>
                <w:p>
                  <w:pPr>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禁止建设不符合国家和省产业政策的小型造纸、制革、印染、染料、炼焦、炼硫、炼砷、炼汞、炼油、电镀、农药、石棉、水泥、玻璃、钢铁、火电以及其他严重污染环境的生产项目。已经建设的，由所在地的县级以上人民政府责令拆除或者关闭。</w:t>
                  </w:r>
                </w:p>
              </w:tc>
              <w:tc>
                <w:tcPr>
                  <w:tcW w:w="1273" w:type="pct"/>
                  <w:tcBorders>
                    <w:tl2br w:val="nil"/>
                    <w:tr2bl w:val="nil"/>
                  </w:tcBorders>
                  <w:shd w:val="clear" w:color="auto" w:fill="auto"/>
                  <w:noWrap w:val="0"/>
                  <w:vAlign w:val="center"/>
                </w:tcPr>
                <w:p>
                  <w:pPr>
                    <w:keepNext w:val="0"/>
                    <w:keepLines w:val="0"/>
                    <w:suppressLineNumbers w:val="0"/>
                    <w:spacing w:before="0" w:beforeAutospacing="0" w:after="0" w:afterAutospacing="0" w:line="240" w:lineRule="auto"/>
                    <w:ind w:left="0" w:leftChars="0" w:right="0" w:rightChars="0"/>
                    <w:jc w:val="both"/>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rPr>
                    <w:t>本项目</w:t>
                  </w:r>
                  <w:r>
                    <w:rPr>
                      <w:rFonts w:hint="default" w:ascii="Times New Roman" w:hAnsi="Times New Roman" w:cs="Times New Roman"/>
                      <w:bCs/>
                      <w:color w:val="auto"/>
                      <w:sz w:val="21"/>
                      <w:szCs w:val="21"/>
                      <w:highlight w:val="none"/>
                      <w:lang w:val="en-US" w:eastAsia="zh-CN"/>
                    </w:rPr>
                    <w:t>为棉印染精加工项目，原料为外购的坯布等，</w:t>
                  </w:r>
                  <w:r>
                    <w:rPr>
                      <w:rFonts w:hint="default" w:ascii="Times New Roman" w:hAnsi="Times New Roman" w:cs="Times New Roman"/>
                      <w:bCs/>
                      <w:color w:val="auto"/>
                      <w:sz w:val="21"/>
                      <w:szCs w:val="21"/>
                      <w:highlight w:val="none"/>
                    </w:rPr>
                    <w:t>符合国家和省产业政策</w:t>
                  </w:r>
                  <w:r>
                    <w:rPr>
                      <w:rFonts w:hint="default" w:ascii="Times New Roman" w:hAnsi="Times New Roman" w:cs="Times New Roman"/>
                      <w:bCs/>
                      <w:color w:val="auto"/>
                      <w:sz w:val="21"/>
                      <w:szCs w:val="21"/>
                      <w:highlight w:val="none"/>
                      <w:lang w:eastAsia="zh-CN"/>
                    </w:rPr>
                    <w:t>。</w:t>
                  </w:r>
                </w:p>
              </w:tc>
              <w:tc>
                <w:tcPr>
                  <w:tcW w:w="56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shd w:val="clear" w:color="auto" w:fill="auto"/>
                  <w:noWrap w:val="0"/>
                  <w:vAlign w:val="center"/>
                </w:tcPr>
                <w:p>
                  <w:pPr>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实行重点污染物排放总量控制制度。省人民政府根据环境容量和污染防治的需要，确定削减和控制重点污染物的种类和排放总量，将重点污染物排放总量控制指标逐级分解、落实到设区的市、县（市、区）人民政府。</w:t>
                  </w:r>
                </w:p>
              </w:tc>
              <w:tc>
                <w:tcPr>
                  <w:tcW w:w="1273" w:type="pct"/>
                  <w:tcBorders>
                    <w:tl2br w:val="nil"/>
                    <w:tr2bl w:val="nil"/>
                  </w:tcBorders>
                  <w:shd w:val="clear" w:color="auto" w:fill="auto"/>
                  <w:noWrap w:val="0"/>
                  <w:vAlign w:val="center"/>
                </w:tcPr>
                <w:p>
                  <w:pPr>
                    <w:keepNext w:val="0"/>
                    <w:keepLines w:val="0"/>
                    <w:suppressLineNumbers w:val="0"/>
                    <w:spacing w:before="0" w:beforeAutospacing="0" w:after="0" w:afterAutospacing="0" w:line="240" w:lineRule="auto"/>
                    <w:ind w:left="0" w:leftChars="0" w:right="0" w:rightChars="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本</w:t>
                  </w:r>
                  <w:r>
                    <w:rPr>
                      <w:rFonts w:hint="default" w:ascii="Times New Roman" w:hAnsi="Times New Roman" w:cs="Times New Roman"/>
                      <w:color w:val="auto"/>
                      <w:sz w:val="21"/>
                      <w:szCs w:val="21"/>
                      <w:highlight w:val="none"/>
                    </w:rPr>
                    <w:t>项目</w:t>
                  </w:r>
                  <w:r>
                    <w:rPr>
                      <w:rFonts w:hint="default" w:ascii="Times New Roman" w:hAnsi="Times New Roman" w:cs="Times New Roman"/>
                      <w:color w:val="auto"/>
                      <w:sz w:val="21"/>
                      <w:szCs w:val="21"/>
                      <w:highlight w:val="none"/>
                      <w:lang w:val="en-US" w:eastAsia="zh-CN"/>
                    </w:rPr>
                    <w:t>技改后需申请总量。</w:t>
                  </w:r>
                </w:p>
              </w:tc>
              <w:tc>
                <w:tcPr>
                  <w:tcW w:w="56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shd w:val="clear" w:color="auto" w:fill="auto"/>
                  <w:noWrap w:val="0"/>
                  <w:vAlign w:val="center"/>
                </w:tcPr>
                <w:p>
                  <w:pPr>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实行排污许可管理制度。纳入排污许可管理目录的排污单位，应当依法申请领取排污许可证。未取得排污许可证的，不得排放污染物。</w:t>
                  </w:r>
                </w:p>
              </w:tc>
              <w:tc>
                <w:tcPr>
                  <w:tcW w:w="1273" w:type="pct"/>
                  <w:tcBorders>
                    <w:tl2br w:val="nil"/>
                    <w:tr2bl w:val="nil"/>
                  </w:tcBorders>
                  <w:shd w:val="clear" w:color="auto" w:fill="auto"/>
                  <w:noWrap w:val="0"/>
                  <w:vAlign w:val="center"/>
                </w:tcPr>
                <w:p>
                  <w:pPr>
                    <w:keepNext w:val="0"/>
                    <w:keepLines w:val="0"/>
                    <w:suppressLineNumbers w:val="0"/>
                    <w:spacing w:before="0" w:beforeAutospacing="0" w:after="0" w:afterAutospacing="0" w:line="240" w:lineRule="auto"/>
                    <w:ind w:left="0" w:leftChars="0" w:right="0" w:rightChars="0"/>
                    <w:jc w:val="both"/>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本项目技改后及时进行排污许可变更</w:t>
                  </w:r>
                  <w:r>
                    <w:rPr>
                      <w:rFonts w:hint="default" w:ascii="Times New Roman" w:hAnsi="Times New Roman" w:cs="Times New Roman"/>
                      <w:bCs/>
                      <w:color w:val="auto"/>
                      <w:sz w:val="21"/>
                      <w:szCs w:val="21"/>
                      <w:highlight w:val="none"/>
                      <w:lang w:eastAsia="zh-CN"/>
                    </w:rPr>
                    <w:t>。</w:t>
                  </w:r>
                </w:p>
              </w:tc>
              <w:tc>
                <w:tcPr>
                  <w:tcW w:w="56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shd w:val="clear" w:color="auto" w:fill="auto"/>
                  <w:noWrap w:val="0"/>
                  <w:vAlign w:val="center"/>
                </w:tcPr>
                <w:p>
                  <w:pPr>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建、改建、扩建建设项目，应当依法进行环境影响评价。建设项目可能对相邻地区造成重大环境影响的，生态环境主管部门在审批其环境影响评价文件时，应当征求相邻地区同级生态环境主管部门的意见；意见不一致的，由共同的上一级人民政府生态环境主管部门作出处理。</w:t>
                  </w:r>
                </w:p>
              </w:tc>
              <w:tc>
                <w:tcPr>
                  <w:tcW w:w="1273" w:type="pct"/>
                  <w:tcBorders>
                    <w:tl2br w:val="nil"/>
                    <w:tr2bl w:val="nil"/>
                  </w:tcBorders>
                  <w:shd w:val="clear" w:color="auto" w:fill="auto"/>
                  <w:noWrap w:val="0"/>
                  <w:vAlign w:val="center"/>
                </w:tcPr>
                <w:p>
                  <w:pPr>
                    <w:keepNext w:val="0"/>
                    <w:keepLines w:val="0"/>
                    <w:suppressLineNumbers w:val="0"/>
                    <w:spacing w:before="0" w:beforeAutospacing="0" w:after="0" w:afterAutospacing="0" w:line="240" w:lineRule="auto"/>
                    <w:ind w:left="0" w:leftChars="0" w:right="0" w:rightChars="0"/>
                    <w:jc w:val="both"/>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本项目依法进行环境影响评价</w:t>
                  </w:r>
                  <w:r>
                    <w:rPr>
                      <w:rFonts w:hint="default" w:ascii="Times New Roman" w:hAnsi="Times New Roman" w:cs="Times New Roman"/>
                      <w:bCs/>
                      <w:color w:val="auto"/>
                      <w:sz w:val="21"/>
                      <w:szCs w:val="21"/>
                      <w:highlight w:val="none"/>
                      <w:lang w:eastAsia="zh-CN"/>
                    </w:rPr>
                    <w:t>。</w:t>
                  </w:r>
                </w:p>
              </w:tc>
              <w:tc>
                <w:tcPr>
                  <w:tcW w:w="56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10" w:type="dxa"/>
                  <w:shd w:val="clear" w:color="auto" w:fill="auto"/>
                  <w:vAlign w:val="center"/>
                </w:tcPr>
                <w:p>
                  <w:pPr>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县级以上人民政府应当根据产业结构调整和产业布局优化的要求，引导工业企业入驻工业园区；新建有污染物排放的工业项目，除在安全生产等方面有特殊要求的以外，应当进入工业园区或者工业集聚区。</w:t>
                  </w:r>
                </w:p>
              </w:tc>
              <w:tc>
                <w:tcPr>
                  <w:tcW w:w="1273" w:type="pct"/>
                  <w:shd w:val="clear" w:color="auto" w:fill="auto"/>
                  <w:vAlign w:val="center"/>
                </w:tcPr>
                <w:p>
                  <w:pPr>
                    <w:keepNext w:val="0"/>
                    <w:keepLines w:val="0"/>
                    <w:suppressLineNumbers w:val="0"/>
                    <w:spacing w:before="0" w:beforeAutospacing="0" w:after="0" w:afterAutospacing="0" w:line="240" w:lineRule="auto"/>
                    <w:ind w:left="0" w:leftChars="0" w:right="0" w:rightChars="0"/>
                    <w:jc w:val="both"/>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本项目</w:t>
                  </w:r>
                  <w:r>
                    <w:rPr>
                      <w:rFonts w:hint="default" w:ascii="Times New Roman" w:hAnsi="Times New Roman" w:cs="Times New Roman"/>
                      <w:bCs/>
                      <w:color w:val="auto"/>
                      <w:sz w:val="21"/>
                      <w:szCs w:val="21"/>
                      <w:highlight w:val="none"/>
                      <w:lang w:eastAsia="zh-CN"/>
                    </w:rPr>
                    <w:t>位于</w:t>
                  </w:r>
                  <w:r>
                    <w:rPr>
                      <w:rFonts w:hint="default" w:ascii="Times New Roman" w:hAnsi="Times New Roman" w:eastAsia="宋体" w:cs="Times New Roman"/>
                      <w:color w:val="auto"/>
                      <w:highlight w:val="none"/>
                      <w:lang w:val="en-US" w:eastAsia="zh-CN"/>
                    </w:rPr>
                    <w:t>萌水镇工业集聚区</w:t>
                  </w:r>
                  <w:r>
                    <w:rPr>
                      <w:rFonts w:hint="default" w:ascii="Times New Roman" w:hAnsi="Times New Roman" w:cs="Times New Roman"/>
                      <w:color w:val="auto"/>
                      <w:highlight w:val="none"/>
                      <w:lang w:val="en-US" w:eastAsia="zh-CN"/>
                    </w:rPr>
                    <w:t>。</w:t>
                  </w:r>
                </w:p>
              </w:tc>
              <w:tc>
                <w:tcPr>
                  <w:tcW w:w="569" w:type="pct"/>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bl>
          <w:p>
            <w:pPr>
              <w:pStyle w:val="90"/>
              <w:keepNext w:val="0"/>
              <w:keepLines w:val="0"/>
              <w:pageBreakBefore w:val="0"/>
              <w:widowControl w:val="0"/>
              <w:numPr>
                <w:ilvl w:val="0"/>
                <w:numId w:val="0"/>
              </w:numPr>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kern w:val="2"/>
                <w:sz w:val="21"/>
                <w:szCs w:val="21"/>
                <w:highlight w:val="none"/>
                <w:lang w:val="en-US" w:eastAsia="zh-CN" w:bidi="ar-SA"/>
              </w:rPr>
              <w:t>5、</w:t>
            </w:r>
            <w:r>
              <w:rPr>
                <w:rFonts w:hint="default" w:ascii="Times New Roman" w:hAnsi="Times New Roman" w:eastAsia="宋体" w:cs="Times New Roman"/>
                <w:b/>
                <w:bCs/>
                <w:color w:val="auto"/>
                <w:kern w:val="2"/>
                <w:sz w:val="21"/>
                <w:szCs w:val="21"/>
                <w:highlight w:val="none"/>
                <w:lang w:val="en-US" w:eastAsia="zh-CN" w:bidi="ar-SA"/>
              </w:rPr>
              <w:t>与《关于严格项目审批工作坚决防止新上</w:t>
            </w:r>
            <w:r>
              <w:rPr>
                <w:rFonts w:hint="default" w:ascii="Times New Roman" w:hAnsi="Times New Roman" w:cs="Times New Roman"/>
                <w:b/>
                <w:bCs/>
                <w:color w:val="auto"/>
                <w:kern w:val="2"/>
                <w:sz w:val="21"/>
                <w:szCs w:val="21"/>
                <w:highlight w:val="none"/>
                <w:lang w:val="en-US" w:eastAsia="zh-CN" w:bidi="ar-SA"/>
              </w:rPr>
              <w:t>“</w:t>
            </w:r>
            <w:r>
              <w:rPr>
                <w:rFonts w:hint="default" w:ascii="Times New Roman" w:hAnsi="Times New Roman" w:eastAsia="宋体" w:cs="Times New Roman"/>
                <w:b/>
                <w:bCs/>
                <w:color w:val="auto"/>
                <w:kern w:val="2"/>
                <w:sz w:val="21"/>
                <w:szCs w:val="21"/>
                <w:highlight w:val="none"/>
                <w:lang w:val="en-US" w:eastAsia="zh-CN" w:bidi="ar-SA"/>
              </w:rPr>
              <w:t>散乱污</w:t>
            </w:r>
            <w:r>
              <w:rPr>
                <w:rFonts w:hint="default" w:ascii="Times New Roman" w:hAnsi="Times New Roman" w:cs="Times New Roman"/>
                <w:b/>
                <w:bCs/>
                <w:color w:val="auto"/>
                <w:kern w:val="2"/>
                <w:sz w:val="21"/>
                <w:szCs w:val="21"/>
                <w:highlight w:val="none"/>
                <w:lang w:val="en-US" w:eastAsia="zh-CN" w:bidi="ar-SA"/>
              </w:rPr>
              <w:t>”</w:t>
            </w:r>
            <w:r>
              <w:rPr>
                <w:rFonts w:hint="default" w:ascii="Times New Roman" w:hAnsi="Times New Roman" w:eastAsia="宋体" w:cs="Times New Roman"/>
                <w:b/>
                <w:bCs/>
                <w:color w:val="auto"/>
                <w:kern w:val="2"/>
                <w:sz w:val="21"/>
                <w:szCs w:val="21"/>
                <w:highlight w:val="none"/>
                <w:lang w:val="en-US" w:eastAsia="zh-CN" w:bidi="ar-SA"/>
              </w:rPr>
              <w:t>项目的通知》（鲁环字</w:t>
            </w:r>
            <w:r>
              <w:rPr>
                <w:rFonts w:hint="default" w:ascii="Times New Roman" w:hAnsi="Times New Roman" w:cs="Times New Roman"/>
                <w:b/>
                <w:bCs/>
                <w:color w:val="auto"/>
                <w:kern w:val="2"/>
                <w:sz w:val="21"/>
                <w:szCs w:val="21"/>
                <w:highlight w:val="none"/>
                <w:lang w:val="en-US" w:eastAsia="zh-CN" w:bidi="ar-SA"/>
              </w:rPr>
              <w:t>〔2021〕58号</w:t>
            </w:r>
            <w:r>
              <w:rPr>
                <w:rFonts w:hint="default" w:ascii="Times New Roman" w:hAnsi="Times New Roman" w:eastAsia="宋体" w:cs="Times New Roman"/>
                <w:b/>
                <w:bCs/>
                <w:color w:val="auto"/>
                <w:kern w:val="2"/>
                <w:sz w:val="21"/>
                <w:szCs w:val="21"/>
                <w:highlight w:val="none"/>
                <w:lang w:val="en-US" w:eastAsia="zh-CN" w:bidi="ar-SA"/>
              </w:rPr>
              <w:t>）的符合性</w:t>
            </w:r>
          </w:p>
          <w:p>
            <w:pPr>
              <w:pStyle w:val="14"/>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表</w:t>
            </w:r>
            <w:r>
              <w:rPr>
                <w:rFonts w:hint="default" w:ascii="Times New Roman" w:hAnsi="Times New Roman" w:cs="Times New Roman"/>
                <w:b/>
                <w:bCs/>
                <w:color w:val="auto"/>
                <w:highlight w:val="none"/>
                <w:lang w:val="en-US" w:eastAsia="zh-CN"/>
              </w:rPr>
              <w:t>1-4</w:t>
            </w:r>
            <w:r>
              <w:rPr>
                <w:rFonts w:hint="default" w:ascii="Times New Roman" w:hAnsi="Times New Roman"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rPr>
              <w:t>与鲁环</w:t>
            </w:r>
            <w:r>
              <w:rPr>
                <w:rFonts w:hint="default" w:ascii="Times New Roman" w:hAnsi="Times New Roman" w:cs="Times New Roman"/>
                <w:b/>
                <w:bCs/>
                <w:color w:val="auto"/>
                <w:sz w:val="21"/>
                <w:szCs w:val="21"/>
                <w:highlight w:val="none"/>
                <w:lang w:val="en-US" w:eastAsia="zh-CN"/>
              </w:rPr>
              <w:t>字</w:t>
            </w:r>
            <w:r>
              <w:rPr>
                <w:rFonts w:hint="default" w:ascii="Times New Roman" w:hAnsi="Times New Roman" w:cs="Times New Roman"/>
                <w:b/>
                <w:bCs/>
                <w:color w:val="auto"/>
                <w:sz w:val="21"/>
                <w:szCs w:val="21"/>
                <w:highlight w:val="none"/>
                <w:lang w:eastAsia="zh-CN"/>
              </w:rPr>
              <w:t>〔2021〕58号</w:t>
            </w:r>
            <w:r>
              <w:rPr>
                <w:rFonts w:hint="default" w:ascii="Times New Roman" w:hAnsi="Times New Roman" w:eastAsia="宋体" w:cs="Times New Roman"/>
                <w:b/>
                <w:bCs/>
                <w:color w:val="auto"/>
                <w:sz w:val="21"/>
                <w:szCs w:val="21"/>
                <w:highlight w:val="none"/>
              </w:rPr>
              <w:t>的符合性分析</w:t>
            </w:r>
            <w:r>
              <w:rPr>
                <w:rFonts w:hint="default" w:ascii="Times New Roman" w:hAnsi="Times New Roman" w:cs="Times New Roman"/>
                <w:b/>
                <w:bCs/>
                <w:color w:val="auto"/>
                <w:sz w:val="21"/>
                <w:szCs w:val="21"/>
                <w:highlight w:val="none"/>
                <w:lang w:val="en-US" w:eastAsia="zh-CN"/>
              </w:rPr>
              <w:t>一览表</w:t>
            </w:r>
          </w:p>
          <w:tbl>
            <w:tblPr>
              <w:tblStyle w:val="36"/>
              <w:tblW w:w="494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09"/>
              <w:gridCol w:w="1890"/>
              <w:gridCol w:w="8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文件要求</w:t>
                  </w:r>
                </w:p>
              </w:tc>
              <w:tc>
                <w:tcPr>
                  <w:tcW w:w="1267"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本项目</w:t>
                  </w:r>
                  <w:r>
                    <w:rPr>
                      <w:rFonts w:hint="default" w:ascii="Times New Roman" w:hAnsi="Times New Roman" w:eastAsia="宋体" w:cs="Times New Roman"/>
                      <w:b/>
                      <w:bCs/>
                      <w:color w:val="auto"/>
                      <w:sz w:val="21"/>
                      <w:szCs w:val="21"/>
                      <w:highlight w:val="none"/>
                    </w:rPr>
                    <w:t>情况</w:t>
                  </w:r>
                </w:p>
              </w:tc>
              <w:tc>
                <w:tcPr>
                  <w:tcW w:w="576"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noWrap w:val="0"/>
                  <w:vAlign w:val="center"/>
                </w:tcPr>
                <w:p>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一、认真贯彻执行产业政策。新上项目必须符合产业政策要求，禁止采用公布的淘汰工艺和落后设备，不得引进耗能高、污染大、生产粗放、不符合产业政策的项目。</w:t>
                  </w:r>
                </w:p>
              </w:tc>
              <w:tc>
                <w:tcPr>
                  <w:tcW w:w="1267" w:type="pct"/>
                  <w:tcBorders>
                    <w:tl2br w:val="nil"/>
                    <w:tr2bl w:val="nil"/>
                  </w:tcBorders>
                  <w:noWrap w:val="0"/>
                  <w:vAlign w:val="center"/>
                </w:tcPr>
                <w:p>
                  <w:pPr>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本项目</w:t>
                  </w:r>
                  <w:r>
                    <w:rPr>
                      <w:rFonts w:hint="default" w:ascii="Times New Roman" w:hAnsi="Times New Roman" w:eastAsia="宋体" w:cs="Times New Roman"/>
                      <w:color w:val="auto"/>
                      <w:sz w:val="21"/>
                      <w:szCs w:val="21"/>
                      <w:highlight w:val="none"/>
                    </w:rPr>
                    <w:t>不属于《产业结构调整指导目录（20</w:t>
                  </w:r>
                  <w:r>
                    <w:rPr>
                      <w:rFonts w:hint="default" w:ascii="Times New Roman" w:hAnsi="Times New Roman" w:cs="Times New Roman"/>
                      <w:color w:val="auto"/>
                      <w:sz w:val="21"/>
                      <w:szCs w:val="21"/>
                      <w:highlight w:val="none"/>
                      <w:lang w:val="en-US" w:eastAsia="zh-CN"/>
                    </w:rPr>
                    <w:t>24</w:t>
                  </w:r>
                  <w:r>
                    <w:rPr>
                      <w:rFonts w:hint="default" w:ascii="Times New Roman" w:hAnsi="Times New Roman" w:eastAsia="宋体" w:cs="Times New Roman"/>
                      <w:color w:val="auto"/>
                      <w:sz w:val="21"/>
                      <w:szCs w:val="21"/>
                      <w:highlight w:val="none"/>
                    </w:rPr>
                    <w:t>年本）》中鼓励类、限制类、淘汰类，为允许类</w:t>
                  </w:r>
                  <w:r>
                    <w:rPr>
                      <w:rFonts w:hint="default" w:ascii="Times New Roman" w:hAnsi="Times New Roman" w:cs="Times New Roman"/>
                      <w:color w:val="auto"/>
                      <w:sz w:val="21"/>
                      <w:szCs w:val="21"/>
                      <w:highlight w:val="none"/>
                      <w:lang w:val="en-US" w:eastAsia="zh-CN"/>
                    </w:rPr>
                    <w:t>建设项目</w:t>
                  </w:r>
                  <w:r>
                    <w:rPr>
                      <w:rFonts w:hint="default" w:ascii="Times New Roman" w:hAnsi="Times New Roman" w:eastAsia="宋体" w:cs="Times New Roman"/>
                      <w:color w:val="auto"/>
                      <w:sz w:val="21"/>
                      <w:szCs w:val="21"/>
                      <w:highlight w:val="none"/>
                      <w:lang w:eastAsia="zh-CN"/>
                    </w:rPr>
                    <w:t>。</w:t>
                  </w:r>
                </w:p>
              </w:tc>
              <w:tc>
                <w:tcPr>
                  <w:tcW w:w="57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noWrap w:val="0"/>
                  <w:vAlign w:val="center"/>
                </w:tcPr>
                <w:p>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二、强化规划刚性约束。新上项目必须符合国土空间规划、产业发展规划等要求，积极引导产业园区外</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散乱污</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整治搬迁改造企业进入产业园区或工业集聚区，并鼓励租赁标准厂房。按照</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布局集中、用地集约、产业集聚、空间优化</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的原则，高标准制定产业发展规划，明确主导产业、布局和产业发展方向，引导企业规范化、规模化、集约化发展。</w:t>
                  </w:r>
                </w:p>
              </w:tc>
              <w:tc>
                <w:tcPr>
                  <w:tcW w:w="1267" w:type="pct"/>
                  <w:vMerge w:val="restart"/>
                  <w:tcBorders>
                    <w:tl2br w:val="nil"/>
                    <w:tr2bl w:val="nil"/>
                  </w:tcBorders>
                  <w:noWrap w:val="0"/>
                  <w:vAlign w:val="center"/>
                </w:tcPr>
                <w:p>
                  <w:pPr>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本项目</w:t>
                  </w:r>
                  <w:r>
                    <w:rPr>
                      <w:rFonts w:hint="default" w:ascii="Times New Roman" w:hAnsi="Times New Roman" w:eastAsia="宋体" w:cs="Times New Roman"/>
                      <w:color w:val="auto"/>
                      <w:sz w:val="21"/>
                      <w:szCs w:val="21"/>
                      <w:highlight w:val="none"/>
                    </w:rPr>
                    <w:t>位于</w:t>
                  </w:r>
                  <w:r>
                    <w:rPr>
                      <w:rFonts w:hint="default" w:ascii="Times New Roman" w:hAnsi="Times New Roman" w:cs="Times New Roman"/>
                      <w:color w:val="auto"/>
                      <w:sz w:val="21"/>
                      <w:szCs w:val="21"/>
                      <w:highlight w:val="none"/>
                      <w:u w:val="none"/>
                      <w:lang w:val="en-US" w:eastAsia="zh-CN"/>
                    </w:rPr>
                    <w:t>淄博市文昌湖旅游度假区萌水镇水磨村西侧5m处</w:t>
                  </w:r>
                  <w:r>
                    <w:rPr>
                      <w:rFonts w:hint="default" w:ascii="Times New Roman" w:hAnsi="Times New Roman" w:eastAsia="宋体" w:cs="Times New Roman"/>
                      <w:color w:val="auto"/>
                      <w:sz w:val="21"/>
                      <w:szCs w:val="21"/>
                      <w:highlight w:val="none"/>
                      <w:u w:val="none"/>
                      <w:lang w:val="en-US" w:eastAsia="zh-CN"/>
                    </w:rPr>
                    <w:t>，</w:t>
                  </w:r>
                  <w:r>
                    <w:rPr>
                      <w:rFonts w:hint="default" w:ascii="Times New Roman" w:hAnsi="Times New Roman" w:cs="Times New Roman"/>
                      <w:color w:val="auto"/>
                      <w:sz w:val="21"/>
                      <w:szCs w:val="21"/>
                      <w:highlight w:val="none"/>
                      <w:lang w:val="en-US" w:eastAsia="zh-CN"/>
                    </w:rPr>
                    <w:t>位于</w:t>
                  </w:r>
                  <w:r>
                    <w:rPr>
                      <w:rFonts w:hint="default" w:ascii="Times New Roman" w:hAnsi="Times New Roman" w:cs="Times New Roman"/>
                      <w:bCs/>
                      <w:color w:val="auto"/>
                      <w:sz w:val="21"/>
                      <w:szCs w:val="21"/>
                      <w:highlight w:val="none"/>
                      <w:lang w:eastAsia="zh-CN"/>
                    </w:rPr>
                    <w:t>萌水镇工业集聚区</w:t>
                  </w:r>
                  <w:r>
                    <w:rPr>
                      <w:rFonts w:hint="default" w:ascii="Times New Roman" w:hAnsi="Times New Roman" w:eastAsia="宋体" w:cs="Times New Roman"/>
                      <w:color w:val="auto"/>
                      <w:kern w:val="0"/>
                      <w:szCs w:val="21"/>
                      <w:highlight w:val="none"/>
                      <w:lang w:eastAsia="zh-CN"/>
                    </w:rPr>
                    <w:t>。</w:t>
                  </w:r>
                </w:p>
              </w:tc>
              <w:tc>
                <w:tcPr>
                  <w:tcW w:w="57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noWrap w:val="0"/>
                  <w:vAlign w:val="center"/>
                </w:tcPr>
                <w:p>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三、科学把好项目选址关。新建有污染物排放的工业项目，除在安全生产等方面有特殊要求的以外，应当进入工业园区或工业集聚区。</w:t>
                  </w:r>
                </w:p>
              </w:tc>
              <w:tc>
                <w:tcPr>
                  <w:tcW w:w="1267" w:type="pct"/>
                  <w:vMerge w:val="continue"/>
                  <w:tcBorders>
                    <w:tl2br w:val="nil"/>
                    <w:tr2bl w:val="nil"/>
                  </w:tcBorders>
                  <w:noWrap w:val="0"/>
                  <w:vAlign w:val="center"/>
                </w:tcPr>
                <w:p>
                  <w:pPr>
                    <w:jc w:val="both"/>
                    <w:rPr>
                      <w:rFonts w:hint="default" w:ascii="Times New Roman" w:hAnsi="Times New Roman" w:eastAsia="宋体" w:cs="Times New Roman"/>
                      <w:color w:val="auto"/>
                      <w:sz w:val="21"/>
                      <w:szCs w:val="21"/>
                      <w:highlight w:val="none"/>
                    </w:rPr>
                  </w:pPr>
                </w:p>
              </w:tc>
              <w:tc>
                <w:tcPr>
                  <w:tcW w:w="57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noWrap w:val="0"/>
                  <w:vAlign w:val="center"/>
                </w:tcPr>
                <w:p>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四、严把项目环评审批关。新上项目必须严格执行环评审批</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三挂钩</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机制和</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五个不批</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要求，落实</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三线一单</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生态环境分区管控要求。强化替代约束，涉及主要污染物排放的，必须落实区域污染物排放替代，确保增产减污；涉及煤炭消耗的，必须落实煤炭消费减量替代，否则各级环评审批部门一律不予审批通过。</w:t>
                  </w:r>
                </w:p>
              </w:tc>
              <w:tc>
                <w:tcPr>
                  <w:tcW w:w="1267" w:type="pct"/>
                  <w:tcBorders>
                    <w:tl2br w:val="nil"/>
                    <w:tr2bl w:val="nil"/>
                  </w:tcBorders>
                  <w:noWrap w:val="0"/>
                  <w:vAlign w:val="center"/>
                </w:tcPr>
                <w:p>
                  <w:pPr>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项目严格执行环评审批要求。</w:t>
                  </w:r>
                </w:p>
              </w:tc>
              <w:tc>
                <w:tcPr>
                  <w:tcW w:w="57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noWrap w:val="0"/>
                  <w:vAlign w:val="center"/>
                </w:tcPr>
                <w:p>
                  <w:pP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五、建立部门联动协调机制。各级发展改革、工业和信息化、自然资源、生态环境等部门要按照职责分工，建立长效工作机制，密切配合，强化对项目产业政策、固定资产投资、能耗、用地标准、环境等的论证，对不符合要求的，一律不得办理立项、规划、土地、环评等手续。</w:t>
                  </w:r>
                </w:p>
              </w:tc>
              <w:tc>
                <w:tcPr>
                  <w:tcW w:w="1267" w:type="pct"/>
                  <w:tcBorders>
                    <w:tl2br w:val="nil"/>
                    <w:tr2bl w:val="nil"/>
                  </w:tcBorders>
                  <w:noWrap w:val="0"/>
                  <w:vAlign w:val="center"/>
                </w:tcPr>
                <w:p>
                  <w:pPr>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项目技改已在淄博市文昌湖省级旅游度假区经济发展局备案，项目符合国家和地方产业政策，符合建设要求</w:t>
                  </w:r>
                </w:p>
              </w:tc>
              <w:tc>
                <w:tcPr>
                  <w:tcW w:w="57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6" w:type="pct"/>
                  <w:tcBorders>
                    <w:tl2br w:val="nil"/>
                    <w:tr2bl w:val="nil"/>
                  </w:tcBorders>
                  <w:noWrap w:val="0"/>
                  <w:vAlign w:val="center"/>
                </w:tcPr>
                <w:p>
                  <w:pP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六、强化日常监管执法。持续加大对违反产业政策、规划、准入规定等违法违规建设行为的查处力度，坚决遏制“未批先建”等违法行为。畅通群众举报投诉渠道，对“散乱污”项目做到早发现、早应对、早处置，严防死灰复燃。</w:t>
                  </w:r>
                </w:p>
              </w:tc>
              <w:tc>
                <w:tcPr>
                  <w:tcW w:w="1267" w:type="pct"/>
                  <w:tcBorders>
                    <w:tl2br w:val="nil"/>
                    <w:tr2bl w:val="nil"/>
                  </w:tcBorders>
                  <w:noWrap w:val="0"/>
                  <w:vAlign w:val="center"/>
                </w:tcPr>
                <w:p>
                  <w:pPr>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项目不属于违法违规建设和“散乱污”项目。</w:t>
                  </w:r>
                </w:p>
              </w:tc>
              <w:tc>
                <w:tcPr>
                  <w:tcW w:w="57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bl>
          <w:p>
            <w:pPr>
              <w:spacing w:line="360" w:lineRule="auto"/>
              <w:ind w:firstLine="422" w:firstLineChars="200"/>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lang w:val="en-US" w:eastAsia="zh-CN"/>
              </w:rPr>
              <w:t>6、</w:t>
            </w:r>
            <w:r>
              <w:rPr>
                <w:rFonts w:hint="default" w:ascii="Times New Roman" w:hAnsi="Times New Roman" w:cs="Times New Roman"/>
                <w:b/>
                <w:bCs w:val="0"/>
                <w:color w:val="auto"/>
                <w:sz w:val="21"/>
                <w:szCs w:val="21"/>
                <w:highlight w:val="none"/>
              </w:rPr>
              <w:t>与《山东省“两高”项目管理目录（2025年版）》</w:t>
            </w:r>
            <w:r>
              <w:rPr>
                <w:rFonts w:hint="default" w:ascii="Times New Roman" w:hAnsi="Times New Roman" w:cs="Times New Roman"/>
                <w:b/>
                <w:bCs w:val="0"/>
                <w:color w:val="auto"/>
                <w:sz w:val="21"/>
                <w:szCs w:val="21"/>
                <w:highlight w:val="none"/>
                <w:lang w:val="en-US" w:eastAsia="zh-CN"/>
              </w:rPr>
              <w:t>的</w:t>
            </w:r>
            <w:r>
              <w:rPr>
                <w:rFonts w:hint="default" w:ascii="Times New Roman" w:hAnsi="Times New Roman" w:cs="Times New Roman"/>
                <w:b/>
                <w:bCs w:val="0"/>
                <w:color w:val="auto"/>
                <w:sz w:val="21"/>
                <w:szCs w:val="21"/>
                <w:highlight w:val="none"/>
              </w:rPr>
              <w:t>符合性</w:t>
            </w:r>
          </w:p>
          <w:p>
            <w:pPr>
              <w:ind w:firstLine="422" w:firstLineChars="20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表1-</w:t>
            </w:r>
            <w:r>
              <w:rPr>
                <w:rFonts w:hint="default" w:ascii="Times New Roman" w:hAnsi="Times New Roman" w:cs="Times New Roman"/>
                <w:b/>
                <w:bCs/>
                <w:color w:val="auto"/>
                <w:sz w:val="21"/>
                <w:szCs w:val="21"/>
                <w:highlight w:val="none"/>
                <w:lang w:val="en-US" w:eastAsia="zh-CN"/>
              </w:rPr>
              <w:t xml:space="preserve">5 </w:t>
            </w:r>
            <w:r>
              <w:rPr>
                <w:rFonts w:hint="default" w:ascii="Times New Roman" w:hAnsi="Times New Roman" w:cs="Times New Roman"/>
                <w:b/>
                <w:bCs/>
                <w:color w:val="auto"/>
                <w:sz w:val="21"/>
                <w:szCs w:val="21"/>
                <w:highlight w:val="none"/>
              </w:rPr>
              <w:t>山东省“两高”项目管理目录（2025年版）</w:t>
            </w:r>
          </w:p>
          <w:tbl>
            <w:tblPr>
              <w:tblStyle w:val="36"/>
              <w:tblW w:w="4996"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85"/>
              <w:gridCol w:w="568"/>
              <w:gridCol w:w="1945"/>
              <w:gridCol w:w="1356"/>
              <w:gridCol w:w="1131"/>
              <w:gridCol w:w="601"/>
              <w:gridCol w:w="1494"/>
              <w:gridCol w:w="5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tcBorders>
                    <w:tl2br w:val="nil"/>
                    <w:tr2bl w:val="nil"/>
                  </w:tcBorders>
                  <w:noWrap w:val="0"/>
                  <w:vAlign w:val="center"/>
                </w:tcPr>
                <w:p>
                  <w:pPr>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377" w:type="pct"/>
                  <w:tcBorders>
                    <w:tl2br w:val="nil"/>
                    <w:tr2bl w:val="nil"/>
                  </w:tcBorders>
                  <w:noWrap w:val="0"/>
                  <w:vAlign w:val="center"/>
                </w:tcPr>
                <w:p>
                  <w:pPr>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产业分类</w:t>
                  </w:r>
                </w:p>
              </w:tc>
              <w:tc>
                <w:tcPr>
                  <w:tcW w:w="1291" w:type="pct"/>
                  <w:tcBorders>
                    <w:tl2br w:val="nil"/>
                    <w:tr2bl w:val="nil"/>
                  </w:tcBorders>
                  <w:noWrap w:val="0"/>
                  <w:vAlign w:val="center"/>
                </w:tcPr>
                <w:p>
                  <w:pPr>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产品</w:t>
                  </w:r>
                </w:p>
              </w:tc>
              <w:tc>
                <w:tcPr>
                  <w:tcW w:w="900" w:type="pct"/>
                  <w:tcBorders>
                    <w:tl2br w:val="nil"/>
                    <w:tr2bl w:val="nil"/>
                  </w:tcBorders>
                  <w:noWrap w:val="0"/>
                  <w:vAlign w:val="center"/>
                </w:tcPr>
                <w:p>
                  <w:pPr>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核心装置</w:t>
                  </w:r>
                </w:p>
              </w:tc>
              <w:tc>
                <w:tcPr>
                  <w:tcW w:w="750" w:type="pct"/>
                  <w:tcBorders>
                    <w:tl2br w:val="nil"/>
                    <w:tr2bl w:val="nil"/>
                  </w:tcBorders>
                  <w:noWrap w:val="0"/>
                  <w:vAlign w:val="center"/>
                </w:tcPr>
                <w:p>
                  <w:pPr>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对应国民经济行业小类</w:t>
                  </w:r>
                </w:p>
              </w:tc>
              <w:tc>
                <w:tcPr>
                  <w:tcW w:w="399" w:type="pct"/>
                  <w:tcBorders>
                    <w:tl2br w:val="nil"/>
                    <w:tr2bl w:val="nil"/>
                  </w:tcBorders>
                  <w:noWrap w:val="0"/>
                  <w:vAlign w:val="center"/>
                </w:tcPr>
                <w:p>
                  <w:pPr>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产能替代系数</w:t>
                  </w:r>
                </w:p>
              </w:tc>
              <w:tc>
                <w:tcPr>
                  <w:tcW w:w="992" w:type="pct"/>
                  <w:tcBorders>
                    <w:tl2br w:val="nil"/>
                    <w:tr2bl w:val="nil"/>
                  </w:tcBorders>
                  <w:noWrap w:val="0"/>
                  <w:vAlign w:val="center"/>
                </w:tcPr>
                <w:p>
                  <w:pPr>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377"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炼化</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汽油、煤油、柴油、燃料油、石脑油、溶剂油、石油气、沥青及其他相关产品，不含一二次炼油之外的质量升级油品</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一次炼油（常减压）、二次炼油（催化裂化、加氢裂化、催化重整、延迟焦化）</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原油加工及石油制品制造（2511）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w:t>
                  </w:r>
                </w:p>
              </w:tc>
              <w:tc>
                <w:tcPr>
                  <w:tcW w:w="99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具体产能替代比例按国家要求执行。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乙烯、对二甲苯（PX）</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乙烯装置、PX装置</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有机化学原料制造（2614）</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99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焦化</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焦炭、半焦（兰炭）</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焦炉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炼焦（2521）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具体产能替代比例，按照鲁政办字〔2023〕157号文件执行。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煤制合成气</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煤制气</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煤气化炉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煤制合成气生产（2522）</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377"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煤制液体燃料</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煤制油</w:t>
                  </w:r>
                </w:p>
              </w:tc>
              <w:tc>
                <w:tcPr>
                  <w:tcW w:w="900"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煤气化炉、合成塔</w:t>
                  </w:r>
                </w:p>
              </w:tc>
              <w:tc>
                <w:tcPr>
                  <w:tcW w:w="750"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煤制液体燃料生产（2523）</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煤制甲醇</w:t>
                  </w:r>
                </w:p>
              </w:tc>
              <w:tc>
                <w:tcPr>
                  <w:tcW w:w="900"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750"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煤制烯烃（乙烯、丙烯）</w:t>
                  </w:r>
                </w:p>
              </w:tc>
              <w:tc>
                <w:tcPr>
                  <w:tcW w:w="900"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750"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煤制乙二醇</w:t>
                  </w:r>
                </w:p>
              </w:tc>
              <w:tc>
                <w:tcPr>
                  <w:tcW w:w="900"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750"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377"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基础化学原料</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氯碱（烧碱）</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电解槽</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无机碱制造（2612）</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w:t>
                  </w:r>
                  <w:r>
                    <w:rPr>
                      <w:rFonts w:hint="default" w:ascii="Times New Roman" w:hAnsi="Times New Roman" w:eastAsia="宋体" w:cs="Times New Roman"/>
                      <w:color w:val="auto"/>
                      <w:sz w:val="21"/>
                      <w:szCs w:val="21"/>
                      <w:highlight w:val="none"/>
                    </w:rPr>
                    <w:drawing>
                      <wp:inline distT="0" distB="0" distL="114300" distR="114300">
                        <wp:extent cx="56515" cy="97790"/>
                        <wp:effectExtent l="0" t="0" r="4445" b="889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56515" cy="97790"/>
                                </a:xfrm>
                                <a:prstGeom prst="rect">
                                  <a:avLst/>
                                </a:prstGeom>
                                <a:noFill/>
                                <a:ln>
                                  <a:noFill/>
                                </a:ln>
                              </pic:spPr>
                            </pic:pic>
                          </a:graphicData>
                        </a:graphic>
                      </wp:inline>
                    </w:drawing>
                  </w:r>
                  <w:r>
                    <w:rPr>
                      <w:rFonts w:hint="default" w:ascii="Times New Roman" w:hAnsi="Times New Roman" w:eastAsia="宋体" w:cs="Times New Roman"/>
                      <w:color w:val="auto"/>
                      <w:sz w:val="21"/>
                      <w:szCs w:val="21"/>
                      <w:highlight w:val="none"/>
                    </w:rPr>
                    <w:t>以上采用工业废盐的离子膜烧碱项目，井下循环制纯碱、天然碱制纯碱项目，不执行产能替代。</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纯碱</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碳化塔</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无机碱制造（2612）</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电石</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电石炉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无机盐制造（2613）</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碳化硅</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石墨化炉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无机盐制造（2613）</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半导体用碳化硅，国民经济行业分类为电子专用材料制造（3985），不属于“两高”项目范围。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33" w:type="pct"/>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黄磷</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黄磷制取设备</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其他基础化学原料制造（2619）</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99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377"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化肥</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合成氨、尿素</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合成氨装置</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氮肥制造（2621）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以绿电制氢、副产氢为原料的合成氨项目，不作为“两高”项目；合成氨作为中间品生产下游化工品的项目，不执行产能、能耗、碳排放替代。</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磷酸一铵、磷酸二铵</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氨化装置</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磷肥制造（2622）</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水泥熟料</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水泥窑</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水泥制造（3011）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2/1.5/1</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1.具体产能替代比例，按工业和信息化部原〔2024〕206号文件执行。2.新建特种水泥项目，产能可低于4000吨/日。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石灰</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生石灰、消石灰、水硬石灰</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石灰窑</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石灰和石膏制造（3012）</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粘土砖瓦</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烧结砖、烧结瓦，不包括资源综合利用烧结砖瓦</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砖瓦窑</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粘土砖瓦及建筑砌块制造（3031）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平板玻璃</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浮法平板玻璃（不包括基板玻璃）、压延玻璃（不包括光伏压延玻璃、微晶玻璃）</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玻璃熔炉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平板玻璃制造（3041）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1.25/1</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具体产能替代比例，按工业和信息化部原〔2024〕206号文件执行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玻璃纤维</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玻璃纤维</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玻璃纤维熔炉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玻璃纤维及制品制造（3061）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超细（单丝直径≤5微米）、高强、高模、耐碱、低介电、低膨胀、有机纤维复合等高性能及特种玻璃纤维开发与生产，玻璃纤维毡、布等制品生产，不作为“两高”项目。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377"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陶瓷</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建筑陶瓷，不包括非经高温烧结的发泡陶瓷板等</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辊道和隧道窑</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建筑陶瓷制品制造（3071）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卫生陶瓷</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隧道窑</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卫生陶瓷制品制造（3072）</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耐火材料</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耐火材料</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耐火材料高温窑炉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耐火陶瓷制品及其他耐火材料制造（3089）</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石墨及碳素</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碳块、碳电极、碳糊、铝用碳素（不包括天然石墨及制品）</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煅烧炉、焙烧炉、石墨化炉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石墨及碳素制品制造（3091）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晶体硅</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多晶硅、单晶硅</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单晶炉、还原炉、精馏塔</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其他非金属矿物制品制造（3099）</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w:t>
                  </w:r>
                </w:p>
              </w:tc>
              <w:tc>
                <w:tcPr>
                  <w:tcW w:w="377"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钢铁</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炼钢用生铁、熔融还原铁</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高炉、非高炉炼铁装置（氢还原除外）</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炼铁（3110）</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1.5/1.25/1</w:t>
                  </w:r>
                </w:p>
              </w:tc>
              <w:tc>
                <w:tcPr>
                  <w:tcW w:w="1025" w:type="pct"/>
                  <w:gridSpan w:val="2"/>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具体产能替代比例，按工业和信息化部有关规定执行。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非合金钢粗钢、低合金钢粗钢、合金钢粗钢</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转炉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炼钢（3120）</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1.5/1.25/1</w:t>
                  </w:r>
                </w:p>
              </w:tc>
              <w:tc>
                <w:tcPr>
                  <w:tcW w:w="1025" w:type="pct"/>
                  <w:gridSpan w:val="2"/>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17</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铸造用生铁</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铸造用生铁</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高炉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炼铁（3110）</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18</w:t>
                  </w:r>
                </w:p>
              </w:tc>
              <w:tc>
                <w:tcPr>
                  <w:tcW w:w="377"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铁合金</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硅铁、锰硅合金、高碳铬铁、镍铁及其他铁合金产品</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矿热炉、电弧炉、高炉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铁合金冶炼（3140）</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w:t>
                  </w:r>
                </w:p>
              </w:tc>
              <w:tc>
                <w:tcPr>
                  <w:tcW w:w="377"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有色</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氧化铝，不包括以铝酸钠、氢氧化铝或氧化铝为原料加工形成的非冶金级氧化铝</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煅烧或焙烧炉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铝冶炼（3216）</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电解铝，不包括再生铝</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电解槽</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铝冶炼（3216）</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阴极铜、阳极铜、粗铜、电解铜，不包括再生铜</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电解槽</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铜冶炼（3211）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粗铅、电解铅、粗锌、电解锌，不包括再生有色资源冶炼</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电解槽</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铅锌冶炼（3212）</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377"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工业硅</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矿热炉</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硅冶炼（3218）</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c>
                <w:tcPr>
                  <w:tcW w:w="1025" w:type="pct"/>
                  <w:gridSpan w:val="2"/>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p>
              </w:tc>
              <w:tc>
                <w:tcPr>
                  <w:tcW w:w="377"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煤电</w:t>
                  </w:r>
                </w:p>
              </w:tc>
              <w:tc>
                <w:tcPr>
                  <w:tcW w:w="12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电力（燃煤发电，包含煤矸石发电）</w:t>
                  </w:r>
                </w:p>
              </w:tc>
              <w:tc>
                <w:tcPr>
                  <w:tcW w:w="90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抽凝、纯凝机组</w:t>
                  </w:r>
                </w:p>
              </w:tc>
              <w:tc>
                <w:tcPr>
                  <w:tcW w:w="75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火力发电（4411）</w:t>
                  </w:r>
                </w:p>
              </w:tc>
              <w:tc>
                <w:tcPr>
                  <w:tcW w:w="399"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w:t>
                  </w:r>
                </w:p>
              </w:tc>
              <w:tc>
                <w:tcPr>
                  <w:tcW w:w="1025" w:type="pct"/>
                  <w:gridSpan w:val="2"/>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国家布局我省的煤电项目，按国家规定不实行产能替代。</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cs="Times New Roman"/>
                      <w:color w:val="auto"/>
                      <w:highlight w:val="none"/>
                    </w:rPr>
                  </w:pPr>
                </w:p>
              </w:tc>
              <w:tc>
                <w:tcPr>
                  <w:tcW w:w="377" w:type="pct"/>
                  <w:vMerge w:val="continue"/>
                  <w:tcBorders>
                    <w:tl2br w:val="nil"/>
                    <w:tr2bl w:val="nil"/>
                  </w:tcBorders>
                  <w:noWrap w:val="0"/>
                  <w:vAlign w:val="center"/>
                </w:tcPr>
                <w:p>
                  <w:pPr>
                    <w:jc w:val="center"/>
                    <w:rPr>
                      <w:rFonts w:hint="default" w:ascii="Times New Roman" w:hAnsi="Times New Roman" w:cs="Times New Roman"/>
                      <w:color w:val="auto"/>
                      <w:highlight w:val="none"/>
                    </w:rPr>
                  </w:pPr>
                </w:p>
              </w:tc>
              <w:tc>
                <w:tcPr>
                  <w:tcW w:w="1291" w:type="pct"/>
                  <w:vMerge w:val="restart"/>
                  <w:tcBorders>
                    <w:tl2br w:val="nil"/>
                    <w:tr2bl w:val="nil"/>
                  </w:tcBorders>
                  <w:noWrap w:val="0"/>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电力和热力（热电联产）</w:t>
                  </w:r>
                </w:p>
              </w:tc>
              <w:tc>
                <w:tcPr>
                  <w:tcW w:w="900" w:type="pct"/>
                  <w:tcBorders>
                    <w:tl2br w:val="nil"/>
                    <w:tr2bl w:val="nil"/>
                  </w:tcBorders>
                  <w:noWrap w:val="0"/>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抽凝机组</w:t>
                  </w:r>
                </w:p>
              </w:tc>
              <w:tc>
                <w:tcPr>
                  <w:tcW w:w="750" w:type="pct"/>
                  <w:vMerge w:val="restart"/>
                  <w:tcBorders>
                    <w:tl2br w:val="nil"/>
                    <w:tr2bl w:val="nil"/>
                  </w:tcBorders>
                  <w:noWrap w:val="0"/>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热电联产（4412）</w:t>
                  </w:r>
                </w:p>
              </w:tc>
              <w:tc>
                <w:tcPr>
                  <w:tcW w:w="399" w:type="pct"/>
                  <w:tcBorders>
                    <w:tl2br w:val="nil"/>
                    <w:tr2bl w:val="nil"/>
                  </w:tcBorders>
                  <w:noWrap w:val="0"/>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1.1</w:t>
                  </w:r>
                </w:p>
              </w:tc>
              <w:tc>
                <w:tcPr>
                  <w:tcW w:w="1025" w:type="pct"/>
                  <w:gridSpan w:val="2"/>
                  <w:vMerge w:val="continue"/>
                  <w:tcBorders>
                    <w:tl2br w:val="nil"/>
                    <w:tr2bl w:val="nil"/>
                  </w:tcBorders>
                  <w:noWrap w:val="0"/>
                  <w:vAlign w:val="center"/>
                </w:tcPr>
                <w:p>
                  <w:pPr>
                    <w:jc w:val="center"/>
                    <w:rPr>
                      <w:rFonts w:hint="default" w:ascii="Times New Roman" w:hAnsi="Times New Roman" w:cs="Times New Roman"/>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55" w:type="pct"/>
                  <w:vMerge w:val="continue"/>
                  <w:tcBorders>
                    <w:tl2br w:val="nil"/>
                    <w:tr2bl w:val="nil"/>
                  </w:tcBorders>
                  <w:noWrap w:val="0"/>
                  <w:vAlign w:val="center"/>
                </w:tcPr>
                <w:p>
                  <w:pPr>
                    <w:jc w:val="center"/>
                    <w:rPr>
                      <w:rFonts w:hint="default" w:ascii="Times New Roman" w:hAnsi="Times New Roman" w:cs="Times New Roman"/>
                      <w:color w:val="auto"/>
                      <w:highlight w:val="none"/>
                    </w:rPr>
                  </w:pPr>
                </w:p>
              </w:tc>
              <w:tc>
                <w:tcPr>
                  <w:tcW w:w="377" w:type="pct"/>
                  <w:vMerge w:val="continue"/>
                  <w:tcBorders>
                    <w:tl2br w:val="nil"/>
                    <w:tr2bl w:val="nil"/>
                  </w:tcBorders>
                  <w:noWrap w:val="0"/>
                  <w:vAlign w:val="center"/>
                </w:tcPr>
                <w:p>
                  <w:pPr>
                    <w:jc w:val="center"/>
                    <w:rPr>
                      <w:rFonts w:hint="default" w:ascii="Times New Roman" w:hAnsi="Times New Roman" w:cs="Times New Roman"/>
                      <w:color w:val="auto"/>
                      <w:highlight w:val="none"/>
                    </w:rPr>
                  </w:pPr>
                </w:p>
              </w:tc>
              <w:tc>
                <w:tcPr>
                  <w:tcW w:w="1291" w:type="pct"/>
                  <w:vMerge w:val="continue"/>
                  <w:tcBorders>
                    <w:tl2br w:val="nil"/>
                    <w:tr2bl w:val="nil"/>
                  </w:tcBorders>
                  <w:noWrap w:val="0"/>
                  <w:vAlign w:val="center"/>
                </w:tcPr>
                <w:p>
                  <w:pPr>
                    <w:jc w:val="center"/>
                    <w:rPr>
                      <w:rFonts w:hint="default" w:ascii="Times New Roman" w:hAnsi="Times New Roman" w:cs="Times New Roman"/>
                      <w:color w:val="auto"/>
                      <w:highlight w:val="none"/>
                    </w:rPr>
                  </w:pPr>
                </w:p>
              </w:tc>
              <w:tc>
                <w:tcPr>
                  <w:tcW w:w="900" w:type="pct"/>
                  <w:tcBorders>
                    <w:tl2br w:val="nil"/>
                    <w:tr2bl w:val="nil"/>
                  </w:tcBorders>
                  <w:noWrap w:val="0"/>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背压机组</w:t>
                  </w:r>
                </w:p>
              </w:tc>
              <w:tc>
                <w:tcPr>
                  <w:tcW w:w="750" w:type="pct"/>
                  <w:vMerge w:val="continue"/>
                  <w:tcBorders>
                    <w:tl2br w:val="nil"/>
                    <w:tr2bl w:val="nil"/>
                  </w:tcBorders>
                  <w:noWrap w:val="0"/>
                  <w:vAlign w:val="center"/>
                </w:tcPr>
                <w:p>
                  <w:pPr>
                    <w:jc w:val="center"/>
                    <w:rPr>
                      <w:rFonts w:hint="default" w:ascii="Times New Roman" w:hAnsi="Times New Roman" w:cs="Times New Roman"/>
                      <w:color w:val="auto"/>
                      <w:highlight w:val="none"/>
                    </w:rPr>
                  </w:pPr>
                </w:p>
              </w:tc>
              <w:tc>
                <w:tcPr>
                  <w:tcW w:w="399" w:type="pct"/>
                  <w:tcBorders>
                    <w:tl2br w:val="nil"/>
                    <w:tr2bl w:val="nil"/>
                  </w:tcBorders>
                  <w:noWrap w:val="0"/>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w:t>
                  </w:r>
                </w:p>
              </w:tc>
              <w:tc>
                <w:tcPr>
                  <w:tcW w:w="1025" w:type="pct"/>
                  <w:gridSpan w:val="2"/>
                  <w:vMerge w:val="continue"/>
                  <w:tcBorders>
                    <w:tl2br w:val="nil"/>
                    <w:tr2bl w:val="nil"/>
                  </w:tcBorders>
                  <w:noWrap w:val="0"/>
                  <w:vAlign w:val="center"/>
                </w:tcPr>
                <w:p>
                  <w:pPr>
                    <w:jc w:val="center"/>
                    <w:rPr>
                      <w:rFonts w:hint="default" w:ascii="Times New Roman" w:hAnsi="Times New Roman" w:cs="Times New Roman"/>
                      <w:color w:val="auto"/>
                      <w:highlight w:val="none"/>
                    </w:rPr>
                  </w:pPr>
                </w:p>
              </w:tc>
            </w:tr>
          </w:tbl>
          <w:p>
            <w:pPr>
              <w:spacing w:line="360" w:lineRule="auto"/>
              <w:ind w:firstLine="420" w:firstLineChars="200"/>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备注：“两高”项目的范围以产品和核心设备界定。</w:t>
            </w:r>
          </w:p>
          <w:p>
            <w:pPr>
              <w:spacing w:line="360" w:lineRule="auto"/>
              <w:ind w:firstLine="420" w:firstLineChars="200"/>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本项目行业类别为C1713 棉印染精加工，不涉及上表内容，因此不属于“两高”项目</w:t>
            </w:r>
            <w:r>
              <w:rPr>
                <w:rFonts w:hint="default" w:ascii="Times New Roman" w:hAnsi="Times New Roman" w:cs="Times New Roman"/>
                <w:bCs/>
                <w:color w:val="auto"/>
                <w:sz w:val="21"/>
                <w:szCs w:val="21"/>
                <w:highlight w:val="none"/>
              </w:rPr>
              <w:t>。</w:t>
            </w:r>
          </w:p>
          <w:p>
            <w:pPr>
              <w:pStyle w:val="45"/>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spacing w:before="0" w:beforeAutospacing="0" w:after="0" w:afterAutospacing="0" w:line="360" w:lineRule="auto"/>
              <w:ind w:right="0" w:firstLine="422" w:firstLineChars="200"/>
              <w:jc w:val="left"/>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sz w:val="21"/>
                <w:szCs w:val="21"/>
                <w:highlight w:val="none"/>
                <w:lang w:val="en-US" w:eastAsia="zh-CN"/>
              </w:rPr>
              <w:t>7、</w:t>
            </w:r>
            <w:r>
              <w:rPr>
                <w:rFonts w:hint="default" w:ascii="Times New Roman" w:hAnsi="Times New Roman" w:eastAsia="宋体" w:cs="Times New Roman"/>
                <w:b/>
                <w:bCs/>
                <w:color w:val="auto"/>
                <w:kern w:val="0"/>
                <w:sz w:val="21"/>
                <w:szCs w:val="24"/>
                <w:highlight w:val="none"/>
                <w:lang w:val="en-US" w:eastAsia="zh-CN" w:bidi="ar-SA"/>
              </w:rPr>
              <w:t>与《山东省生态环境委员会办公室关于印发山东省深入打好蓝天保卫战行动计划（2021</w:t>
            </w:r>
            <w:r>
              <w:rPr>
                <w:rFonts w:hint="default" w:ascii="Times New Roman" w:hAnsi="Times New Roman" w:cs="Times New Roman"/>
                <w:b/>
                <w:bCs/>
                <w:color w:val="auto"/>
                <w:kern w:val="0"/>
                <w:sz w:val="21"/>
                <w:szCs w:val="24"/>
                <w:highlight w:val="none"/>
                <w:lang w:val="en-US" w:eastAsia="zh-CN" w:bidi="ar-SA"/>
              </w:rPr>
              <w:t>-</w:t>
            </w:r>
            <w:r>
              <w:rPr>
                <w:rFonts w:hint="default" w:ascii="Times New Roman" w:hAnsi="Times New Roman" w:eastAsia="宋体" w:cs="Times New Roman"/>
                <w:b/>
                <w:bCs/>
                <w:color w:val="auto"/>
                <w:kern w:val="0"/>
                <w:sz w:val="21"/>
                <w:szCs w:val="24"/>
                <w:highlight w:val="none"/>
                <w:lang w:val="en-US" w:eastAsia="zh-CN" w:bidi="ar-SA"/>
              </w:rPr>
              <w:t>2025年）、山东省深入打好碧水保卫战行动计划（2021</w:t>
            </w:r>
            <w:r>
              <w:rPr>
                <w:rFonts w:hint="default" w:ascii="Times New Roman" w:hAnsi="Times New Roman" w:cs="Times New Roman"/>
                <w:b/>
                <w:bCs/>
                <w:color w:val="auto"/>
                <w:kern w:val="0"/>
                <w:sz w:val="21"/>
                <w:szCs w:val="24"/>
                <w:highlight w:val="none"/>
                <w:lang w:val="en-US" w:eastAsia="zh-CN" w:bidi="ar-SA"/>
              </w:rPr>
              <w:t>-</w:t>
            </w:r>
            <w:r>
              <w:rPr>
                <w:rFonts w:hint="default" w:ascii="Times New Roman" w:hAnsi="Times New Roman" w:eastAsia="宋体" w:cs="Times New Roman"/>
                <w:b/>
                <w:bCs/>
                <w:color w:val="auto"/>
                <w:kern w:val="0"/>
                <w:sz w:val="21"/>
                <w:szCs w:val="24"/>
                <w:highlight w:val="none"/>
                <w:lang w:val="en-US" w:eastAsia="zh-CN" w:bidi="ar-SA"/>
              </w:rPr>
              <w:t>2025年）、山东省深入打好净土保卫战行动计划（2021</w:t>
            </w:r>
            <w:r>
              <w:rPr>
                <w:rFonts w:hint="default" w:ascii="Times New Roman" w:hAnsi="Times New Roman" w:cs="Times New Roman"/>
                <w:b/>
                <w:bCs/>
                <w:color w:val="auto"/>
                <w:kern w:val="0"/>
                <w:sz w:val="21"/>
                <w:szCs w:val="24"/>
                <w:highlight w:val="none"/>
                <w:lang w:val="en-US" w:eastAsia="zh-CN" w:bidi="ar-SA"/>
              </w:rPr>
              <w:t>-</w:t>
            </w:r>
            <w:r>
              <w:rPr>
                <w:rFonts w:hint="default" w:ascii="Times New Roman" w:hAnsi="Times New Roman" w:eastAsia="宋体" w:cs="Times New Roman"/>
                <w:b/>
                <w:bCs/>
                <w:color w:val="auto"/>
                <w:kern w:val="0"/>
                <w:sz w:val="21"/>
                <w:szCs w:val="24"/>
                <w:highlight w:val="none"/>
                <w:lang w:val="en-US" w:eastAsia="zh-CN" w:bidi="ar-SA"/>
              </w:rPr>
              <w:t>2025年）的通知》（鲁环委办</w:t>
            </w:r>
            <w:r>
              <w:rPr>
                <w:rFonts w:hint="default" w:ascii="Times New Roman" w:hAnsi="Times New Roman" w:cs="Times New Roman"/>
                <w:b/>
                <w:bCs/>
                <w:color w:val="auto"/>
                <w:kern w:val="0"/>
                <w:sz w:val="21"/>
                <w:szCs w:val="24"/>
                <w:highlight w:val="none"/>
                <w:lang w:val="en-US" w:eastAsia="zh-CN" w:bidi="ar-SA"/>
              </w:rPr>
              <w:t>〔2021〕30号</w:t>
            </w:r>
            <w:r>
              <w:rPr>
                <w:rFonts w:hint="default" w:ascii="Times New Roman" w:hAnsi="Times New Roman" w:eastAsia="宋体" w:cs="Times New Roman"/>
                <w:b/>
                <w:bCs/>
                <w:color w:val="auto"/>
                <w:kern w:val="0"/>
                <w:sz w:val="21"/>
                <w:szCs w:val="24"/>
                <w:highlight w:val="none"/>
                <w:lang w:val="en-US" w:eastAsia="zh-CN" w:bidi="ar-SA"/>
              </w:rPr>
              <w:t>）符合性分析</w:t>
            </w:r>
          </w:p>
          <w:p>
            <w:pPr>
              <w:pStyle w:val="14"/>
              <w:ind w:firstLine="0" w:firstLineChars="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rPr>
              <w:t>表</w:t>
            </w:r>
            <w:r>
              <w:rPr>
                <w:rFonts w:hint="default" w:ascii="Times New Roman" w:hAnsi="Times New Roman" w:cs="Times New Roman"/>
                <w:b/>
                <w:bCs/>
                <w:color w:val="auto"/>
                <w:highlight w:val="none"/>
                <w:lang w:val="en-US" w:eastAsia="zh-CN"/>
              </w:rPr>
              <w:t xml:space="preserve">1-6  </w:t>
            </w:r>
            <w:r>
              <w:rPr>
                <w:rFonts w:hint="default" w:ascii="Times New Roman" w:hAnsi="Times New Roman" w:eastAsia="宋体" w:cs="Times New Roman"/>
                <w:b/>
                <w:bCs/>
                <w:color w:val="auto"/>
                <w:sz w:val="21"/>
                <w:szCs w:val="21"/>
                <w:highlight w:val="none"/>
              </w:rPr>
              <w:t>与</w:t>
            </w:r>
            <w:r>
              <w:rPr>
                <w:rFonts w:hint="default" w:ascii="Times New Roman" w:hAnsi="Times New Roman" w:eastAsia="宋体" w:cs="Times New Roman"/>
                <w:b/>
                <w:bCs/>
                <w:color w:val="auto"/>
                <w:kern w:val="0"/>
                <w:sz w:val="21"/>
                <w:szCs w:val="24"/>
                <w:highlight w:val="none"/>
                <w:lang w:val="en-US" w:eastAsia="zh-CN" w:bidi="ar-SA"/>
              </w:rPr>
              <w:t>鲁环委办</w:t>
            </w:r>
            <w:r>
              <w:rPr>
                <w:rFonts w:hint="default" w:ascii="Times New Roman" w:hAnsi="Times New Roman" w:cs="Times New Roman"/>
                <w:b/>
                <w:bCs/>
                <w:color w:val="auto"/>
                <w:kern w:val="0"/>
                <w:sz w:val="21"/>
                <w:szCs w:val="24"/>
                <w:highlight w:val="none"/>
                <w:lang w:val="en-US" w:eastAsia="zh-CN" w:bidi="ar-SA"/>
              </w:rPr>
              <w:t>〔2021〕30号</w:t>
            </w:r>
            <w:r>
              <w:rPr>
                <w:rFonts w:hint="default" w:ascii="Times New Roman" w:hAnsi="Times New Roman" w:eastAsia="宋体" w:cs="Times New Roman"/>
                <w:b/>
                <w:bCs/>
                <w:color w:val="auto"/>
                <w:sz w:val="21"/>
                <w:szCs w:val="21"/>
                <w:highlight w:val="none"/>
              </w:rPr>
              <w:t>符合性</w:t>
            </w:r>
            <w:r>
              <w:rPr>
                <w:rFonts w:hint="default" w:ascii="Times New Roman" w:hAnsi="Times New Roman" w:cs="Times New Roman"/>
                <w:b/>
                <w:bCs/>
                <w:color w:val="auto"/>
                <w:sz w:val="21"/>
                <w:szCs w:val="21"/>
                <w:highlight w:val="none"/>
                <w:lang w:val="en-US" w:eastAsia="zh-CN"/>
              </w:rPr>
              <w:t>分析一览表</w:t>
            </w:r>
          </w:p>
          <w:tbl>
            <w:tblPr>
              <w:tblStyle w:val="37"/>
              <w:tblW w:w="49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958"/>
              <w:gridCol w:w="1621"/>
              <w:gridCol w:w="8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18" w:type="dxa"/>
                  <w:gridSpan w:val="2"/>
                  <w:tcBorders>
                    <w:tl2br w:val="nil"/>
                    <w:tr2bl w:val="nil"/>
                  </w:tcBorders>
                  <w:noWrap w:val="0"/>
                  <w:vAlign w:val="center"/>
                </w:tcPr>
                <w:p>
                  <w:pPr>
                    <w:snapToGrid w:val="0"/>
                    <w:jc w:val="center"/>
                    <w:rPr>
                      <w:rFonts w:hint="default" w:ascii="Times New Roman" w:hAnsi="Times New Roman" w:eastAsia="宋体" w:cs="Times New Roman"/>
                      <w:b/>
                      <w:bCs/>
                      <w:color w:val="auto"/>
                      <w:kern w:val="0"/>
                      <w:szCs w:val="21"/>
                      <w:highlight w:val="none"/>
                      <w:vertAlign w:val="baseline"/>
                    </w:rPr>
                  </w:pPr>
                  <w:r>
                    <w:rPr>
                      <w:rFonts w:hint="default" w:ascii="Times New Roman" w:hAnsi="Times New Roman" w:eastAsia="宋体" w:cs="Times New Roman"/>
                      <w:b/>
                      <w:bCs/>
                      <w:color w:val="auto"/>
                      <w:kern w:val="0"/>
                      <w:szCs w:val="21"/>
                      <w:highlight w:val="none"/>
                    </w:rPr>
                    <w:t>文件要求</w:t>
                  </w:r>
                </w:p>
              </w:tc>
              <w:tc>
                <w:tcPr>
                  <w:tcW w:w="1621" w:type="dxa"/>
                  <w:tcBorders>
                    <w:tl2br w:val="nil"/>
                    <w:tr2bl w:val="nil"/>
                  </w:tcBorders>
                  <w:noWrap w:val="0"/>
                  <w:vAlign w:val="center"/>
                </w:tcPr>
                <w:p>
                  <w:pPr>
                    <w:snapToGrid w:val="0"/>
                    <w:jc w:val="center"/>
                    <w:rPr>
                      <w:rFonts w:hint="default" w:ascii="Times New Roman" w:hAnsi="Times New Roman" w:eastAsia="宋体" w:cs="Times New Roman"/>
                      <w:b/>
                      <w:bCs/>
                      <w:color w:val="auto"/>
                      <w:kern w:val="0"/>
                      <w:szCs w:val="21"/>
                      <w:highlight w:val="none"/>
                      <w:vertAlign w:val="baseline"/>
                    </w:rPr>
                  </w:pPr>
                  <w:r>
                    <w:rPr>
                      <w:rFonts w:hint="default" w:ascii="Times New Roman" w:hAnsi="Times New Roman" w:eastAsia="宋体" w:cs="Times New Roman"/>
                      <w:b/>
                      <w:bCs/>
                      <w:color w:val="auto"/>
                      <w:kern w:val="0"/>
                      <w:szCs w:val="21"/>
                      <w:highlight w:val="none"/>
                      <w:vertAlign w:val="baseline"/>
                      <w:lang w:eastAsia="zh-CN"/>
                    </w:rPr>
                    <w:t>本</w:t>
                  </w:r>
                  <w:r>
                    <w:rPr>
                      <w:rFonts w:hint="default" w:ascii="Times New Roman" w:hAnsi="Times New Roman" w:eastAsia="宋体" w:cs="Times New Roman"/>
                      <w:b/>
                      <w:bCs/>
                      <w:color w:val="auto"/>
                      <w:kern w:val="0"/>
                      <w:szCs w:val="21"/>
                      <w:highlight w:val="none"/>
                      <w:vertAlign w:val="baseline"/>
                    </w:rPr>
                    <w:t>项目情况</w:t>
                  </w:r>
                </w:p>
              </w:tc>
              <w:tc>
                <w:tcPr>
                  <w:tcW w:w="822" w:type="dxa"/>
                  <w:tcBorders>
                    <w:tl2br w:val="nil"/>
                    <w:tr2bl w:val="nil"/>
                  </w:tcBorders>
                  <w:noWrap w:val="0"/>
                  <w:vAlign w:val="center"/>
                </w:tcPr>
                <w:p>
                  <w:pPr>
                    <w:snapToGrid w:val="0"/>
                    <w:jc w:val="center"/>
                    <w:rPr>
                      <w:rFonts w:hint="default" w:ascii="Times New Roman" w:hAnsi="Times New Roman" w:eastAsia="宋体" w:cs="Times New Roman"/>
                      <w:b/>
                      <w:bCs/>
                      <w:color w:val="auto"/>
                      <w:kern w:val="0"/>
                      <w:szCs w:val="21"/>
                      <w:highlight w:val="none"/>
                      <w:vertAlign w:val="baseline"/>
                    </w:rPr>
                  </w:pPr>
                  <w:r>
                    <w:rPr>
                      <w:rFonts w:hint="default" w:ascii="Times New Roman" w:hAnsi="Times New Roman" w:eastAsia="宋体" w:cs="Times New Roman"/>
                      <w:b/>
                      <w:bCs/>
                      <w:color w:val="auto"/>
                      <w:kern w:val="0"/>
                      <w:szCs w:val="21"/>
                      <w:highlight w:val="none"/>
                      <w:vertAlign w:val="baseline"/>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tcBorders>
                    <w:tl2br w:val="nil"/>
                    <w:tr2bl w:val="nil"/>
                  </w:tcBorders>
                  <w:noWrap w:val="0"/>
                  <w:vAlign w:val="center"/>
                </w:tcPr>
                <w:p>
                  <w:pPr>
                    <w:keepNext w:val="0"/>
                    <w:keepLines w:val="0"/>
                    <w:pageBreakBefore w:val="0"/>
                    <w:widowControl w:val="0"/>
                    <w:kinsoku/>
                    <w:wordWrap w:val="0"/>
                    <w:overflowPunct/>
                    <w:topLinePunct w:val="0"/>
                    <w:autoSpaceDE/>
                    <w:autoSpaceDN/>
                    <w:bidi w:val="0"/>
                    <w:adjustRightInd/>
                    <w:snapToGrid w:val="0"/>
                    <w:jc w:val="center"/>
                    <w:textAlignment w:val="auto"/>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rPr>
                    <w:t>山东省深入打好蓝天保卫战行动计划（2021</w:t>
                  </w:r>
                  <w:r>
                    <w:rPr>
                      <w:rFonts w:hint="default" w:ascii="Times New Roman" w:hAnsi="Times New Roman" w:cs="Times New Roman"/>
                      <w:color w:val="auto"/>
                      <w:kern w:val="0"/>
                      <w:szCs w:val="21"/>
                      <w:highlight w:val="none"/>
                      <w:vertAlign w:val="baseline"/>
                      <w:lang w:val="en-US" w:eastAsia="zh-CN"/>
                    </w:rPr>
                    <w:t>-</w:t>
                  </w:r>
                  <w:r>
                    <w:rPr>
                      <w:rFonts w:hint="default" w:ascii="Times New Roman" w:hAnsi="Times New Roman" w:eastAsia="宋体" w:cs="Times New Roman"/>
                      <w:color w:val="auto"/>
                      <w:kern w:val="0"/>
                      <w:szCs w:val="21"/>
                      <w:highlight w:val="none"/>
                      <w:vertAlign w:val="baseline"/>
                    </w:rPr>
                    <w:t>2025年）</w:t>
                  </w:r>
                </w:p>
              </w:tc>
              <w:tc>
                <w:tcPr>
                  <w:tcW w:w="3958" w:type="dxa"/>
                  <w:tcBorders>
                    <w:tl2br w:val="nil"/>
                    <w:tr2bl w:val="nil"/>
                  </w:tcBorders>
                  <w:noWrap w:val="0"/>
                  <w:vAlign w:val="center"/>
                </w:tcPr>
                <w:p>
                  <w:pPr>
                    <w:snapToGrid w:val="0"/>
                    <w:jc w:val="left"/>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rPr>
                    <w:t>聚焦钢铁、地炼、焦化、煤电、水泥、轮胎、煤炭、化工8个重点行业，加快淘汰低效落后产能。严格执行质量、环保、能耗、安全等法规标准，按照《产业结构调整指导目录（2024年本）》，对</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淘汰类</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落后生产工艺装备和落后产品全部淘汰出清。各市聚焦</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高耗能、高污染、高排放、高风险</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等行业，分类组织实施转移、压减、整合、关停任务。到2025年，传输通道城市和胶济铁路沿线地区的钢铁产能应退尽退，沿海地区钢铁产能占比提升到70%以上；提高地炼行业的区域集中度和规模集约化程度，在布局新的大型炼化一体化项目基础上，将500万吨及以下未实现炼化一体化的地炼企业炼油产能分批分步进行整合转移；全省焦化企业户数压减到20家以内，单厂区焦化产能100万吨/年以下的全部退出；除特种水泥熟料和化工配套水泥熟料生产线外，2500吨/日以下的水泥熟料生产线全部整合退出。（省工业和信息化厅、省发展改革委牵头，各市、县[市、区]人民政府落实。以下均需要市、县[市、区]人民政府落实，不再列入）按照</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发现一起、处置一起</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的原则，实行</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散乱污</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企业动态清零。（省生态环境厅、省工业和信息化厅按职责分工负责）严格项目准入，高耗能、高排放（以下简称</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两高</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）项目建设做到产能减量、能耗减量、煤炭减量、碳排放减量和污染物排放减量</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五个减量</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替代。有序推进</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两高</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项目清理工作，确保</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三个坚决</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落实到位，未纳入国家规划的炼油、乙烯、对二甲苯、煤制油气项目，一律不得建设。</w:t>
                  </w:r>
                </w:p>
              </w:tc>
              <w:tc>
                <w:tcPr>
                  <w:tcW w:w="1621" w:type="dxa"/>
                  <w:tcBorders>
                    <w:tl2br w:val="nil"/>
                    <w:tr2bl w:val="nil"/>
                  </w:tcBorders>
                  <w:noWrap w:val="0"/>
                  <w:vAlign w:val="center"/>
                </w:tcPr>
                <w:p>
                  <w:pPr>
                    <w:snapToGrid w:val="0"/>
                    <w:jc w:val="both"/>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lang w:eastAsia="zh-CN"/>
                    </w:rPr>
                    <w:t>本</w:t>
                  </w:r>
                  <w:r>
                    <w:rPr>
                      <w:rFonts w:hint="default" w:ascii="Times New Roman" w:hAnsi="Times New Roman" w:eastAsia="宋体" w:cs="Times New Roman"/>
                      <w:color w:val="auto"/>
                      <w:kern w:val="0"/>
                      <w:szCs w:val="21"/>
                      <w:highlight w:val="none"/>
                      <w:vertAlign w:val="baseline"/>
                    </w:rPr>
                    <w:t>项目不属于</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淘汰类</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项目，不属于</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高耗能、高污染、高排放、高风险</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等行业</w:t>
                  </w:r>
                  <w:r>
                    <w:rPr>
                      <w:rFonts w:hint="default" w:ascii="Times New Roman" w:hAnsi="Times New Roman" w:cs="Times New Roman"/>
                      <w:color w:val="auto"/>
                      <w:kern w:val="0"/>
                      <w:szCs w:val="21"/>
                      <w:highlight w:val="none"/>
                      <w:vertAlign w:val="baseline"/>
                      <w:lang w:val="en-US" w:eastAsia="zh-CN"/>
                    </w:rPr>
                    <w:t>项目</w:t>
                  </w:r>
                  <w:r>
                    <w:rPr>
                      <w:rFonts w:hint="default" w:ascii="Times New Roman" w:hAnsi="Times New Roman" w:eastAsia="宋体" w:cs="Times New Roman"/>
                      <w:color w:val="auto"/>
                      <w:kern w:val="0"/>
                      <w:szCs w:val="21"/>
                      <w:highlight w:val="none"/>
                      <w:vertAlign w:val="baseline"/>
                    </w:rPr>
                    <w:t>，不属于</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散乱污</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企业及其他禁止建设项目</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lang w:eastAsia="zh-CN"/>
                    </w:rPr>
                    <w:t>本</w:t>
                  </w:r>
                  <w:r>
                    <w:rPr>
                      <w:rFonts w:hint="default" w:ascii="Times New Roman" w:hAnsi="Times New Roman" w:eastAsia="宋体" w:cs="Times New Roman"/>
                      <w:color w:val="auto"/>
                      <w:kern w:val="0"/>
                      <w:szCs w:val="21"/>
                      <w:highlight w:val="none"/>
                      <w:vertAlign w:val="baseline"/>
                    </w:rPr>
                    <w:t>项目不属于不允许建设的炼油、乙烯、对二甲苯、煤制油气项目。</w:t>
                  </w:r>
                </w:p>
              </w:tc>
              <w:tc>
                <w:tcPr>
                  <w:tcW w:w="822" w:type="dxa"/>
                  <w:tcBorders>
                    <w:tl2br w:val="nil"/>
                    <w:tr2bl w:val="nil"/>
                  </w:tcBorders>
                  <w:noWrap w:val="0"/>
                  <w:vAlign w:val="center"/>
                </w:tcPr>
                <w:p>
                  <w:pPr>
                    <w:snapToGrid w:val="0"/>
                    <w:jc w:val="center"/>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0" w:type="dxa"/>
                  <w:vMerge w:val="restart"/>
                  <w:tcBorders>
                    <w:tl2br w:val="nil"/>
                    <w:tr2bl w:val="nil"/>
                  </w:tcBorders>
                  <w:noWrap w:val="0"/>
                  <w:vAlign w:val="center"/>
                </w:tcPr>
                <w:p>
                  <w:pPr>
                    <w:pStyle w:val="45"/>
                    <w:keepNext w:val="0"/>
                    <w:keepLines w:val="0"/>
                    <w:pageBreakBefore w:val="0"/>
                    <w:widowControl w:val="0"/>
                    <w:kinsoku/>
                    <w:wordWrap w:val="0"/>
                    <w:overflowPunct/>
                    <w:topLinePunct w:val="0"/>
                    <w:autoSpaceDE w:val="0"/>
                    <w:autoSpaceDN w:val="0"/>
                    <w:bidi w:val="0"/>
                    <w:adjustRightInd w:val="0"/>
                    <w:snapToGrid w:val="0"/>
                    <w:jc w:val="center"/>
                    <w:textAlignment w:val="auto"/>
                    <w:rPr>
                      <w:rFonts w:hint="default" w:ascii="Times New Roman" w:hAnsi="Times New Roman" w:cs="Times New Roman"/>
                      <w:b w:val="0"/>
                      <w:bCs/>
                      <w:color w:val="auto"/>
                      <w:szCs w:val="21"/>
                      <w:highlight w:val="none"/>
                      <w:vertAlign w:val="baseline"/>
                    </w:rPr>
                  </w:pPr>
                  <w:r>
                    <w:rPr>
                      <w:rFonts w:hint="default" w:ascii="Times New Roman" w:hAnsi="Times New Roman" w:eastAsia="宋体" w:cs="Times New Roman"/>
                      <w:b w:val="0"/>
                      <w:bCs/>
                      <w:color w:val="auto"/>
                      <w:kern w:val="0"/>
                      <w:sz w:val="21"/>
                      <w:szCs w:val="21"/>
                      <w:highlight w:val="none"/>
                      <w:vertAlign w:val="baseline"/>
                    </w:rPr>
                    <w:t>山东省深入打好碧水保卫战行动计划</w:t>
                  </w:r>
                  <w:r>
                    <w:rPr>
                      <w:rFonts w:hint="default" w:ascii="Times New Roman" w:hAnsi="Times New Roman" w:eastAsia="宋体" w:cs="Times New Roman"/>
                      <w:b w:val="0"/>
                      <w:bCs/>
                      <w:color w:val="auto"/>
                      <w:kern w:val="0"/>
                      <w:sz w:val="21"/>
                      <w:szCs w:val="21"/>
                      <w:highlight w:val="none"/>
                      <w:vertAlign w:val="baseline"/>
                      <w:lang w:eastAsia="zh-CN"/>
                    </w:rPr>
                    <w:t>（</w:t>
                  </w:r>
                  <w:r>
                    <w:rPr>
                      <w:rFonts w:hint="default" w:ascii="Times New Roman" w:hAnsi="Times New Roman" w:eastAsia="宋体" w:cs="Times New Roman"/>
                      <w:b w:val="0"/>
                      <w:bCs/>
                      <w:color w:val="auto"/>
                      <w:kern w:val="0"/>
                      <w:sz w:val="21"/>
                      <w:szCs w:val="21"/>
                      <w:highlight w:val="none"/>
                      <w:vertAlign w:val="baseline"/>
                    </w:rPr>
                    <w:t>2021</w:t>
                  </w:r>
                  <w:r>
                    <w:rPr>
                      <w:rFonts w:hint="default" w:ascii="Times New Roman" w:hAnsi="Times New Roman" w:cs="Times New Roman"/>
                      <w:b w:val="0"/>
                      <w:bCs/>
                      <w:color w:val="auto"/>
                      <w:kern w:val="0"/>
                      <w:sz w:val="21"/>
                      <w:szCs w:val="21"/>
                      <w:highlight w:val="none"/>
                      <w:vertAlign w:val="baseline"/>
                      <w:lang w:val="en-US" w:eastAsia="zh-CN"/>
                    </w:rPr>
                    <w:t>-</w:t>
                  </w:r>
                  <w:r>
                    <w:rPr>
                      <w:rFonts w:hint="default" w:ascii="Times New Roman" w:hAnsi="Times New Roman" w:eastAsia="宋体" w:cs="Times New Roman"/>
                      <w:b w:val="0"/>
                      <w:bCs/>
                      <w:color w:val="auto"/>
                      <w:kern w:val="0"/>
                      <w:sz w:val="21"/>
                      <w:szCs w:val="21"/>
                      <w:highlight w:val="none"/>
                      <w:vertAlign w:val="baseline"/>
                    </w:rPr>
                    <w:t>2025年</w:t>
                  </w:r>
                  <w:r>
                    <w:rPr>
                      <w:rFonts w:hint="default" w:ascii="Times New Roman" w:hAnsi="Times New Roman" w:eastAsia="宋体" w:cs="Times New Roman"/>
                      <w:b w:val="0"/>
                      <w:bCs/>
                      <w:color w:val="auto"/>
                      <w:kern w:val="0"/>
                      <w:sz w:val="21"/>
                      <w:szCs w:val="21"/>
                      <w:highlight w:val="none"/>
                      <w:vertAlign w:val="baseline"/>
                      <w:lang w:eastAsia="zh-CN"/>
                    </w:rPr>
                    <w:t>）</w:t>
                  </w:r>
                </w:p>
              </w:tc>
              <w:tc>
                <w:tcPr>
                  <w:tcW w:w="3958" w:type="dxa"/>
                  <w:tcBorders>
                    <w:tl2br w:val="nil"/>
                    <w:tr2bl w:val="nil"/>
                  </w:tcBorders>
                  <w:noWrap w:val="0"/>
                  <w:vAlign w:val="center"/>
                </w:tcPr>
                <w:p>
                  <w:pPr>
                    <w:snapToGrid w:val="0"/>
                    <w:jc w:val="left"/>
                    <w:rPr>
                      <w:rFonts w:hint="default" w:ascii="Times New Roman" w:hAnsi="Times New Roman" w:eastAsia="宋体" w:cs="Times New Roman"/>
                      <w:b w:val="0"/>
                      <w:bCs/>
                      <w:color w:val="auto"/>
                      <w:kern w:val="0"/>
                      <w:szCs w:val="21"/>
                      <w:highlight w:val="none"/>
                      <w:vertAlign w:val="baseline"/>
                    </w:rPr>
                  </w:pPr>
                  <w:r>
                    <w:rPr>
                      <w:rFonts w:hint="default" w:ascii="Times New Roman" w:hAnsi="Times New Roman" w:eastAsia="宋体" w:cs="Times New Roman"/>
                      <w:b w:val="0"/>
                      <w:bCs/>
                      <w:color w:val="auto"/>
                      <w:kern w:val="0"/>
                      <w:szCs w:val="21"/>
                      <w:highlight w:val="none"/>
                      <w:vertAlign w:val="baseline"/>
                    </w:rPr>
                    <w:t>开展</w:t>
                  </w:r>
                  <w:r>
                    <w:rPr>
                      <w:rFonts w:hint="default" w:ascii="Times New Roman" w:hAnsi="Times New Roman" w:cs="Times New Roman"/>
                      <w:b w:val="0"/>
                      <w:bCs/>
                      <w:color w:val="auto"/>
                      <w:kern w:val="0"/>
                      <w:szCs w:val="21"/>
                      <w:highlight w:val="none"/>
                      <w:vertAlign w:val="baseline"/>
                      <w:lang w:eastAsia="zh-CN"/>
                    </w:rPr>
                    <w:t>“</w:t>
                  </w:r>
                  <w:r>
                    <w:rPr>
                      <w:rFonts w:hint="default" w:ascii="Times New Roman" w:hAnsi="Times New Roman" w:eastAsia="宋体" w:cs="Times New Roman"/>
                      <w:b w:val="0"/>
                      <w:bCs/>
                      <w:color w:val="auto"/>
                      <w:kern w:val="0"/>
                      <w:szCs w:val="21"/>
                      <w:highlight w:val="none"/>
                      <w:vertAlign w:val="baseline"/>
                    </w:rPr>
                    <w:t>污水零直排区</w:t>
                  </w:r>
                  <w:r>
                    <w:rPr>
                      <w:rFonts w:hint="default" w:ascii="Times New Roman" w:hAnsi="Times New Roman" w:cs="Times New Roman"/>
                      <w:b w:val="0"/>
                      <w:bCs/>
                      <w:color w:val="auto"/>
                      <w:kern w:val="0"/>
                      <w:szCs w:val="21"/>
                      <w:highlight w:val="none"/>
                      <w:vertAlign w:val="baseline"/>
                      <w:lang w:eastAsia="zh-CN"/>
                    </w:rPr>
                    <w:t>”</w:t>
                  </w:r>
                  <w:r>
                    <w:rPr>
                      <w:rFonts w:hint="default" w:ascii="Times New Roman" w:hAnsi="Times New Roman" w:eastAsia="宋体" w:cs="Times New Roman"/>
                      <w:b w:val="0"/>
                      <w:bCs/>
                      <w:color w:val="auto"/>
                      <w:kern w:val="0"/>
                      <w:szCs w:val="21"/>
                      <w:highlight w:val="none"/>
                      <w:vertAlign w:val="baseline"/>
                    </w:rPr>
                    <w:t>建设，控制城市面源污染。彻底摸清城市（含县城）管网底数，加快雨污分流改造，推进实现整县域合流制管网清零。2025年年底前，新建改造修复城区污水管网5000公里，改造城区雨污合流管网3000余公里，基本消除城市管网空白区和生活污水直排口。总结推广</w:t>
                  </w:r>
                  <w:r>
                    <w:rPr>
                      <w:rFonts w:hint="default" w:ascii="Times New Roman" w:hAnsi="Times New Roman" w:cs="Times New Roman"/>
                      <w:b w:val="0"/>
                      <w:bCs/>
                      <w:color w:val="auto"/>
                      <w:kern w:val="0"/>
                      <w:szCs w:val="21"/>
                      <w:highlight w:val="none"/>
                      <w:vertAlign w:val="baseline"/>
                      <w:lang w:eastAsia="zh-CN"/>
                    </w:rPr>
                    <w:t>“</w:t>
                  </w:r>
                  <w:r>
                    <w:rPr>
                      <w:rFonts w:hint="default" w:ascii="Times New Roman" w:hAnsi="Times New Roman" w:eastAsia="宋体" w:cs="Times New Roman"/>
                      <w:b w:val="0"/>
                      <w:bCs/>
                      <w:color w:val="auto"/>
                      <w:kern w:val="0"/>
                      <w:szCs w:val="21"/>
                      <w:highlight w:val="none"/>
                      <w:vertAlign w:val="baseline"/>
                    </w:rPr>
                    <w:t>庆云经验</w:t>
                  </w:r>
                  <w:r>
                    <w:rPr>
                      <w:rFonts w:hint="default" w:ascii="Times New Roman" w:hAnsi="Times New Roman" w:cs="Times New Roman"/>
                      <w:b w:val="0"/>
                      <w:bCs/>
                      <w:color w:val="auto"/>
                      <w:kern w:val="0"/>
                      <w:szCs w:val="21"/>
                      <w:highlight w:val="none"/>
                      <w:vertAlign w:val="baseline"/>
                      <w:lang w:eastAsia="zh-CN"/>
                    </w:rPr>
                    <w:t>”</w:t>
                  </w:r>
                  <w:r>
                    <w:rPr>
                      <w:rFonts w:hint="default" w:ascii="Times New Roman" w:hAnsi="Times New Roman" w:eastAsia="宋体" w:cs="Times New Roman"/>
                      <w:b w:val="0"/>
                      <w:bCs/>
                      <w:color w:val="auto"/>
                      <w:kern w:val="0"/>
                      <w:szCs w:val="21"/>
                      <w:highlight w:val="none"/>
                      <w:vertAlign w:val="baseline"/>
                    </w:rPr>
                    <w:t>，以多元融资模式保障基础设施工程建设，改善城市水环境质量。南四湖流域及水质不达标或不稳定达标断面汇水区域提前2年完成管网补短板任务。开展城镇生活污水处理设施能力评估，优化生活污水处理厂布局，提升污水处理能力并适度超前。2025年年底前，新增污水处理能力200万吨/日以上。加强建制镇生活污水收集处理设施建设，并实现稳定运行，2025年年底前，建制镇生活污水处理率达到75%以上。</w:t>
                  </w:r>
                </w:p>
              </w:tc>
              <w:tc>
                <w:tcPr>
                  <w:tcW w:w="1621" w:type="dxa"/>
                  <w:tcBorders>
                    <w:tl2br w:val="nil"/>
                    <w:tr2bl w:val="nil"/>
                  </w:tcBorders>
                  <w:noWrap w:val="0"/>
                  <w:vAlign w:val="center"/>
                </w:tcPr>
                <w:p>
                  <w:pPr>
                    <w:widowControl/>
                    <w:jc w:val="both"/>
                    <w:rPr>
                      <w:rFonts w:hint="default" w:ascii="Times New Roman" w:hAnsi="Times New Roman" w:eastAsia="宋体" w:cs="Times New Roman"/>
                      <w:color w:val="auto"/>
                      <w:kern w:val="0"/>
                      <w:szCs w:val="21"/>
                      <w:highlight w:val="none"/>
                      <w:vertAlign w:val="baseline"/>
                      <w:lang w:val="en-US" w:eastAsia="zh-CN"/>
                    </w:rPr>
                  </w:pPr>
                  <w:r>
                    <w:rPr>
                      <w:rFonts w:hint="default" w:ascii="Times New Roman" w:hAnsi="Times New Roman" w:cs="Times New Roman"/>
                      <w:color w:val="auto"/>
                      <w:kern w:val="0"/>
                      <w:sz w:val="21"/>
                      <w:szCs w:val="21"/>
                      <w:highlight w:val="none"/>
                      <w:lang w:val="en-US" w:eastAsia="zh-CN" w:bidi="ar"/>
                    </w:rPr>
                    <w:t>技改后本项目废水种类及排放量无变化。</w:t>
                  </w:r>
                </w:p>
              </w:tc>
              <w:tc>
                <w:tcPr>
                  <w:tcW w:w="822" w:type="dxa"/>
                  <w:tcBorders>
                    <w:tl2br w:val="nil"/>
                    <w:tr2bl w:val="nil"/>
                  </w:tcBorders>
                  <w:noWrap w:val="0"/>
                  <w:vAlign w:val="center"/>
                </w:tcPr>
                <w:p>
                  <w:pPr>
                    <w:snapToGrid w:val="0"/>
                    <w:jc w:val="center"/>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tcBorders>
                    <w:tl2br w:val="nil"/>
                    <w:tr2bl w:val="nil"/>
                  </w:tcBorders>
                  <w:noWrap w:val="0"/>
                  <w:vAlign w:val="center"/>
                </w:tcPr>
                <w:p>
                  <w:pPr>
                    <w:snapToGrid w:val="0"/>
                    <w:jc w:val="left"/>
                    <w:rPr>
                      <w:rFonts w:hint="default" w:ascii="Times New Roman" w:hAnsi="Times New Roman" w:cs="Times New Roman"/>
                      <w:color w:val="auto"/>
                      <w:highlight w:val="none"/>
                    </w:rPr>
                  </w:pPr>
                </w:p>
              </w:tc>
              <w:tc>
                <w:tcPr>
                  <w:tcW w:w="3958" w:type="dxa"/>
                  <w:tcBorders>
                    <w:tl2br w:val="nil"/>
                    <w:tr2bl w:val="nil"/>
                  </w:tcBorders>
                  <w:noWrap w:val="0"/>
                  <w:vAlign w:val="center"/>
                </w:tcPr>
                <w:p>
                  <w:pPr>
                    <w:snapToGrid w:val="0"/>
                    <w:jc w:val="left"/>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rPr>
                    <w:t>开展入河排污口溯源分析，建立</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排污单位—排污通道—排污口—受纳水体</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的排污路径，完成排污口分类、命名、编码和标志牌树立等工作，形成规范的排污口</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户籍</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管理。按照</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取缔一批、合并一批、规范一批</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要求，编制整治工作方案，提出</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一口一策</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整治措施。2021年年底前，完成工业企业、城镇污水</w:t>
                  </w:r>
                  <w:r>
                    <w:rPr>
                      <w:rFonts w:hint="default" w:ascii="Times New Roman" w:hAnsi="Times New Roman" w:eastAsia="宋体" w:cs="Times New Roman"/>
                      <w:color w:val="auto"/>
                      <w:kern w:val="0"/>
                      <w:sz w:val="21"/>
                      <w:szCs w:val="21"/>
                      <w:highlight w:val="none"/>
                      <w:vertAlign w:val="baseline"/>
                    </w:rPr>
                    <w:t>集中处理设施排污口以及黄河干流排污口整治任务；2023年年底前，完成南四湖流域入河排污口整治；2025年年底前，完成全省入河排污口整治任务。强化水污染物排放的排污许可信息管理，规范污染因子的排放标准、许可年排放量限值、排放去向、自行监测因子及频次等内容。</w:t>
                  </w:r>
                </w:p>
              </w:tc>
              <w:tc>
                <w:tcPr>
                  <w:tcW w:w="1621" w:type="dxa"/>
                  <w:tcBorders>
                    <w:tl2br w:val="nil"/>
                    <w:tr2bl w:val="nil"/>
                  </w:tcBorders>
                  <w:noWrap w:val="0"/>
                  <w:vAlign w:val="center"/>
                </w:tcPr>
                <w:p>
                  <w:pPr>
                    <w:widowControl/>
                    <w:jc w:val="both"/>
                    <w:rPr>
                      <w:rFonts w:hint="default" w:ascii="Times New Roman" w:hAnsi="Times New Roman" w:eastAsia="宋体" w:cs="Times New Roman"/>
                      <w:color w:val="auto"/>
                      <w:kern w:val="0"/>
                      <w:szCs w:val="21"/>
                      <w:highlight w:val="none"/>
                      <w:vertAlign w:val="baseline"/>
                    </w:rPr>
                  </w:pPr>
                  <w:r>
                    <w:rPr>
                      <w:rFonts w:hint="default" w:ascii="Times New Roman" w:hAnsi="Times New Roman" w:cs="Times New Roman"/>
                      <w:color w:val="auto"/>
                      <w:kern w:val="0"/>
                      <w:sz w:val="21"/>
                      <w:szCs w:val="21"/>
                      <w:highlight w:val="none"/>
                      <w:lang w:val="en-US" w:eastAsia="zh-CN" w:bidi="ar"/>
                    </w:rPr>
                    <w:t>本项目生产废水和职工生活污水经厂区内污水站处理后排入淄博沃特水务能源开发有限公司</w:t>
                  </w:r>
                  <w:r>
                    <w:rPr>
                      <w:rFonts w:hint="default" w:ascii="Times New Roman" w:hAnsi="Times New Roman" w:cs="Times New Roman"/>
                      <w:color w:val="auto"/>
                      <w:kern w:val="0"/>
                      <w:sz w:val="21"/>
                      <w:szCs w:val="21"/>
                      <w:highlight w:val="none"/>
                      <w:lang w:eastAsia="zh-CN" w:bidi="ar"/>
                    </w:rPr>
                    <w:t>。</w:t>
                  </w:r>
                </w:p>
              </w:tc>
              <w:tc>
                <w:tcPr>
                  <w:tcW w:w="822" w:type="dxa"/>
                  <w:tcBorders>
                    <w:tl2br w:val="nil"/>
                    <w:tr2bl w:val="nil"/>
                  </w:tcBorders>
                  <w:noWrap w:val="0"/>
                  <w:vAlign w:val="center"/>
                </w:tcPr>
                <w:p>
                  <w:pPr>
                    <w:snapToGrid w:val="0"/>
                    <w:jc w:val="center"/>
                    <w:rPr>
                      <w:rFonts w:hint="default" w:ascii="Times New Roman" w:hAnsi="Times New Roman" w:eastAsia="宋体" w:cs="Times New Roman"/>
                      <w:color w:val="auto"/>
                      <w:kern w:val="0"/>
                      <w:szCs w:val="21"/>
                      <w:highlight w:val="none"/>
                      <w:vertAlign w:val="baseline"/>
                    </w:rPr>
                  </w:pPr>
                  <w:r>
                    <w:rPr>
                      <w:rFonts w:hint="default" w:ascii="Times New Roman" w:hAnsi="Times New Roman" w:cs="Times New Roman"/>
                      <w:color w:val="auto"/>
                      <w:kern w:val="0"/>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restart"/>
                  <w:tcBorders>
                    <w:tl2br w:val="nil"/>
                    <w:tr2bl w:val="nil"/>
                  </w:tcBorders>
                  <w:noWrap w:val="0"/>
                  <w:vAlign w:val="center"/>
                </w:tcPr>
                <w:p>
                  <w:pPr>
                    <w:keepNext w:val="0"/>
                    <w:keepLines w:val="0"/>
                    <w:pageBreakBefore w:val="0"/>
                    <w:widowControl w:val="0"/>
                    <w:kinsoku/>
                    <w:wordWrap w:val="0"/>
                    <w:overflowPunct/>
                    <w:topLinePunct w:val="0"/>
                    <w:autoSpaceDE/>
                    <w:autoSpaceDN/>
                    <w:bidi w:val="0"/>
                    <w:adjustRightInd/>
                    <w:snapToGrid w:val="0"/>
                    <w:jc w:val="center"/>
                    <w:textAlignment w:val="auto"/>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 w:val="21"/>
                      <w:szCs w:val="21"/>
                      <w:highlight w:val="none"/>
                      <w:vertAlign w:val="baseline"/>
                    </w:rPr>
                    <w:t>山东省深入打好</w:t>
                  </w:r>
                  <w:r>
                    <w:rPr>
                      <w:rFonts w:hint="default" w:ascii="Times New Roman" w:hAnsi="Times New Roman" w:eastAsia="宋体" w:cs="Times New Roman"/>
                      <w:color w:val="auto"/>
                      <w:kern w:val="0"/>
                      <w:sz w:val="21"/>
                      <w:szCs w:val="21"/>
                      <w:highlight w:val="none"/>
                      <w:vertAlign w:val="baseline"/>
                      <w:lang w:val="en-US" w:eastAsia="zh-CN"/>
                    </w:rPr>
                    <w:t>净土</w:t>
                  </w:r>
                  <w:r>
                    <w:rPr>
                      <w:rFonts w:hint="default" w:ascii="Times New Roman" w:hAnsi="Times New Roman" w:eastAsia="宋体" w:cs="Times New Roman"/>
                      <w:color w:val="auto"/>
                      <w:kern w:val="0"/>
                      <w:sz w:val="21"/>
                      <w:szCs w:val="21"/>
                      <w:highlight w:val="none"/>
                      <w:vertAlign w:val="baseline"/>
                    </w:rPr>
                    <w:t>保卫战行动计划</w:t>
                  </w:r>
                  <w:r>
                    <w:rPr>
                      <w:rFonts w:hint="default" w:ascii="Times New Roman" w:hAnsi="Times New Roman" w:eastAsia="宋体" w:cs="Times New Roman"/>
                      <w:color w:val="auto"/>
                      <w:kern w:val="0"/>
                      <w:sz w:val="21"/>
                      <w:szCs w:val="21"/>
                      <w:highlight w:val="none"/>
                      <w:vertAlign w:val="baseline"/>
                      <w:lang w:eastAsia="zh-CN"/>
                    </w:rPr>
                    <w:t>（</w:t>
                  </w:r>
                  <w:r>
                    <w:rPr>
                      <w:rFonts w:hint="default" w:ascii="Times New Roman" w:hAnsi="Times New Roman" w:eastAsia="宋体" w:cs="Times New Roman"/>
                      <w:color w:val="auto"/>
                      <w:kern w:val="0"/>
                      <w:sz w:val="21"/>
                      <w:szCs w:val="21"/>
                      <w:highlight w:val="none"/>
                      <w:vertAlign w:val="baseline"/>
                    </w:rPr>
                    <w:t>2021</w:t>
                  </w:r>
                  <w:r>
                    <w:rPr>
                      <w:rFonts w:hint="default" w:ascii="Times New Roman" w:hAnsi="Times New Roman" w:cs="Times New Roman"/>
                      <w:color w:val="auto"/>
                      <w:kern w:val="0"/>
                      <w:sz w:val="21"/>
                      <w:szCs w:val="21"/>
                      <w:highlight w:val="none"/>
                      <w:vertAlign w:val="baseline"/>
                      <w:lang w:val="en-US" w:eastAsia="zh-CN"/>
                    </w:rPr>
                    <w:t>-</w:t>
                  </w:r>
                  <w:r>
                    <w:rPr>
                      <w:rFonts w:hint="default" w:ascii="Times New Roman" w:hAnsi="Times New Roman" w:eastAsia="宋体" w:cs="Times New Roman"/>
                      <w:color w:val="auto"/>
                      <w:kern w:val="0"/>
                      <w:sz w:val="21"/>
                      <w:szCs w:val="21"/>
                      <w:highlight w:val="none"/>
                      <w:vertAlign w:val="baseline"/>
                    </w:rPr>
                    <w:t>2025年</w:t>
                  </w:r>
                  <w:r>
                    <w:rPr>
                      <w:rFonts w:hint="default" w:ascii="Times New Roman" w:hAnsi="Times New Roman" w:eastAsia="宋体" w:cs="Times New Roman"/>
                      <w:color w:val="auto"/>
                      <w:kern w:val="0"/>
                      <w:sz w:val="21"/>
                      <w:szCs w:val="21"/>
                      <w:highlight w:val="none"/>
                      <w:vertAlign w:val="baseline"/>
                      <w:lang w:eastAsia="zh-CN"/>
                    </w:rPr>
                    <w:t>）</w:t>
                  </w:r>
                </w:p>
              </w:tc>
              <w:tc>
                <w:tcPr>
                  <w:tcW w:w="3958" w:type="dxa"/>
                  <w:tcBorders>
                    <w:tl2br w:val="nil"/>
                    <w:tr2bl w:val="nil"/>
                  </w:tcBorders>
                  <w:noWrap w:val="0"/>
                  <w:vAlign w:val="center"/>
                </w:tcPr>
                <w:p>
                  <w:pPr>
                    <w:snapToGrid w:val="0"/>
                    <w:jc w:val="left"/>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rPr>
                    <w:t>加强部门协同，畅通信息共享</w:t>
                  </w:r>
                  <w:r>
                    <w:rPr>
                      <w:rFonts w:hint="default" w:ascii="Times New Roman" w:hAnsi="Times New Roman" w:eastAsia="宋体" w:cs="Times New Roman"/>
                      <w:color w:val="auto"/>
                      <w:kern w:val="0"/>
                      <w:sz w:val="21"/>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完善建设用地风险信息互通机制。从严管控农药、化工等行业的重度污染地块规划用途，确需开发利用的，鼓励用于拓展生态空间。结合空间规划及地块出让条件，对依法应当开展土壤污染状况调查的地块，应当明确开发利用必须符合相关规划用途的土壤环境质量要求。未依法开展或尚未完成土壤污染状况调查评估的土壤污染风险不明地块，杜绝进入用地程序。对未达到土壤污染风险评估报告确定的风险管控、修复目标的建设用地地块，禁止开工建设任何与风险管控、修复无关的项目。对注销、撤销排污许可证的企业，及时纳入监管范围，防止腾退地块游离于监管之外。在土地出让和房地产出售环节实行土壤污染状况公示制度。</w:t>
                  </w:r>
                </w:p>
              </w:tc>
              <w:tc>
                <w:tcPr>
                  <w:tcW w:w="1621" w:type="dxa"/>
                  <w:tcBorders>
                    <w:tl2br w:val="nil"/>
                    <w:tr2bl w:val="nil"/>
                  </w:tcBorders>
                  <w:noWrap w:val="0"/>
                  <w:vAlign w:val="center"/>
                </w:tcPr>
                <w:p>
                  <w:pPr>
                    <w:snapToGrid w:val="0"/>
                    <w:jc w:val="both"/>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lang w:eastAsia="zh-CN"/>
                    </w:rPr>
                    <w:t>本</w:t>
                  </w:r>
                  <w:r>
                    <w:rPr>
                      <w:rFonts w:hint="default" w:ascii="Times New Roman" w:hAnsi="Times New Roman" w:eastAsia="宋体" w:cs="Times New Roman"/>
                      <w:color w:val="auto"/>
                      <w:kern w:val="0"/>
                      <w:szCs w:val="21"/>
                      <w:highlight w:val="none"/>
                      <w:vertAlign w:val="baseline"/>
                    </w:rPr>
                    <w:t>项目符合相关规划要求。</w:t>
                  </w:r>
                </w:p>
              </w:tc>
              <w:tc>
                <w:tcPr>
                  <w:tcW w:w="822" w:type="dxa"/>
                  <w:tcBorders>
                    <w:tl2br w:val="nil"/>
                    <w:tr2bl w:val="nil"/>
                  </w:tcBorders>
                  <w:noWrap w:val="0"/>
                  <w:vAlign w:val="center"/>
                </w:tcPr>
                <w:p>
                  <w:pPr>
                    <w:pStyle w:val="45"/>
                    <w:jc w:val="center"/>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b w:val="0"/>
                      <w:bCs/>
                      <w:color w:val="auto"/>
                      <w:kern w:val="0"/>
                      <w:sz w:val="21"/>
                      <w:szCs w:val="21"/>
                      <w:highlight w:val="none"/>
                      <w:vertAlign w:val="baseli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tcBorders>
                    <w:tl2br w:val="nil"/>
                    <w:tr2bl w:val="nil"/>
                  </w:tcBorders>
                  <w:noWrap w:val="0"/>
                  <w:vAlign w:val="center"/>
                </w:tcPr>
                <w:p>
                  <w:pPr>
                    <w:snapToGrid w:val="0"/>
                    <w:jc w:val="left"/>
                    <w:rPr>
                      <w:rFonts w:hint="default" w:ascii="Times New Roman" w:hAnsi="Times New Roman" w:eastAsia="宋体" w:cs="Times New Roman"/>
                      <w:color w:val="auto"/>
                      <w:kern w:val="0"/>
                      <w:szCs w:val="21"/>
                      <w:highlight w:val="none"/>
                      <w:vertAlign w:val="baseline"/>
                    </w:rPr>
                  </w:pPr>
                </w:p>
              </w:tc>
              <w:tc>
                <w:tcPr>
                  <w:tcW w:w="3958" w:type="dxa"/>
                  <w:tcBorders>
                    <w:tl2br w:val="nil"/>
                    <w:tr2bl w:val="nil"/>
                  </w:tcBorders>
                  <w:noWrap w:val="0"/>
                  <w:vAlign w:val="center"/>
                </w:tcPr>
                <w:p>
                  <w:pPr>
                    <w:snapToGrid w:val="0"/>
                    <w:jc w:val="left"/>
                    <w:rPr>
                      <w:rFonts w:hint="default" w:ascii="Times New Roman" w:hAnsi="Times New Roman" w:eastAsia="宋体" w:cs="Times New Roman"/>
                      <w:color w:val="auto"/>
                      <w:kern w:val="0"/>
                      <w:szCs w:val="21"/>
                      <w:highlight w:val="none"/>
                      <w:vertAlign w:val="baseline"/>
                    </w:rPr>
                  </w:pPr>
                  <w:r>
                    <w:rPr>
                      <w:rFonts w:hint="default" w:ascii="Times New Roman" w:hAnsi="Times New Roman" w:eastAsia="宋体" w:cs="Times New Roman"/>
                      <w:color w:val="auto"/>
                      <w:kern w:val="0"/>
                      <w:szCs w:val="21"/>
                      <w:highlight w:val="none"/>
                      <w:vertAlign w:val="baseline"/>
                    </w:rPr>
                    <w:t>开展非正规固体废物堆存场所排查整治。构建集污水、垃圾、固废、危废、医废处理处置设施和监测监管能力于一体的环境基础设施体系，形成由城市向建制镇和农村延伸覆盖的环境基础设施网络。到2025年，试点城市建立起</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无废城市</w:t>
                  </w:r>
                  <w:r>
                    <w:rPr>
                      <w:rFonts w:hint="default" w:ascii="Times New Roman" w:hAnsi="Times New Roman" w:cs="Times New Roman"/>
                      <w:color w:val="auto"/>
                      <w:kern w:val="0"/>
                      <w:szCs w:val="21"/>
                      <w:highlight w:val="none"/>
                      <w:vertAlign w:val="baseline"/>
                      <w:lang w:eastAsia="zh-CN"/>
                    </w:rPr>
                    <w:t>”</w:t>
                  </w:r>
                  <w:r>
                    <w:rPr>
                      <w:rFonts w:hint="default" w:ascii="Times New Roman" w:hAnsi="Times New Roman" w:eastAsia="宋体" w:cs="Times New Roman"/>
                      <w:color w:val="auto"/>
                      <w:kern w:val="0"/>
                      <w:szCs w:val="21"/>
                      <w:highlight w:val="none"/>
                      <w:vertAlign w:val="baseline"/>
                    </w:rPr>
                    <w:t>建设综合管理制度和监管体系。</w:t>
                  </w:r>
                </w:p>
              </w:tc>
              <w:tc>
                <w:tcPr>
                  <w:tcW w:w="1621" w:type="dxa"/>
                  <w:tcBorders>
                    <w:tl2br w:val="nil"/>
                    <w:tr2bl w:val="nil"/>
                  </w:tcBorders>
                  <w:noWrap w:val="0"/>
                  <w:vAlign w:val="center"/>
                </w:tcPr>
                <w:p>
                  <w:pPr>
                    <w:snapToGrid w:val="0"/>
                    <w:jc w:val="both"/>
                    <w:rPr>
                      <w:rFonts w:hint="default" w:ascii="Times New Roman" w:hAnsi="Times New Roman" w:eastAsia="宋体" w:cs="Times New Roman"/>
                      <w:color w:val="auto"/>
                      <w:kern w:val="0"/>
                      <w:szCs w:val="21"/>
                      <w:highlight w:val="none"/>
                      <w:vertAlign w:val="baseline"/>
                    </w:rPr>
                  </w:pPr>
                  <w:r>
                    <w:rPr>
                      <w:rFonts w:hint="default" w:ascii="Times New Roman" w:hAnsi="Times New Roman" w:cs="Times New Roman"/>
                      <w:color w:val="auto"/>
                      <w:kern w:val="0"/>
                      <w:szCs w:val="21"/>
                      <w:highlight w:val="none"/>
                      <w:vertAlign w:val="baseline"/>
                      <w:lang w:val="en-US" w:eastAsia="zh-CN"/>
                    </w:rPr>
                    <w:t>技改</w:t>
                  </w:r>
                  <w:r>
                    <w:rPr>
                      <w:rFonts w:hint="default" w:ascii="Times New Roman" w:hAnsi="Times New Roman" w:eastAsia="宋体" w:cs="Times New Roman"/>
                      <w:color w:val="auto"/>
                      <w:kern w:val="0"/>
                      <w:szCs w:val="21"/>
                      <w:highlight w:val="none"/>
                      <w:vertAlign w:val="baseline"/>
                    </w:rPr>
                    <w:t>项目</w:t>
                  </w:r>
                  <w:r>
                    <w:rPr>
                      <w:rFonts w:hint="default" w:ascii="Times New Roman" w:hAnsi="Times New Roman" w:cs="Times New Roman"/>
                      <w:color w:val="auto"/>
                      <w:kern w:val="0"/>
                      <w:szCs w:val="21"/>
                      <w:highlight w:val="none"/>
                      <w:vertAlign w:val="baseline"/>
                      <w:lang w:val="en-US" w:eastAsia="zh-CN"/>
                    </w:rPr>
                    <w:t>依托厂区内现有危废间，企业建立危废管理相关制度，危废间容量满足危废贮存需求，技改新增</w:t>
                  </w:r>
                  <w:r>
                    <w:rPr>
                      <w:rFonts w:hint="default" w:ascii="Times New Roman" w:hAnsi="Times New Roman" w:eastAsia="宋体" w:cs="Times New Roman"/>
                      <w:color w:val="auto"/>
                      <w:kern w:val="0"/>
                      <w:szCs w:val="21"/>
                      <w:highlight w:val="none"/>
                      <w:vertAlign w:val="baseline"/>
                    </w:rPr>
                    <w:t>固体废物均</w:t>
                  </w:r>
                  <w:r>
                    <w:rPr>
                      <w:rFonts w:hint="default" w:ascii="Times New Roman" w:hAnsi="Times New Roman" w:cs="Times New Roman"/>
                      <w:color w:val="auto"/>
                      <w:kern w:val="0"/>
                      <w:szCs w:val="21"/>
                      <w:highlight w:val="none"/>
                      <w:vertAlign w:val="baseline"/>
                      <w:lang w:val="en-US" w:eastAsia="zh-CN"/>
                    </w:rPr>
                    <w:t>得到</w:t>
                  </w:r>
                  <w:r>
                    <w:rPr>
                      <w:rFonts w:hint="default" w:ascii="Times New Roman" w:hAnsi="Times New Roman" w:eastAsia="宋体" w:cs="Times New Roman"/>
                      <w:color w:val="auto"/>
                      <w:kern w:val="0"/>
                      <w:szCs w:val="21"/>
                      <w:highlight w:val="none"/>
                      <w:vertAlign w:val="baseline"/>
                    </w:rPr>
                    <w:t>妥善处置。</w:t>
                  </w:r>
                </w:p>
              </w:tc>
              <w:tc>
                <w:tcPr>
                  <w:tcW w:w="822" w:type="dxa"/>
                  <w:tcBorders>
                    <w:tl2br w:val="nil"/>
                    <w:tr2bl w:val="nil"/>
                  </w:tcBorders>
                  <w:noWrap w:val="0"/>
                  <w:vAlign w:val="center"/>
                </w:tcPr>
                <w:p>
                  <w:pPr>
                    <w:pStyle w:val="45"/>
                    <w:jc w:val="center"/>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b w:val="0"/>
                      <w:bCs/>
                      <w:color w:val="auto"/>
                      <w:kern w:val="0"/>
                      <w:sz w:val="21"/>
                      <w:szCs w:val="21"/>
                      <w:highlight w:val="none"/>
                      <w:vertAlign w:val="baseline"/>
                    </w:rPr>
                    <w:t>符合</w:t>
                  </w:r>
                </w:p>
              </w:tc>
            </w:tr>
          </w:tbl>
          <w:p>
            <w:pPr>
              <w:spacing w:line="360" w:lineRule="auto"/>
              <w:ind w:firstLine="422" w:firstLineChars="200"/>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lang w:val="en-US" w:eastAsia="zh-CN"/>
              </w:rPr>
              <w:t>8、</w:t>
            </w:r>
            <w:r>
              <w:rPr>
                <w:rFonts w:hint="default" w:ascii="Times New Roman" w:hAnsi="Times New Roman" w:cs="Times New Roman"/>
                <w:b/>
                <w:bCs w:val="0"/>
                <w:color w:val="auto"/>
                <w:szCs w:val="21"/>
                <w:highlight w:val="none"/>
              </w:rPr>
              <w:t>与《山东省工业企业无组织排放分行业管控指导意见》（鲁环发〔2020〕30号）符合性分析</w:t>
            </w:r>
          </w:p>
          <w:p>
            <w:pPr>
              <w:autoSpaceDE w:val="0"/>
              <w:autoSpaceDN w:val="0"/>
              <w:adjustRightInd w:val="0"/>
              <w:snapToGrid w:val="0"/>
              <w:jc w:val="center"/>
              <w:rPr>
                <w:rFonts w:hint="default" w:ascii="Times New Roman" w:hAnsi="Times New Roman" w:cs="Times New Roman"/>
                <w:b/>
                <w:bCs/>
                <w:color w:val="auto"/>
                <w:kern w:val="0"/>
                <w:szCs w:val="21"/>
                <w:highlight w:val="none"/>
                <w:lang w:val="zh-CN"/>
              </w:rPr>
            </w:pPr>
            <w:r>
              <w:rPr>
                <w:rFonts w:hint="default" w:ascii="Times New Roman" w:hAnsi="Times New Roman" w:cs="Times New Roman"/>
                <w:b/>
                <w:bCs/>
                <w:color w:val="auto"/>
                <w:kern w:val="0"/>
                <w:szCs w:val="21"/>
                <w:highlight w:val="none"/>
                <w:lang w:val="zh-CN"/>
              </w:rPr>
              <w:t>表</w:t>
            </w:r>
            <w:r>
              <w:rPr>
                <w:rFonts w:hint="default" w:ascii="Times New Roman" w:hAnsi="Times New Roman" w:cs="Times New Roman"/>
                <w:b/>
                <w:bCs/>
                <w:color w:val="auto"/>
                <w:kern w:val="0"/>
                <w:szCs w:val="21"/>
                <w:highlight w:val="none"/>
              </w:rPr>
              <w:t>1-</w:t>
            </w:r>
            <w:r>
              <w:rPr>
                <w:rFonts w:hint="default" w:ascii="Times New Roman" w:hAnsi="Times New Roman" w:cs="Times New Roman"/>
                <w:b/>
                <w:bCs/>
                <w:color w:val="auto"/>
                <w:kern w:val="0"/>
                <w:szCs w:val="21"/>
                <w:highlight w:val="none"/>
                <w:lang w:val="en-US" w:eastAsia="zh-CN"/>
              </w:rPr>
              <w:t xml:space="preserve">7 </w:t>
            </w:r>
            <w:r>
              <w:rPr>
                <w:rFonts w:hint="default" w:ascii="Times New Roman" w:hAnsi="Times New Roman" w:cs="Times New Roman"/>
                <w:b/>
                <w:bCs/>
                <w:color w:val="auto"/>
                <w:kern w:val="0"/>
                <w:szCs w:val="21"/>
                <w:highlight w:val="none"/>
                <w:lang w:val="zh-CN"/>
              </w:rPr>
              <w:t>与《山东省工业企业无组织排放分行业管控指导意见》（鲁环发〔2020〕30号）符合性分析</w:t>
            </w:r>
          </w:p>
          <w:tbl>
            <w:tblPr>
              <w:tblStyle w:val="36"/>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69"/>
              <w:gridCol w:w="3937"/>
              <w:gridCol w:w="1444"/>
              <w:gridCol w:w="7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9"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3122" w:type="pct"/>
                  <w:gridSpan w:val="2"/>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管控要求</w:t>
                  </w:r>
                </w:p>
              </w:tc>
              <w:tc>
                <w:tcPr>
                  <w:tcW w:w="958"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项目符合情况</w:t>
                  </w:r>
                </w:p>
              </w:tc>
              <w:tc>
                <w:tcPr>
                  <w:tcW w:w="489" w:type="pct"/>
                  <w:tcBorders>
                    <w:tl2br w:val="nil"/>
                    <w:tr2bl w:val="nil"/>
                  </w:tcBorders>
                  <w:noWrap w:val="0"/>
                  <w:vAlign w:val="center"/>
                </w:tcPr>
                <w:p>
                  <w:pPr>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符合</w:t>
                  </w:r>
                </w:p>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color w:val="auto"/>
                      <w:sz w:val="21"/>
                      <w:szCs w:val="21"/>
                      <w:highlight w:val="none"/>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9"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bookmarkStart w:id="5" w:name="OLE_LINK2" w:colFirst="3" w:colLast="3"/>
                  <w:r>
                    <w:rPr>
                      <w:rFonts w:hint="default" w:ascii="Times New Roman" w:hAnsi="Times New Roman" w:cs="Times New Roman"/>
                      <w:color w:val="auto"/>
                      <w:sz w:val="21"/>
                      <w:szCs w:val="21"/>
                      <w:highlight w:val="none"/>
                    </w:rPr>
                    <w:t>一</w:t>
                  </w:r>
                </w:p>
              </w:tc>
              <w:tc>
                <w:tcPr>
                  <w:tcW w:w="510"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加强物料运输、装卸环节管控</w:t>
                  </w:r>
                </w:p>
              </w:tc>
              <w:tc>
                <w:tcPr>
                  <w:tcW w:w="2612" w:type="pct"/>
                  <w:tcBorders>
                    <w:tl2br w:val="nil"/>
                    <w:tr2bl w:val="nil"/>
                  </w:tcBorders>
                  <w:noWrap w:val="0"/>
                  <w:vAlign w:val="center"/>
                </w:tcPr>
                <w:p>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煤粉、粉煤灰、石灰、除尘灰、脱硫灰、原料药等粉状物料采用管状带式输送机、气力输送、真空罐车、密闭车厢等密闭方式运输</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砂石、矿石、煤、铁精矿、脱硫石膏等块状、粒状或粘湿物料采用皮带通廊、封闭车厢等封闭方式运输或苫盖严密</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防止沿途抛洒和飞扬。料场或厂区出入口配备车辆清洗装置或采取其他控制措施</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确保出场车辆清洁、运输不起尘。厂区道路硬化</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平整无破损、无积尘</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厂区无裸露空地</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闲置裸露空地及时绿化或硬化</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厂区道路定期洒水清扫。块状、粒状或粘湿物料直接卸落至储存料场</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装卸过程配备有效抑尘、集尘除尘设施</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粉状物料装卸口配备密封防尘装置且不得直接卸落到地面。挥发性有机液体装车采用顶部浸没式或底部装载</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严禁喷溅</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运输相关产品的车辆具备油气回收接口。</w:t>
                  </w:r>
                </w:p>
              </w:tc>
              <w:tc>
                <w:tcPr>
                  <w:tcW w:w="958"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w:t>
                  </w:r>
                  <w:r>
                    <w:rPr>
                      <w:rFonts w:hint="default" w:ascii="Times New Roman" w:hAnsi="Times New Roman" w:cs="Times New Roman"/>
                      <w:color w:val="auto"/>
                      <w:sz w:val="21"/>
                      <w:szCs w:val="21"/>
                      <w:highlight w:val="none"/>
                      <w:lang w:val="en-US" w:eastAsia="zh-CN"/>
                    </w:rPr>
                    <w:t>物料采用汽</w:t>
                  </w:r>
                  <w:r>
                    <w:rPr>
                      <w:rFonts w:hint="default" w:ascii="Times New Roman" w:hAnsi="Times New Roman" w:cs="Times New Roman"/>
                      <w:color w:val="auto"/>
                      <w:sz w:val="21"/>
                      <w:szCs w:val="21"/>
                      <w:highlight w:val="none"/>
                    </w:rPr>
                    <w:t>车运输</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仅在封闭车间内装卸、存储，</w:t>
                  </w:r>
                  <w:r>
                    <w:rPr>
                      <w:rFonts w:hint="default" w:ascii="Times New Roman" w:hAnsi="Times New Roman" w:cs="Times New Roman"/>
                      <w:color w:val="auto"/>
                      <w:sz w:val="21"/>
                      <w:szCs w:val="21"/>
                      <w:highlight w:val="none"/>
                    </w:rPr>
                    <w:t>厂区内均为硬化路面。</w:t>
                  </w:r>
                </w:p>
              </w:tc>
              <w:tc>
                <w:tcPr>
                  <w:tcW w:w="489"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bookmarkEnd w:id="5"/>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9"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w:t>
                  </w:r>
                </w:p>
              </w:tc>
              <w:tc>
                <w:tcPr>
                  <w:tcW w:w="510"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加强物料储存、输送环节管控</w:t>
                  </w:r>
                </w:p>
              </w:tc>
              <w:tc>
                <w:tcPr>
                  <w:tcW w:w="2612" w:type="pct"/>
                  <w:tcBorders>
                    <w:tl2br w:val="nil"/>
                    <w:tr2bl w:val="nil"/>
                  </w:tcBorders>
                  <w:noWrap w:val="0"/>
                  <w:vAlign w:val="center"/>
                </w:tcPr>
                <w:p>
                  <w:pPr>
                    <w:pStyle w:val="2"/>
                    <w:ind w:left="0" w:leftChars="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煤粉、粉煤灰、石灰、除尘灰、脱硫灰、原料药等粉状物料采用料仓、储罐、容器、包装袋等方式密闭储存</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料仓、储罐配置高效除尘设施</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采用管状带式输送机、气力输送、真空罐车、密闭车辆等方式输送。砂石、矿石、煤、铁精矿、脱硫石膏等块状、粒状或粘湿物料采用密闭料仓、封闭料棚或建设防风抑尘网等方式进行规范储存</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封闭料棚和露天料场内设有喷淋装置</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喷淋范围覆盖整个料堆。所储存物料对含水率有严格要求或遇水发生变化的</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在料场内安装有效集尘除尘设施。封闭料棚进出口安装封闭性良好且便于开关的卷帘门、推拉门或自动感应门等</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无车辆通过时将门关闭。防风抑尘网高度高于料场堆存高度</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并对堆存物料进行严密苫盖。块状、粒状或粘湿物料上料口设置在封闭料棚内</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采用管状带式输送机、皮带通廊、封闭车辆等方式输送。物料上料、输送、转接、出料和扒渣等过程中的产尘点采取有效抑尘、集尘除尘措施。含挥发性有机物（VOCs）物料储存于密闭容器、包装袋</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高效密封储罐</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封闭式储库、料仓等</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封闭式储库、料仓设置VOCs有效收集治理设施。含VOCs物料输送</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采用密闭管道或密闭容器、罐车等。</w:t>
                  </w:r>
                </w:p>
              </w:tc>
              <w:tc>
                <w:tcPr>
                  <w:tcW w:w="958"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w:t>
                  </w:r>
                  <w:r>
                    <w:rPr>
                      <w:rFonts w:hint="default" w:ascii="Times New Roman" w:hAnsi="Times New Roman" w:cs="Times New Roman"/>
                      <w:color w:val="auto"/>
                      <w:sz w:val="21"/>
                      <w:szCs w:val="21"/>
                      <w:highlight w:val="none"/>
                      <w:lang w:val="en-US" w:eastAsia="zh-CN"/>
                    </w:rPr>
                    <w:t>物料采用汽</w:t>
                  </w:r>
                  <w:r>
                    <w:rPr>
                      <w:rFonts w:hint="default" w:ascii="Times New Roman" w:hAnsi="Times New Roman" w:cs="Times New Roman"/>
                      <w:color w:val="auto"/>
                      <w:sz w:val="21"/>
                      <w:szCs w:val="21"/>
                      <w:highlight w:val="none"/>
                    </w:rPr>
                    <w:t>车运输</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仅在封闭车间内装卸、存储，</w:t>
                  </w:r>
                  <w:r>
                    <w:rPr>
                      <w:rFonts w:hint="default" w:ascii="Times New Roman" w:hAnsi="Times New Roman" w:cs="Times New Roman"/>
                      <w:color w:val="auto"/>
                      <w:sz w:val="21"/>
                      <w:szCs w:val="21"/>
                      <w:highlight w:val="none"/>
                    </w:rPr>
                    <w:t>厂区内均为硬化路面。</w:t>
                  </w:r>
                </w:p>
              </w:tc>
              <w:tc>
                <w:tcPr>
                  <w:tcW w:w="489" w:type="pct"/>
                  <w:tcBorders>
                    <w:tl2br w:val="nil"/>
                    <w:tr2bl w:val="nil"/>
                  </w:tcBorders>
                  <w:noWrap w:val="0"/>
                  <w:vAlign w:val="center"/>
                </w:tcPr>
                <w:p>
                  <w:pPr>
                    <w:spacing w:line="24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9"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w:t>
                  </w:r>
                </w:p>
              </w:tc>
              <w:tc>
                <w:tcPr>
                  <w:tcW w:w="510"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加强生产环节管控</w:t>
                  </w:r>
                </w:p>
              </w:tc>
              <w:tc>
                <w:tcPr>
                  <w:tcW w:w="2612" w:type="pct"/>
                  <w:tcBorders>
                    <w:tl2br w:val="nil"/>
                    <w:tr2bl w:val="nil"/>
                  </w:tcBorders>
                  <w:noWrap w:val="0"/>
                  <w:vAlign w:val="center"/>
                </w:tcPr>
                <w:p>
                  <w:pP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通过提高工艺自动化和设备密闭化水平</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减少生产过程中的无组织排放。生产过程中的产尘点和VOCs产生点密闭、封闭或采取有效收集处理措施。生产设备和废气收集处理设施同步运行</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废气收集处理设施发生故障或检修时</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停止运行对应的生产设备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待检修完毕后投入使用。生产设备不能停止或不能及时停止运行的</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设置废气应急处理设施或采取其他替代措施。生产车间地面及生产设备表面保持清洁</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除电子、电气原件外</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不得采用压缩空气吹扫等易产生扬尘的清理措施。厂内污水收集、输送、处理</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污泥产生、暂存、处置</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危险废物暂存等产生VOCs或恶臭气体的区域加罩或加盖封闭并进行收集处理。涉VOCs化（试）验室实验平台设置负压集气系统</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对化（试）验室中产生的废气进行集中收集治理。</w:t>
                  </w:r>
                  <w:r>
                    <w:rPr>
                      <w:rFonts w:hint="default" w:ascii="Times New Roman" w:hAnsi="Times New Roman" w:cs="Times New Roman"/>
                      <w:color w:val="auto"/>
                      <w:sz w:val="21"/>
                      <w:szCs w:val="21"/>
                      <w:highlight w:val="none"/>
                      <w:u w:val="single"/>
                      <w:lang w:val="en-US" w:eastAsia="zh-CN"/>
                    </w:rPr>
                    <w:t>不涉及</w:t>
                  </w:r>
                </w:p>
              </w:tc>
              <w:tc>
                <w:tcPr>
                  <w:tcW w:w="958" w:type="pct"/>
                  <w:tcBorders>
                    <w:tl2br w:val="nil"/>
                    <w:tr2bl w:val="nil"/>
                  </w:tcBorders>
                  <w:noWrap w:val="0"/>
                  <w:vAlign w:val="center"/>
                </w:tcPr>
                <w:p>
                  <w:pPr>
                    <w:jc w:val="center"/>
                    <w:rPr>
                      <w:rFonts w:hint="default" w:ascii="Times New Roman" w:hAnsi="Times New Roman" w:cs="Times New Roman"/>
                      <w:color w:val="auto"/>
                      <w:sz w:val="21"/>
                      <w:szCs w:val="21"/>
                      <w:highlight w:val="none"/>
                      <w:u w:val="none"/>
                      <w:lang w:val="en-US"/>
                    </w:rPr>
                  </w:pPr>
                  <w:r>
                    <w:rPr>
                      <w:rFonts w:hint="default" w:ascii="Times New Roman" w:hAnsi="Times New Roman" w:cs="Times New Roman"/>
                      <w:color w:val="auto"/>
                      <w:sz w:val="21"/>
                      <w:szCs w:val="21"/>
                      <w:highlight w:val="none"/>
                      <w:u w:val="none"/>
                      <w:lang w:val="en-US" w:eastAsia="zh-CN"/>
                    </w:rPr>
                    <w:t>技改项目新增数码印花过程中针对VOCs排放采取印花间内密闭操作、集气罩收集，收集效率为95%，废气经收集后经</w:t>
                  </w:r>
                  <w:r>
                    <w:rPr>
                      <w:rFonts w:hint="default" w:ascii="Times New Roman" w:hAnsi="Times New Roman" w:cs="Times New Roman"/>
                      <w:color w:val="auto"/>
                      <w:sz w:val="21"/>
                      <w:szCs w:val="21"/>
                      <w:highlight w:val="none"/>
                      <w:u w:val="none"/>
                      <w:shd w:val="clear"/>
                      <w:lang w:val="en-US" w:eastAsia="zh-CN"/>
                    </w:rPr>
                    <w:t>二级活性炭吸附装置</w:t>
                  </w:r>
                  <w:r>
                    <w:rPr>
                      <w:rFonts w:hint="default" w:ascii="Times New Roman" w:hAnsi="Times New Roman" w:cs="Times New Roman"/>
                      <w:color w:val="auto"/>
                      <w:sz w:val="21"/>
                      <w:szCs w:val="21"/>
                      <w:highlight w:val="none"/>
                      <w:u w:val="none"/>
                      <w:lang w:val="en-US" w:eastAsia="zh-CN"/>
                    </w:rPr>
                    <w:t>处理后有组织排放。厂内污水站废气均加盖收集进入环保设施处理后有组织排放。项目厂区内不设实验室。</w:t>
                  </w:r>
                </w:p>
              </w:tc>
              <w:tc>
                <w:tcPr>
                  <w:tcW w:w="489"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9"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w:t>
                  </w:r>
                </w:p>
              </w:tc>
              <w:tc>
                <w:tcPr>
                  <w:tcW w:w="510"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加强精细化管控</w:t>
                  </w:r>
                </w:p>
              </w:tc>
              <w:tc>
                <w:tcPr>
                  <w:tcW w:w="2612" w:type="pct"/>
                  <w:tcBorders>
                    <w:tl2br w:val="nil"/>
                    <w:tr2bl w:val="nil"/>
                  </w:tcBorders>
                  <w:noWrap w:val="0"/>
                  <w:vAlign w:val="center"/>
                </w:tcPr>
                <w:p>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针对各无组织排放环节</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制定“一厂一策”深度治理方案。制定无组织排放治理设施操作规程</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并建立管理台账</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记录操作人员操作内容、运行、维护、检修和含VOCs物料使用回收等情况</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记录保存期限不得少于三年。鼓励安装视频、空气微站等监控设施和综合监控信息平台</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用于企业日常自我监督</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逐步实现无组织排放向精细化和可量化管理方式转变。</w:t>
                  </w:r>
                </w:p>
              </w:tc>
              <w:tc>
                <w:tcPr>
                  <w:tcW w:w="958"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针对无组织排放环节，企业已制定废气排放治理设施运行管理台账，安排专人记录</w:t>
                  </w:r>
                  <w:r>
                    <w:rPr>
                      <w:rFonts w:hint="default" w:ascii="Times New Roman" w:hAnsi="Times New Roman" w:cs="Times New Roman"/>
                      <w:color w:val="auto"/>
                      <w:sz w:val="21"/>
                      <w:szCs w:val="21"/>
                      <w:highlight w:val="none"/>
                    </w:rPr>
                    <w:t>含VOCs物料使用回收等情况</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减少无组织排放。</w:t>
                  </w:r>
                </w:p>
              </w:tc>
              <w:tc>
                <w:tcPr>
                  <w:tcW w:w="489"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bl>
          <w:p>
            <w:pPr>
              <w:adjustRightInd w:val="0"/>
              <w:snapToGrid w:val="0"/>
              <w:spacing w:line="360" w:lineRule="auto"/>
              <w:ind w:firstLine="422" w:firstLineChars="200"/>
              <w:rPr>
                <w:rFonts w:hint="default" w:ascii="Times New Roman" w:hAnsi="Times New Roman" w:eastAsia="宋体" w:cs="Times New Roman"/>
                <w:b/>
                <w:bCs/>
                <w:color w:val="auto"/>
                <w:sz w:val="21"/>
                <w:szCs w:val="21"/>
                <w:highlight w:val="none"/>
                <w:lang w:val="en-US" w:eastAsia="en-US"/>
              </w:rPr>
            </w:pPr>
            <w:r>
              <w:rPr>
                <w:rFonts w:hint="default" w:ascii="Times New Roman" w:hAnsi="Times New Roman" w:eastAsia="宋体" w:cs="Times New Roman"/>
                <w:b/>
                <w:bCs/>
                <w:color w:val="auto"/>
                <w:kern w:val="0"/>
                <w:szCs w:val="21"/>
                <w:highlight w:val="none"/>
                <w:lang w:val="en-US" w:eastAsia="zh-CN"/>
              </w:rPr>
              <w:t>9、</w:t>
            </w:r>
            <w:r>
              <w:rPr>
                <w:rFonts w:hint="default" w:ascii="Times New Roman" w:hAnsi="Times New Roman" w:eastAsia="宋体" w:cs="Times New Roman"/>
                <w:b/>
                <w:bCs/>
                <w:color w:val="auto"/>
                <w:sz w:val="21"/>
                <w:szCs w:val="21"/>
                <w:highlight w:val="none"/>
                <w:lang w:val="en-US" w:eastAsia="en-US"/>
              </w:rPr>
              <w:t>与《山东省涉挥发性有机物企业分行业治理指导意见》（鲁环发[2019]146 号） 的符合性分析</w:t>
            </w:r>
          </w:p>
          <w:p>
            <w:pPr>
              <w:adjustRightInd w:val="0"/>
              <w:snapToGrid w:val="0"/>
              <w:jc w:val="center"/>
              <w:rPr>
                <w:rFonts w:hint="default" w:ascii="Times New Roman" w:hAnsi="Times New Roman" w:eastAsia="宋体" w:cs="Times New Roman"/>
                <w:b/>
                <w:color w:val="auto"/>
                <w:sz w:val="21"/>
                <w:szCs w:val="21"/>
                <w:highlight w:val="none"/>
                <w:lang w:val="zh-CN" w:eastAsia="zh-CN"/>
              </w:rPr>
            </w:pPr>
            <w:r>
              <w:rPr>
                <w:rFonts w:hint="default" w:ascii="Times New Roman" w:hAnsi="Times New Roman" w:eastAsia="宋体" w:cs="Times New Roman"/>
                <w:b/>
                <w:color w:val="auto"/>
                <w:sz w:val="21"/>
                <w:szCs w:val="21"/>
                <w:highlight w:val="none"/>
                <w:lang w:val="en-US" w:eastAsia="en-US"/>
              </w:rPr>
              <w:t>表1-</w:t>
            </w:r>
            <w:r>
              <w:rPr>
                <w:rFonts w:hint="default" w:ascii="Times New Roman" w:hAnsi="Times New Roman" w:eastAsia="宋体" w:cs="Times New Roman"/>
                <w:b/>
                <w:color w:val="auto"/>
                <w:sz w:val="21"/>
                <w:szCs w:val="21"/>
                <w:highlight w:val="none"/>
                <w:lang w:val="en-US" w:eastAsia="zh-CN"/>
              </w:rPr>
              <w:t xml:space="preserve">8 </w:t>
            </w:r>
            <w:r>
              <w:rPr>
                <w:rFonts w:hint="default" w:ascii="Times New Roman" w:hAnsi="Times New Roman" w:eastAsia="宋体" w:cs="Times New Roman"/>
                <w:b/>
                <w:color w:val="auto"/>
                <w:sz w:val="21"/>
                <w:szCs w:val="21"/>
                <w:highlight w:val="none"/>
                <w:lang w:val="en-US" w:eastAsia="en-US"/>
              </w:rPr>
              <w:t>与鲁环发[2019]146 号符合性分析一览表</w:t>
            </w:r>
          </w:p>
          <w:tbl>
            <w:tblPr>
              <w:tblStyle w:val="36"/>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769"/>
              <w:gridCol w:w="3081"/>
              <w:gridCol w:w="2150"/>
              <w:gridCol w:w="8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8"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2554" w:type="pct"/>
                  <w:gridSpan w:val="2"/>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鲁环发〔2019〕146 号文件中的相关内容</w:t>
                  </w:r>
                </w:p>
              </w:tc>
              <w:tc>
                <w:tcPr>
                  <w:tcW w:w="1426"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项目符合情况</w:t>
                  </w:r>
                </w:p>
              </w:tc>
              <w:tc>
                <w:tcPr>
                  <w:tcW w:w="590"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color w:val="auto"/>
                      <w:sz w:val="21"/>
                      <w:szCs w:val="21"/>
                      <w:highlight w:val="none"/>
                    </w:rPr>
                    <w:t>符合情况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pct"/>
                  <w:vMerge w:val="restar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控 制 思 路 和 要 求</w:t>
                  </w:r>
                </w:p>
              </w:tc>
              <w:tc>
                <w:tcPr>
                  <w:tcW w:w="510"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w:t>
                  </w:r>
                </w:p>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推进源头  替代。</w:t>
                  </w:r>
                </w:p>
              </w:tc>
              <w:tc>
                <w:tcPr>
                  <w:tcW w:w="2044" w:type="pct"/>
                  <w:tcBorders>
                    <w:tl2br w:val="nil"/>
                    <w:tr2bl w:val="nil"/>
                  </w:tcBorders>
                  <w:noWrap w:val="0"/>
                  <w:vAlign w:val="center"/>
                </w:tcPr>
                <w:p>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通过使用水性、粉末、高固体分、无溶剂、辐射固化等低VOCs含量的涂料</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水性、辐射固化、植物基等低VOCs含量的</w:t>
                  </w:r>
                  <w:r>
                    <w:rPr>
                      <w:rFonts w:hint="default" w:ascii="Times New Roman" w:hAnsi="Times New Roman" w:cs="Times New Roman"/>
                      <w:color w:val="auto"/>
                      <w:sz w:val="21"/>
                      <w:szCs w:val="21"/>
                      <w:highlight w:val="none"/>
                      <w:lang w:eastAsia="zh-CN"/>
                    </w:rPr>
                    <w:t>水性油墨，</w:t>
                  </w:r>
                  <w:r>
                    <w:rPr>
                      <w:rFonts w:hint="default" w:ascii="Times New Roman" w:hAnsi="Times New Roman" w:cs="Times New Roman"/>
                      <w:color w:val="auto"/>
                      <w:sz w:val="21"/>
                      <w:szCs w:val="21"/>
                      <w:highlight w:val="none"/>
                    </w:rPr>
                    <w:t>水基、热熔、无溶剂、辐射固化、改性、生物降解等低VOCs含量的胶粘剂</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以及低VOCs含量、低反应活性的清洗剂等</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替代溶剂型涂料、</w:t>
                  </w:r>
                  <w:r>
                    <w:rPr>
                      <w:rFonts w:hint="default" w:ascii="Times New Roman" w:hAnsi="Times New Roman" w:cs="Times New Roman"/>
                      <w:color w:val="auto"/>
                      <w:sz w:val="21"/>
                      <w:szCs w:val="21"/>
                      <w:highlight w:val="none"/>
                      <w:lang w:eastAsia="zh-CN"/>
                    </w:rPr>
                    <w:t>水性油墨</w:t>
                  </w:r>
                  <w:r>
                    <w:rPr>
                      <w:rFonts w:hint="default" w:ascii="Times New Roman" w:hAnsi="Times New Roman" w:cs="Times New Roman"/>
                      <w:color w:val="auto"/>
                      <w:sz w:val="21"/>
                      <w:szCs w:val="21"/>
                      <w:highlight w:val="none"/>
                    </w:rPr>
                    <w:t>、胶粘剂、清洗剂等</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从源头减少VOCs产生。</w:t>
                  </w:r>
                </w:p>
              </w:tc>
              <w:tc>
                <w:tcPr>
                  <w:tcW w:w="142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根据水性油墨成分检测报告（附件15），</w:t>
                  </w: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使用</w:t>
                  </w:r>
                  <w:r>
                    <w:rPr>
                      <w:rFonts w:hint="default" w:ascii="Times New Roman" w:hAnsi="Times New Roman" w:cs="Times New Roman"/>
                      <w:color w:val="auto"/>
                      <w:sz w:val="21"/>
                      <w:szCs w:val="21"/>
                      <w:highlight w:val="none"/>
                      <w:lang w:val="en-US" w:eastAsia="zh-CN"/>
                    </w:rPr>
                    <w:t>符合</w:t>
                  </w:r>
                  <w:r>
                    <w:rPr>
                      <w:rFonts w:hint="default" w:ascii="Times New Roman" w:hAnsi="Times New Roman" w:eastAsia="宋体" w:cs="Times New Roman"/>
                      <w:color w:val="auto"/>
                      <w:sz w:val="21"/>
                      <w:szCs w:val="21"/>
                      <w:highlight w:val="none"/>
                      <w:lang w:val="en-US" w:eastAsia="zh-CN"/>
                    </w:rPr>
                    <w:t>《水性油墨中可挥发性有机化合物(VOCs)含量的限值》（GB 38507-2020）表1水性油墨限值</w:t>
                  </w:r>
                  <w:r>
                    <w:rPr>
                      <w:rFonts w:hint="default" w:ascii="Times New Roman" w:hAnsi="Times New Roman" w:cs="Times New Roman"/>
                      <w:color w:val="auto"/>
                      <w:sz w:val="21"/>
                      <w:szCs w:val="21"/>
                      <w:highlight w:val="none"/>
                      <w:lang w:val="en-US" w:eastAsia="zh-CN"/>
                    </w:rPr>
                    <w:t>的水性油墨，从源头减少VOCs产生</w:t>
                  </w:r>
                  <w:r>
                    <w:rPr>
                      <w:rFonts w:hint="default" w:ascii="Times New Roman" w:hAnsi="Times New Roman" w:eastAsia="宋体" w:cs="Times New Roman"/>
                      <w:color w:val="auto"/>
                      <w:sz w:val="21"/>
                      <w:szCs w:val="21"/>
                      <w:highlight w:val="none"/>
                    </w:rPr>
                    <w:t>。</w:t>
                  </w:r>
                </w:p>
              </w:tc>
              <w:tc>
                <w:tcPr>
                  <w:tcW w:w="590"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510"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（二）加强过程控制</w:t>
                  </w:r>
                </w:p>
              </w:tc>
              <w:tc>
                <w:tcPr>
                  <w:tcW w:w="2044"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1.加强无组织排放控制。重点对含VOCs物料（包括含VOCs原辅材料、含VOCs产品、含VOCs废料以及有机聚合物材料等）储存、转移和输送、设备与管线组件泄漏、敞开液面逸散、工艺过程等五类排放源实施管控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通过采取设备与场所密闭、工艺改进、废气有效收集等措施</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削减VOCs无组织排放。</w:t>
                  </w:r>
                </w:p>
              </w:tc>
              <w:tc>
                <w:tcPr>
                  <w:tcW w:w="142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本项目含VOCs物料均为</w:t>
                  </w:r>
                  <w:r>
                    <w:rPr>
                      <w:rFonts w:hint="default" w:ascii="Times New Roman" w:hAnsi="Times New Roman" w:eastAsia="宋体" w:cs="Times New Roman"/>
                      <w:color w:val="auto"/>
                      <w:sz w:val="21"/>
                      <w:szCs w:val="21"/>
                      <w:highlight w:val="none"/>
                      <w:lang w:val="en-US" w:eastAsia="zh-CN"/>
                    </w:rPr>
                    <w:t>桶</w:t>
                  </w:r>
                  <w:r>
                    <w:rPr>
                      <w:rFonts w:hint="default" w:ascii="Times New Roman" w:hAnsi="Times New Roman" w:eastAsia="宋体" w:cs="Times New Roman"/>
                      <w:color w:val="auto"/>
                      <w:sz w:val="21"/>
                      <w:szCs w:val="21"/>
                      <w:highlight w:val="none"/>
                    </w:rPr>
                    <w:t>装</w:t>
                  </w:r>
                  <w:r>
                    <w:rPr>
                      <w:rFonts w:hint="default" w:ascii="Times New Roman" w:hAnsi="Times New Roman" w:eastAsia="宋体" w:cs="Times New Roman"/>
                      <w:color w:val="auto"/>
                      <w:sz w:val="21"/>
                      <w:szCs w:val="21"/>
                      <w:highlight w:val="none"/>
                      <w:lang w:val="en-US" w:eastAsia="zh-CN"/>
                    </w:rPr>
                    <w:t>在助剂仓库中</w:t>
                  </w:r>
                  <w:r>
                    <w:rPr>
                      <w:rFonts w:hint="default" w:ascii="Times New Roman" w:hAnsi="Times New Roman" w:eastAsia="宋体" w:cs="Times New Roman"/>
                      <w:color w:val="auto"/>
                      <w:sz w:val="21"/>
                      <w:szCs w:val="21"/>
                      <w:highlight w:val="none"/>
                    </w:rPr>
                    <w:t>密闭储存。</w:t>
                  </w:r>
                  <w:r>
                    <w:rPr>
                      <w:rFonts w:hint="default" w:ascii="Times New Roman" w:hAnsi="Times New Roman" w:cs="Times New Roman"/>
                      <w:color w:val="auto"/>
                      <w:sz w:val="21"/>
                      <w:szCs w:val="21"/>
                      <w:highlight w:val="none"/>
                      <w:u w:val="none"/>
                      <w:lang w:val="en-US" w:eastAsia="zh-CN"/>
                    </w:rPr>
                    <w:t>技改项目针对数码印花过程中产生的VOCs排放，采用“设备间密闭+高逸散点位精准集气+整体负压”措施，收集效率为95%，VOCs经收集后经二级活性炭吸附装置处理后有组织排放</w:t>
                  </w:r>
                  <w:r>
                    <w:rPr>
                      <w:rFonts w:hint="default" w:ascii="Times New Roman" w:hAnsi="Times New Roman" w:eastAsia="宋体" w:cs="Times New Roman"/>
                      <w:color w:val="auto"/>
                      <w:sz w:val="21"/>
                      <w:szCs w:val="21"/>
                      <w:highlight w:val="none"/>
                    </w:rPr>
                    <w:t>。</w:t>
                  </w:r>
                </w:p>
              </w:tc>
              <w:tc>
                <w:tcPr>
                  <w:tcW w:w="590" w:type="pct"/>
                  <w:tcBorders>
                    <w:tl2br w:val="nil"/>
                    <w:tr2bl w:val="nil"/>
                  </w:tcBorders>
                  <w:noWrap w:val="0"/>
                  <w:vAlign w:val="center"/>
                </w:tcPr>
                <w:p>
                  <w:pPr>
                    <w:spacing w:line="24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510"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2044"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2.加强设备与场所密闭管理。含VOCs物料应储存于密闭容器、包装袋</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高效密封储罐</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封闭式储库、料仓等。含VOCs物料转移和输送</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应采用密闭管道或密闭容器、罐车等。高VOCs含量废水（废水液面上方100毫米处VOCs检测浓度超过200ppm</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其中重点区域超过100ppm</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以碳计）的收集运输、储存和处理过程</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应加盖密闭。含VOCs物料生产和使用过程</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应采取有效收集措施或在密闭空间中操作。</w:t>
                  </w:r>
                </w:p>
              </w:tc>
              <w:tc>
                <w:tcPr>
                  <w:tcW w:w="1426"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本项目含VOCs物料均为</w:t>
                  </w:r>
                  <w:r>
                    <w:rPr>
                      <w:rFonts w:hint="default" w:ascii="Times New Roman" w:hAnsi="Times New Roman" w:eastAsia="宋体" w:cs="Times New Roman"/>
                      <w:color w:val="auto"/>
                      <w:sz w:val="21"/>
                      <w:szCs w:val="21"/>
                      <w:highlight w:val="none"/>
                      <w:lang w:val="en-US" w:eastAsia="zh-CN"/>
                    </w:rPr>
                    <w:t>桶</w:t>
                  </w:r>
                  <w:r>
                    <w:rPr>
                      <w:rFonts w:hint="default" w:ascii="Times New Roman" w:hAnsi="Times New Roman" w:eastAsia="宋体" w:cs="Times New Roman"/>
                      <w:color w:val="auto"/>
                      <w:sz w:val="21"/>
                      <w:szCs w:val="21"/>
                      <w:highlight w:val="none"/>
                    </w:rPr>
                    <w:t>装</w:t>
                  </w:r>
                  <w:r>
                    <w:rPr>
                      <w:rFonts w:hint="default" w:ascii="Times New Roman" w:hAnsi="Times New Roman" w:eastAsia="宋体" w:cs="Times New Roman"/>
                      <w:color w:val="auto"/>
                      <w:sz w:val="21"/>
                      <w:szCs w:val="21"/>
                      <w:highlight w:val="none"/>
                      <w:lang w:val="en-US" w:eastAsia="zh-CN"/>
                    </w:rPr>
                    <w:t>在助剂仓库中</w:t>
                  </w:r>
                  <w:r>
                    <w:rPr>
                      <w:rFonts w:hint="default" w:ascii="Times New Roman" w:hAnsi="Times New Roman" w:eastAsia="宋体" w:cs="Times New Roman"/>
                      <w:color w:val="auto"/>
                      <w:sz w:val="21"/>
                      <w:szCs w:val="21"/>
                      <w:highlight w:val="none"/>
                    </w:rPr>
                    <w:t>密闭储存。</w:t>
                  </w:r>
                  <w:r>
                    <w:rPr>
                      <w:rFonts w:hint="default" w:ascii="Times New Roman" w:hAnsi="Times New Roman" w:cs="Times New Roman"/>
                      <w:color w:val="auto"/>
                      <w:sz w:val="21"/>
                      <w:szCs w:val="21"/>
                      <w:highlight w:val="none"/>
                      <w:u w:val="none"/>
                      <w:lang w:val="en-US" w:eastAsia="zh-CN"/>
                    </w:rPr>
                    <w:t>技改项目针对数码印花过程中产生的VOCs排放，采用“设备间密闭+高逸散点位精准集气+整体负压”措施，收集效率为95%，VOCs经收集后经二级活性炭吸附装置处理后有组织排放</w:t>
                  </w:r>
                  <w:r>
                    <w:rPr>
                      <w:rFonts w:hint="default" w:ascii="Times New Roman" w:hAnsi="Times New Roman" w:eastAsia="宋体" w:cs="Times New Roman"/>
                      <w:color w:val="auto"/>
                      <w:sz w:val="21"/>
                      <w:szCs w:val="21"/>
                      <w:highlight w:val="none"/>
                    </w:rPr>
                    <w:t>。</w:t>
                  </w:r>
                </w:p>
              </w:tc>
              <w:tc>
                <w:tcPr>
                  <w:tcW w:w="590"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510"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2044" w:type="pct"/>
                  <w:tcBorders>
                    <w:tl2br w:val="nil"/>
                    <w:tr2bl w:val="nil"/>
                  </w:tcBorders>
                  <w:noWrap w:val="0"/>
                  <w:vAlign w:val="center"/>
                </w:tcPr>
                <w:p>
                  <w:pPr>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3.推进使用先进生产工艺。通过采用全密闭、连续化、自动化等生产技术</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以及高效工艺与设备等</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减少工艺过程无组织排放。挥发性有机液体装载优先采用底部装载方式。</w:t>
                  </w:r>
                </w:p>
              </w:tc>
              <w:tc>
                <w:tcPr>
                  <w:tcW w:w="142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p>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购置数码印花机为国内先进设备，印花过程采取密闭、连续化、自动化技术，减少生产过程无组织排放。</w:t>
                  </w:r>
                </w:p>
              </w:tc>
              <w:tc>
                <w:tcPr>
                  <w:tcW w:w="590"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51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（三）加强末端管控。</w:t>
                  </w:r>
                </w:p>
              </w:tc>
              <w:tc>
                <w:tcPr>
                  <w:tcW w:w="2044" w:type="pct"/>
                  <w:tcBorders>
                    <w:tl2br w:val="nil"/>
                    <w:tr2bl w:val="nil"/>
                  </w:tcBorders>
                  <w:noWrap w:val="0"/>
                  <w:vAlign w:val="center"/>
                </w:tcPr>
                <w:p>
                  <w:pPr>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实行重点排放源排放浓度与去除效率双重控制。车间或生产设施收集排放的废气</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VOCs初始排放速率大于等于3千克/小时、重点区域大于等于2千克/小时的</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应加大控制力度</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除确保排放浓度稳定达标外</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还应实行去除效率控制</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VOCs去除率应不低于80%。有行业排放标准的按其相关规定执行。</w:t>
                  </w:r>
                </w:p>
              </w:tc>
              <w:tc>
                <w:tcPr>
                  <w:tcW w:w="142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本项目</w:t>
                  </w:r>
                  <w:r>
                    <w:rPr>
                      <w:rFonts w:hint="default" w:ascii="Times New Roman" w:hAnsi="Times New Roman" w:cs="Times New Roman"/>
                      <w:color w:val="auto"/>
                      <w:sz w:val="21"/>
                      <w:szCs w:val="21"/>
                      <w:highlight w:val="none"/>
                      <w:lang w:val="en-US" w:eastAsia="zh-CN"/>
                    </w:rPr>
                    <w:t>实施排放源排放浓度与效率双重控制，印花工序产生的VOCs排放采用二级活性炭吸附装置处理后排放，处理效率不低于80%，排放浓度可满足《挥发性有机物排放标准 第7部分：其他行业》（DB37/2801.7-2019）表1 其他行业企业或生产设施VOCs排放限值中纺织业排放限值。</w:t>
                  </w:r>
                </w:p>
              </w:tc>
              <w:tc>
                <w:tcPr>
                  <w:tcW w:w="590"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bl>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val="en-US" w:eastAsia="zh-CN"/>
              </w:rPr>
              <w:t>10</w:t>
            </w:r>
            <w:r>
              <w:rPr>
                <w:rFonts w:hint="default" w:ascii="Times New Roman" w:hAnsi="Times New Roman" w:cs="Times New Roman"/>
                <w:b w:val="0"/>
                <w:bCs w:val="0"/>
                <w:color w:val="auto"/>
                <w:sz w:val="21"/>
                <w:szCs w:val="21"/>
                <w:highlight w:val="none"/>
              </w:rPr>
              <w:t>）与《挥发性有机物无组织排放控制标准》（GB37822-2019）符合性分析</w:t>
            </w:r>
          </w:p>
          <w:p>
            <w:pPr>
              <w:adjustRightInd w:val="0"/>
              <w:snapToGrid w:val="0"/>
              <w:spacing w:line="36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表1-</w:t>
            </w:r>
            <w:r>
              <w:rPr>
                <w:rFonts w:hint="default" w:ascii="Times New Roman" w:hAnsi="Times New Roman" w:cs="Times New Roman"/>
                <w:b/>
                <w:bCs/>
                <w:color w:val="auto"/>
                <w:sz w:val="21"/>
                <w:szCs w:val="21"/>
                <w:highlight w:val="none"/>
                <w:lang w:val="en-US" w:eastAsia="zh-CN"/>
              </w:rPr>
              <w:t xml:space="preserve">9 </w:t>
            </w:r>
            <w:r>
              <w:rPr>
                <w:rFonts w:hint="default" w:ascii="Times New Roman" w:hAnsi="Times New Roman" w:cs="Times New Roman"/>
                <w:b/>
                <w:bCs/>
                <w:color w:val="auto"/>
                <w:sz w:val="21"/>
                <w:szCs w:val="21"/>
                <w:highlight w:val="none"/>
              </w:rPr>
              <w:t>与《挥发性有机物无组织排放控制标准》（GB37822-2019）符合性分析</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4282"/>
              <w:gridCol w:w="2171"/>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2834" w:type="pct"/>
                  <w:noWrap w:val="0"/>
                  <w:vAlign w:val="center"/>
                </w:tcPr>
                <w:p>
                  <w:pPr>
                    <w:autoSpaceDE w:val="0"/>
                    <w:autoSpaceDN w:val="0"/>
                    <w:adjustRightIn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kern w:val="0"/>
                      <w:sz w:val="21"/>
                      <w:szCs w:val="21"/>
                      <w:highlight w:val="none"/>
                    </w:rPr>
                    <w:t>文件要求</w:t>
                  </w:r>
                </w:p>
              </w:tc>
              <w:tc>
                <w:tcPr>
                  <w:tcW w:w="1437" w:type="pct"/>
                  <w:noWrap w:val="0"/>
                  <w:vAlign w:val="center"/>
                </w:tcPr>
                <w:p>
                  <w:pPr>
                    <w:autoSpaceDE w:val="0"/>
                    <w:autoSpaceDN w:val="0"/>
                    <w:adjustRightIn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项目情况</w:t>
                  </w:r>
                </w:p>
              </w:tc>
              <w:tc>
                <w:tcPr>
                  <w:tcW w:w="385" w:type="pct"/>
                  <w:noWrap w:val="0"/>
                  <w:vAlign w:val="center"/>
                </w:tcPr>
                <w:p>
                  <w:pPr>
                    <w:autoSpaceDE w:val="0"/>
                    <w:autoSpaceDN w:val="0"/>
                    <w:adjustRightIn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2834" w:type="pct"/>
                  <w:noWrap w:val="0"/>
                  <w:vAlign w:val="center"/>
                </w:tcPr>
                <w:p>
                  <w:pPr>
                    <w:autoSpaceDE w:val="0"/>
                    <w:autoSpaceDN w:val="0"/>
                    <w:adjustRightInd w:val="0"/>
                    <w:jc w:val="left"/>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7.1.1b）粉状、粒状VOCs物料应采用气力输送方式或采用密闭固体投料器等给料方式密闭投加。无法密闭投加的，应在密闭空间内操作，或进行局部气体收集，废气应排至除尘设施、VOCs废气收集处理系统7.1.1c）VOCs物料卸（出、放）料过程应密闭，卸料废气应排至VOCs废气收集处理系统；无法密闭的，应采取局部气体收集措施，废气应排至VOCs废气收集处理系统。</w:t>
                  </w:r>
                </w:p>
              </w:tc>
              <w:tc>
                <w:tcPr>
                  <w:tcW w:w="1437" w:type="pct"/>
                  <w:noWrap w:val="0"/>
                  <w:vAlign w:val="center"/>
                </w:tcPr>
                <w:p>
                  <w:pPr>
                    <w:pStyle w:val="33"/>
                    <w:adjustRightInd w:val="0"/>
                    <w:snapToGrid w:val="0"/>
                    <w:spacing w:before="0" w:beforeAutospacing="0" w:after="0" w:afterAutospacing="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sz w:val="21"/>
                      <w:szCs w:val="21"/>
                      <w:highlight w:val="none"/>
                      <w:u w:val="none"/>
                      <w:lang w:val="en-US" w:eastAsia="zh-CN"/>
                    </w:rPr>
                    <w:t>项目不使用粉状、粒状VOCs物料，水性油墨使用过程在密闭设备间内操作，采用“密闭+高逸散点位精准集气+整体负压”的收集措施。</w:t>
                  </w:r>
                </w:p>
              </w:tc>
              <w:tc>
                <w:tcPr>
                  <w:tcW w:w="385"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2834" w:type="pct"/>
                  <w:noWrap w:val="0"/>
                  <w:vAlign w:val="center"/>
                </w:tcPr>
                <w:p>
                  <w:pPr>
                    <w:autoSpaceDE w:val="0"/>
                    <w:autoSpaceDN w:val="0"/>
                    <w:adjustRightInd w:val="0"/>
                    <w:jc w:val="left"/>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7.2.1</w:t>
                  </w:r>
                  <w:r>
                    <w:rPr>
                      <w:rFonts w:hint="default" w:ascii="Times New Roman" w:hAnsi="Times New Roman" w:cs="Times New Roman"/>
                      <w:bCs/>
                      <w:color w:val="auto"/>
                      <w:sz w:val="21"/>
                      <w:szCs w:val="21"/>
                      <w:highlight w:val="none"/>
                      <w:lang w:val="en-US" w:eastAsia="zh-CN"/>
                    </w:rPr>
                    <w:t xml:space="preserve"> </w:t>
                  </w:r>
                  <w:r>
                    <w:rPr>
                      <w:rFonts w:hint="default" w:ascii="Times New Roman" w:hAnsi="Times New Roman" w:cs="Times New Roman"/>
                      <w:bCs/>
                      <w:color w:val="auto"/>
                      <w:sz w:val="21"/>
                      <w:szCs w:val="21"/>
                      <w:highlight w:val="none"/>
                    </w:rPr>
                    <w:t>VOCs质量占比大于等于10%的含VOCs产品，其使用过程应采用密闭设备或在密闭空间内操作，废气应排至VOCs废气收集处理系统；无法密闭的，应采取局部气体收集措施，废气应排至VOCs废气收集处理系统。含VOCs产品的使用过程包括但不仅限于以下作业：a）调配（混合、搅拌等）；b）涂装（喷涂、浸涂、淋涂、辊涂、刷涂、涂布等）；c）印刷（平版、凸版、凹版、孔版等）；d）粘结（涂胶、热压、复合、贴合等）；e）印染（染色、印花、定型等）；f）干燥（烘干、风干、晾干等）；g）清洗（浸洗、喷洗、淋洗、冲洗、擦洗等）</w:t>
                  </w:r>
                </w:p>
              </w:tc>
              <w:tc>
                <w:tcPr>
                  <w:tcW w:w="1437"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u w:val="none"/>
                      <w:lang w:val="en-US" w:eastAsia="zh-CN"/>
                    </w:rPr>
                    <w:t>本项目水性油墨</w:t>
                  </w:r>
                  <w:r>
                    <w:rPr>
                      <w:rFonts w:hint="default" w:ascii="Times New Roman" w:hAnsi="Times New Roman" w:cs="Times New Roman"/>
                      <w:bCs/>
                      <w:color w:val="auto"/>
                      <w:sz w:val="21"/>
                      <w:szCs w:val="21"/>
                      <w:highlight w:val="none"/>
                    </w:rPr>
                    <w:t>VOCs质量占比</w:t>
                  </w:r>
                  <w:r>
                    <w:rPr>
                      <w:rFonts w:hint="default" w:ascii="Times New Roman" w:hAnsi="Times New Roman" w:cs="Times New Roman"/>
                      <w:bCs/>
                      <w:color w:val="auto"/>
                      <w:sz w:val="21"/>
                      <w:szCs w:val="21"/>
                      <w:highlight w:val="none"/>
                      <w:lang w:val="en-US" w:eastAsia="zh-CN"/>
                    </w:rPr>
                    <w:t>2</w:t>
                  </w:r>
                  <w:r>
                    <w:rPr>
                      <w:rFonts w:hint="default" w:ascii="Times New Roman" w:hAnsi="Times New Roman" w:cs="Times New Roman"/>
                      <w:bCs/>
                      <w:color w:val="auto"/>
                      <w:sz w:val="21"/>
                      <w:szCs w:val="21"/>
                      <w:highlight w:val="none"/>
                    </w:rPr>
                    <w:t>0%</w:t>
                  </w:r>
                  <w:r>
                    <w:rPr>
                      <w:rFonts w:hint="default" w:ascii="Times New Roman" w:hAnsi="Times New Roman" w:cs="Times New Roman"/>
                      <w:bCs/>
                      <w:color w:val="auto"/>
                      <w:sz w:val="21"/>
                      <w:szCs w:val="21"/>
                      <w:highlight w:val="none"/>
                      <w:lang w:eastAsia="zh-CN"/>
                    </w:rPr>
                    <w:t>，</w:t>
                  </w:r>
                  <w:r>
                    <w:rPr>
                      <w:rFonts w:hint="default" w:ascii="Times New Roman" w:hAnsi="Times New Roman" w:cs="Times New Roman"/>
                      <w:bCs/>
                      <w:color w:val="auto"/>
                      <w:sz w:val="21"/>
                      <w:szCs w:val="21"/>
                      <w:highlight w:val="none"/>
                      <w:lang w:val="en-US" w:eastAsia="zh-CN"/>
                    </w:rPr>
                    <w:t>水性油墨使用过程</w:t>
                  </w:r>
                  <w:r>
                    <w:rPr>
                      <w:rFonts w:hint="default" w:ascii="Times New Roman" w:hAnsi="Times New Roman" w:cs="Times New Roman"/>
                      <w:color w:val="auto"/>
                      <w:sz w:val="21"/>
                      <w:szCs w:val="21"/>
                      <w:highlight w:val="none"/>
                      <w:u w:val="none"/>
                      <w:lang w:val="en-US" w:eastAsia="zh-CN"/>
                    </w:rPr>
                    <w:t>采用“设备间密闭+高逸散点位精准集气+整体负压”措施，印花过程VOCs经收集后经二级活性炭吸附装置处理后有组织排放。</w:t>
                  </w:r>
                </w:p>
              </w:tc>
              <w:tc>
                <w:tcPr>
                  <w:tcW w:w="385"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2834" w:type="pct"/>
                  <w:noWrap w:val="0"/>
                  <w:vAlign w:val="center"/>
                </w:tcPr>
                <w:p>
                  <w:pPr>
                    <w:autoSpaceDE w:val="0"/>
                    <w:autoSpaceDN w:val="0"/>
                    <w:adjustRightInd w:val="0"/>
                    <w:jc w:val="left"/>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10.1.2 VOCs废气收集处理系统应与生产工艺设备同步运行。VOCs废气收集处理系统发生故障或检修时，对应的生产工艺设备应停止运行，待检修完毕后同步投入使用；生产工艺设备不能停止运行或不能及时停止运行的，应设置废气应急处理设施或采取其他替代措施。</w:t>
                  </w:r>
                </w:p>
              </w:tc>
              <w:tc>
                <w:tcPr>
                  <w:tcW w:w="1437"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VOCs废气收集处理系统与生产工艺设备同步运行</w:t>
                  </w:r>
                </w:p>
              </w:tc>
              <w:tc>
                <w:tcPr>
                  <w:tcW w:w="385"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w:t>
                  </w:r>
                </w:p>
              </w:tc>
              <w:tc>
                <w:tcPr>
                  <w:tcW w:w="2834" w:type="pct"/>
                  <w:noWrap w:val="0"/>
                  <w:vAlign w:val="center"/>
                </w:tcPr>
                <w:p>
                  <w:pPr>
                    <w:autoSpaceDE w:val="0"/>
                    <w:autoSpaceDN w:val="0"/>
                    <w:adjustRightInd w:val="0"/>
                    <w:jc w:val="left"/>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10.2.2 废气收集系统排风罩（集气罩）的设置应符合GB/T 16758的规定。采用外部排风罩的，应按GB/T 16758、AQ/T 4274-2016规定的方法测量控制风速，测量点应选取在距排风罩开口面最远处的VOCs无组织排放位置，控制风速不应低于0.3m/s（行业相关规范有具体规定的，按相关规定执行）。</w:t>
                  </w:r>
                </w:p>
              </w:tc>
              <w:tc>
                <w:tcPr>
                  <w:tcW w:w="1437" w:type="pct"/>
                  <w:noWrap w:val="0"/>
                  <w:vAlign w:val="center"/>
                </w:tcPr>
                <w:p>
                  <w:pPr>
                    <w:autoSpaceDE w:val="0"/>
                    <w:autoSpaceDN w:val="0"/>
                    <w:adjustRightIn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本项目</w:t>
                  </w:r>
                  <w:r>
                    <w:rPr>
                      <w:rFonts w:hint="default" w:ascii="Times New Roman" w:hAnsi="Times New Roman" w:cs="Times New Roman"/>
                      <w:bCs/>
                      <w:color w:val="auto"/>
                      <w:sz w:val="21"/>
                      <w:szCs w:val="21"/>
                      <w:highlight w:val="none"/>
                      <w:lang w:val="en-US" w:eastAsia="zh-CN"/>
                    </w:rPr>
                    <w:t xml:space="preserve">印花工序废气收集系统符合《排风罩的分类及技术条件》（‌GB/T 16758-2008）规定，印花过程废气上吸罩风速不低于0.3m/s </w:t>
                  </w:r>
                </w:p>
              </w:tc>
              <w:tc>
                <w:tcPr>
                  <w:tcW w:w="385"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2834" w:type="pct"/>
                  <w:noWrap w:val="0"/>
                  <w:vAlign w:val="center"/>
                </w:tcPr>
                <w:p>
                  <w:pPr>
                    <w:autoSpaceDE w:val="0"/>
                    <w:autoSpaceDN w:val="0"/>
                    <w:adjustRightInd w:val="0"/>
                    <w:jc w:val="left"/>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10.2.3 废气收集系统的输送管道应密闭。废气收集系统应在负压下运行，若处于正压状态，应对输送管道组件的密封点进行泄漏检测，泄漏检测值不应超过500μmol/mol，亦不应有感官可察觉泄漏。泄漏检测频次、修复与记录的要求按照第8章规定执行。</w:t>
                  </w:r>
                </w:p>
              </w:tc>
              <w:tc>
                <w:tcPr>
                  <w:tcW w:w="1437" w:type="pct"/>
                  <w:noWrap w:val="0"/>
                  <w:vAlign w:val="center"/>
                </w:tcPr>
                <w:p>
                  <w:pPr>
                    <w:autoSpaceDE w:val="0"/>
                    <w:autoSpaceDN w:val="0"/>
                    <w:adjustRightIn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本项目废气收集系统</w:t>
                  </w:r>
                  <w:r>
                    <w:rPr>
                      <w:rFonts w:hint="default" w:ascii="Times New Roman" w:hAnsi="Times New Roman" w:cs="Times New Roman"/>
                      <w:bCs/>
                      <w:color w:val="auto"/>
                      <w:sz w:val="21"/>
                      <w:szCs w:val="21"/>
                      <w:highlight w:val="none"/>
                      <w:lang w:val="en-US" w:eastAsia="zh-CN"/>
                    </w:rPr>
                    <w:t>输送管道密闭；印花设备间整体采用负压收集VOCs。</w:t>
                  </w:r>
                </w:p>
              </w:tc>
              <w:tc>
                <w:tcPr>
                  <w:tcW w:w="385"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w:t>
                  </w:r>
                </w:p>
              </w:tc>
              <w:tc>
                <w:tcPr>
                  <w:tcW w:w="2834" w:type="pct"/>
                  <w:noWrap w:val="0"/>
                  <w:vAlign w:val="center"/>
                </w:tcPr>
                <w:p>
                  <w:pPr>
                    <w:autoSpaceDE w:val="0"/>
                    <w:autoSpaceDN w:val="0"/>
                    <w:adjustRightInd w:val="0"/>
                    <w:jc w:val="left"/>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10.3.1 VOCs废气收集处理系统污染物排放应符合GB 16297或相关行业排放标准的规定。</w:t>
                  </w:r>
                </w:p>
              </w:tc>
              <w:tc>
                <w:tcPr>
                  <w:tcW w:w="1437" w:type="pct"/>
                  <w:noWrap w:val="0"/>
                  <w:vAlign w:val="center"/>
                </w:tcPr>
                <w:p>
                  <w:pPr>
                    <w:autoSpaceDE w:val="0"/>
                    <w:autoSpaceDN w:val="0"/>
                    <w:adjustRightInd w:val="0"/>
                    <w:jc w:val="left"/>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项目行业排放标准为挥发性有机物排放标准 第7部分：其他行业》（DB37/2801.7-2019）表1 其他行业企业或生产设施VOCs排放限值中纺织业排放限值，生产过程VOCs排放浓度及速率可满足标准要求。</w:t>
                  </w:r>
                </w:p>
              </w:tc>
              <w:tc>
                <w:tcPr>
                  <w:tcW w:w="385"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w:t>
                  </w:r>
                </w:p>
              </w:tc>
              <w:tc>
                <w:tcPr>
                  <w:tcW w:w="2834" w:type="pct"/>
                  <w:noWrap w:val="0"/>
                  <w:vAlign w:val="center"/>
                </w:tcPr>
                <w:p>
                  <w:pPr>
                    <w:autoSpaceDE w:val="0"/>
                    <w:autoSpaceDN w:val="0"/>
                    <w:adjustRightInd w:val="0"/>
                    <w:jc w:val="left"/>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10.3.2 收集的废气中NMHC初始排放速率≥3kg/h时，应配置VOCs处理设施，处理效率不应低于80%；对于重点地区，收集的废气中NMHC初始排放速率≥2kg/h时，应配置VOCs处理设施，处理效率不应低于80%；采用的原辅材料符合国家有关低VOCs含量产品规定的除外。</w:t>
                  </w:r>
                  <w:r>
                    <w:rPr>
                      <w:rFonts w:hint="default" w:ascii="Times New Roman" w:hAnsi="Times New Roman" w:cs="Times New Roman"/>
                      <w:bCs/>
                      <w:color w:val="auto"/>
                      <w:sz w:val="21"/>
                      <w:szCs w:val="21"/>
                      <w:highlight w:val="none"/>
                      <w:lang w:val="en-US" w:eastAsia="zh-CN"/>
                    </w:rPr>
                    <w:t xml:space="preserve"> </w:t>
                  </w:r>
                </w:p>
              </w:tc>
              <w:tc>
                <w:tcPr>
                  <w:tcW w:w="1437" w:type="pct"/>
                  <w:noWrap w:val="0"/>
                  <w:vAlign w:val="center"/>
                </w:tcPr>
                <w:p>
                  <w:pPr>
                    <w:autoSpaceDE w:val="0"/>
                    <w:autoSpaceDN w:val="0"/>
                    <w:adjustRightIn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本项目</w:t>
                  </w:r>
                  <w:r>
                    <w:rPr>
                      <w:rFonts w:hint="default" w:ascii="Times New Roman" w:hAnsi="Times New Roman" w:cs="Times New Roman"/>
                      <w:bCs/>
                      <w:color w:val="auto"/>
                      <w:sz w:val="21"/>
                      <w:szCs w:val="21"/>
                      <w:highlight w:val="none"/>
                      <w:lang w:val="en-US" w:eastAsia="zh-CN"/>
                    </w:rPr>
                    <w:t>利用现有环保设施，参考《吸附法工业有机废气治理工程技术规范》（HJ2026-2013）吸附装置的净化效率不得低于</w:t>
                  </w:r>
                  <w:r>
                    <w:rPr>
                      <w:rFonts w:hint="eastAsia" w:cs="Times New Roman"/>
                      <w:bCs/>
                      <w:color w:val="auto"/>
                      <w:sz w:val="21"/>
                      <w:szCs w:val="21"/>
                      <w:highlight w:val="none"/>
                      <w:lang w:val="en-US" w:eastAsia="zh-CN"/>
                    </w:rPr>
                    <w:t>8</w:t>
                  </w:r>
                  <w:r>
                    <w:rPr>
                      <w:rFonts w:hint="default" w:ascii="Times New Roman" w:hAnsi="Times New Roman" w:cs="Times New Roman"/>
                      <w:bCs/>
                      <w:color w:val="auto"/>
                      <w:sz w:val="21"/>
                      <w:szCs w:val="21"/>
                      <w:highlight w:val="none"/>
                      <w:lang w:val="en-US" w:eastAsia="zh-CN"/>
                    </w:rPr>
                    <w:t>0%，本项目二级活性炭吸附装置处理效率不低于</w:t>
                  </w:r>
                  <w:r>
                    <w:rPr>
                      <w:rFonts w:hint="eastAsia" w:cs="Times New Roman"/>
                      <w:bCs/>
                      <w:color w:val="auto"/>
                      <w:sz w:val="21"/>
                      <w:szCs w:val="21"/>
                      <w:highlight w:val="none"/>
                      <w:lang w:val="en-US" w:eastAsia="zh-CN"/>
                    </w:rPr>
                    <w:t>8</w:t>
                  </w:r>
                  <w:r>
                    <w:rPr>
                      <w:rFonts w:hint="default" w:ascii="Times New Roman" w:hAnsi="Times New Roman" w:cs="Times New Roman"/>
                      <w:bCs/>
                      <w:color w:val="auto"/>
                      <w:sz w:val="21"/>
                      <w:szCs w:val="21"/>
                      <w:highlight w:val="none"/>
                      <w:lang w:val="en-US" w:eastAsia="zh-CN"/>
                    </w:rPr>
                    <w:t>0%。根据项目水性油墨检测报告（附件15），项目所用水性油墨中可挥发性有机化合物含量符合《水性油墨中可挥发性有机化合物(VOCs)含量的限值》（GB 38507-2020）表1水性油墨限值（≤30）。</w:t>
                  </w:r>
                </w:p>
              </w:tc>
              <w:tc>
                <w:tcPr>
                  <w:tcW w:w="385"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1"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w:t>
                  </w:r>
                </w:p>
              </w:tc>
              <w:tc>
                <w:tcPr>
                  <w:tcW w:w="2834" w:type="pct"/>
                  <w:noWrap w:val="0"/>
                  <w:vAlign w:val="center"/>
                </w:tcPr>
                <w:p>
                  <w:pPr>
                    <w:autoSpaceDE w:val="0"/>
                    <w:autoSpaceDN w:val="0"/>
                    <w:adjustRightInd w:val="0"/>
                    <w:jc w:val="left"/>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10.3.4 排气筒高度不低于15m（因安全考虑或有特殊工艺要求的除外），具体高度以及周围建筑物的相对高度关系应根据环境影响评价文件确定。</w:t>
                  </w:r>
                </w:p>
              </w:tc>
              <w:tc>
                <w:tcPr>
                  <w:tcW w:w="1437" w:type="pct"/>
                  <w:noWrap w:val="0"/>
                  <w:vAlign w:val="center"/>
                </w:tcPr>
                <w:p>
                  <w:pPr>
                    <w:autoSpaceDE w:val="0"/>
                    <w:autoSpaceDN w:val="0"/>
                    <w:adjustRightIn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本项目排气筒高度</w:t>
                  </w:r>
                  <w:r>
                    <w:rPr>
                      <w:rFonts w:hint="default" w:ascii="Times New Roman" w:hAnsi="Times New Roman" w:cs="Times New Roman"/>
                      <w:bCs/>
                      <w:color w:val="auto"/>
                      <w:sz w:val="21"/>
                      <w:szCs w:val="21"/>
                      <w:highlight w:val="none"/>
                      <w:lang w:val="en-US" w:eastAsia="zh-CN"/>
                    </w:rPr>
                    <w:t>均</w:t>
                  </w:r>
                  <w:r>
                    <w:rPr>
                      <w:rFonts w:hint="default" w:ascii="Times New Roman" w:hAnsi="Times New Roman" w:cs="Times New Roman"/>
                      <w:bCs/>
                      <w:color w:val="auto"/>
                      <w:sz w:val="21"/>
                      <w:szCs w:val="21"/>
                      <w:highlight w:val="none"/>
                    </w:rPr>
                    <w:t>为15米</w:t>
                  </w:r>
                </w:p>
              </w:tc>
              <w:tc>
                <w:tcPr>
                  <w:tcW w:w="385" w:type="pct"/>
                  <w:noWrap w:val="0"/>
                  <w:vAlign w:val="center"/>
                </w:tcPr>
                <w:p>
                  <w:pPr>
                    <w:autoSpaceDE w:val="0"/>
                    <w:autoSpaceDN w:val="0"/>
                    <w:adjustRightIn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bl>
          <w:p>
            <w:pPr>
              <w:spacing w:before="120" w:beforeLines="50" w:line="360" w:lineRule="auto"/>
              <w:ind w:firstLine="422" w:firstLineChars="20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10</w:t>
            </w:r>
            <w:r>
              <w:rPr>
                <w:rFonts w:hint="default" w:ascii="Times New Roman" w:hAnsi="Times New Roman" w:eastAsia="宋体" w:cs="Times New Roman"/>
                <w:b/>
                <w:bCs/>
                <w:color w:val="auto"/>
                <w:sz w:val="21"/>
                <w:szCs w:val="21"/>
                <w:highlight w:val="none"/>
                <w:lang w:val="en-US" w:eastAsia="zh-CN"/>
              </w:rPr>
              <w:t>、与《淄博市新一轮</w:t>
            </w:r>
            <w:r>
              <w:rPr>
                <w:rFonts w:hint="default" w:ascii="Times New Roman" w:hAnsi="Times New Roman"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lang w:val="en-US" w:eastAsia="zh-CN"/>
              </w:rPr>
              <w:t>四减四增</w:t>
            </w:r>
            <w:r>
              <w:rPr>
                <w:rFonts w:hint="default" w:ascii="Times New Roman" w:hAnsi="Times New Roman"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lang w:val="en-US" w:eastAsia="zh-CN"/>
              </w:rPr>
              <w:t>三年行动方案》的符合性分析</w:t>
            </w:r>
          </w:p>
          <w:p>
            <w:pPr>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表1-</w:t>
            </w:r>
            <w:r>
              <w:rPr>
                <w:rFonts w:hint="default" w:ascii="Times New Roman" w:hAnsi="Times New Roman" w:cs="Times New Roman"/>
                <w:b/>
                <w:bCs/>
                <w:color w:val="auto"/>
                <w:sz w:val="21"/>
                <w:szCs w:val="21"/>
                <w:highlight w:val="none"/>
                <w:lang w:val="en-US" w:eastAsia="zh-CN"/>
              </w:rPr>
              <w:t>10</w:t>
            </w:r>
            <w:r>
              <w:rPr>
                <w:rFonts w:hint="default" w:ascii="Times New Roman" w:hAnsi="Times New Roman" w:eastAsia="宋体" w:cs="Times New Roman"/>
                <w:b/>
                <w:bCs/>
                <w:color w:val="auto"/>
                <w:sz w:val="21"/>
                <w:szCs w:val="21"/>
                <w:highlight w:val="none"/>
                <w:lang w:val="en-US" w:eastAsia="zh-CN"/>
              </w:rPr>
              <w:t xml:space="preserve">  与《淄博市新一轮</w:t>
            </w:r>
            <w:r>
              <w:rPr>
                <w:rFonts w:hint="default" w:ascii="Times New Roman" w:hAnsi="Times New Roman"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lang w:val="en-US" w:eastAsia="zh-CN"/>
              </w:rPr>
              <w:t>四减四增</w:t>
            </w:r>
            <w:r>
              <w:rPr>
                <w:rFonts w:hint="default" w:ascii="Times New Roman" w:hAnsi="Times New Roman"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lang w:val="en-US" w:eastAsia="zh-CN"/>
              </w:rPr>
              <w:t>三年行动方案》符合性分析一览表</w:t>
            </w:r>
          </w:p>
          <w:tbl>
            <w:tblPr>
              <w:tblStyle w:val="37"/>
              <w:tblW w:w="49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10"/>
              <w:gridCol w:w="235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0"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b/>
                      <w:bCs/>
                      <w:color w:val="auto"/>
                      <w:sz w:val="21"/>
                      <w:szCs w:val="22"/>
                      <w:highlight w:val="none"/>
                      <w:lang w:val="en-US" w:eastAsia="zh-CN"/>
                    </w:rPr>
                  </w:pPr>
                  <w:r>
                    <w:rPr>
                      <w:rFonts w:hint="default" w:ascii="Times New Roman" w:hAnsi="Times New Roman" w:eastAsia="宋体" w:cs="Times New Roman"/>
                      <w:b/>
                      <w:bCs/>
                      <w:color w:val="auto"/>
                      <w:sz w:val="21"/>
                      <w:szCs w:val="22"/>
                      <w:highlight w:val="none"/>
                      <w:lang w:val="en-US" w:eastAsia="zh-CN"/>
                    </w:rPr>
                    <w:t>文件要求</w:t>
                  </w:r>
                </w:p>
              </w:tc>
              <w:tc>
                <w:tcPr>
                  <w:tcW w:w="2355"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b/>
                      <w:bCs/>
                      <w:color w:val="auto"/>
                      <w:sz w:val="21"/>
                      <w:szCs w:val="22"/>
                      <w:highlight w:val="none"/>
                      <w:lang w:val="en-US" w:eastAsia="zh-CN"/>
                    </w:rPr>
                  </w:pPr>
                  <w:r>
                    <w:rPr>
                      <w:rFonts w:hint="default" w:ascii="Times New Roman" w:hAnsi="Times New Roman" w:eastAsia="宋体" w:cs="Times New Roman"/>
                      <w:b/>
                      <w:bCs/>
                      <w:color w:val="auto"/>
                      <w:sz w:val="21"/>
                      <w:szCs w:val="22"/>
                      <w:highlight w:val="none"/>
                      <w:lang w:val="en-US" w:eastAsia="zh-CN"/>
                    </w:rPr>
                    <w:t>本项目情况</w:t>
                  </w:r>
                </w:p>
              </w:tc>
              <w:tc>
                <w:tcPr>
                  <w:tcW w:w="896"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b/>
                      <w:bCs/>
                      <w:color w:val="auto"/>
                      <w:sz w:val="21"/>
                      <w:szCs w:val="22"/>
                      <w:highlight w:val="none"/>
                      <w:lang w:val="en-US" w:eastAsia="zh-CN"/>
                    </w:rPr>
                  </w:pPr>
                  <w:r>
                    <w:rPr>
                      <w:rFonts w:hint="default" w:ascii="Times New Roman" w:hAnsi="Times New Roman" w:eastAsia="宋体" w:cs="Times New Roman"/>
                      <w:b/>
                      <w:bCs/>
                      <w:color w:val="auto"/>
                      <w:sz w:val="21"/>
                      <w:szCs w:val="22"/>
                      <w:highlight w:val="none"/>
                      <w:lang w:val="en-US" w:eastAsia="zh-CN"/>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0"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1</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淘汰低效落后产能。依据安全、环保、技术、能耗、效益标准，以钢铁、煤电、水泥、轮胎、煤炭、化工等行业为重点，分类组织实施转移、压减、整合、关停任务，加快淘汰低效落后产能。</w:t>
                  </w:r>
                </w:p>
              </w:tc>
              <w:tc>
                <w:tcPr>
                  <w:tcW w:w="2355"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本项目不属于低效落后产能</w:t>
                  </w:r>
                  <w:r>
                    <w:rPr>
                      <w:rFonts w:hint="default" w:ascii="Times New Roman" w:hAnsi="Times New Roman" w:cs="Times New Roman"/>
                      <w:color w:val="auto"/>
                      <w:sz w:val="21"/>
                      <w:szCs w:val="22"/>
                      <w:highlight w:val="none"/>
                      <w:lang w:val="en-US" w:eastAsia="zh-CN"/>
                    </w:rPr>
                    <w:t>。</w:t>
                  </w:r>
                </w:p>
              </w:tc>
              <w:tc>
                <w:tcPr>
                  <w:tcW w:w="896"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0"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2</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持续开展</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散乱污</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企业专项执法检查。进一步压实管理责任，按照</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发现一起、处置一起</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的原则，实行</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散乱污</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企业动态清零，确保</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散乱污</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企业不复发。</w:t>
                  </w:r>
                </w:p>
              </w:tc>
              <w:tc>
                <w:tcPr>
                  <w:tcW w:w="2355"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本企业不属于</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散乱污</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企业。</w:t>
                  </w:r>
                </w:p>
              </w:tc>
              <w:tc>
                <w:tcPr>
                  <w:tcW w:w="896"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0"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3</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各区县要重点围绕再生橡胶、废旧塑料再生、砖瓦、石灰、石膏等行业制定实施方案，对生产工艺装备进行筛查，按照有关法律法规程序要求，推动低效落后产能退出。</w:t>
                  </w:r>
                </w:p>
              </w:tc>
              <w:tc>
                <w:tcPr>
                  <w:tcW w:w="2355"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本项目不涉及</w:t>
                  </w:r>
                  <w:r>
                    <w:rPr>
                      <w:rFonts w:hint="default" w:ascii="Times New Roman" w:hAnsi="Times New Roman" w:cs="Times New Roman"/>
                      <w:color w:val="auto"/>
                      <w:sz w:val="21"/>
                      <w:szCs w:val="22"/>
                      <w:highlight w:val="none"/>
                      <w:lang w:val="en-US" w:eastAsia="zh-CN"/>
                    </w:rPr>
                    <w:t>前述</w:t>
                  </w:r>
                  <w:r>
                    <w:rPr>
                      <w:rFonts w:hint="default" w:ascii="Times New Roman" w:hAnsi="Times New Roman" w:eastAsia="宋体" w:cs="Times New Roman"/>
                      <w:color w:val="auto"/>
                      <w:sz w:val="21"/>
                      <w:szCs w:val="22"/>
                      <w:highlight w:val="none"/>
                      <w:lang w:val="en-US" w:eastAsia="zh-CN"/>
                    </w:rPr>
                    <w:t>落后低效产能</w:t>
                  </w:r>
                  <w:r>
                    <w:rPr>
                      <w:rFonts w:hint="default" w:ascii="Times New Roman" w:hAnsi="Times New Roman" w:cs="Times New Roman"/>
                      <w:color w:val="auto"/>
                      <w:sz w:val="21"/>
                      <w:szCs w:val="22"/>
                      <w:highlight w:val="none"/>
                      <w:lang w:val="en-US" w:eastAsia="zh-CN"/>
                    </w:rPr>
                    <w:t>工艺和</w:t>
                  </w:r>
                  <w:r>
                    <w:rPr>
                      <w:rFonts w:hint="default" w:ascii="Times New Roman" w:hAnsi="Times New Roman" w:eastAsia="宋体" w:cs="Times New Roman"/>
                      <w:color w:val="auto"/>
                      <w:sz w:val="21"/>
                      <w:szCs w:val="22"/>
                      <w:highlight w:val="none"/>
                      <w:lang w:val="en-US" w:eastAsia="zh-CN"/>
                    </w:rPr>
                    <w:t>设备。</w:t>
                  </w:r>
                </w:p>
              </w:tc>
              <w:tc>
                <w:tcPr>
                  <w:tcW w:w="896"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0"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4</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严控重点行业新增产能。重大项目建设，必须首先满足环境质量</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只能更好，不能变坏</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的底线，严格落实污染物排放</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减量替代是原则，等量替代是例外</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的总量控制刚性要求。</w:t>
                  </w:r>
                </w:p>
              </w:tc>
              <w:tc>
                <w:tcPr>
                  <w:tcW w:w="2355"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本项目不属于重点行业</w:t>
                  </w:r>
                  <w:r>
                    <w:rPr>
                      <w:rFonts w:hint="default" w:ascii="Times New Roman" w:hAnsi="Times New Roman" w:cs="Times New Roman"/>
                      <w:color w:val="auto"/>
                      <w:sz w:val="21"/>
                      <w:szCs w:val="22"/>
                      <w:highlight w:val="none"/>
                      <w:lang w:val="en-US" w:eastAsia="zh-CN"/>
                    </w:rPr>
                    <w:t>；</w:t>
                  </w:r>
                  <w:r>
                    <w:rPr>
                      <w:rFonts w:hint="default" w:ascii="Times New Roman" w:hAnsi="Times New Roman" w:cs="Times New Roman"/>
                      <w:color w:val="auto"/>
                      <w:sz w:val="21"/>
                      <w:szCs w:val="21"/>
                      <w:highlight w:val="none"/>
                      <w:lang w:val="en-US" w:eastAsia="zh-CN"/>
                    </w:rPr>
                    <w:t>本</w:t>
                  </w:r>
                  <w:r>
                    <w:rPr>
                      <w:rFonts w:hint="default" w:ascii="Times New Roman" w:hAnsi="Times New Roman" w:cs="Times New Roman"/>
                      <w:color w:val="auto"/>
                      <w:sz w:val="21"/>
                      <w:szCs w:val="21"/>
                      <w:highlight w:val="none"/>
                    </w:rPr>
                    <w:t>项目</w:t>
                  </w:r>
                  <w:r>
                    <w:rPr>
                      <w:rFonts w:hint="default" w:ascii="Times New Roman" w:hAnsi="Times New Roman" w:cs="Times New Roman"/>
                      <w:color w:val="auto"/>
                      <w:sz w:val="21"/>
                      <w:szCs w:val="21"/>
                      <w:highlight w:val="none"/>
                      <w:lang w:val="en-US" w:eastAsia="zh-CN"/>
                    </w:rPr>
                    <w:t>技改后需申请总量。</w:t>
                  </w:r>
                </w:p>
              </w:tc>
              <w:tc>
                <w:tcPr>
                  <w:tcW w:w="896"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0"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5</w:t>
                  </w:r>
                  <w:r>
                    <w:rPr>
                      <w:rFonts w:hint="default" w:ascii="Times New Roman" w:hAnsi="Times New Roman" w:cs="Times New Roman"/>
                      <w:color w:val="auto"/>
                      <w:sz w:val="21"/>
                      <w:szCs w:val="22"/>
                      <w:highlight w:val="none"/>
                      <w:lang w:val="en-US" w:eastAsia="zh-CN"/>
                    </w:rPr>
                    <w:t>、</w:t>
                  </w:r>
                  <w:r>
                    <w:rPr>
                      <w:rFonts w:hint="default" w:ascii="Times New Roman" w:hAnsi="Times New Roman" w:eastAsia="宋体" w:cs="Times New Roman"/>
                      <w:color w:val="auto"/>
                      <w:sz w:val="21"/>
                      <w:szCs w:val="22"/>
                      <w:highlight w:val="none"/>
                      <w:lang w:val="en-US" w:eastAsia="zh-CN"/>
                    </w:rPr>
                    <w:t>推动绿色循环低碳改造。严格按照《淄博市实施减碳降碳十大行动工作方案》要求，落实电力、建材、有色、石化、化工等重点行业碳达峰目标，实施减污降碳协同治理。</w:t>
                  </w:r>
                </w:p>
              </w:tc>
              <w:tc>
                <w:tcPr>
                  <w:tcW w:w="2355"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本企业使用电</w:t>
                  </w:r>
                  <w:r>
                    <w:rPr>
                      <w:rFonts w:hint="default" w:ascii="Times New Roman" w:hAnsi="Times New Roman" w:cs="Times New Roman"/>
                      <w:color w:val="auto"/>
                      <w:sz w:val="21"/>
                      <w:szCs w:val="22"/>
                      <w:highlight w:val="none"/>
                      <w:lang w:val="en-US" w:eastAsia="zh-CN"/>
                    </w:rPr>
                    <w:t>和天然气</w:t>
                  </w:r>
                  <w:r>
                    <w:rPr>
                      <w:rFonts w:hint="default" w:ascii="Times New Roman" w:hAnsi="Times New Roman" w:eastAsia="宋体" w:cs="Times New Roman"/>
                      <w:color w:val="auto"/>
                      <w:sz w:val="21"/>
                      <w:szCs w:val="22"/>
                      <w:highlight w:val="none"/>
                      <w:lang w:val="en-US" w:eastAsia="zh-CN"/>
                    </w:rPr>
                    <w:t>作为能源，</w:t>
                  </w:r>
                  <w:r>
                    <w:rPr>
                      <w:rFonts w:hint="default" w:ascii="Times New Roman" w:hAnsi="Times New Roman" w:cs="Times New Roman"/>
                      <w:color w:val="auto"/>
                      <w:sz w:val="21"/>
                      <w:szCs w:val="22"/>
                      <w:highlight w:val="none"/>
                      <w:lang w:val="en-US" w:eastAsia="zh-CN"/>
                    </w:rPr>
                    <w:t>符合绿色循环低碳要求</w:t>
                  </w:r>
                  <w:r>
                    <w:rPr>
                      <w:rFonts w:hint="default" w:ascii="Times New Roman" w:hAnsi="Times New Roman" w:eastAsia="宋体" w:cs="Times New Roman"/>
                      <w:color w:val="auto"/>
                      <w:sz w:val="21"/>
                      <w:szCs w:val="22"/>
                      <w:highlight w:val="none"/>
                      <w:lang w:val="en-US" w:eastAsia="zh-CN"/>
                    </w:rPr>
                    <w:t>。</w:t>
                  </w:r>
                </w:p>
              </w:tc>
              <w:tc>
                <w:tcPr>
                  <w:tcW w:w="896" w:type="dxa"/>
                  <w:tcBorders>
                    <w:tl2br w:val="nil"/>
                    <w:tr2bl w:val="nil"/>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符合</w:t>
                  </w:r>
                </w:p>
              </w:tc>
            </w:tr>
          </w:tbl>
          <w:p>
            <w:pPr>
              <w:spacing w:before="120" w:beforeLines="50" w:line="360" w:lineRule="auto"/>
              <w:rPr>
                <w:rFonts w:hint="default" w:ascii="Times New Roman" w:hAnsi="Times New Roman" w:cs="Times New Roman"/>
                <w:b/>
                <w:bCs/>
                <w:color w:val="auto"/>
                <w:sz w:val="21"/>
                <w:szCs w:val="21"/>
                <w:highlight w:val="none"/>
                <w:lang w:val="en-US" w:eastAsia="zh-CN"/>
              </w:rPr>
            </w:pPr>
          </w:p>
          <w:p>
            <w:pPr>
              <w:spacing w:before="120" w:beforeLines="50" w:line="360" w:lineRule="auto"/>
              <w:ind w:firstLine="422" w:firstLineChars="200"/>
              <w:rPr>
                <w:rFonts w:hint="default" w:ascii="Times New Roman" w:hAnsi="Times New Roman" w:eastAsia="宋体" w:cs="Times New Roman"/>
                <w:b/>
                <w:bCs/>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rPr>
                <w:rFonts w:hint="default" w:ascii="Times New Roman" w:hAnsi="Times New Roman" w:cs="Times New Roman"/>
                <w:b w:val="0"/>
                <w:bCs w:val="0"/>
                <w:color w:val="auto"/>
                <w:sz w:val="21"/>
                <w:szCs w:val="21"/>
                <w:highlight w:val="none"/>
                <w:lang w:val="en-US" w:eastAsia="zh-CN"/>
              </w:rPr>
            </w:pPr>
          </w:p>
          <w:p>
            <w:pPr>
              <w:adjustRightInd w:val="0"/>
              <w:snapToGrid w:val="0"/>
              <w:spacing w:line="360" w:lineRule="auto"/>
              <w:ind w:firstLine="420" w:firstLineChars="200"/>
              <w:rPr>
                <w:rFonts w:hint="default" w:ascii="Times New Roman" w:hAnsi="Times New Roman" w:eastAsia="宋体" w:cs="Times New Roman"/>
                <w:b w:val="0"/>
                <w:bCs w:val="0"/>
                <w:color w:val="auto"/>
                <w:sz w:val="21"/>
                <w:szCs w:val="21"/>
                <w:highlight w:val="none"/>
                <w:lang w:val="en-US" w:eastAsia="zh-CN"/>
              </w:rPr>
            </w:pPr>
          </w:p>
        </w:tc>
      </w:tr>
    </w:tbl>
    <w:p>
      <w:pPr>
        <w:rPr>
          <w:rFonts w:hint="default" w:ascii="Times New Roman" w:hAnsi="Times New Roman" w:eastAsia="宋体" w:cs="Times New Roman"/>
          <w:color w:val="auto"/>
          <w:spacing w:val="0"/>
          <w:highlight w:val="none"/>
          <w:lang w:eastAsia="zh-CN"/>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33"/>
        <w:jc w:val="center"/>
        <w:outlineLvl w:val="0"/>
        <w:rPr>
          <w:rFonts w:hint="default" w:ascii="Times New Roman" w:hAnsi="Times New Roman" w:eastAsia="黑体" w:cs="Times New Roman"/>
          <w:snapToGrid w:val="0"/>
          <w:color w:val="auto"/>
          <w:sz w:val="30"/>
          <w:szCs w:val="30"/>
          <w:highlight w:val="none"/>
          <w:lang w:eastAsia="zh-CN"/>
        </w:rPr>
      </w:pPr>
      <w:bookmarkStart w:id="6" w:name="_Toc29952"/>
      <w:r>
        <w:rPr>
          <w:rFonts w:hint="default" w:ascii="Times New Roman" w:hAnsi="Times New Roman" w:eastAsia="黑体" w:cs="Times New Roman"/>
          <w:snapToGrid w:val="0"/>
          <w:color w:val="auto"/>
          <w:sz w:val="30"/>
          <w:szCs w:val="30"/>
          <w:highlight w:val="none"/>
        </w:rPr>
        <w:t>二、建设</w:t>
      </w:r>
      <w:r>
        <w:rPr>
          <w:rFonts w:hint="default" w:ascii="Times New Roman" w:hAnsi="Times New Roman" w:eastAsia="黑体" w:cs="Times New Roman"/>
          <w:snapToGrid w:val="0"/>
          <w:color w:val="auto"/>
          <w:sz w:val="30"/>
          <w:szCs w:val="30"/>
          <w:highlight w:val="none"/>
          <w:lang w:eastAsia="zh-CN"/>
        </w:rPr>
        <w:t>项目工程分析</w:t>
      </w:r>
      <w:bookmarkEnd w:id="6"/>
    </w:p>
    <w:tbl>
      <w:tblPr>
        <w:tblStyle w:val="36"/>
        <w:tblW w:w="508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8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2" w:type="pct"/>
            <w:noWrap w:val="0"/>
            <w:vAlign w:val="center"/>
          </w:tcPr>
          <w:p>
            <w:pPr>
              <w:adjustRightInd w:val="0"/>
              <w:snapToGrid w:val="0"/>
              <w:jc w:val="center"/>
              <w:rPr>
                <w:rFonts w:hint="default" w:ascii="Times New Roman" w:hAnsi="Times New Roman" w:cs="Times New Roman" w:eastAsiaTheme="minorEastAsia"/>
                <w:color w:val="auto"/>
                <w:spacing w:val="0"/>
                <w:kern w:val="0"/>
                <w:sz w:val="21"/>
                <w:szCs w:val="21"/>
                <w:highlight w:val="none"/>
                <w:lang w:eastAsia="zh-CN"/>
              </w:rPr>
            </w:pPr>
            <w:r>
              <w:rPr>
                <w:rFonts w:hint="default" w:ascii="Times New Roman" w:hAnsi="Times New Roman" w:cs="Times New Roman" w:eastAsiaTheme="minorEastAsia"/>
                <w:color w:val="auto"/>
                <w:spacing w:val="0"/>
                <w:kern w:val="0"/>
                <w:sz w:val="21"/>
                <w:szCs w:val="21"/>
                <w:highlight w:val="none"/>
                <w:lang w:eastAsia="zh-CN"/>
              </w:rPr>
              <w:t>建设内容</w:t>
            </w:r>
          </w:p>
        </w:tc>
        <w:tc>
          <w:tcPr>
            <w:tcW w:w="4647"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1、项目由来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淄博市周村雅曼印染厂，前身为淄博康达印花厂，成立于2002年04月03日，注册地位于周村区萌水镇水磨村西侧5m处，法定代表人为李志兰。经营范围包括一般项目：面料印染加工；产业用纺织制成品制造；针纺织品销售；产业用纺织制成品销售。（除依法须经批准的项目外，凭营业执照依法自主开展经营活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default" w:ascii="Times New Roman" w:hAnsi="Times New Roman" w:cs="Times New Roman" w:eastAsiaTheme="minorEastAsia"/>
                <w:color w:val="auto"/>
                <w:sz w:val="21"/>
                <w:szCs w:val="21"/>
                <w:highlight w:val="none"/>
                <w:u w:val="single"/>
                <w:lang w:val="en-US" w:eastAsia="zh-CN"/>
              </w:rPr>
            </w:pPr>
            <w:r>
              <w:rPr>
                <w:rFonts w:hint="default" w:ascii="Times New Roman" w:hAnsi="Times New Roman" w:cs="Times New Roman" w:eastAsiaTheme="minorEastAsia"/>
                <w:color w:val="auto"/>
                <w:sz w:val="21"/>
                <w:szCs w:val="21"/>
                <w:highlight w:val="none"/>
                <w:lang w:val="en-US" w:eastAsia="zh-CN"/>
              </w:rPr>
              <w:t>为破解现有生产设备老旧导致的效率偏低、能耗较高、产品精度不足等问题，响应市场对高精度印花、环保型印染布的需求升级，同时落实国家绿色发展与产业结构优化政策，淄博市周村雅曼印染厂拟实施“年产3000万米印染布设备升级改造项目”。本项目以“工艺升级、设备更新、绿色增效”为核心，一方面对现有传统印染工艺进行优化，淘汰老旧设备，另一方面新增数码印花工艺并推进高温染色设备更新升级，新购置数码印花机2套、高温染色机3台，通过数字化印花技术提升花型精准度与生产灵活性，借助升级后的高温染色设备增强染料固着效果与染色均匀性。此次技改能满足市场对高品质、个性化印染布的需求，工艺路线成熟可靠，不仅可显著提高生产效率、提升产品附加值，助力企业实现绿色低碳发展，预期经济效益与环境效益兼具。</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2、主要建设概况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项目名称：年产3000万米印染布设备升级改造项目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建设单位：淄博市周村雅曼印染厂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项目性质：技改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建设地点：淄博市文昌湖旅游度假区萌水镇水磨村西侧5m处</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bCs/>
                <w:color w:val="auto"/>
                <w:szCs w:val="21"/>
                <w:highlight w:val="none"/>
                <w:lang w:eastAsia="zh-CN"/>
              </w:rPr>
              <w:t>建设内容及规模：</w:t>
            </w:r>
            <w:r>
              <w:rPr>
                <w:rFonts w:hint="default" w:ascii="Times New Roman" w:hAnsi="Times New Roman" w:cs="Times New Roman" w:eastAsiaTheme="minorEastAsia"/>
                <w:color w:val="auto"/>
                <w:sz w:val="21"/>
                <w:szCs w:val="21"/>
                <w:highlight w:val="none"/>
                <w:lang w:val="en-US" w:eastAsia="zh-CN"/>
              </w:rPr>
              <w:t>项目总投资830万元，</w:t>
            </w:r>
            <w:r>
              <w:rPr>
                <w:rFonts w:hint="default" w:ascii="Times New Roman" w:hAnsi="Times New Roman" w:cs="Times New Roman" w:eastAsiaTheme="minorEastAsia"/>
                <w:color w:val="auto"/>
                <w:spacing w:val="0"/>
                <w:w w:val="100"/>
                <w:sz w:val="21"/>
                <w:szCs w:val="21"/>
                <w:highlight w:val="none"/>
                <w:vertAlign w:val="baseline"/>
                <w:lang w:val="en-US" w:eastAsia="zh-CN"/>
              </w:rPr>
              <w:t>利用现有厂区和厂房，新购置数码印花机2套、高温染色机3台，用于替换老旧设备，项目建成投产后预计新增产值500万元。</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3、项目组成</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cs="Times New Roman" w:eastAsiaTheme="minorEastAsia"/>
                <w:color w:val="auto"/>
                <w:spacing w:val="0"/>
                <w:sz w:val="21"/>
                <w:szCs w:val="21"/>
                <w:highlight w:val="none"/>
              </w:rPr>
            </w:pPr>
            <w:r>
              <w:rPr>
                <w:rFonts w:hint="default" w:ascii="Times New Roman" w:hAnsi="Times New Roman" w:cs="Times New Roman" w:eastAsiaTheme="minorEastAsia"/>
                <w:color w:val="auto"/>
                <w:spacing w:val="0"/>
                <w:kern w:val="0"/>
                <w:sz w:val="21"/>
                <w:szCs w:val="21"/>
                <w:highlight w:val="none"/>
                <w:lang w:val="en-US" w:eastAsia="zh-CN" w:bidi="ar"/>
              </w:rPr>
              <w:t>技改项目新增设备利用现有生产车间内闲置区域，技改后全厂组成情况见</w:t>
            </w:r>
            <w:r>
              <w:rPr>
                <w:rFonts w:hint="default" w:ascii="Times New Roman" w:hAnsi="Times New Roman" w:cs="Times New Roman" w:eastAsiaTheme="minorEastAsia"/>
                <w:color w:val="auto"/>
                <w:spacing w:val="0"/>
                <w:sz w:val="21"/>
                <w:szCs w:val="21"/>
                <w:highlight w:val="none"/>
                <w:lang w:val="en-US" w:eastAsia="zh-CN"/>
              </w:rPr>
              <w:t>下表</w:t>
            </w:r>
            <w:r>
              <w:rPr>
                <w:rFonts w:hint="default" w:ascii="Times New Roman" w:hAnsi="Times New Roman" w:cs="Times New Roman" w:eastAsiaTheme="minorEastAsia"/>
                <w:color w:val="auto"/>
                <w:spacing w:val="0"/>
                <w:kern w:val="0"/>
                <w:sz w:val="21"/>
                <w:szCs w:val="21"/>
                <w:highlight w:val="none"/>
                <w:lang w:val="en-US" w:eastAsia="zh-CN" w:bidi="ar"/>
              </w:rPr>
              <w:t>。</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表2-1  技改项目主要组成情况一览表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1" w:type="dxa"/>
                <w:bottom w:w="0" w:type="dxa"/>
                <w:right w:w="51" w:type="dxa"/>
              </w:tblCellMar>
            </w:tblPr>
            <w:tblGrid>
              <w:gridCol w:w="612"/>
              <w:gridCol w:w="1057"/>
              <w:gridCol w:w="5724"/>
              <w:gridCol w:w="11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tcBorders>
                    <w:tl2br w:val="nil"/>
                    <w:tr2bl w:val="nil"/>
                  </w:tcBorders>
                  <w:noWrap w:val="0"/>
                  <w:vAlign w:val="center"/>
                </w:tcPr>
                <w:p>
                  <w:pPr>
                    <w:pStyle w:val="3"/>
                    <w:topLinePunct/>
                    <w:adjustRightInd w:val="0"/>
                    <w:snapToGrid w:val="0"/>
                    <w:spacing w:after="0" w:line="360" w:lineRule="exact"/>
                    <w:ind w:left="0" w:leftChars="0"/>
                    <w:jc w:val="center"/>
                    <w:rPr>
                      <w:rFonts w:hint="default" w:ascii="Times New Roman" w:hAnsi="Times New Roman" w:cs="Times New Roman" w:eastAsiaTheme="minorEastAsia"/>
                      <w:b/>
                      <w:bCs/>
                      <w:color w:val="auto"/>
                      <w:sz w:val="21"/>
                      <w:szCs w:val="21"/>
                      <w:highlight w:val="none"/>
                      <w:lang w:eastAsia="zh-CN"/>
                    </w:rPr>
                  </w:pPr>
                  <w:r>
                    <w:rPr>
                      <w:rFonts w:hint="default" w:ascii="Times New Roman" w:hAnsi="Times New Roman" w:cs="Times New Roman" w:eastAsiaTheme="minorEastAsia"/>
                      <w:b/>
                      <w:bCs/>
                      <w:color w:val="auto"/>
                      <w:sz w:val="21"/>
                      <w:szCs w:val="21"/>
                      <w:highlight w:val="none"/>
                      <w:lang w:eastAsia="zh-CN"/>
                    </w:rPr>
                    <w:t>类别</w:t>
                  </w:r>
                </w:p>
              </w:tc>
              <w:tc>
                <w:tcPr>
                  <w:tcW w:w="1068" w:type="dxa"/>
                  <w:tcBorders>
                    <w:tl2br w:val="nil"/>
                    <w:tr2bl w:val="nil"/>
                  </w:tcBorders>
                  <w:noWrap w:val="0"/>
                  <w:vAlign w:val="center"/>
                </w:tcPr>
                <w:p>
                  <w:pPr>
                    <w:pStyle w:val="3"/>
                    <w:topLinePunct/>
                    <w:adjustRightInd w:val="0"/>
                    <w:snapToGrid w:val="0"/>
                    <w:spacing w:after="0" w:line="360" w:lineRule="exact"/>
                    <w:ind w:left="0" w:leftChars="0"/>
                    <w:jc w:val="center"/>
                    <w:rPr>
                      <w:rFonts w:hint="default" w:ascii="Times New Roman" w:hAnsi="Times New Roman" w:cs="Times New Roman" w:eastAsiaTheme="minorEastAsia"/>
                      <w:b/>
                      <w:bCs/>
                      <w:color w:val="auto"/>
                      <w:sz w:val="21"/>
                      <w:szCs w:val="21"/>
                      <w:highlight w:val="none"/>
                      <w:lang w:eastAsia="zh-CN"/>
                    </w:rPr>
                  </w:pPr>
                  <w:r>
                    <w:rPr>
                      <w:rFonts w:hint="default" w:ascii="Times New Roman" w:hAnsi="Times New Roman" w:cs="Times New Roman" w:eastAsiaTheme="minorEastAsia"/>
                      <w:b/>
                      <w:bCs/>
                      <w:color w:val="auto"/>
                      <w:sz w:val="21"/>
                      <w:szCs w:val="21"/>
                      <w:highlight w:val="none"/>
                      <w:lang w:eastAsia="zh-CN"/>
                    </w:rPr>
                    <w:t>项目组成</w:t>
                  </w:r>
                </w:p>
              </w:tc>
              <w:tc>
                <w:tcPr>
                  <w:tcW w:w="5789" w:type="dxa"/>
                  <w:tcBorders>
                    <w:tl2br w:val="nil"/>
                    <w:tr2bl w:val="nil"/>
                  </w:tcBorders>
                  <w:noWrap w:val="0"/>
                  <w:vAlign w:val="center"/>
                </w:tcPr>
                <w:p>
                  <w:pPr>
                    <w:pStyle w:val="3"/>
                    <w:topLinePunct/>
                    <w:adjustRightInd w:val="0"/>
                    <w:snapToGrid w:val="0"/>
                    <w:spacing w:after="0" w:line="360" w:lineRule="exact"/>
                    <w:ind w:left="0" w:leftChars="0"/>
                    <w:jc w:val="center"/>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建设内容及规模</w:t>
                  </w:r>
                </w:p>
              </w:tc>
              <w:tc>
                <w:tcPr>
                  <w:tcW w:w="1175" w:type="dxa"/>
                  <w:tcBorders>
                    <w:tl2br w:val="nil"/>
                    <w:tr2bl w:val="nil"/>
                  </w:tcBorders>
                  <w:noWrap w:val="0"/>
                  <w:vAlign w:val="center"/>
                </w:tcPr>
                <w:p>
                  <w:pPr>
                    <w:pStyle w:val="3"/>
                    <w:topLinePunct/>
                    <w:adjustRightInd w:val="0"/>
                    <w:snapToGrid w:val="0"/>
                    <w:spacing w:after="0" w:line="360" w:lineRule="exact"/>
                    <w:ind w:left="0" w:leftChars="0"/>
                    <w:jc w:val="center"/>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restart"/>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主体工程</w:t>
                  </w:r>
                </w:p>
              </w:tc>
              <w:tc>
                <w:tcPr>
                  <w:tcW w:w="1068" w:type="dxa"/>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生产车间</w:t>
                  </w:r>
                </w:p>
              </w:tc>
              <w:tc>
                <w:tcPr>
                  <w:tcW w:w="5789" w:type="dxa"/>
                  <w:tcBorders>
                    <w:tl2br w:val="nil"/>
                    <w:tr2bl w:val="nil"/>
                  </w:tcBorders>
                  <w:noWrap w:val="0"/>
                  <w:vAlign w:val="center"/>
                </w:tcPr>
                <w:p>
                  <w:pPr>
                    <w:pStyle w:val="75"/>
                    <w:spacing w:line="277" w:lineRule="exact"/>
                    <w:ind w:right="4"/>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5874</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建筑</w:t>
                  </w:r>
                  <w:r>
                    <w:rPr>
                      <w:rFonts w:hint="default" w:ascii="Times New Roman" w:hAnsi="Times New Roman" w:cs="Times New Roman" w:eastAsiaTheme="minorEastAsia"/>
                      <w:color w:val="auto"/>
                      <w:szCs w:val="21"/>
                      <w:highlight w:val="none"/>
                      <w:lang w:eastAsia="zh-CN"/>
                    </w:rPr>
                    <w:t>面积</w:t>
                  </w:r>
                  <w:r>
                    <w:rPr>
                      <w:rFonts w:hint="default" w:ascii="Times New Roman" w:hAnsi="Times New Roman" w:cs="Times New Roman" w:eastAsiaTheme="minorEastAsia"/>
                      <w:color w:val="auto"/>
                      <w:szCs w:val="21"/>
                      <w:highlight w:val="none"/>
                      <w:lang w:val="en-US" w:eastAsia="zh-CN"/>
                    </w:rPr>
                    <w:t>5874</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位于厂区西侧中部，内设印染生产线，技改新增高温染色机、数码印花机位于车间中部闲置区域，占地面积1200m</w:t>
                  </w:r>
                  <w:r>
                    <w:rPr>
                      <w:rFonts w:hint="default" w:ascii="Times New Roman" w:hAnsi="Times New Roman" w:cs="Times New Roman" w:eastAsiaTheme="minorEastAsia"/>
                      <w:color w:val="auto"/>
                      <w:szCs w:val="21"/>
                      <w:highlight w:val="none"/>
                      <w:vertAlign w:val="superscript"/>
                      <w:lang w:val="en-US" w:eastAsia="zh-CN"/>
                    </w:rPr>
                    <w:t>2</w:t>
                  </w:r>
                  <w:r>
                    <w:rPr>
                      <w:rFonts w:hint="default" w:ascii="Times New Roman" w:hAnsi="Times New Roman" w:cs="Times New Roman" w:eastAsiaTheme="minorEastAsia"/>
                      <w:color w:val="auto"/>
                      <w:spacing w:val="0"/>
                      <w:w w:val="100"/>
                      <w:sz w:val="21"/>
                      <w:szCs w:val="21"/>
                      <w:highlight w:val="none"/>
                      <w:vertAlign w:val="baseline"/>
                      <w:lang w:val="en-US" w:eastAsia="zh-CN"/>
                    </w:rPr>
                    <w:t>。</w:t>
                  </w:r>
                </w:p>
              </w:tc>
              <w:tc>
                <w:tcPr>
                  <w:tcW w:w="1175" w:type="dxa"/>
                  <w:tcBorders>
                    <w:tl2br w:val="nil"/>
                    <w:tr2bl w:val="nil"/>
                  </w:tcBorders>
                  <w:shd w:val="clear" w:color="auto" w:fill="auto"/>
                  <w:noWrap w:val="0"/>
                  <w:vAlign w:val="center"/>
                </w:tcPr>
                <w:p>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default" w:ascii="Times New Roman" w:hAnsi="Times New Roman" w:cs="Times New Roman" w:eastAsiaTheme="minorEastAsia"/>
                      <w:bCs/>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技改项目利用</w:t>
                  </w:r>
                  <w:r>
                    <w:rPr>
                      <w:rFonts w:hint="default" w:ascii="Times New Roman" w:hAnsi="Times New Roman" w:cs="Times New Roman" w:eastAsiaTheme="minorEastAsia"/>
                      <w:bCs/>
                      <w:color w:val="auto"/>
                      <w:sz w:val="21"/>
                      <w:szCs w:val="21"/>
                      <w:highlight w:val="none"/>
                      <w:lang w:eastAsia="zh-CN"/>
                    </w:rPr>
                    <w:t>现有</w:t>
                  </w:r>
                  <w:r>
                    <w:rPr>
                      <w:rFonts w:hint="default" w:ascii="Times New Roman" w:hAnsi="Times New Roman" w:cs="Times New Roman" w:eastAsiaTheme="minorEastAsia"/>
                      <w:bCs/>
                      <w:color w:val="auto"/>
                      <w:sz w:val="21"/>
                      <w:szCs w:val="21"/>
                      <w:highlight w:val="none"/>
                      <w:lang w:val="en-US" w:eastAsia="zh-CN"/>
                    </w:rPr>
                    <w:t>生产车间空闲区域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检验打包车间</w:t>
                  </w:r>
                </w:p>
              </w:tc>
              <w:tc>
                <w:tcPr>
                  <w:tcW w:w="5789" w:type="dxa"/>
                  <w:tcBorders>
                    <w:tl2br w:val="nil"/>
                    <w:tr2bl w:val="nil"/>
                  </w:tcBorders>
                  <w:noWrap w:val="0"/>
                  <w:vAlign w:val="center"/>
                </w:tcPr>
                <w:p>
                  <w:pPr>
                    <w:pStyle w:val="75"/>
                    <w:spacing w:line="277" w:lineRule="exact"/>
                    <w:ind w:right="4" w:rightChars="0"/>
                    <w:jc w:val="both"/>
                    <w:rPr>
                      <w:rFonts w:hint="default" w:ascii="Times New Roman" w:hAnsi="Times New Roman" w:cs="Times New Roman" w:eastAsiaTheme="minorEastAsia"/>
                      <w:color w:val="auto"/>
                      <w:kern w:val="2"/>
                      <w:sz w:val="21"/>
                      <w:szCs w:val="21"/>
                      <w:highlight w:val="none"/>
                      <w:lang w:val="en-US" w:eastAsia="zh-CN" w:bidi="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608</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建筑</w:t>
                  </w:r>
                  <w:r>
                    <w:rPr>
                      <w:rFonts w:hint="default" w:ascii="Times New Roman" w:hAnsi="Times New Roman" w:cs="Times New Roman" w:eastAsiaTheme="minorEastAsia"/>
                      <w:color w:val="auto"/>
                      <w:szCs w:val="21"/>
                      <w:highlight w:val="none"/>
                      <w:lang w:eastAsia="zh-CN"/>
                    </w:rPr>
                    <w:t>面积</w:t>
                  </w:r>
                  <w:r>
                    <w:rPr>
                      <w:rFonts w:hint="default" w:ascii="Times New Roman" w:hAnsi="Times New Roman" w:cs="Times New Roman" w:eastAsiaTheme="minorEastAsia"/>
                      <w:color w:val="auto"/>
                      <w:szCs w:val="21"/>
                      <w:highlight w:val="none"/>
                      <w:lang w:val="en-US" w:eastAsia="zh-CN"/>
                    </w:rPr>
                    <w:t>608</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位于厂区西侧中部，内设捲验机、打包机</w:t>
                  </w:r>
                  <w:r>
                    <w:rPr>
                      <w:rFonts w:hint="default" w:ascii="Times New Roman" w:hAnsi="Times New Roman" w:cs="Times New Roman" w:eastAsiaTheme="minorEastAsia"/>
                      <w:color w:val="auto"/>
                      <w:spacing w:val="0"/>
                      <w:w w:val="100"/>
                      <w:sz w:val="21"/>
                      <w:szCs w:val="21"/>
                      <w:highlight w:val="none"/>
                      <w:vertAlign w:val="baseline"/>
                      <w:lang w:val="en-US" w:eastAsia="zh-CN"/>
                    </w:rPr>
                    <w:t>。</w:t>
                  </w:r>
                </w:p>
              </w:tc>
              <w:tc>
                <w:tcPr>
                  <w:tcW w:w="1175" w:type="dxa"/>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restart"/>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辅助工程</w:t>
                  </w: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办公楼</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1座，2层，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594</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建筑</w:t>
                  </w:r>
                  <w:r>
                    <w:rPr>
                      <w:rFonts w:hint="default" w:ascii="Times New Roman" w:hAnsi="Times New Roman" w:cs="Times New Roman" w:eastAsiaTheme="minorEastAsia"/>
                      <w:color w:val="auto"/>
                      <w:szCs w:val="21"/>
                      <w:highlight w:val="none"/>
                      <w:lang w:eastAsia="zh-CN"/>
                    </w:rPr>
                    <w:t>面积</w:t>
                  </w:r>
                  <w:r>
                    <w:rPr>
                      <w:rFonts w:hint="default" w:ascii="Times New Roman" w:hAnsi="Times New Roman" w:cs="Times New Roman" w:eastAsiaTheme="minorEastAsia"/>
                      <w:color w:val="auto"/>
                      <w:szCs w:val="21"/>
                      <w:highlight w:val="none"/>
                      <w:lang w:val="en-US" w:eastAsia="zh-CN"/>
                    </w:rPr>
                    <w:t>1188</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位于厂区西南侧，用于行政办公。</w:t>
                  </w:r>
                </w:p>
              </w:tc>
              <w:tc>
                <w:tcPr>
                  <w:tcW w:w="1175" w:type="dxa"/>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门卫室</w:t>
                  </w:r>
                </w:p>
              </w:tc>
              <w:tc>
                <w:tcPr>
                  <w:tcW w:w="5789" w:type="dxa"/>
                  <w:tcBorders>
                    <w:tl2br w:val="nil"/>
                    <w:tr2bl w:val="nil"/>
                  </w:tcBorders>
                  <w:shd w:val="clear" w:color="auto" w:fill="auto"/>
                  <w:noWrap w:val="0"/>
                  <w:vAlign w:val="center"/>
                </w:tcPr>
                <w:p>
                  <w:pPr>
                    <w:pStyle w:val="75"/>
                    <w:spacing w:line="277" w:lineRule="exact"/>
                    <w:ind w:right="4" w:rightChars="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20</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建筑</w:t>
                  </w:r>
                  <w:r>
                    <w:rPr>
                      <w:rFonts w:hint="default" w:ascii="Times New Roman" w:hAnsi="Times New Roman" w:cs="Times New Roman" w:eastAsiaTheme="minorEastAsia"/>
                      <w:color w:val="auto"/>
                      <w:szCs w:val="21"/>
                      <w:highlight w:val="none"/>
                      <w:lang w:eastAsia="zh-CN"/>
                    </w:rPr>
                    <w:t>面积</w:t>
                  </w:r>
                  <w:r>
                    <w:rPr>
                      <w:rFonts w:hint="default" w:ascii="Times New Roman" w:hAnsi="Times New Roman" w:cs="Times New Roman" w:eastAsiaTheme="minorEastAsia"/>
                      <w:color w:val="auto"/>
                      <w:szCs w:val="21"/>
                      <w:highlight w:val="none"/>
                      <w:lang w:val="en-US" w:eastAsia="zh-CN"/>
                    </w:rPr>
                    <w:t>20</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位于厂区西南侧</w:t>
                  </w:r>
                  <w:r>
                    <w:rPr>
                      <w:rFonts w:hint="default" w:ascii="Times New Roman" w:hAnsi="Times New Roman" w:cs="Times New Roman" w:eastAsiaTheme="minorEastAsia"/>
                      <w:color w:val="auto"/>
                      <w:spacing w:val="0"/>
                      <w:w w:val="100"/>
                      <w:sz w:val="21"/>
                      <w:szCs w:val="21"/>
                      <w:highlight w:val="none"/>
                      <w:vertAlign w:val="baseline"/>
                      <w:lang w:val="en-US" w:eastAsia="zh-CN"/>
                    </w:rPr>
                    <w:t>。</w:t>
                  </w:r>
                </w:p>
              </w:tc>
              <w:tc>
                <w:tcPr>
                  <w:tcW w:w="1175" w:type="dxa"/>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锅炉房</w:t>
                  </w:r>
                </w:p>
              </w:tc>
              <w:tc>
                <w:tcPr>
                  <w:tcW w:w="5789" w:type="dxa"/>
                  <w:tcBorders>
                    <w:tl2br w:val="nil"/>
                    <w:tr2bl w:val="nil"/>
                  </w:tcBorders>
                  <w:shd w:val="clear" w:color="auto" w:fill="auto"/>
                  <w:noWrap w:val="0"/>
                  <w:vAlign w:val="center"/>
                </w:tcPr>
                <w:p>
                  <w:pPr>
                    <w:pStyle w:val="75"/>
                    <w:spacing w:line="277" w:lineRule="exact"/>
                    <w:ind w:right="4" w:rightChars="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425</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建筑</w:t>
                  </w:r>
                  <w:r>
                    <w:rPr>
                      <w:rFonts w:hint="default" w:ascii="Times New Roman" w:hAnsi="Times New Roman" w:cs="Times New Roman" w:eastAsiaTheme="minorEastAsia"/>
                      <w:color w:val="auto"/>
                      <w:szCs w:val="21"/>
                      <w:highlight w:val="none"/>
                      <w:lang w:eastAsia="zh-CN"/>
                    </w:rPr>
                    <w:t>面积</w:t>
                  </w:r>
                  <w:r>
                    <w:rPr>
                      <w:rFonts w:hint="default" w:ascii="Times New Roman" w:hAnsi="Times New Roman" w:cs="Times New Roman" w:eastAsiaTheme="minorEastAsia"/>
                      <w:color w:val="auto"/>
                      <w:szCs w:val="21"/>
                      <w:highlight w:val="none"/>
                      <w:lang w:val="en-US" w:eastAsia="zh-CN"/>
                    </w:rPr>
                    <w:t>425</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位于厂区东北侧，内设1套8t/h燃气锅炉</w:t>
                  </w:r>
                  <w:r>
                    <w:rPr>
                      <w:rFonts w:hint="default" w:ascii="Times New Roman" w:hAnsi="Times New Roman" w:cs="Times New Roman" w:eastAsiaTheme="minorEastAsia"/>
                      <w:color w:val="auto"/>
                      <w:spacing w:val="0"/>
                      <w:w w:val="100"/>
                      <w:sz w:val="21"/>
                      <w:szCs w:val="21"/>
                      <w:highlight w:val="none"/>
                      <w:vertAlign w:val="baseline"/>
                      <w:lang w:val="en-US" w:eastAsia="zh-CN"/>
                    </w:rPr>
                    <w:t>。</w:t>
                  </w:r>
                </w:p>
              </w:tc>
              <w:tc>
                <w:tcPr>
                  <w:tcW w:w="1175" w:type="dxa"/>
                  <w:tcBorders>
                    <w:tl2br w:val="nil"/>
                    <w:tr2bl w:val="nil"/>
                  </w:tcBorders>
                  <w:shd w:val="clear" w:color="auto" w:fill="auto"/>
                  <w:noWrap w:val="0"/>
                  <w:vAlign w:val="center"/>
                </w:tcPr>
                <w:p>
                  <w:pPr>
                    <w:topLinePunct/>
                    <w:adjustRightInd w:val="0"/>
                    <w:snapToGrid w:val="0"/>
                    <w:spacing w:line="360" w:lineRule="exact"/>
                    <w:jc w:val="center"/>
                    <w:rPr>
                      <w:rFonts w:hint="default" w:ascii="Times New Roman" w:hAnsi="Times New Roman" w:cs="Times New Roman" w:eastAsiaTheme="minorEastAsia"/>
                      <w:bCs/>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549"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污泥压</w:t>
                  </w:r>
                </w:p>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滤间</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1处，</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为125</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vertAlign w:val="baseline"/>
                      <w:lang w:eastAsia="zh-CN"/>
                    </w:rPr>
                    <w:t>，</w:t>
                  </w:r>
                  <w:r>
                    <w:rPr>
                      <w:rFonts w:hint="default" w:ascii="Times New Roman" w:hAnsi="Times New Roman" w:cs="Times New Roman" w:eastAsiaTheme="minorEastAsia"/>
                      <w:color w:val="auto"/>
                      <w:szCs w:val="21"/>
                      <w:highlight w:val="none"/>
                      <w:vertAlign w:val="baseline"/>
                      <w:lang w:val="en-US" w:eastAsia="zh-CN"/>
                    </w:rPr>
                    <w:t>建筑面积125m</w:t>
                  </w:r>
                  <w:r>
                    <w:rPr>
                      <w:rFonts w:hint="default" w:ascii="Times New Roman" w:hAnsi="Times New Roman" w:cs="Times New Roman" w:eastAsiaTheme="minorEastAsia"/>
                      <w:color w:val="auto"/>
                      <w:szCs w:val="21"/>
                      <w:highlight w:val="none"/>
                      <w:vertAlign w:val="superscript"/>
                      <w:lang w:val="en-US" w:eastAsia="zh-CN"/>
                    </w:rPr>
                    <w:t>2</w:t>
                  </w:r>
                  <w:r>
                    <w:rPr>
                      <w:rFonts w:hint="default" w:ascii="Times New Roman" w:hAnsi="Times New Roman" w:cs="Times New Roman" w:eastAsiaTheme="minorEastAsia"/>
                      <w:color w:val="auto"/>
                      <w:szCs w:val="21"/>
                      <w:highlight w:val="none"/>
                      <w:vertAlign w:val="baseline"/>
                      <w:lang w:val="en-US" w:eastAsia="zh-CN"/>
                    </w:rPr>
                    <w:t>，</w:t>
                  </w:r>
                  <w:r>
                    <w:rPr>
                      <w:rFonts w:hint="default" w:ascii="Times New Roman" w:hAnsi="Times New Roman" w:cs="Times New Roman" w:eastAsiaTheme="minorEastAsia"/>
                      <w:color w:val="auto"/>
                      <w:szCs w:val="21"/>
                      <w:highlight w:val="none"/>
                      <w:lang w:val="en-US" w:eastAsia="zh-CN"/>
                    </w:rPr>
                    <w:t>位于厂区北侧，内设1套板框压滤机。</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restart"/>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储运工程</w:t>
                  </w: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1#仓库</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544</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位于生产区东侧，用于原材料暂存。</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2#仓库</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544</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位于生产区东侧，用于原材料暂存。</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color w:val="auto"/>
                      <w:highlight w:val="none"/>
                      <w:lang w:val="en-US" w:eastAsia="zh-CN"/>
                    </w:rPr>
                  </w:pPr>
                </w:p>
                <w:p>
                  <w:pPr>
                    <w:pStyle w:val="22"/>
                    <w:rPr>
                      <w:rFonts w:hint="default" w:ascii="Times New Roman" w:hAnsi="Times New Roman" w:cs="Times New Roman"/>
                      <w:color w:val="auto"/>
                      <w:highlight w:val="none"/>
                      <w:lang w:val="en-US" w:eastAsia="zh-CN"/>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3#仓库</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608</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位于生产区东侧，用于原材料暂存。</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4#仓库</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608</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位于生产区东侧，用于原材料暂存。</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5#仓库</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608</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位于生产区东侧，用于成品和助剂暂存。</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519"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杂物棚</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1座，钢结构防雨棚，</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576</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位于厂区东北部，用于杂物暂存。</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污泥</w:t>
                  </w:r>
                </w:p>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暂存间</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160</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位于生产区北侧，用于污泥暂存。</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危废间</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1座，1层，</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156</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位于生产区北侧，用于危废暂存。</w:t>
                  </w:r>
                </w:p>
              </w:tc>
              <w:tc>
                <w:tcPr>
                  <w:tcW w:w="1175" w:type="dxa"/>
                  <w:tcBorders>
                    <w:tl2br w:val="nil"/>
                    <w:tr2bl w:val="nil"/>
                  </w:tcBorders>
                  <w:shd w:val="clear" w:color="auto" w:fill="auto"/>
                  <w:noWrap w:val="0"/>
                  <w:vAlign w:val="center"/>
                </w:tcPr>
                <w:p>
                  <w:pPr>
                    <w:topLinePunct/>
                    <w:adjustRightInd w:val="0"/>
                    <w:snapToGrid w:val="0"/>
                    <w:spacing w:line="360" w:lineRule="exac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lang w:val="en-US" w:eastAsia="zh-CN"/>
                    </w:rPr>
                  </w:pPr>
                </w:p>
              </w:tc>
              <w:tc>
                <w:tcPr>
                  <w:tcW w:w="1068" w:type="dxa"/>
                  <w:tcBorders>
                    <w:tl2br w:val="nil"/>
                    <w:tr2bl w:val="nil"/>
                  </w:tcBorders>
                  <w:shd w:val="clear" w:color="auto" w:fill="auto"/>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车棚</w:t>
                  </w:r>
                </w:p>
              </w:tc>
              <w:tc>
                <w:tcPr>
                  <w:tcW w:w="5789" w:type="dxa"/>
                  <w:tcBorders>
                    <w:tl2br w:val="nil"/>
                    <w:tr2bl w:val="nil"/>
                  </w:tcBorders>
                  <w:shd w:val="clear" w:color="auto" w:fill="auto"/>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1座，钢结构防雨棚，</w:t>
                  </w:r>
                  <w:r>
                    <w:rPr>
                      <w:rFonts w:hint="default" w:ascii="Times New Roman" w:hAnsi="Times New Roman" w:cs="Times New Roman" w:eastAsiaTheme="minorEastAsia"/>
                      <w:color w:val="auto"/>
                      <w:szCs w:val="21"/>
                      <w:highlight w:val="none"/>
                      <w:lang w:eastAsia="zh-CN"/>
                    </w:rPr>
                    <w:t>占地面积</w:t>
                  </w:r>
                  <w:r>
                    <w:rPr>
                      <w:rFonts w:hint="default" w:ascii="Times New Roman" w:hAnsi="Times New Roman" w:cs="Times New Roman" w:eastAsiaTheme="minorEastAsia"/>
                      <w:color w:val="auto"/>
                      <w:szCs w:val="21"/>
                      <w:highlight w:val="none"/>
                      <w:lang w:val="en-US" w:eastAsia="zh-CN"/>
                    </w:rPr>
                    <w:t>190</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val="en-US" w:eastAsia="zh-CN"/>
                    </w:rPr>
                    <w:t>位于厂区西南部。</w:t>
                  </w:r>
                </w:p>
              </w:tc>
              <w:tc>
                <w:tcPr>
                  <w:tcW w:w="1175" w:type="dxa"/>
                  <w:tcBorders>
                    <w:tl2br w:val="nil"/>
                    <w:tr2bl w:val="nil"/>
                  </w:tcBorders>
                  <w:shd w:val="clear" w:color="auto" w:fill="auto"/>
                  <w:noWrap w:val="0"/>
                  <w:vAlign w:val="center"/>
                </w:tcPr>
                <w:p>
                  <w:pPr>
                    <w:adjustRightInd w:val="0"/>
                    <w:snapToGrid w:val="0"/>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restart"/>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公用工程</w:t>
                  </w: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供水</w:t>
                  </w: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技改项目新增用水量，不新增废水排放，</w:t>
                  </w:r>
                  <w:r>
                    <w:rPr>
                      <w:rFonts w:hint="default" w:ascii="Times New Roman" w:hAnsi="Times New Roman" w:cs="Times New Roman" w:eastAsiaTheme="minorEastAsia"/>
                      <w:color w:val="auto"/>
                      <w:szCs w:val="21"/>
                      <w:highlight w:val="none"/>
                      <w:lang w:eastAsia="zh-CN"/>
                    </w:rPr>
                    <w:t>本项目</w:t>
                  </w:r>
                  <w:r>
                    <w:rPr>
                      <w:rFonts w:hint="default" w:ascii="Times New Roman" w:hAnsi="Times New Roman" w:cs="Times New Roman" w:eastAsiaTheme="minorEastAsia"/>
                      <w:color w:val="auto"/>
                      <w:szCs w:val="21"/>
                      <w:highlight w:val="none"/>
                      <w:lang w:val="en-US" w:eastAsia="zh-CN"/>
                    </w:rPr>
                    <w:t>新鲜水</w:t>
                  </w:r>
                  <w:r>
                    <w:rPr>
                      <w:rFonts w:hint="default" w:ascii="Times New Roman" w:hAnsi="Times New Roman" w:cs="Times New Roman" w:eastAsiaTheme="minorEastAsia"/>
                      <w:color w:val="auto"/>
                      <w:szCs w:val="21"/>
                      <w:highlight w:val="none"/>
                      <w:lang w:eastAsia="zh-CN"/>
                    </w:rPr>
                    <w:t>用水量</w:t>
                  </w:r>
                  <w:r>
                    <w:rPr>
                      <w:rFonts w:hint="default" w:ascii="Times New Roman" w:hAnsi="Times New Roman" w:cs="Times New Roman" w:eastAsiaTheme="minorEastAsia"/>
                      <w:color w:val="auto"/>
                      <w:szCs w:val="21"/>
                      <w:highlight w:val="none"/>
                      <w:lang w:val="en-US" w:eastAsia="zh-CN"/>
                    </w:rPr>
                    <w:t>198000m</w:t>
                  </w:r>
                  <w:r>
                    <w:rPr>
                      <w:rFonts w:hint="default" w:ascii="Times New Roman" w:hAnsi="Times New Roman" w:cs="Times New Roman" w:eastAsiaTheme="minorEastAsia"/>
                      <w:color w:val="auto"/>
                      <w:szCs w:val="21"/>
                      <w:highlight w:val="none"/>
                      <w:vertAlign w:val="superscript"/>
                      <w:lang w:val="en-US" w:eastAsia="zh-CN"/>
                    </w:rPr>
                    <w:t>3</w:t>
                  </w:r>
                  <w:r>
                    <w:rPr>
                      <w:rFonts w:hint="default" w:ascii="Times New Roman" w:hAnsi="Times New Roman" w:cs="Times New Roman" w:eastAsiaTheme="minorEastAsia"/>
                      <w:color w:val="auto"/>
                      <w:szCs w:val="21"/>
                      <w:highlight w:val="none"/>
                      <w:lang w:val="en-US" w:eastAsia="zh-CN"/>
                    </w:rPr>
                    <w:t>/a，</w:t>
                  </w:r>
                  <w:r>
                    <w:rPr>
                      <w:rFonts w:hint="default" w:ascii="Times New Roman" w:hAnsi="Times New Roman" w:cs="Times New Roman" w:eastAsiaTheme="minorEastAsia"/>
                      <w:color w:val="auto"/>
                      <w:sz w:val="21"/>
                      <w:szCs w:val="21"/>
                      <w:highlight w:val="none"/>
                      <w:lang w:val="en-US" w:eastAsia="zh-CN"/>
                    </w:rPr>
                    <w:t>萌水镇自来水管网供给。</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供电</w:t>
                  </w: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eastAsia="zh-CN"/>
                    </w:rPr>
                    <w:t>本项目</w:t>
                  </w:r>
                  <w:r>
                    <w:rPr>
                      <w:rFonts w:hint="default" w:ascii="Times New Roman" w:hAnsi="Times New Roman" w:cs="Times New Roman" w:eastAsiaTheme="minorEastAsia"/>
                      <w:color w:val="auto"/>
                      <w:szCs w:val="21"/>
                      <w:highlight w:val="none"/>
                      <w:lang w:val="en-US" w:eastAsia="zh-CN"/>
                    </w:rPr>
                    <w:t>技改后全厂</w:t>
                  </w:r>
                  <w:r>
                    <w:rPr>
                      <w:rFonts w:hint="default" w:ascii="Times New Roman" w:hAnsi="Times New Roman" w:cs="Times New Roman" w:eastAsiaTheme="minorEastAsia"/>
                      <w:color w:val="auto"/>
                      <w:szCs w:val="21"/>
                      <w:highlight w:val="none"/>
                      <w:lang w:eastAsia="zh-CN"/>
                    </w:rPr>
                    <w:t>用电量为</w:t>
                  </w:r>
                  <w:r>
                    <w:rPr>
                      <w:rFonts w:hint="default" w:ascii="Times New Roman" w:hAnsi="Times New Roman" w:cs="Times New Roman" w:eastAsiaTheme="minorEastAsia"/>
                      <w:color w:val="auto"/>
                      <w:spacing w:val="0"/>
                      <w:sz w:val="21"/>
                      <w:szCs w:val="21"/>
                      <w:highlight w:val="none"/>
                      <w:lang w:val="en-US" w:eastAsia="zh-CN"/>
                    </w:rPr>
                    <w:t>150万kWh/a（新增15万kWh/a）</w:t>
                  </w:r>
                  <w:r>
                    <w:rPr>
                      <w:rFonts w:hint="default" w:ascii="Times New Roman" w:hAnsi="Times New Roman" w:cs="Times New Roman" w:eastAsiaTheme="minorEastAsia"/>
                      <w:color w:val="auto"/>
                      <w:szCs w:val="21"/>
                      <w:highlight w:val="none"/>
                      <w:lang w:eastAsia="zh-CN"/>
                    </w:rPr>
                    <w:t>，由</w:t>
                  </w:r>
                  <w:r>
                    <w:rPr>
                      <w:rFonts w:hint="default" w:ascii="Times New Roman" w:hAnsi="Times New Roman" w:cs="Times New Roman" w:eastAsiaTheme="minorEastAsia"/>
                      <w:color w:val="auto"/>
                      <w:szCs w:val="21"/>
                      <w:highlight w:val="none"/>
                      <w:lang w:val="en-US" w:eastAsia="zh-CN"/>
                    </w:rPr>
                    <w:t>萌水镇供电所</w:t>
                  </w:r>
                  <w:r>
                    <w:rPr>
                      <w:rFonts w:hint="default" w:ascii="Times New Roman" w:hAnsi="Times New Roman" w:cs="Times New Roman" w:eastAsiaTheme="minorEastAsia"/>
                      <w:color w:val="auto"/>
                      <w:szCs w:val="21"/>
                      <w:highlight w:val="none"/>
                    </w:rPr>
                    <w:t>供给</w:t>
                  </w:r>
                  <w:r>
                    <w:rPr>
                      <w:rFonts w:hint="default" w:ascii="Times New Roman" w:hAnsi="Times New Roman" w:cs="Times New Roman" w:eastAsiaTheme="minorEastAsia"/>
                      <w:color w:val="auto"/>
                      <w:szCs w:val="21"/>
                      <w:highlight w:val="none"/>
                      <w:lang w:eastAsia="zh-CN"/>
                    </w:rPr>
                    <w:t>。</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供气</w:t>
                  </w: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技改项目新增数码印花机干燥工序使用天然气干燥，新增天然气用气量，</w:t>
                  </w:r>
                  <w:r>
                    <w:rPr>
                      <w:rFonts w:hint="default" w:ascii="Times New Roman" w:hAnsi="Times New Roman" w:cs="Times New Roman" w:eastAsiaTheme="minorEastAsia"/>
                      <w:color w:val="auto"/>
                      <w:szCs w:val="21"/>
                      <w:highlight w:val="none"/>
                      <w:lang w:eastAsia="zh-CN"/>
                    </w:rPr>
                    <w:t>本项目</w:t>
                  </w:r>
                  <w:r>
                    <w:rPr>
                      <w:rFonts w:hint="default" w:ascii="Times New Roman" w:hAnsi="Times New Roman" w:cs="Times New Roman" w:eastAsiaTheme="minorEastAsia"/>
                      <w:color w:val="auto"/>
                      <w:szCs w:val="21"/>
                      <w:highlight w:val="none"/>
                      <w:lang w:val="en-US" w:eastAsia="zh-CN"/>
                    </w:rPr>
                    <w:t>技改后全厂天然气</w:t>
                  </w:r>
                  <w:r>
                    <w:rPr>
                      <w:rFonts w:hint="default" w:ascii="Times New Roman" w:hAnsi="Times New Roman" w:cs="Times New Roman" w:eastAsiaTheme="minorEastAsia"/>
                      <w:color w:val="auto"/>
                      <w:szCs w:val="21"/>
                      <w:highlight w:val="none"/>
                      <w:lang w:eastAsia="zh-CN"/>
                    </w:rPr>
                    <w:t>用</w:t>
                  </w:r>
                  <w:r>
                    <w:rPr>
                      <w:rFonts w:hint="default" w:ascii="Times New Roman" w:hAnsi="Times New Roman" w:cs="Times New Roman" w:eastAsiaTheme="minorEastAsia"/>
                      <w:color w:val="auto"/>
                      <w:szCs w:val="21"/>
                      <w:highlight w:val="none"/>
                      <w:lang w:val="en-US" w:eastAsia="zh-CN"/>
                    </w:rPr>
                    <w:t>气</w:t>
                  </w:r>
                  <w:r>
                    <w:rPr>
                      <w:rFonts w:hint="default" w:ascii="Times New Roman" w:hAnsi="Times New Roman" w:cs="Times New Roman" w:eastAsiaTheme="minorEastAsia"/>
                      <w:color w:val="auto"/>
                      <w:szCs w:val="21"/>
                      <w:highlight w:val="none"/>
                      <w:lang w:eastAsia="zh-CN"/>
                    </w:rPr>
                    <w:t>量为</w:t>
                  </w:r>
                  <w:r>
                    <w:rPr>
                      <w:rFonts w:hint="default" w:ascii="Times New Roman" w:hAnsi="Times New Roman" w:cs="Times New Roman" w:eastAsiaTheme="minorEastAsia"/>
                      <w:color w:val="auto"/>
                      <w:szCs w:val="21"/>
                      <w:highlight w:val="none"/>
                      <w:lang w:val="en-US" w:eastAsia="zh-CN"/>
                    </w:rPr>
                    <w:t>280</w:t>
                  </w:r>
                  <w:r>
                    <w:rPr>
                      <w:rFonts w:hint="default" w:ascii="Times New Roman" w:hAnsi="Times New Roman" w:cs="Times New Roman" w:eastAsiaTheme="minorEastAsia"/>
                      <w:color w:val="auto"/>
                      <w:spacing w:val="0"/>
                      <w:sz w:val="21"/>
                      <w:szCs w:val="21"/>
                      <w:highlight w:val="none"/>
                      <w:lang w:val="en-US" w:eastAsia="zh-CN"/>
                    </w:rPr>
                    <w:t>万Nm</w:t>
                  </w:r>
                  <w:r>
                    <w:rPr>
                      <w:rFonts w:hint="default" w:ascii="Times New Roman" w:hAnsi="Times New Roman" w:cs="Times New Roman" w:eastAsiaTheme="minorEastAsia"/>
                      <w:color w:val="auto"/>
                      <w:spacing w:val="0"/>
                      <w:sz w:val="21"/>
                      <w:szCs w:val="21"/>
                      <w:highlight w:val="none"/>
                      <w:vertAlign w:val="superscript"/>
                      <w:lang w:val="en-US" w:eastAsia="zh-CN"/>
                    </w:rPr>
                    <w:t>3</w:t>
                  </w:r>
                  <w:r>
                    <w:rPr>
                      <w:rFonts w:hint="default" w:ascii="Times New Roman" w:hAnsi="Times New Roman" w:cs="Times New Roman" w:eastAsiaTheme="minorEastAsia"/>
                      <w:color w:val="auto"/>
                      <w:spacing w:val="0"/>
                      <w:sz w:val="21"/>
                      <w:szCs w:val="21"/>
                      <w:highlight w:val="none"/>
                      <w:lang w:val="en-US" w:eastAsia="zh-CN"/>
                    </w:rPr>
                    <w:t>/a（新增20万Nm</w:t>
                  </w:r>
                  <w:r>
                    <w:rPr>
                      <w:rFonts w:hint="default" w:ascii="Times New Roman" w:hAnsi="Times New Roman" w:cs="Times New Roman" w:eastAsiaTheme="minorEastAsia"/>
                      <w:color w:val="auto"/>
                      <w:spacing w:val="0"/>
                      <w:sz w:val="21"/>
                      <w:szCs w:val="21"/>
                      <w:highlight w:val="none"/>
                      <w:vertAlign w:val="superscript"/>
                      <w:lang w:val="en-US" w:eastAsia="zh-CN"/>
                    </w:rPr>
                    <w:t>3</w:t>
                  </w:r>
                  <w:r>
                    <w:rPr>
                      <w:rFonts w:hint="default" w:ascii="Times New Roman" w:hAnsi="Times New Roman" w:cs="Times New Roman" w:eastAsiaTheme="minorEastAsia"/>
                      <w:color w:val="auto"/>
                      <w:spacing w:val="0"/>
                      <w:sz w:val="21"/>
                      <w:szCs w:val="21"/>
                      <w:highlight w:val="none"/>
                      <w:lang w:val="en-US" w:eastAsia="zh-CN"/>
                    </w:rPr>
                    <w:t>）</w:t>
                  </w:r>
                  <w:r>
                    <w:rPr>
                      <w:rFonts w:hint="default" w:ascii="Times New Roman" w:hAnsi="Times New Roman" w:cs="Times New Roman" w:eastAsiaTheme="minorEastAsia"/>
                      <w:color w:val="auto"/>
                      <w:szCs w:val="21"/>
                      <w:highlight w:val="none"/>
                      <w:lang w:eastAsia="zh-CN"/>
                    </w:rPr>
                    <w:t>，由</w:t>
                  </w:r>
                  <w:r>
                    <w:rPr>
                      <w:rFonts w:hint="default" w:ascii="Times New Roman" w:hAnsi="Times New Roman" w:cs="Times New Roman" w:eastAsiaTheme="minorEastAsia"/>
                      <w:color w:val="auto"/>
                      <w:szCs w:val="21"/>
                      <w:highlight w:val="none"/>
                      <w:lang w:val="en-US" w:eastAsia="zh-CN"/>
                    </w:rPr>
                    <w:t>淄博绿周燃气有限公司管道</w:t>
                  </w:r>
                  <w:r>
                    <w:rPr>
                      <w:rFonts w:hint="default" w:ascii="Times New Roman" w:hAnsi="Times New Roman" w:cs="Times New Roman" w:eastAsiaTheme="minorEastAsia"/>
                      <w:color w:val="auto"/>
                      <w:szCs w:val="21"/>
                      <w:highlight w:val="none"/>
                    </w:rPr>
                    <w:t>供给</w:t>
                  </w:r>
                  <w:r>
                    <w:rPr>
                      <w:rFonts w:hint="default" w:ascii="Times New Roman" w:hAnsi="Times New Roman" w:cs="Times New Roman" w:eastAsiaTheme="minorEastAsia"/>
                      <w:color w:val="auto"/>
                      <w:szCs w:val="21"/>
                      <w:highlight w:val="none"/>
                      <w:lang w:eastAsia="zh-CN"/>
                    </w:rPr>
                    <w:t>。</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9"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排水</w:t>
                  </w: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雨水经雨水沟渠汇集后排入市政雨水管网；生产废水、生活污水经厂内污水站处理后，排入淄博沃特水务能源开发有限公司。</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供汽</w:t>
                  </w: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项目生产过程蒸汽由8t/h燃气蒸汽锅炉产生，管道输送。</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软水</w:t>
                  </w: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项目生产过程锅炉所需纯水由厂内钠离子纯水机产生。</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restart"/>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环保工程</w:t>
                  </w:r>
                </w:p>
              </w:tc>
              <w:tc>
                <w:tcPr>
                  <w:tcW w:w="1068" w:type="dxa"/>
                  <w:vMerge w:val="restart"/>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废气处理</w:t>
                  </w: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项目锅炉房锅炉天然气燃烧废气经采用低氮燃烧技术后经26m高排气筒DA001排放</w:t>
                  </w:r>
                </w:p>
              </w:tc>
              <w:tc>
                <w:tcPr>
                  <w:tcW w:w="1175"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利用现有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vMerge w:val="continue"/>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项目生产车间烧毛、定型废气经集气罩收集后经静电除尘器+二级活性炭吸附装置处理后经15m高排气筒DA002排放，新增数码印花工序产生的VOCs、二氧化硫、氮氧化物、颗粒物经管道收集后依托现有静电除尘器+二级活性炭吸附装置处理后经15m高排气筒DA002排放。</w:t>
                  </w:r>
                </w:p>
              </w:tc>
              <w:tc>
                <w:tcPr>
                  <w:tcW w:w="1175"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新增数码印花机、高温染色机产生的VOCs利用现有环保设施处理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vMerge w:val="continue"/>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污水处理站厌氧池废气经喷淋塔+UV光氧催化装置处理后,通过15m高排气筒DA004排放。</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vMerge w:val="continue"/>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污水处理站好氧池废气经双氧水喷淋塔处理后，通过15m高排气筒DA003排放。</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vMerge w:val="continue"/>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p>
              </w:tc>
              <w:tc>
                <w:tcPr>
                  <w:tcW w:w="5789" w:type="dxa"/>
                  <w:tcBorders>
                    <w:tl2br w:val="nil"/>
                    <w:tr2bl w:val="nil"/>
                  </w:tcBorders>
                  <w:noWrap w:val="0"/>
                  <w:vAlign w:val="center"/>
                </w:tcPr>
                <w:p>
                  <w:pPr>
                    <w:adjustRightInd w:val="0"/>
                    <w:snapToGrid w:val="0"/>
                    <w:jc w:val="both"/>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污水站二沉池等池体均加盖密闭，污泥房密闭，污泥压滤机设置在密闭压滤机房内。</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bCs/>
                      <w:color w:val="auto"/>
                      <w:kern w:val="2"/>
                      <w:sz w:val="21"/>
                      <w:szCs w:val="21"/>
                      <w:highlight w:val="none"/>
                      <w:lang w:val="en-US" w:eastAsia="zh-CN" w:bidi="ar-SA"/>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废水处理</w:t>
                  </w:r>
                </w:p>
              </w:tc>
              <w:tc>
                <w:tcPr>
                  <w:tcW w:w="5789" w:type="dxa"/>
                  <w:tcBorders>
                    <w:tl2br w:val="nil"/>
                    <w:tr2bl w:val="nil"/>
                  </w:tcBorders>
                  <w:noWrap w:val="0"/>
                  <w:vAlign w:val="center"/>
                </w:tcPr>
                <w:p>
                  <w:pPr>
                    <w:jc w:val="both"/>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val="en-US" w:eastAsia="zh-CN"/>
                    </w:rPr>
                    <w:t>厂区现有污水处理站一座，处理能力为600m</w:t>
                  </w:r>
                  <w:r>
                    <w:rPr>
                      <w:rFonts w:hint="default" w:ascii="Times New Roman" w:hAnsi="Times New Roman" w:cs="Times New Roman" w:eastAsiaTheme="minorEastAsia"/>
                      <w:color w:val="auto"/>
                      <w:szCs w:val="21"/>
                      <w:highlight w:val="none"/>
                      <w:vertAlign w:val="superscript"/>
                      <w:lang w:val="en-US" w:eastAsia="zh-CN"/>
                    </w:rPr>
                    <w:t>3</w:t>
                  </w:r>
                  <w:r>
                    <w:rPr>
                      <w:rFonts w:hint="default" w:ascii="Times New Roman" w:hAnsi="Times New Roman" w:cs="Times New Roman" w:eastAsiaTheme="minorEastAsia"/>
                      <w:color w:val="auto"/>
                      <w:szCs w:val="21"/>
                      <w:highlight w:val="none"/>
                      <w:lang w:val="en-US" w:eastAsia="zh-CN"/>
                    </w:rPr>
                    <w:t>/d，技改项目不新增污水排放，全厂</w:t>
                  </w:r>
                  <w:r>
                    <w:rPr>
                      <w:rFonts w:hint="default" w:ascii="Times New Roman" w:hAnsi="Times New Roman" w:cs="Times New Roman" w:eastAsiaTheme="minorEastAsia"/>
                      <w:color w:val="auto"/>
                      <w:szCs w:val="21"/>
                      <w:highlight w:val="none"/>
                      <w:lang w:eastAsia="zh-CN"/>
                    </w:rPr>
                    <w:t>生产</w:t>
                  </w:r>
                  <w:r>
                    <w:rPr>
                      <w:rFonts w:hint="default" w:ascii="Times New Roman" w:hAnsi="Times New Roman" w:cs="Times New Roman" w:eastAsiaTheme="minorEastAsia"/>
                      <w:color w:val="auto"/>
                      <w:szCs w:val="21"/>
                      <w:highlight w:val="none"/>
                      <w:lang w:val="en-US" w:eastAsia="zh-CN"/>
                    </w:rPr>
                    <w:t>废</w:t>
                  </w:r>
                  <w:r>
                    <w:rPr>
                      <w:rFonts w:hint="default" w:ascii="Times New Roman" w:hAnsi="Times New Roman" w:cs="Times New Roman" w:eastAsiaTheme="minorEastAsia"/>
                      <w:color w:val="auto"/>
                      <w:szCs w:val="21"/>
                      <w:highlight w:val="none"/>
                      <w:lang w:eastAsia="zh-CN"/>
                    </w:rPr>
                    <w:t>水、职工生活污水经</w:t>
                  </w:r>
                  <w:r>
                    <w:rPr>
                      <w:rFonts w:hint="default" w:ascii="Times New Roman" w:hAnsi="Times New Roman" w:cs="Times New Roman" w:eastAsiaTheme="minorEastAsia"/>
                      <w:color w:val="auto"/>
                      <w:szCs w:val="21"/>
                      <w:highlight w:val="none"/>
                      <w:lang w:val="en-US" w:eastAsia="zh-CN"/>
                    </w:rPr>
                    <w:t>厂区污水站</w:t>
                  </w:r>
                  <w:r>
                    <w:rPr>
                      <w:rFonts w:hint="default" w:ascii="Times New Roman" w:hAnsi="Times New Roman" w:cs="Times New Roman" w:eastAsiaTheme="minorEastAsia"/>
                      <w:color w:val="auto"/>
                      <w:szCs w:val="21"/>
                      <w:highlight w:val="none"/>
                      <w:lang w:eastAsia="zh-CN"/>
                    </w:rPr>
                    <w:t>处理后，</w:t>
                  </w:r>
                  <w:r>
                    <w:rPr>
                      <w:rFonts w:hint="default" w:ascii="Times New Roman" w:hAnsi="Times New Roman" w:cs="Times New Roman" w:eastAsiaTheme="minorEastAsia"/>
                      <w:color w:val="auto"/>
                      <w:szCs w:val="21"/>
                      <w:highlight w:val="none"/>
                      <w:lang w:val="en-US" w:eastAsia="zh-CN"/>
                    </w:rPr>
                    <w:t>排入</w:t>
                  </w:r>
                  <w:r>
                    <w:rPr>
                      <w:rFonts w:hint="default" w:ascii="Times New Roman" w:hAnsi="Times New Roman" w:cs="Times New Roman"/>
                      <w:color w:val="auto"/>
                      <w:kern w:val="0"/>
                      <w:sz w:val="21"/>
                      <w:szCs w:val="21"/>
                      <w:highlight w:val="none"/>
                      <w:lang w:val="en-US" w:eastAsia="zh-CN" w:bidi="ar"/>
                    </w:rPr>
                    <w:t>淄博沃特水务能源开发有限公司</w:t>
                  </w:r>
                  <w:r>
                    <w:rPr>
                      <w:rFonts w:hint="default" w:ascii="Times New Roman" w:hAnsi="Times New Roman" w:cs="Times New Roman"/>
                      <w:color w:val="auto"/>
                      <w:kern w:val="0"/>
                      <w:sz w:val="21"/>
                      <w:szCs w:val="21"/>
                      <w:highlight w:val="none"/>
                      <w:lang w:eastAsia="zh-CN" w:bidi="ar"/>
                    </w:rPr>
                    <w:t>。</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固废处理</w:t>
                  </w:r>
                </w:p>
              </w:tc>
              <w:tc>
                <w:tcPr>
                  <w:tcW w:w="5789" w:type="dxa"/>
                  <w:tcBorders>
                    <w:tl2br w:val="nil"/>
                    <w:tr2bl w:val="nil"/>
                  </w:tcBorders>
                  <w:noWrap w:val="0"/>
                  <w:vAlign w:val="center"/>
                </w:tcPr>
                <w:p>
                  <w:pPr>
                    <w:jc w:val="both"/>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highlight w:val="none"/>
                    </w:rPr>
                    <w:t>本项目</w:t>
                  </w:r>
                  <w:r>
                    <w:rPr>
                      <w:rFonts w:hint="default" w:ascii="Times New Roman" w:hAnsi="Times New Roman" w:cs="Times New Roman" w:eastAsiaTheme="minorEastAsia"/>
                      <w:color w:val="auto"/>
                      <w:highlight w:val="none"/>
                      <w:lang w:val="en-US" w:eastAsia="zh-CN"/>
                    </w:rPr>
                    <w:t>厂区内设有一般固废暂存区域（车间内）和危废间</w:t>
                  </w:r>
                  <w:r>
                    <w:rPr>
                      <w:rFonts w:hint="default" w:ascii="Times New Roman" w:hAnsi="Times New Roman" w:cs="Times New Roman" w:eastAsiaTheme="minorEastAsia"/>
                      <w:color w:val="auto"/>
                      <w:spacing w:val="0"/>
                      <w:kern w:val="0"/>
                      <w:position w:val="0"/>
                      <w:sz w:val="21"/>
                      <w:szCs w:val="21"/>
                      <w:highlight w:val="none"/>
                      <w:lang w:val="en-US" w:eastAsia="zh-CN" w:bidi="ar-SA"/>
                    </w:rPr>
                    <w:t>。</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噪声治理</w:t>
                  </w:r>
                </w:p>
              </w:tc>
              <w:tc>
                <w:tcPr>
                  <w:tcW w:w="5789" w:type="dxa"/>
                  <w:tcBorders>
                    <w:tl2br w:val="nil"/>
                    <w:tr2bl w:val="nil"/>
                  </w:tcBorders>
                  <w:noWrap w:val="0"/>
                  <w:vAlign w:val="center"/>
                </w:tcPr>
                <w:p>
                  <w:pPr>
                    <w:jc w:val="both"/>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bCs/>
                      <w:color w:val="auto"/>
                      <w:kern w:val="2"/>
                      <w:sz w:val="21"/>
                      <w:szCs w:val="21"/>
                      <w:highlight w:val="none"/>
                      <w:lang w:eastAsia="zh-CN"/>
                    </w:rPr>
                    <w:t>采用</w:t>
                  </w:r>
                  <w:r>
                    <w:rPr>
                      <w:rFonts w:hint="default" w:ascii="Times New Roman" w:hAnsi="Times New Roman" w:cs="Times New Roman" w:eastAsiaTheme="minorEastAsia"/>
                      <w:color w:val="auto"/>
                      <w:szCs w:val="21"/>
                      <w:highlight w:val="none"/>
                    </w:rPr>
                    <w:t>低噪声设备，</w:t>
                  </w:r>
                  <w:r>
                    <w:rPr>
                      <w:rFonts w:hint="default" w:ascii="Times New Roman" w:hAnsi="Times New Roman" w:cs="Times New Roman" w:eastAsiaTheme="minorEastAsia"/>
                      <w:color w:val="auto"/>
                      <w:szCs w:val="21"/>
                      <w:highlight w:val="none"/>
                      <w:lang w:eastAsia="zh-CN"/>
                    </w:rPr>
                    <w:t>采取</w:t>
                  </w:r>
                  <w:r>
                    <w:rPr>
                      <w:rFonts w:hint="default" w:ascii="Times New Roman" w:hAnsi="Times New Roman" w:cs="Times New Roman" w:eastAsiaTheme="minorEastAsia"/>
                      <w:color w:val="auto"/>
                      <w:szCs w:val="21"/>
                      <w:highlight w:val="none"/>
                    </w:rPr>
                    <w:t>隔声</w:t>
                  </w:r>
                  <w:r>
                    <w:rPr>
                      <w:rFonts w:hint="default" w:ascii="Times New Roman" w:hAnsi="Times New Roman" w:cs="Times New Roman" w:eastAsiaTheme="minorEastAsia"/>
                      <w:color w:val="auto"/>
                      <w:szCs w:val="21"/>
                      <w:highlight w:val="none"/>
                      <w:lang w:eastAsia="zh-CN"/>
                    </w:rPr>
                    <w:t>、</w:t>
                  </w:r>
                  <w:r>
                    <w:rPr>
                      <w:rFonts w:hint="default" w:ascii="Times New Roman" w:hAnsi="Times New Roman" w:cs="Times New Roman" w:eastAsiaTheme="minorEastAsia"/>
                      <w:color w:val="auto"/>
                      <w:szCs w:val="21"/>
                      <w:highlight w:val="none"/>
                    </w:rPr>
                    <w:t>减振</w:t>
                  </w:r>
                  <w:r>
                    <w:rPr>
                      <w:rFonts w:hint="default" w:ascii="Times New Roman" w:hAnsi="Times New Roman" w:cs="Times New Roman" w:eastAsiaTheme="minorEastAsia"/>
                      <w:color w:val="auto"/>
                      <w:szCs w:val="21"/>
                      <w:highlight w:val="none"/>
                      <w:lang w:eastAsia="zh-CN"/>
                    </w:rPr>
                    <w:t>等</w:t>
                  </w:r>
                  <w:r>
                    <w:rPr>
                      <w:rFonts w:hint="default" w:ascii="Times New Roman" w:hAnsi="Times New Roman" w:cs="Times New Roman" w:eastAsiaTheme="minorEastAsia"/>
                      <w:color w:val="auto"/>
                      <w:szCs w:val="21"/>
                      <w:highlight w:val="none"/>
                    </w:rPr>
                    <w:t>措施</w:t>
                  </w:r>
                  <w:r>
                    <w:rPr>
                      <w:rFonts w:hint="default" w:ascii="Times New Roman" w:hAnsi="Times New Roman" w:cs="Times New Roman" w:eastAsiaTheme="minorEastAsia"/>
                      <w:color w:val="auto"/>
                      <w:szCs w:val="21"/>
                      <w:highlight w:val="none"/>
                      <w:lang w:eastAsia="zh-CN"/>
                    </w:rPr>
                    <w:t>。</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16" w:type="dxa"/>
                  <w:vMerge w:val="continue"/>
                  <w:tcBorders>
                    <w:tl2br w:val="nil"/>
                    <w:tr2bl w:val="nil"/>
                  </w:tcBorders>
                  <w:noWrap w:val="0"/>
                  <w:vAlign w:val="center"/>
                </w:tcPr>
                <w:p>
                  <w:pPr>
                    <w:adjustRightInd w:val="0"/>
                    <w:snapToGrid w:val="0"/>
                    <w:jc w:val="center"/>
                    <w:rPr>
                      <w:rFonts w:hint="default" w:ascii="Times New Roman" w:hAnsi="Times New Roman" w:cs="Times New Roman" w:eastAsiaTheme="minorEastAsia"/>
                      <w:color w:val="auto"/>
                      <w:szCs w:val="21"/>
                      <w:highlight w:val="none"/>
                    </w:rPr>
                  </w:pPr>
                  <w:bookmarkStart w:id="7" w:name="OLE_LINK19" w:colFirst="2" w:colLast="2"/>
                </w:p>
              </w:tc>
              <w:tc>
                <w:tcPr>
                  <w:tcW w:w="1068" w:type="dxa"/>
                  <w:tcBorders>
                    <w:tl2br w:val="nil"/>
                    <w:tr2bl w:val="nil"/>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环境风险</w:t>
                  </w:r>
                </w:p>
              </w:tc>
              <w:tc>
                <w:tcPr>
                  <w:tcW w:w="5789" w:type="dxa"/>
                  <w:tcBorders>
                    <w:tl2br w:val="nil"/>
                    <w:tr2bl w:val="nil"/>
                  </w:tcBorders>
                  <w:noWrap w:val="0"/>
                  <w:vAlign w:val="center"/>
                </w:tcPr>
                <w:p>
                  <w:pPr>
                    <w:jc w:val="both"/>
                    <w:rPr>
                      <w:rFonts w:hint="default" w:ascii="Times New Roman" w:hAnsi="Times New Roman" w:cs="Times New Roman" w:eastAsiaTheme="minorEastAsia"/>
                      <w:bCs/>
                      <w:color w:val="auto"/>
                      <w:kern w:val="2"/>
                      <w:sz w:val="21"/>
                      <w:szCs w:val="21"/>
                      <w:highlight w:val="none"/>
                      <w:lang w:val="en-US" w:eastAsia="zh-CN"/>
                    </w:rPr>
                  </w:pPr>
                  <w:r>
                    <w:rPr>
                      <w:rFonts w:hint="default" w:ascii="Times New Roman" w:hAnsi="Times New Roman" w:cs="Times New Roman" w:eastAsiaTheme="minorEastAsia"/>
                      <w:bCs/>
                      <w:color w:val="auto"/>
                      <w:kern w:val="2"/>
                      <w:sz w:val="21"/>
                      <w:szCs w:val="21"/>
                      <w:highlight w:val="none"/>
                      <w:lang w:val="en-US" w:eastAsia="zh-CN"/>
                    </w:rPr>
                    <w:t>厂区设有应急池一座，容积350m</w:t>
                  </w:r>
                  <w:r>
                    <w:rPr>
                      <w:rFonts w:hint="default" w:ascii="Times New Roman" w:hAnsi="Times New Roman" w:cs="Times New Roman" w:eastAsiaTheme="minorEastAsia"/>
                      <w:bCs/>
                      <w:color w:val="auto"/>
                      <w:kern w:val="2"/>
                      <w:sz w:val="21"/>
                      <w:szCs w:val="21"/>
                      <w:highlight w:val="none"/>
                      <w:vertAlign w:val="superscript"/>
                      <w:lang w:val="en-US" w:eastAsia="zh-CN"/>
                    </w:rPr>
                    <w:t>3</w:t>
                  </w:r>
                  <w:r>
                    <w:rPr>
                      <w:rFonts w:hint="default" w:ascii="Times New Roman" w:hAnsi="Times New Roman" w:cs="Times New Roman" w:eastAsiaTheme="minorEastAsia"/>
                      <w:bCs/>
                      <w:color w:val="auto"/>
                      <w:kern w:val="2"/>
                      <w:sz w:val="21"/>
                      <w:szCs w:val="21"/>
                      <w:highlight w:val="none"/>
                      <w:lang w:val="en-US" w:eastAsia="zh-CN"/>
                    </w:rPr>
                    <w:t>。</w:t>
                  </w:r>
                </w:p>
              </w:tc>
              <w:tc>
                <w:tcPr>
                  <w:tcW w:w="1175" w:type="dxa"/>
                  <w:tcBorders>
                    <w:tl2br w:val="nil"/>
                    <w:tr2bl w:val="nil"/>
                  </w:tcBorders>
                  <w:noWrap w:val="0"/>
                  <w:vAlign w:val="center"/>
                </w:tcPr>
                <w:p>
                  <w:pPr>
                    <w:topLinePunct/>
                    <w:adjustRightInd w:val="0"/>
                    <w:snapToGrid w:val="0"/>
                    <w:spacing w:line="360" w:lineRule="exact"/>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利用</w:t>
                  </w:r>
                  <w:r>
                    <w:rPr>
                      <w:rFonts w:hint="default" w:ascii="Times New Roman" w:hAnsi="Times New Roman" w:cs="Times New Roman" w:eastAsiaTheme="minorEastAsia"/>
                      <w:bCs/>
                      <w:color w:val="auto"/>
                      <w:sz w:val="21"/>
                      <w:szCs w:val="21"/>
                      <w:highlight w:val="none"/>
                      <w:lang w:eastAsia="zh-CN"/>
                    </w:rPr>
                    <w:t>现有</w:t>
                  </w:r>
                </w:p>
              </w:tc>
            </w:tr>
            <w:bookmarkEnd w:id="7"/>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4、主要产品及产能</w:t>
            </w:r>
          </w:p>
          <w:p>
            <w:pPr>
              <w:adjustRightInd w:val="0"/>
              <w:snapToGrid w:val="0"/>
              <w:spacing w:line="360" w:lineRule="auto"/>
              <w:ind w:firstLine="420" w:firstLineChars="20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lang w:eastAsia="zh-CN"/>
              </w:rPr>
              <w:t>本项目</w:t>
            </w:r>
            <w:r>
              <w:rPr>
                <w:rFonts w:hint="default" w:ascii="Times New Roman" w:hAnsi="Times New Roman" w:cs="Times New Roman" w:eastAsiaTheme="minorEastAsia"/>
                <w:color w:val="auto"/>
                <w:szCs w:val="21"/>
                <w:highlight w:val="none"/>
              </w:rPr>
              <w:t>产品</w:t>
            </w:r>
            <w:r>
              <w:rPr>
                <w:rFonts w:hint="default" w:ascii="Times New Roman" w:hAnsi="Times New Roman" w:cs="Times New Roman" w:eastAsiaTheme="minorEastAsia"/>
                <w:color w:val="auto"/>
                <w:szCs w:val="21"/>
                <w:highlight w:val="none"/>
                <w:lang w:val="en-US" w:eastAsia="zh-CN"/>
              </w:rPr>
              <w:t>和产能</w:t>
            </w:r>
            <w:r>
              <w:rPr>
                <w:rFonts w:hint="default" w:ascii="Times New Roman" w:hAnsi="Times New Roman" w:cs="Times New Roman" w:eastAsiaTheme="minorEastAsia"/>
                <w:color w:val="auto"/>
                <w:szCs w:val="21"/>
                <w:highlight w:val="none"/>
              </w:rPr>
              <w:t>方案见</w:t>
            </w:r>
            <w:r>
              <w:rPr>
                <w:rFonts w:hint="default" w:ascii="Times New Roman" w:hAnsi="Times New Roman" w:cs="Times New Roman" w:eastAsiaTheme="minorEastAsia"/>
                <w:color w:val="auto"/>
                <w:szCs w:val="21"/>
                <w:highlight w:val="none"/>
                <w:lang w:val="en-US" w:eastAsia="zh-CN"/>
              </w:rPr>
              <w:t>下表</w:t>
            </w:r>
            <w:r>
              <w:rPr>
                <w:rFonts w:hint="default" w:ascii="Times New Roman" w:hAnsi="Times New Roman" w:cs="Times New Roman" w:eastAsiaTheme="minorEastAsia"/>
                <w:color w:val="auto"/>
                <w:szCs w:val="21"/>
                <w:highlight w:val="none"/>
              </w:rPr>
              <w:t>。</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表2-2  本项目技改前后产品方案一览表</w:t>
            </w:r>
          </w:p>
          <w:tbl>
            <w:tblPr>
              <w:tblStyle w:val="3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317"/>
              <w:gridCol w:w="1317"/>
              <w:gridCol w:w="1651"/>
              <w:gridCol w:w="1529"/>
              <w:gridCol w:w="20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28"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769"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名称</w:t>
                  </w:r>
                </w:p>
              </w:tc>
              <w:tc>
                <w:tcPr>
                  <w:tcW w:w="769"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rPr>
                    <w:t>单位</w:t>
                  </w:r>
                </w:p>
              </w:tc>
              <w:tc>
                <w:tcPr>
                  <w:tcW w:w="964"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val="en-US" w:eastAsia="zh-CN"/>
                    </w:rPr>
                    <w:t>技改前</w:t>
                  </w:r>
                  <w:r>
                    <w:rPr>
                      <w:rFonts w:hint="default" w:ascii="Times New Roman" w:hAnsi="Times New Roman" w:cs="Times New Roman" w:eastAsiaTheme="minorEastAsia"/>
                      <w:b/>
                      <w:bCs/>
                      <w:color w:val="auto"/>
                      <w:highlight w:val="none"/>
                      <w:lang w:eastAsia="zh-CN"/>
                    </w:rPr>
                    <w:t>产量</w:t>
                  </w:r>
                </w:p>
              </w:tc>
              <w:tc>
                <w:tcPr>
                  <w:tcW w:w="893"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技改后产量</w:t>
                  </w:r>
                </w:p>
              </w:tc>
              <w:tc>
                <w:tcPr>
                  <w:tcW w:w="1174"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rPr>
                    <w:t>1</w:t>
                  </w:r>
                </w:p>
              </w:tc>
              <w:tc>
                <w:tcPr>
                  <w:tcW w:w="769"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染色布</w:t>
                  </w:r>
                </w:p>
              </w:tc>
              <w:tc>
                <w:tcPr>
                  <w:tcW w:w="769"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万米</w:t>
                  </w:r>
                </w:p>
              </w:tc>
              <w:tc>
                <w:tcPr>
                  <w:tcW w:w="96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3000</w:t>
                  </w:r>
                </w:p>
              </w:tc>
              <w:tc>
                <w:tcPr>
                  <w:tcW w:w="893"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2000</w:t>
                  </w:r>
                </w:p>
              </w:tc>
              <w:tc>
                <w:tcPr>
                  <w:tcW w:w="117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产能减少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c>
                <w:tcPr>
                  <w:tcW w:w="769"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印花布</w:t>
                  </w:r>
                </w:p>
              </w:tc>
              <w:tc>
                <w:tcPr>
                  <w:tcW w:w="769"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万米</w:t>
                  </w:r>
                </w:p>
              </w:tc>
              <w:tc>
                <w:tcPr>
                  <w:tcW w:w="96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0</w:t>
                  </w:r>
                </w:p>
              </w:tc>
              <w:tc>
                <w:tcPr>
                  <w:tcW w:w="893"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1000</w:t>
                  </w:r>
                </w:p>
              </w:tc>
              <w:tc>
                <w:tcPr>
                  <w:tcW w:w="117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新增产品种类</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5、主要原辅材料</w:t>
            </w:r>
          </w:p>
          <w:p>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技改项目原辅材料消耗情况见下表。</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表2-3  技改项目原辅材料及能源消耗一览表</w:t>
            </w:r>
          </w:p>
          <w:tbl>
            <w:tblPr>
              <w:tblStyle w:val="3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17"/>
              <w:gridCol w:w="1414"/>
              <w:gridCol w:w="1527"/>
              <w:gridCol w:w="31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8"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序号</w:t>
                  </w:r>
                </w:p>
              </w:tc>
              <w:tc>
                <w:tcPr>
                  <w:tcW w:w="1003"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名称</w:t>
                  </w:r>
                </w:p>
              </w:tc>
              <w:tc>
                <w:tcPr>
                  <w:tcW w:w="826"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单位</w:t>
                  </w:r>
                </w:p>
              </w:tc>
              <w:tc>
                <w:tcPr>
                  <w:tcW w:w="892"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用量</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sz w:val="21"/>
                      <w:szCs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原辅材料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8"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highlight w:val="none"/>
                      <w:lang w:val="en-US" w:eastAsia="zh-CN"/>
                    </w:rPr>
                    <w:t>1</w:t>
                  </w:r>
                </w:p>
              </w:tc>
              <w:tc>
                <w:tcPr>
                  <w:tcW w:w="1003"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水性油墨</w:t>
                  </w:r>
                </w:p>
              </w:tc>
              <w:tc>
                <w:tcPr>
                  <w:tcW w:w="826"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92" w:type="pct"/>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40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外购，新增原料，25kg桶装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能源消耗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w:t>
                  </w:r>
                </w:p>
              </w:tc>
              <w:tc>
                <w:tcPr>
                  <w:tcW w:w="1003"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天然气</w:t>
                  </w:r>
                </w:p>
              </w:tc>
              <w:tc>
                <w:tcPr>
                  <w:tcW w:w="826"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bidi="ar-SA"/>
                    </w:rPr>
                    <w:t>Nm</w:t>
                  </w:r>
                  <w:r>
                    <w:rPr>
                      <w:rFonts w:hint="default" w:ascii="Times New Roman" w:hAnsi="Times New Roman" w:cs="Times New Roman" w:eastAsiaTheme="minorEastAsia"/>
                      <w:color w:val="auto"/>
                      <w:sz w:val="21"/>
                      <w:szCs w:val="21"/>
                      <w:highlight w:val="none"/>
                      <w:vertAlign w:val="superscript"/>
                      <w:lang w:val="en-US" w:eastAsia="zh-CN" w:bidi="ar-SA"/>
                    </w:rPr>
                    <w:t>3/</w:t>
                  </w:r>
                  <w:r>
                    <w:rPr>
                      <w:rFonts w:hint="default" w:ascii="Times New Roman" w:hAnsi="Times New Roman" w:cs="Times New Roman" w:eastAsiaTheme="minorEastAsia"/>
                      <w:color w:val="auto"/>
                      <w:sz w:val="21"/>
                      <w:szCs w:val="21"/>
                      <w:highlight w:val="none"/>
                      <w:lang w:val="en-US" w:eastAsia="zh-CN" w:bidi="ar-SA"/>
                    </w:rPr>
                    <w:t>a</w:t>
                  </w:r>
                </w:p>
              </w:tc>
              <w:tc>
                <w:tcPr>
                  <w:tcW w:w="892"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20</w:t>
                  </w:r>
                </w:p>
              </w:tc>
              <w:tc>
                <w:tcPr>
                  <w:tcW w:w="1818"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外购，绿周燃气管道输送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8" w:type="pct"/>
                  <w:tcBorders>
                    <w:tl2br w:val="nil"/>
                    <w:tr2bl w:val="nil"/>
                  </w:tcBorders>
                  <w:noWrap w:val="0"/>
                  <w:vAlign w:val="center"/>
                </w:tcPr>
                <w:p>
                  <w:pPr>
                    <w:widowControl/>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1003"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电</w:t>
                  </w:r>
                </w:p>
              </w:tc>
              <w:tc>
                <w:tcPr>
                  <w:tcW w:w="826"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eastAsia="zh-CN"/>
                    </w:rPr>
                    <w:t>万</w:t>
                  </w:r>
                  <w:r>
                    <w:rPr>
                      <w:rFonts w:hint="default" w:ascii="Times New Roman" w:hAnsi="Times New Roman" w:cs="Times New Roman" w:eastAsiaTheme="minorEastAsia"/>
                      <w:color w:val="auto"/>
                      <w:szCs w:val="21"/>
                      <w:highlight w:val="none"/>
                    </w:rPr>
                    <w:t>kWh/a</w:t>
                  </w:r>
                </w:p>
              </w:tc>
              <w:tc>
                <w:tcPr>
                  <w:tcW w:w="892"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15</w:t>
                  </w:r>
                </w:p>
              </w:tc>
              <w:tc>
                <w:tcPr>
                  <w:tcW w:w="1818"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萌水镇供电所</w:t>
                  </w:r>
                </w:p>
              </w:tc>
            </w:tr>
          </w:tbl>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表2-4 本项目水性油墨MSDS表</w:t>
            </w:r>
          </w:p>
          <w:tbl>
            <w:tblPr>
              <w:tblStyle w:val="36"/>
              <w:tblW w:w="4998" w:type="pct"/>
              <w:tblInd w:w="-1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autofit"/>
              <w:tblCellMar>
                <w:top w:w="0" w:type="dxa"/>
                <w:left w:w="10" w:type="dxa"/>
                <w:bottom w:w="0" w:type="dxa"/>
                <w:right w:w="10" w:type="dxa"/>
              </w:tblCellMar>
            </w:tblPr>
            <w:tblGrid>
              <w:gridCol w:w="1099"/>
              <w:gridCol w:w="7458"/>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642"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类别</w:t>
                  </w:r>
                </w:p>
              </w:tc>
              <w:tc>
                <w:tcPr>
                  <w:tcW w:w="4357"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内容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642"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理化性质</w:t>
                  </w:r>
                </w:p>
              </w:tc>
              <w:tc>
                <w:tcPr>
                  <w:tcW w:w="4357"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 物理状态：液体；2. 颜色：黑、青、黄、红、白；3. 气味：芳香味；4. pH值：7-9；5. 黏度：1.5-6 Dynamic；6. 沸点：95-110℃；7. 冰点：-18℃；8. 闪点：高于130℃；9. 蒸汽压力：无数据（N/A）；10. 溶解度：可溶于水；11. 自燃温度：无；12. 爆炸极限：无数据（N/A）；13. 化学稳定性：按规范使用无分解，避免高于100℃或低于-18℃环境</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642"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成分</w:t>
                  </w:r>
                </w:p>
              </w:tc>
              <w:tc>
                <w:tcPr>
                  <w:tcW w:w="4357"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 二甘醇（CAS#：111-46-6）：浓度5%，EINECS#：203-872-2；2. 染料色浆（CAS#：67-63-0）：浓度10%，EINECS#：200-661-7，UN/NA Number：1219/1993；3. 去离子水（CAS#：7732-18-5）：浓度70%，EINECS#：231-791-2；4. 甘油（CAS#：56-81-5）：浓度10%，EINECS#：200-289-5；5. 聚乙二醇（CAS#：25322-68-3）：浓度5%，EINECS#：500-038-2</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642"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危险特性</w:t>
                  </w:r>
                </w:p>
              </w:tc>
              <w:tc>
                <w:tcPr>
                  <w:tcW w:w="4357"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 健康危害：眼睛、皮肤接触，吸入、误食均具有刺激性；无慢性健康危害；2. 火灾爆炸危害：非易燃液体，无特殊爆炸危害；3. 环境危害：无污染物，按规定丢弃不影响环境；4. 危险分级：无危险（Non-hazardous），不属于危险品</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6、主要生产设备</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技改项目主要设备情况见下表。</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表2-5 技改项目设备情况一览表</w:t>
            </w:r>
          </w:p>
          <w:tbl>
            <w:tblPr>
              <w:tblStyle w:val="36"/>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876"/>
              <w:gridCol w:w="959"/>
              <w:gridCol w:w="45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096"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lang w:val="en-US" w:eastAsia="zh-CN"/>
                    </w:rPr>
                    <w:t>设备</w:t>
                  </w:r>
                  <w:r>
                    <w:rPr>
                      <w:rFonts w:hint="default" w:ascii="Times New Roman" w:hAnsi="Times New Roman" w:cs="Times New Roman" w:eastAsiaTheme="minorEastAsia"/>
                      <w:b/>
                      <w:bCs/>
                      <w:color w:val="auto"/>
                      <w:highlight w:val="none"/>
                    </w:rPr>
                    <w:t>名称</w:t>
                  </w:r>
                </w:p>
              </w:tc>
              <w:tc>
                <w:tcPr>
                  <w:tcW w:w="56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highlight w:val="none"/>
                      <w:lang w:val="en-US" w:eastAsia="zh-CN"/>
                    </w:rPr>
                    <w:t>数量</w:t>
                  </w:r>
                </w:p>
              </w:tc>
              <w:tc>
                <w:tcPr>
                  <w:tcW w:w="2641"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变化情况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c>
                <w:tcPr>
                  <w:tcW w:w="1096"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高温染色机</w:t>
                  </w:r>
                </w:p>
              </w:tc>
              <w:tc>
                <w:tcPr>
                  <w:tcW w:w="56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highlight w:val="none"/>
                      <w:lang w:val="en-US" w:eastAsia="zh-CN"/>
                    </w:rPr>
                    <w:t>3</w:t>
                  </w:r>
                </w:p>
              </w:tc>
              <w:tc>
                <w:tcPr>
                  <w:tcW w:w="2641"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淘汰现有3台旧型号高温染色机高温染色机，新增3台新型号，总数量不变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c>
                <w:tcPr>
                  <w:tcW w:w="1096"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数码印花机</w:t>
                  </w:r>
                </w:p>
              </w:tc>
              <w:tc>
                <w:tcPr>
                  <w:tcW w:w="56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c>
                <w:tcPr>
                  <w:tcW w:w="2641"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新增数码印花机</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7、公用工程</w:t>
            </w:r>
          </w:p>
          <w:p>
            <w:pPr>
              <w:pStyle w:val="3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（1）给排水</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rPr>
            </w:pPr>
            <w:r>
              <w:rPr>
                <w:rFonts w:hint="default" w:ascii="Times New Roman" w:hAnsi="Times New Roman" w:cs="Times New Roman" w:eastAsiaTheme="minorEastAsia"/>
                <w:color w:val="auto"/>
                <w:spacing w:val="0"/>
                <w:w w:val="100"/>
                <w:position w:val="0"/>
                <w:sz w:val="21"/>
                <w:szCs w:val="21"/>
                <w:highlight w:val="none"/>
                <w:lang w:val="en-US" w:eastAsia="zh-CN"/>
              </w:rPr>
              <w:t>1</w:t>
            </w:r>
            <w:r>
              <w:rPr>
                <w:rFonts w:hint="default" w:ascii="Times New Roman" w:hAnsi="Times New Roman" w:cs="Times New Roman" w:eastAsiaTheme="minorEastAsia"/>
                <w:color w:val="auto"/>
                <w:spacing w:val="0"/>
                <w:w w:val="100"/>
                <w:position w:val="0"/>
                <w:sz w:val="21"/>
                <w:szCs w:val="21"/>
                <w:highlight w:val="none"/>
                <w:lang w:eastAsia="zh-CN"/>
              </w:rPr>
              <w:t>）</w:t>
            </w:r>
            <w:r>
              <w:rPr>
                <w:rFonts w:hint="default" w:ascii="Times New Roman" w:hAnsi="Times New Roman" w:cs="Times New Roman" w:eastAsiaTheme="minorEastAsia"/>
                <w:color w:val="auto"/>
                <w:spacing w:val="0"/>
                <w:w w:val="100"/>
                <w:position w:val="0"/>
                <w:sz w:val="21"/>
                <w:szCs w:val="21"/>
                <w:highlight w:val="none"/>
              </w:rPr>
              <w:t>给水</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技改后全厂原辅材料种类新增水性油墨，企业购买成品水性油墨（含去离子水），不需要调和即可使用，技改项目不新增生产用水。技改项目用工从现有工人从调配，不新增职工人数，不新增生活用水，综上，技改后全厂生产、生活用水量无变化。</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技改后全厂用水主要为职工生活用水、生产用水、地面及设备冲洗水和软水制备用水，用水情况见下：</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职工生活用水：技改前后职工人数不变，生活用水量无变化，职工生活用水量为1200m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/a，利用新鲜水；</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生产用水：根据项目运营数据，项目煮炼、漂白、染色等工序用水量约为12.48万m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/a，利用新鲜水；</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软水制备用水：项目采用全自动钠离子交换装置制备软水，供给燃气锅炉。根据企业提供数据，软水制备新鲜水用量为7.2万m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地面及设备冲洗水：由焙烘工艺蒸汽冷凝水提供，根据项目运营数据，地面及设备冲洗水用量约为0.6万m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color w:val="auto"/>
                <w:highlight w:val="none"/>
              </w:rPr>
              <w:t>综上所述，</w:t>
            </w:r>
            <w:r>
              <w:rPr>
                <w:rFonts w:hint="default" w:ascii="Times New Roman" w:hAnsi="Times New Roman" w:cs="Times New Roman"/>
                <w:color w:val="auto"/>
                <w:highlight w:val="none"/>
                <w:lang w:val="en-US" w:eastAsia="zh-CN"/>
              </w:rPr>
              <w:t>技改后全厂新鲜水</w:t>
            </w:r>
            <w:r>
              <w:rPr>
                <w:rFonts w:hint="default" w:ascii="Times New Roman" w:hAnsi="Times New Roman" w:cs="Times New Roman"/>
                <w:color w:val="auto"/>
                <w:highlight w:val="none"/>
              </w:rPr>
              <w:t>用量为</w:t>
            </w:r>
            <w:r>
              <w:rPr>
                <w:rFonts w:hint="default" w:ascii="Times New Roman" w:hAnsi="Times New Roman" w:cs="Times New Roman"/>
                <w:color w:val="auto"/>
                <w:highlight w:val="none"/>
                <w:lang w:val="en-US" w:eastAsia="zh-CN"/>
              </w:rPr>
              <w:t>198000m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rPr>
              <w:t>/a</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由</w:t>
            </w:r>
            <w:r>
              <w:rPr>
                <w:rFonts w:hint="default" w:ascii="Times New Roman" w:hAnsi="Times New Roman" w:cs="Times New Roman"/>
                <w:color w:val="auto"/>
                <w:highlight w:val="none"/>
                <w:lang w:val="en-US" w:eastAsia="zh-CN"/>
              </w:rPr>
              <w:t>萌水镇</w:t>
            </w:r>
            <w:r>
              <w:rPr>
                <w:rFonts w:hint="default" w:ascii="Times New Roman" w:hAnsi="Times New Roman" w:cs="Times New Roman"/>
                <w:color w:val="auto"/>
                <w:highlight w:val="none"/>
              </w:rPr>
              <w:t>供水管网供给。</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2）排水</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印花工序无废水排放，则技改后全厂废水种类及产生量无变化，主要为职工生活污水、印染废水、地面及设备冲洗废水、软水制备及锅炉排污水，根据项目运营数据，职工生活污水排放量为960m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/a，经污水处理站处理后，排入淄博沃特水务能源开发有限公司；根据项目运营数据，项目煮炼、漂白、染色工序印染废水产生量为11.23万m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/a，经污水处理站处理后，排入淄博沃特水务能源开发有限公司；项目采用全自动钠离子交换装置制备软水，供给燃气锅炉。根据企业提供数据，软水用量为3.6万m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/a，全自动钠离子交换装置效率约为50%，则新鲜水用量约为7.2万m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/a，软水制备废水产生量约为3.6万m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/a。锅炉排污水量约为用水量的5%，则锅炉排污水量约为0.18万m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/a。软水制备废水和锅炉排污水经污水处理站处理后，排入淄博沃特水务能源开发有限公司。</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地面及设备冲洗废水量为0.6万m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w:t>
            </w:r>
            <w:bookmarkStart w:id="8" w:name="OLE_LINK1"/>
            <w:r>
              <w:rPr>
                <w:rFonts w:hint="default" w:ascii="Times New Roman" w:hAnsi="Times New Roman" w:cs="Times New Roman" w:eastAsiaTheme="minorEastAsia"/>
                <w:color w:val="auto"/>
                <w:spacing w:val="0"/>
                <w:w w:val="100"/>
                <w:position w:val="0"/>
                <w:sz w:val="21"/>
                <w:szCs w:val="21"/>
                <w:highlight w:val="none"/>
                <w:lang w:val="en-US" w:eastAsia="zh-CN"/>
              </w:rPr>
              <w:t>排入污水处理站处理后，</w:t>
            </w:r>
            <w:bookmarkEnd w:id="8"/>
            <w:r>
              <w:rPr>
                <w:rFonts w:hint="default" w:ascii="Times New Roman" w:hAnsi="Times New Roman" w:cs="Times New Roman" w:eastAsiaTheme="minorEastAsia"/>
                <w:color w:val="auto"/>
                <w:spacing w:val="0"/>
                <w:w w:val="100"/>
                <w:position w:val="0"/>
                <w:sz w:val="21"/>
                <w:szCs w:val="21"/>
                <w:highlight w:val="none"/>
                <w:lang w:val="en-US" w:eastAsia="zh-CN"/>
              </w:rPr>
              <w:t>排入淄博沃特水务能源开发有限公司；项目生产过程蒸汽接触煮炼、漂白、染色设备产生的冷凝水1.62万m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/a，排入污水处理站处理后，排入淄博沃特水务能源开发有限公司。</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综合以上，技改后全厂综合废水产生量为173260m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w:t>
            </w:r>
          </w:p>
          <w:p>
            <w:pPr>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cs="Times New Roman" w:eastAsiaTheme="minorEastAsia"/>
                <w:b/>
                <w:bCs/>
                <w:color w:val="auto"/>
                <w:szCs w:val="21"/>
                <w:highlight w:val="none"/>
                <w:lang w:eastAsia="zh-CN"/>
              </w:rPr>
            </w:pPr>
            <w:r>
              <w:rPr>
                <w:rFonts w:hint="default" w:ascii="Times New Roman" w:hAnsi="Times New Roman" w:cs="Times New Roman"/>
                <w:color w:val="auto"/>
                <w:highlight w:val="none"/>
              </w:rPr>
              <w:object>
                <v:shape id="_x0000_i1025" o:spt="75" type="#_x0000_t75" style="height:326.55pt;width:415.15pt;" o:ole="t" filled="f" o:preferrelative="t" stroked="f" coordsize="21600,21600">
                  <v:path/>
                  <v:fill on="f" focussize="0,0"/>
                  <v:stroke on="f"/>
                  <v:imagedata r:id="rId15" o:title=""/>
                  <o:lock v:ext="edit" aspectratio="f"/>
                  <w10:wrap type="none"/>
                  <w10:anchorlock/>
                </v:shape>
                <o:OLEObject Type="Embed" ProgID="Visio.Drawing.15" ShapeID="_x0000_i1025" DrawAspect="Content" ObjectID="_1468075725" r:id="rId14">
                  <o:LockedField>false</o:LockedField>
                </o:OLEObject>
              </w:object>
            </w:r>
          </w:p>
          <w:p>
            <w:pPr>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color w:val="auto"/>
                <w:szCs w:val="21"/>
                <w:highlight w:val="none"/>
              </w:rPr>
              <w:t>图2-</w:t>
            </w:r>
            <w:r>
              <w:rPr>
                <w:rFonts w:hint="default" w:ascii="Times New Roman" w:hAnsi="Times New Roman" w:cs="Times New Roman" w:eastAsiaTheme="minorEastAsia"/>
                <w:b/>
                <w:color w:val="auto"/>
                <w:szCs w:val="21"/>
                <w:highlight w:val="none"/>
                <w:lang w:val="en-US" w:eastAsia="zh-CN"/>
              </w:rPr>
              <w:t>1</w:t>
            </w:r>
            <w:r>
              <w:rPr>
                <w:rFonts w:hint="default" w:ascii="Times New Roman" w:hAnsi="Times New Roman" w:cs="Times New Roman" w:eastAsiaTheme="minorEastAsia"/>
                <w:b/>
                <w:color w:val="auto"/>
                <w:szCs w:val="21"/>
                <w:highlight w:val="none"/>
              </w:rPr>
              <w:t xml:space="preserve"> </w:t>
            </w:r>
            <w:r>
              <w:rPr>
                <w:rFonts w:hint="default" w:ascii="Times New Roman" w:hAnsi="Times New Roman" w:cs="Times New Roman" w:eastAsiaTheme="minorEastAsia"/>
                <w:b/>
                <w:color w:val="auto"/>
                <w:szCs w:val="21"/>
                <w:highlight w:val="none"/>
                <w:lang w:val="en-US" w:eastAsia="zh-CN"/>
              </w:rPr>
              <w:t xml:space="preserve"> </w:t>
            </w:r>
            <w:r>
              <w:rPr>
                <w:rFonts w:hint="default" w:ascii="Times New Roman" w:hAnsi="Times New Roman" w:cs="Times New Roman" w:eastAsiaTheme="minorEastAsia"/>
                <w:b/>
                <w:color w:val="auto"/>
                <w:szCs w:val="21"/>
                <w:highlight w:val="none"/>
              </w:rPr>
              <w:t>本项目水平衡图（单位：m</w:t>
            </w:r>
            <w:r>
              <w:rPr>
                <w:rFonts w:hint="default" w:ascii="Times New Roman" w:hAnsi="Times New Roman" w:cs="Times New Roman" w:eastAsiaTheme="minorEastAsia"/>
                <w:b/>
                <w:color w:val="auto"/>
                <w:szCs w:val="21"/>
                <w:highlight w:val="none"/>
                <w:vertAlign w:val="superscript"/>
              </w:rPr>
              <w:t>3</w:t>
            </w:r>
            <w:r>
              <w:rPr>
                <w:rFonts w:hint="default" w:ascii="Times New Roman" w:hAnsi="Times New Roman" w:cs="Times New Roman" w:eastAsiaTheme="minorEastAsia"/>
                <w:b/>
                <w:color w:val="auto"/>
                <w:szCs w:val="21"/>
                <w:highlight w:val="none"/>
              </w:rPr>
              <w:t>/a）</w:t>
            </w:r>
          </w:p>
          <w:p>
            <w:pPr>
              <w:keepNext w:val="0"/>
              <w:keepLines w:val="0"/>
              <w:pageBreakBefore w:val="0"/>
              <w:kinsoku/>
              <w:wordWrap/>
              <w:overflowPunct/>
              <w:topLinePunct w:val="0"/>
              <w:autoSpaceDE/>
              <w:autoSpaceDN/>
              <w:bidi w:val="0"/>
              <w:spacing w:line="360" w:lineRule="auto"/>
              <w:ind w:left="0" w:leftChars="0" w:firstLine="422" w:firstLineChars="200"/>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（2）供电</w:t>
            </w:r>
          </w:p>
          <w:p>
            <w:pPr>
              <w:pStyle w:val="2"/>
              <w:keepNext w:val="0"/>
              <w:keepLines w:val="0"/>
              <w:pageBreakBefore w:val="0"/>
              <w:kinsoku/>
              <w:wordWrap/>
              <w:overflowPunct/>
              <w:topLinePunct w:val="0"/>
              <w:autoSpaceDE/>
              <w:autoSpaceDN/>
              <w:bidi w:val="0"/>
              <w:spacing w:after="0" w:line="360" w:lineRule="auto"/>
              <w:ind w:left="0" w:leftChars="0" w:firstLine="420" w:firstLineChars="200"/>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技改新增印花机及高温染色机生产新增耗电量15万kWh/a，则技改后全厂用电量为150万kWh/a，由萌水镇供电所供给。</w:t>
            </w:r>
          </w:p>
          <w:p>
            <w:pPr>
              <w:keepNext w:val="0"/>
              <w:keepLines w:val="0"/>
              <w:pageBreakBefore w:val="0"/>
              <w:numPr>
                <w:ilvl w:val="0"/>
                <w:numId w:val="0"/>
              </w:numPr>
              <w:kinsoku/>
              <w:wordWrap/>
              <w:overflowPunct/>
              <w:topLinePunct w:val="0"/>
              <w:autoSpaceDE/>
              <w:autoSpaceDN/>
              <w:bidi w:val="0"/>
              <w:spacing w:line="360" w:lineRule="auto"/>
              <w:ind w:left="0" w:leftChars="0" w:firstLine="422" w:firstLineChars="200"/>
              <w:textAlignment w:val="auto"/>
              <w:rPr>
                <w:rFonts w:hint="default" w:ascii="Times New Roman" w:hAnsi="Times New Roman" w:cs="Times New Roman" w:eastAsiaTheme="minorEastAsia"/>
                <w:b/>
                <w:bCs/>
                <w:color w:val="auto"/>
                <w:spacing w:val="0"/>
                <w:kern w:val="2"/>
                <w:sz w:val="21"/>
                <w:szCs w:val="21"/>
                <w:highlight w:val="none"/>
                <w:lang w:val="en-US" w:eastAsia="zh-CN" w:bidi="ar-SA"/>
              </w:rPr>
            </w:pPr>
            <w:r>
              <w:rPr>
                <w:rFonts w:hint="default" w:ascii="Times New Roman" w:hAnsi="Times New Roman" w:cs="Times New Roman" w:eastAsiaTheme="minorEastAsia"/>
                <w:b/>
                <w:bCs/>
                <w:color w:val="auto"/>
                <w:spacing w:val="0"/>
                <w:kern w:val="2"/>
                <w:sz w:val="21"/>
                <w:szCs w:val="21"/>
                <w:highlight w:val="none"/>
                <w:lang w:val="en-US" w:eastAsia="zh-CN" w:bidi="ar-SA"/>
              </w:rPr>
              <w:t>（3）供气</w:t>
            </w:r>
          </w:p>
          <w:p>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ascii="Times New Roman" w:hAnsi="Times New Roman" w:cs="Times New Roman" w:eastAsiaTheme="minorEastAsia"/>
                <w:b/>
                <w:bCs/>
                <w:color w:val="auto"/>
                <w:spacing w:val="0"/>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val="en-US" w:eastAsia="zh-CN"/>
              </w:rPr>
              <w:t>技改项目新增数码印花机使用天然气定型，印花机干燥工序新增天然气用量20万Nm</w:t>
            </w:r>
            <w:r>
              <w:rPr>
                <w:rFonts w:hint="default" w:ascii="Times New Roman" w:hAnsi="Times New Roman" w:cs="Times New Roman" w:eastAsiaTheme="minorEastAsia"/>
                <w:color w:val="auto"/>
                <w:spacing w:val="0"/>
                <w:sz w:val="21"/>
                <w:szCs w:val="21"/>
                <w:highlight w:val="none"/>
                <w:vertAlign w:val="superscript"/>
                <w:lang w:val="en-US" w:eastAsia="zh-CN"/>
              </w:rPr>
              <w:t>3</w:t>
            </w:r>
            <w:r>
              <w:rPr>
                <w:rFonts w:hint="default" w:ascii="Times New Roman" w:hAnsi="Times New Roman" w:cs="Times New Roman" w:eastAsiaTheme="minorEastAsia"/>
                <w:color w:val="auto"/>
                <w:spacing w:val="0"/>
                <w:sz w:val="21"/>
                <w:szCs w:val="21"/>
                <w:highlight w:val="none"/>
                <w:lang w:val="en-US" w:eastAsia="zh-CN"/>
              </w:rPr>
              <w:t>/a，技改后全厂天然气用气量为280万Nm</w:t>
            </w:r>
            <w:r>
              <w:rPr>
                <w:rFonts w:hint="default" w:ascii="Times New Roman" w:hAnsi="Times New Roman" w:cs="Times New Roman" w:eastAsiaTheme="minorEastAsia"/>
                <w:color w:val="auto"/>
                <w:spacing w:val="0"/>
                <w:sz w:val="21"/>
                <w:szCs w:val="21"/>
                <w:highlight w:val="none"/>
                <w:vertAlign w:val="superscript"/>
                <w:lang w:val="en-US" w:eastAsia="zh-CN"/>
              </w:rPr>
              <w:t>3</w:t>
            </w:r>
            <w:r>
              <w:rPr>
                <w:rFonts w:hint="default" w:ascii="Times New Roman" w:hAnsi="Times New Roman" w:cs="Times New Roman" w:eastAsiaTheme="minorEastAsia"/>
                <w:color w:val="auto"/>
                <w:spacing w:val="0"/>
                <w:sz w:val="21"/>
                <w:szCs w:val="21"/>
                <w:highlight w:val="none"/>
                <w:lang w:val="en-US" w:eastAsia="zh-CN"/>
              </w:rPr>
              <w:t>/a，由淄博绿周燃气有限公司管道供给。</w:t>
            </w:r>
          </w:p>
          <w:p>
            <w:pPr>
              <w:keepNext w:val="0"/>
              <w:keepLines w:val="0"/>
              <w:pageBreakBefore w:val="0"/>
              <w:numPr>
                <w:ilvl w:val="0"/>
                <w:numId w:val="0"/>
              </w:numPr>
              <w:kinsoku/>
              <w:wordWrap/>
              <w:overflowPunct/>
              <w:topLinePunct w:val="0"/>
              <w:autoSpaceDE/>
              <w:autoSpaceDN/>
              <w:bidi w:val="0"/>
              <w:spacing w:line="360" w:lineRule="auto"/>
              <w:ind w:left="0" w:leftChars="0" w:firstLine="422" w:firstLineChars="200"/>
              <w:textAlignment w:val="auto"/>
              <w:rPr>
                <w:rFonts w:hint="default" w:ascii="Times New Roman" w:hAnsi="Times New Roman" w:cs="Times New Roman" w:eastAsiaTheme="minorEastAsia"/>
                <w:b/>
                <w:bCs/>
                <w:color w:val="auto"/>
                <w:spacing w:val="0"/>
                <w:kern w:val="2"/>
                <w:sz w:val="21"/>
                <w:szCs w:val="21"/>
                <w:highlight w:val="none"/>
                <w:lang w:val="en-US" w:eastAsia="zh-CN" w:bidi="ar-SA"/>
              </w:rPr>
            </w:pPr>
            <w:r>
              <w:rPr>
                <w:rFonts w:hint="default" w:ascii="Times New Roman" w:hAnsi="Times New Roman" w:cs="Times New Roman" w:eastAsiaTheme="minorEastAsia"/>
                <w:b/>
                <w:bCs/>
                <w:color w:val="auto"/>
                <w:spacing w:val="0"/>
                <w:kern w:val="2"/>
                <w:sz w:val="21"/>
                <w:szCs w:val="21"/>
                <w:highlight w:val="none"/>
                <w:lang w:val="en-US" w:eastAsia="zh-CN" w:bidi="ar-SA"/>
              </w:rPr>
              <w:t>（4）供汽</w:t>
            </w:r>
          </w:p>
          <w:p>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技改项目不使用蒸汽，全厂蒸汽使用量无变化，蒸汽用量平衡见下图。</w:t>
            </w: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color w:val="auto"/>
                <w:highlight w:val="none"/>
              </w:rPr>
              <w:object>
                <v:shape id="_x0000_i1026" o:spt="75" type="#_x0000_t75" style="height:166.7pt;width:414.9pt;" o:ole="t" filled="f" o:preferrelative="t" stroked="f" coordsize="21600,21600">
                  <v:path/>
                  <v:fill on="f" focussize="0,0"/>
                  <v:stroke on="f"/>
                  <v:imagedata r:id="rId17" o:title=""/>
                  <o:lock v:ext="edit" aspectratio="f"/>
                  <w10:wrap type="none"/>
                  <w10:anchorlock/>
                </v:shape>
                <o:OLEObject Type="Embed" ProgID="Visio.Drawing.15" ShapeID="_x0000_i1026" DrawAspect="Content" ObjectID="_1468075726" r:id="rId16">
                  <o:LockedField>false</o:LockedField>
                </o:OLEObject>
              </w:object>
            </w:r>
          </w:p>
          <w:p>
            <w:pPr>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cs="Times New Roman" w:eastAsiaTheme="minorEastAsia"/>
                <w:b/>
                <w:bCs/>
                <w:color w:val="auto"/>
                <w:spacing w:val="0"/>
                <w:kern w:val="2"/>
                <w:sz w:val="21"/>
                <w:szCs w:val="21"/>
                <w:highlight w:val="none"/>
                <w:lang w:val="en-US" w:eastAsia="zh-CN" w:bidi="ar-SA"/>
              </w:rPr>
            </w:pPr>
            <w:r>
              <w:rPr>
                <w:rFonts w:hint="default" w:ascii="Times New Roman" w:hAnsi="Times New Roman" w:cs="Times New Roman" w:eastAsiaTheme="minorEastAsia"/>
                <w:b/>
                <w:color w:val="auto"/>
                <w:szCs w:val="21"/>
                <w:highlight w:val="none"/>
              </w:rPr>
              <w:t>图2-</w:t>
            </w:r>
            <w:r>
              <w:rPr>
                <w:rFonts w:hint="default" w:ascii="Times New Roman" w:hAnsi="Times New Roman" w:cs="Times New Roman" w:eastAsiaTheme="minorEastAsia"/>
                <w:b/>
                <w:color w:val="auto"/>
                <w:szCs w:val="21"/>
                <w:highlight w:val="none"/>
                <w:lang w:val="en-US" w:eastAsia="zh-CN"/>
              </w:rPr>
              <w:t>2</w:t>
            </w:r>
            <w:r>
              <w:rPr>
                <w:rFonts w:hint="default" w:ascii="Times New Roman" w:hAnsi="Times New Roman" w:cs="Times New Roman" w:eastAsiaTheme="minorEastAsia"/>
                <w:b/>
                <w:color w:val="auto"/>
                <w:szCs w:val="21"/>
                <w:highlight w:val="none"/>
              </w:rPr>
              <w:t xml:space="preserve"> </w:t>
            </w:r>
            <w:r>
              <w:rPr>
                <w:rFonts w:hint="default" w:ascii="Times New Roman" w:hAnsi="Times New Roman" w:cs="Times New Roman" w:eastAsiaTheme="minorEastAsia"/>
                <w:b/>
                <w:color w:val="auto"/>
                <w:szCs w:val="21"/>
                <w:highlight w:val="none"/>
                <w:lang w:val="en-US" w:eastAsia="zh-CN"/>
              </w:rPr>
              <w:t xml:space="preserve"> </w:t>
            </w:r>
            <w:r>
              <w:rPr>
                <w:rFonts w:hint="default" w:ascii="Times New Roman" w:hAnsi="Times New Roman" w:cs="Times New Roman" w:eastAsiaTheme="minorEastAsia"/>
                <w:b/>
                <w:color w:val="auto"/>
                <w:szCs w:val="21"/>
                <w:highlight w:val="none"/>
              </w:rPr>
              <w:t>本项目</w:t>
            </w:r>
            <w:r>
              <w:rPr>
                <w:rFonts w:hint="default" w:ascii="Times New Roman" w:hAnsi="Times New Roman" w:cs="Times New Roman" w:eastAsiaTheme="minorEastAsia"/>
                <w:b/>
                <w:color w:val="auto"/>
                <w:szCs w:val="21"/>
                <w:highlight w:val="none"/>
                <w:lang w:val="en-US" w:eastAsia="zh-CN"/>
              </w:rPr>
              <w:t>蒸汽</w:t>
            </w:r>
            <w:r>
              <w:rPr>
                <w:rFonts w:hint="default" w:ascii="Times New Roman" w:hAnsi="Times New Roman" w:cs="Times New Roman" w:eastAsiaTheme="minorEastAsia"/>
                <w:b/>
                <w:color w:val="auto"/>
                <w:szCs w:val="21"/>
                <w:highlight w:val="none"/>
              </w:rPr>
              <w:t>平衡图（单位：</w:t>
            </w:r>
            <w:r>
              <w:rPr>
                <w:rFonts w:hint="default" w:ascii="Times New Roman" w:hAnsi="Times New Roman" w:cs="Times New Roman" w:eastAsiaTheme="minorEastAsia"/>
                <w:b/>
                <w:color w:val="auto"/>
                <w:szCs w:val="21"/>
                <w:highlight w:val="none"/>
                <w:lang w:val="en-US" w:eastAsia="zh-CN"/>
              </w:rPr>
              <w:t>t</w:t>
            </w:r>
            <w:r>
              <w:rPr>
                <w:rFonts w:hint="default" w:ascii="Times New Roman" w:hAnsi="Times New Roman" w:cs="Times New Roman" w:eastAsiaTheme="minorEastAsia"/>
                <w:b/>
                <w:color w:val="auto"/>
                <w:szCs w:val="21"/>
                <w:highlight w:val="none"/>
              </w:rPr>
              <w:t>/a）</w:t>
            </w:r>
          </w:p>
          <w:p>
            <w:pPr>
              <w:keepNext w:val="0"/>
              <w:keepLines w:val="0"/>
              <w:pageBreakBefore w:val="0"/>
              <w:numPr>
                <w:ilvl w:val="0"/>
                <w:numId w:val="0"/>
              </w:numPr>
              <w:kinsoku/>
              <w:wordWrap/>
              <w:overflowPunct/>
              <w:topLinePunct w:val="0"/>
              <w:autoSpaceDE/>
              <w:autoSpaceDN/>
              <w:bidi w:val="0"/>
              <w:spacing w:line="360" w:lineRule="auto"/>
              <w:ind w:left="0" w:leftChars="0" w:firstLine="422" w:firstLineChars="200"/>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（5）供热</w:t>
            </w:r>
          </w:p>
          <w:p>
            <w:pPr>
              <w:pStyle w:val="2"/>
              <w:keepNext w:val="0"/>
              <w:keepLines w:val="0"/>
              <w:pageBreakBefore w:val="0"/>
              <w:kinsoku/>
              <w:wordWrap/>
              <w:overflowPunct/>
              <w:topLinePunct w:val="0"/>
              <w:autoSpaceDE/>
              <w:autoSpaceDN/>
              <w:bidi w:val="0"/>
              <w:spacing w:after="0" w:line="360" w:lineRule="auto"/>
              <w:ind w:left="0" w:leftChars="0" w:firstLine="420" w:firstLineChars="200"/>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本项目生产区不供热，办公室采用空调取暖。</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cs="Times New Roman"/>
                <w:b/>
                <w:bCs w:val="0"/>
                <w:color w:val="auto"/>
                <w:kern w:val="0"/>
                <w:highlight w:val="none"/>
                <w:lang w:val="en-US" w:eastAsia="zh-CN"/>
              </w:rPr>
            </w:pPr>
            <w:r>
              <w:rPr>
                <w:rFonts w:hint="default" w:ascii="Times New Roman" w:hAnsi="Times New Roman" w:cs="Times New Roman"/>
                <w:b/>
                <w:bCs w:val="0"/>
                <w:color w:val="auto"/>
                <w:kern w:val="0"/>
                <w:highlight w:val="none"/>
                <w:lang w:val="en-US" w:eastAsia="zh-CN"/>
              </w:rPr>
              <w:t>8、劳动定员及生产制度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default" w:ascii="Times New Roman" w:hAnsi="Times New Roman" w:cs="Times New Roman"/>
                <w:b/>
                <w:bCs w:val="0"/>
                <w:color w:val="auto"/>
                <w:kern w:val="0"/>
                <w:highlight w:val="none"/>
                <w:lang w:val="en-US" w:eastAsia="zh-CN"/>
              </w:rPr>
            </w:pPr>
            <w:r>
              <w:rPr>
                <w:rFonts w:hint="default" w:ascii="Times New Roman" w:hAnsi="Times New Roman" w:cs="Times New Roman"/>
                <w:b w:val="0"/>
                <w:bCs/>
                <w:color w:val="auto"/>
                <w:kern w:val="0"/>
                <w:highlight w:val="none"/>
                <w:lang w:val="en-US" w:eastAsia="zh-CN"/>
              </w:rPr>
              <w:t>技改项目不新增用工。全厂劳动定员70人。日均工作时间16小时（生产线连续运行），全年工作300天，折合年工作4800小时（连续生产）</w:t>
            </w:r>
            <w:r>
              <w:rPr>
                <w:rFonts w:hint="default" w:ascii="Times New Roman" w:hAnsi="Times New Roman" w:cs="Times New Roman"/>
                <w:b/>
                <w:bCs w:val="0"/>
                <w:color w:val="auto"/>
                <w:kern w:val="0"/>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cs="Times New Roman"/>
                <w:b/>
                <w:bCs w:val="0"/>
                <w:color w:val="auto"/>
                <w:kern w:val="0"/>
                <w:highlight w:val="none"/>
                <w:lang w:val="en-US" w:eastAsia="zh-CN"/>
              </w:rPr>
              <w:t>9</w:t>
            </w:r>
            <w:r>
              <w:rPr>
                <w:rFonts w:hint="default" w:ascii="Times New Roman" w:hAnsi="Times New Roman" w:eastAsia="宋体" w:cs="Times New Roman"/>
                <w:b/>
                <w:bCs w:val="0"/>
                <w:color w:val="auto"/>
                <w:kern w:val="0"/>
                <w:highlight w:val="none"/>
                <w:lang w:val="en-US" w:eastAsia="zh-CN"/>
              </w:rPr>
              <w:t>、总平面图布置</w:t>
            </w:r>
          </w:p>
          <w:p>
            <w:pPr>
              <w:spacing w:line="360" w:lineRule="auto"/>
              <w:ind w:firstLine="420" w:firstLineChars="200"/>
              <w:rPr>
                <w:rFonts w:hint="default" w:ascii="Times New Roman" w:hAnsi="Times New Roman" w:cs="Times New Roman" w:eastAsiaTheme="minorEastAsia"/>
                <w:bCs/>
                <w:color w:val="auto"/>
                <w:szCs w:val="21"/>
                <w:highlight w:val="none"/>
                <w:lang w:eastAsia="zh-CN"/>
              </w:rPr>
            </w:pPr>
            <w:r>
              <w:rPr>
                <w:rFonts w:hint="default" w:ascii="Times New Roman" w:hAnsi="Times New Roman" w:cs="Times New Roman" w:eastAsiaTheme="minorEastAsia"/>
                <w:bCs/>
                <w:color w:val="auto"/>
                <w:szCs w:val="21"/>
                <w:highlight w:val="none"/>
                <w:lang w:eastAsia="zh-CN"/>
              </w:rPr>
              <w:t>（1）总平面布置情况</w:t>
            </w:r>
          </w:p>
          <w:p>
            <w:pPr>
              <w:keepNext/>
              <w:keepLines/>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default" w:ascii="Times New Roman" w:hAnsi="Times New Roman" w:cs="Times New Roman" w:eastAsiaTheme="minorEastAsia"/>
                <w:bCs/>
                <w:color w:val="auto"/>
                <w:szCs w:val="21"/>
                <w:highlight w:val="none"/>
                <w:lang w:eastAsia="zh-CN"/>
              </w:rPr>
            </w:pPr>
            <w:r>
              <w:rPr>
                <w:rFonts w:hint="default" w:ascii="Times New Roman" w:hAnsi="Times New Roman" w:cs="Times New Roman" w:eastAsiaTheme="minorEastAsia"/>
                <w:bCs/>
                <w:color w:val="auto"/>
                <w:szCs w:val="21"/>
                <w:highlight w:val="none"/>
                <w:lang w:eastAsia="zh-CN"/>
              </w:rPr>
              <w:t>本项目位于</w:t>
            </w:r>
            <w:r>
              <w:rPr>
                <w:rFonts w:hint="default" w:ascii="Times New Roman" w:hAnsi="Times New Roman" w:cs="Times New Roman" w:eastAsiaTheme="minorEastAsia"/>
                <w:color w:val="auto"/>
                <w:sz w:val="21"/>
                <w:szCs w:val="21"/>
                <w:highlight w:val="none"/>
                <w:lang w:val="en-US" w:eastAsia="zh-CN"/>
              </w:rPr>
              <w:t>淄博市文昌湖旅游度假区萌水镇水磨村西侧5m处</w:t>
            </w:r>
            <w:r>
              <w:rPr>
                <w:rFonts w:hint="default" w:ascii="Times New Roman" w:hAnsi="Times New Roman" w:cs="Times New Roman" w:eastAsiaTheme="minorEastAsia"/>
                <w:bCs/>
                <w:color w:val="auto"/>
                <w:szCs w:val="21"/>
                <w:highlight w:val="none"/>
                <w:lang w:eastAsia="zh-CN"/>
              </w:rPr>
              <w:t>。厂区布局功能分区清晰，左侧设生产车间及办公楼，中下部和右侧分布1#-5#仓库，便于生产与仓储衔接。环保设施完善，上部集中设置污水站、污泥暂存/压滤间、危废间；下部设应急池防控水污染。厂区大门、车棚位于左侧，保障人流物流有序，整体符合环评功能分区与环保风险防控要求。项目平面布置图详见附图</w:t>
            </w:r>
            <w:r>
              <w:rPr>
                <w:rFonts w:hint="default" w:ascii="Times New Roman" w:hAnsi="Times New Roman" w:cs="Times New Roman" w:eastAsiaTheme="minorEastAsia"/>
                <w:bCs/>
                <w:color w:val="auto"/>
                <w:szCs w:val="21"/>
                <w:highlight w:val="none"/>
                <w:lang w:val="en-US" w:eastAsia="zh-CN"/>
              </w:rPr>
              <w:t>4</w:t>
            </w:r>
            <w:r>
              <w:rPr>
                <w:rFonts w:hint="default" w:ascii="Times New Roman" w:hAnsi="Times New Roman" w:cs="Times New Roman" w:eastAsiaTheme="minorEastAsia"/>
                <w:bCs/>
                <w:color w:val="auto"/>
                <w:szCs w:val="21"/>
                <w:highlight w:val="none"/>
                <w:lang w:eastAsia="zh-CN"/>
              </w:rPr>
              <w:t>。</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outlineLvl w:val="9"/>
              <w:rPr>
                <w:rFonts w:hint="default" w:ascii="Times New Roman" w:hAnsi="Times New Roman" w:cs="Times New Roman" w:eastAsiaTheme="minorEastAsia"/>
                <w:bCs/>
                <w:color w:val="auto"/>
                <w:szCs w:val="21"/>
                <w:highlight w:val="none"/>
                <w:lang w:eastAsia="zh-CN"/>
              </w:rPr>
            </w:pPr>
            <w:r>
              <w:rPr>
                <w:rFonts w:hint="default" w:ascii="Times New Roman" w:hAnsi="Times New Roman" w:cs="Times New Roman" w:eastAsiaTheme="minorEastAsia"/>
                <w:bCs/>
                <w:color w:val="auto"/>
                <w:szCs w:val="21"/>
                <w:highlight w:val="none"/>
                <w:lang w:eastAsia="zh-CN"/>
              </w:rPr>
              <w:t>（</w:t>
            </w:r>
            <w:r>
              <w:rPr>
                <w:rFonts w:hint="default" w:ascii="Times New Roman" w:hAnsi="Times New Roman" w:cs="Times New Roman" w:eastAsiaTheme="minorEastAsia"/>
                <w:bCs/>
                <w:color w:val="auto"/>
                <w:szCs w:val="21"/>
                <w:highlight w:val="none"/>
                <w:lang w:val="en-US" w:eastAsia="zh-CN"/>
              </w:rPr>
              <w:t>2</w:t>
            </w:r>
            <w:r>
              <w:rPr>
                <w:rFonts w:hint="default" w:ascii="Times New Roman" w:hAnsi="Times New Roman" w:cs="Times New Roman" w:eastAsiaTheme="minorEastAsia"/>
                <w:bCs/>
                <w:color w:val="auto"/>
                <w:szCs w:val="21"/>
                <w:highlight w:val="none"/>
                <w:lang w:eastAsia="zh-CN"/>
              </w:rPr>
              <w:t>）合理性分析</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outlineLvl w:val="9"/>
              <w:rPr>
                <w:rFonts w:hint="default" w:ascii="Times New Roman" w:hAnsi="Times New Roman" w:cs="Times New Roman" w:eastAsiaTheme="minorEastAsia"/>
                <w:bCs/>
                <w:color w:val="auto"/>
                <w:szCs w:val="21"/>
                <w:highlight w:val="none"/>
                <w:lang w:eastAsia="zh-CN"/>
              </w:rPr>
            </w:pPr>
            <w:r>
              <w:rPr>
                <w:rFonts w:hint="default" w:ascii="Times New Roman" w:hAnsi="Times New Roman" w:cs="Times New Roman" w:eastAsiaTheme="minorEastAsia"/>
                <w:bCs/>
                <w:color w:val="auto"/>
                <w:szCs w:val="21"/>
                <w:highlight w:val="none"/>
                <w:lang w:eastAsia="zh-CN"/>
              </w:rPr>
              <w:t>本项目建设充分依托现有公辅设施工程，各功能区按工艺流程、物料输送方向布置，各功能区联系密切，单元布置紧凑，节约用地，缩短系统管道长度，降低能耗，便于检修，同时满足工艺流程、操作和维护的要求，平面布置合理。</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outlineLvl w:val="9"/>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10、投资一览表</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outlineLvl w:val="9"/>
              <w:rPr>
                <w:rFonts w:hint="default" w:ascii="Times New Roman" w:hAnsi="Times New Roman" w:cs="Times New Roman" w:eastAsiaTheme="minorEastAsia"/>
                <w:bCs/>
                <w:color w:val="auto"/>
                <w:szCs w:val="21"/>
                <w:highlight w:val="none"/>
                <w:lang w:eastAsia="zh-CN"/>
              </w:rPr>
            </w:pPr>
            <w:r>
              <w:rPr>
                <w:rFonts w:hint="default" w:ascii="Times New Roman" w:hAnsi="Times New Roman" w:cs="Times New Roman" w:eastAsiaTheme="minorEastAsia"/>
                <w:bCs/>
                <w:color w:val="auto"/>
                <w:szCs w:val="21"/>
                <w:highlight w:val="none"/>
                <w:lang w:eastAsia="zh-CN"/>
              </w:rPr>
              <w:t>本项目总投资</w:t>
            </w:r>
            <w:r>
              <w:rPr>
                <w:rFonts w:hint="default" w:ascii="Times New Roman" w:hAnsi="Times New Roman" w:cs="Times New Roman" w:eastAsiaTheme="minorEastAsia"/>
                <w:bCs/>
                <w:color w:val="auto"/>
                <w:szCs w:val="21"/>
                <w:highlight w:val="none"/>
                <w:lang w:val="en-US" w:eastAsia="zh-CN"/>
              </w:rPr>
              <w:t>830万</w:t>
            </w:r>
            <w:r>
              <w:rPr>
                <w:rFonts w:hint="default" w:ascii="Times New Roman" w:hAnsi="Times New Roman" w:cs="Times New Roman" w:eastAsiaTheme="minorEastAsia"/>
                <w:bCs/>
                <w:color w:val="auto"/>
                <w:szCs w:val="21"/>
                <w:highlight w:val="none"/>
                <w:lang w:eastAsia="zh-CN"/>
              </w:rPr>
              <w:t>元，其中环保投资</w:t>
            </w:r>
            <w:r>
              <w:rPr>
                <w:rFonts w:hint="default" w:ascii="Times New Roman" w:hAnsi="Times New Roman" w:cs="Times New Roman" w:eastAsiaTheme="minorEastAsia"/>
                <w:bCs/>
                <w:color w:val="auto"/>
                <w:szCs w:val="21"/>
                <w:highlight w:val="none"/>
                <w:lang w:val="en-US" w:eastAsia="zh-CN"/>
              </w:rPr>
              <w:t>10万</w:t>
            </w:r>
            <w:r>
              <w:rPr>
                <w:rFonts w:hint="default" w:ascii="Times New Roman" w:hAnsi="Times New Roman" w:cs="Times New Roman" w:eastAsiaTheme="minorEastAsia"/>
                <w:bCs/>
                <w:color w:val="auto"/>
                <w:szCs w:val="21"/>
                <w:highlight w:val="none"/>
                <w:lang w:eastAsia="zh-CN"/>
              </w:rPr>
              <w:t>元，占总投资的</w:t>
            </w:r>
            <w:r>
              <w:rPr>
                <w:rFonts w:hint="default" w:ascii="Times New Roman" w:hAnsi="Times New Roman" w:cs="Times New Roman" w:eastAsiaTheme="minorEastAsia"/>
                <w:bCs/>
                <w:color w:val="auto"/>
                <w:szCs w:val="21"/>
                <w:highlight w:val="none"/>
                <w:lang w:val="en-US" w:eastAsia="zh-CN"/>
              </w:rPr>
              <w:t>1.2</w:t>
            </w:r>
            <w:r>
              <w:rPr>
                <w:rFonts w:hint="default" w:ascii="Times New Roman" w:hAnsi="Times New Roman" w:cs="Times New Roman" w:eastAsiaTheme="minorEastAsia"/>
                <w:bCs/>
                <w:color w:val="auto"/>
                <w:szCs w:val="21"/>
                <w:highlight w:val="none"/>
                <w:lang w:eastAsia="zh-CN"/>
              </w:rPr>
              <w:t>%，主要用于营运期废气处理等。项目环保投资情况见下表：</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cs="Times New Roman" w:eastAsiaTheme="minorEastAsia"/>
                <w:b/>
                <w:bCs w:val="0"/>
                <w:color w:val="auto"/>
                <w:szCs w:val="21"/>
                <w:highlight w:val="none"/>
                <w:lang w:val="zh-CN" w:eastAsia="zh-CN"/>
              </w:rPr>
            </w:pPr>
            <w:r>
              <w:rPr>
                <w:rFonts w:hint="default" w:ascii="Times New Roman" w:hAnsi="Times New Roman" w:cs="Times New Roman" w:eastAsiaTheme="minorEastAsia"/>
                <w:b/>
                <w:bCs w:val="0"/>
                <w:color w:val="auto"/>
                <w:szCs w:val="21"/>
                <w:highlight w:val="none"/>
                <w:lang w:val="zh-CN" w:eastAsia="zh-CN"/>
              </w:rPr>
              <w:t>表</w:t>
            </w:r>
            <w:r>
              <w:rPr>
                <w:rFonts w:hint="default" w:ascii="Times New Roman" w:hAnsi="Times New Roman" w:cs="Times New Roman" w:eastAsiaTheme="minorEastAsia"/>
                <w:b/>
                <w:bCs w:val="0"/>
                <w:color w:val="auto"/>
                <w:szCs w:val="21"/>
                <w:highlight w:val="none"/>
                <w:lang w:val="en-US" w:eastAsia="zh-CN"/>
              </w:rPr>
              <w:t xml:space="preserve">2-6 </w:t>
            </w:r>
            <w:r>
              <w:rPr>
                <w:rFonts w:hint="default" w:ascii="Times New Roman" w:hAnsi="Times New Roman" w:cs="Times New Roman" w:eastAsiaTheme="minorEastAsia"/>
                <w:b/>
                <w:bCs w:val="0"/>
                <w:color w:val="auto"/>
                <w:szCs w:val="21"/>
                <w:highlight w:val="none"/>
                <w:lang w:val="zh-CN" w:eastAsia="zh-CN"/>
              </w:rPr>
              <w:t xml:space="preserve"> 项目环保投资一览表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1602"/>
              <w:gridCol w:w="458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dxa"/>
                  <w:noWrap w:val="0"/>
                  <w:vAlign w:val="center"/>
                </w:tcPr>
                <w:p>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序号</w:t>
                  </w:r>
                </w:p>
              </w:tc>
              <w:tc>
                <w:tcPr>
                  <w:tcW w:w="1704" w:type="dxa"/>
                  <w:noWrap w:val="0"/>
                  <w:vAlign w:val="center"/>
                </w:tcPr>
                <w:p>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项目</w:t>
                  </w:r>
                </w:p>
              </w:tc>
              <w:tc>
                <w:tcPr>
                  <w:tcW w:w="4922" w:type="dxa"/>
                  <w:noWrap w:val="0"/>
                  <w:vAlign w:val="center"/>
                </w:tcPr>
                <w:p>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环保措施</w:t>
                  </w:r>
                </w:p>
              </w:tc>
              <w:tc>
                <w:tcPr>
                  <w:tcW w:w="1586" w:type="dxa"/>
                  <w:noWrap w:val="0"/>
                  <w:vAlign w:val="center"/>
                </w:tcPr>
                <w:p>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704" w:type="dxa"/>
                  <w:noWrap w:val="0"/>
                  <w:vAlign w:val="center"/>
                </w:tcPr>
                <w:p>
                  <w:pPr>
                    <w:autoSpaceDE w:val="0"/>
                    <w:autoSpaceDN w:val="0"/>
                    <w:adjustRightInd w:val="0"/>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废气处理措施</w:t>
                  </w:r>
                </w:p>
              </w:tc>
              <w:tc>
                <w:tcPr>
                  <w:tcW w:w="4922" w:type="dxa"/>
                  <w:noWrap w:val="0"/>
                  <w:vAlign w:val="center"/>
                </w:tcPr>
                <w:p>
                  <w:pPr>
                    <w:autoSpaceDE w:val="0"/>
                    <w:autoSpaceDN w:val="0"/>
                    <w:adjustRightInd w:val="0"/>
                    <w:spacing w:line="0" w:lineRule="atLeast"/>
                    <w:jc w:val="center"/>
                    <w:rPr>
                      <w:rFonts w:hint="default" w:ascii="Times New Roman" w:hAnsi="Times New Roman" w:cs="Times New Roman"/>
                      <w:color w:val="auto"/>
                      <w:szCs w:val="21"/>
                      <w:highlight w:val="none"/>
                      <w:lang w:val="en-US"/>
                    </w:rPr>
                  </w:pPr>
                  <w:r>
                    <w:rPr>
                      <w:rFonts w:hint="default" w:ascii="Times New Roman" w:hAnsi="Times New Roman" w:eastAsia="宋体" w:cs="Times New Roman"/>
                      <w:color w:val="auto"/>
                      <w:szCs w:val="21"/>
                      <w:highlight w:val="none"/>
                      <w:lang w:val="en-US" w:eastAsia="zh-CN"/>
                    </w:rPr>
                    <w:t>新增印花工序集气罩、废气管道</w:t>
                  </w:r>
                </w:p>
              </w:tc>
              <w:tc>
                <w:tcPr>
                  <w:tcW w:w="1586" w:type="dxa"/>
                  <w:noWrap w:val="0"/>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704" w:type="dxa"/>
                  <w:noWrap w:val="0"/>
                  <w:vAlign w:val="center"/>
                </w:tcPr>
                <w:p>
                  <w:pPr>
                    <w:autoSpaceDE w:val="0"/>
                    <w:autoSpaceDN w:val="0"/>
                    <w:adjustRightInd w:val="0"/>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噪声治理措施</w:t>
                  </w:r>
                </w:p>
              </w:tc>
              <w:tc>
                <w:tcPr>
                  <w:tcW w:w="4922"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隔声、</w:t>
                  </w:r>
                  <w:r>
                    <w:rPr>
                      <w:rFonts w:hint="default" w:ascii="Times New Roman" w:hAnsi="Times New Roman" w:cs="Times New Roman"/>
                      <w:color w:val="auto"/>
                      <w:szCs w:val="21"/>
                      <w:highlight w:val="none"/>
                      <w:lang w:eastAsia="zh-CN"/>
                    </w:rPr>
                    <w:t>减振</w:t>
                  </w:r>
                  <w:r>
                    <w:rPr>
                      <w:rFonts w:hint="default" w:ascii="Times New Roman" w:hAnsi="Times New Roman" w:cs="Times New Roman"/>
                      <w:color w:val="auto"/>
                      <w:szCs w:val="21"/>
                      <w:highlight w:val="none"/>
                    </w:rPr>
                    <w:t>等设施</w:t>
                  </w:r>
                </w:p>
              </w:tc>
              <w:tc>
                <w:tcPr>
                  <w:tcW w:w="1586" w:type="dxa"/>
                  <w:noWrap w:val="0"/>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704" w:type="dxa"/>
                  <w:noWrap w:val="0"/>
                  <w:vAlign w:val="center"/>
                </w:tcPr>
                <w:p>
                  <w:pPr>
                    <w:autoSpaceDE w:val="0"/>
                    <w:autoSpaceDN w:val="0"/>
                    <w:adjustRightInd w:val="0"/>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废水处理措施</w:t>
                  </w:r>
                </w:p>
              </w:tc>
              <w:tc>
                <w:tcPr>
                  <w:tcW w:w="4922" w:type="dxa"/>
                  <w:noWrap w:val="0"/>
                  <w:vAlign w:val="center"/>
                </w:tcPr>
                <w:p>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w:t>
                  </w:r>
                </w:p>
              </w:tc>
              <w:tc>
                <w:tcPr>
                  <w:tcW w:w="158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704" w:type="dxa"/>
                  <w:noWrap w:val="0"/>
                  <w:vAlign w:val="center"/>
                </w:tcPr>
                <w:p>
                  <w:pPr>
                    <w:autoSpaceDE w:val="0"/>
                    <w:autoSpaceDN w:val="0"/>
                    <w:adjustRightInd w:val="0"/>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固废处理措施</w:t>
                  </w:r>
                </w:p>
              </w:tc>
              <w:tc>
                <w:tcPr>
                  <w:tcW w:w="4922" w:type="dxa"/>
                  <w:noWrap w:val="0"/>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一般固废暂存区、危废间</w:t>
                  </w:r>
                </w:p>
              </w:tc>
              <w:tc>
                <w:tcPr>
                  <w:tcW w:w="1586" w:type="dxa"/>
                  <w:noWrap w:val="0"/>
                  <w:vAlign w:val="center"/>
                </w:tcPr>
                <w:p>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1704"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4922" w:type="dxa"/>
                  <w:noWrap w:val="0"/>
                  <w:vAlign w:val="center"/>
                </w:tcPr>
                <w:p>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w:t>
                  </w:r>
                </w:p>
              </w:tc>
              <w:tc>
                <w:tcPr>
                  <w:tcW w:w="1586" w:type="dxa"/>
                  <w:noWrap w:val="0"/>
                  <w:vAlign w:val="center"/>
                </w:tcPr>
                <w:p>
                  <w:pPr>
                    <w:jc w:val="center"/>
                    <w:rPr>
                      <w:rFonts w:hint="default" w:ascii="Times New Roman" w:hAnsi="Times New Roman" w:cs="Times New Roman"/>
                      <w:color w:val="auto"/>
                      <w:szCs w:val="21"/>
                      <w:highlight w:val="none"/>
                      <w:lang w:val="en-US"/>
                    </w:rPr>
                  </w:pPr>
                  <w:r>
                    <w:rPr>
                      <w:rFonts w:hint="default" w:ascii="Times New Roman" w:hAnsi="Times New Roman" w:cs="Times New Roman"/>
                      <w:color w:val="auto"/>
                      <w:szCs w:val="21"/>
                      <w:highlight w:val="none"/>
                      <w:lang w:val="en-US" w:eastAsia="zh-CN"/>
                    </w:rPr>
                    <w:t>10</w:t>
                  </w:r>
                </w:p>
              </w:tc>
            </w:tr>
          </w:tbl>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outlineLvl w:val="9"/>
              <w:rPr>
                <w:rFonts w:hint="default" w:ascii="Times New Roman" w:hAnsi="Times New Roman" w:cs="Times New Roman" w:eastAsiaTheme="minorEastAsia"/>
                <w:color w:val="auto"/>
                <w:spacing w:val="0"/>
                <w:sz w:val="21"/>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352" w:type="pct"/>
            <w:noWrap w:val="0"/>
            <w:vAlign w:val="center"/>
          </w:tcPr>
          <w:p>
            <w:pPr>
              <w:adjustRightInd w:val="0"/>
              <w:snapToGrid w:val="0"/>
              <w:jc w:val="center"/>
              <w:rPr>
                <w:rFonts w:hint="default" w:ascii="Times New Roman" w:hAnsi="Times New Roman" w:cs="Times New Roman" w:eastAsiaTheme="minorEastAsia"/>
                <w:color w:val="auto"/>
                <w:spacing w:val="0"/>
                <w:kern w:val="0"/>
                <w:sz w:val="21"/>
                <w:szCs w:val="21"/>
                <w:highlight w:val="none"/>
                <w:lang w:eastAsia="zh-CN"/>
              </w:rPr>
            </w:pPr>
            <w:r>
              <w:rPr>
                <w:rFonts w:hint="default" w:ascii="Times New Roman" w:hAnsi="Times New Roman" w:cs="Times New Roman" w:eastAsiaTheme="minorEastAsia"/>
                <w:color w:val="auto"/>
                <w:spacing w:val="0"/>
                <w:kern w:val="0"/>
                <w:sz w:val="21"/>
                <w:szCs w:val="21"/>
                <w:highlight w:val="none"/>
                <w:lang w:eastAsia="zh-CN"/>
              </w:rPr>
              <w:t>工艺流程和产排污环节</w:t>
            </w:r>
          </w:p>
        </w:tc>
        <w:tc>
          <w:tcPr>
            <w:tcW w:w="4647"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一、施工期</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color w:val="auto"/>
                <w:szCs w:val="21"/>
                <w:highlight w:val="none"/>
                <w:lang w:val="en-US" w:eastAsia="zh-CN"/>
              </w:rPr>
              <w:t>本</w:t>
            </w:r>
            <w:r>
              <w:rPr>
                <w:rFonts w:hint="default" w:ascii="Times New Roman" w:hAnsi="Times New Roman" w:cs="Times New Roman" w:eastAsiaTheme="minorEastAsia"/>
                <w:color w:val="auto"/>
                <w:szCs w:val="21"/>
                <w:highlight w:val="none"/>
              </w:rPr>
              <w:t>项目为</w:t>
            </w:r>
            <w:r>
              <w:rPr>
                <w:rFonts w:hint="default" w:ascii="Times New Roman" w:hAnsi="Times New Roman" w:cs="Times New Roman" w:eastAsiaTheme="minorEastAsia"/>
                <w:color w:val="auto"/>
                <w:szCs w:val="21"/>
                <w:highlight w:val="none"/>
                <w:lang w:val="en-US" w:eastAsia="zh-CN"/>
              </w:rPr>
              <w:t>技改</w:t>
            </w:r>
            <w:r>
              <w:rPr>
                <w:rFonts w:hint="default" w:ascii="Times New Roman" w:hAnsi="Times New Roman" w:cs="Times New Roman" w:eastAsiaTheme="minorEastAsia"/>
                <w:color w:val="auto"/>
                <w:szCs w:val="21"/>
                <w:highlight w:val="none"/>
              </w:rPr>
              <w:t>项目，</w:t>
            </w:r>
            <w:r>
              <w:rPr>
                <w:rFonts w:hint="default" w:ascii="Times New Roman" w:hAnsi="Times New Roman" w:cs="Times New Roman" w:eastAsiaTheme="minorEastAsia"/>
                <w:color w:val="auto"/>
                <w:szCs w:val="21"/>
                <w:highlight w:val="none"/>
                <w:lang w:eastAsia="zh-CN"/>
              </w:rPr>
              <w:t>利用现有厂区内已建成厂房进行生产，不需进行土木建设，</w:t>
            </w:r>
            <w:r>
              <w:rPr>
                <w:rFonts w:hint="default" w:ascii="Times New Roman" w:hAnsi="Times New Roman" w:cs="Times New Roman" w:eastAsiaTheme="minorEastAsia"/>
                <w:color w:val="auto"/>
                <w:sz w:val="21"/>
                <w:szCs w:val="21"/>
                <w:highlight w:val="none"/>
              </w:rPr>
              <w:t>仅进行新的设备及管线、零部件的安装，施工期工程量小，对周围环境影响较小，且随着施工期的结束而结束，故本环评对其不做主要分析</w:t>
            </w:r>
            <w:r>
              <w:rPr>
                <w:rFonts w:hint="default" w:ascii="Times New Roman" w:hAnsi="Times New Roman" w:cs="Times New Roman" w:eastAsiaTheme="minorEastAsia"/>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二、运营期</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1、工艺流程</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color w:val="auto"/>
                <w:szCs w:val="21"/>
                <w:highlight w:val="none"/>
                <w:lang w:val="en-US" w:eastAsia="zh-CN"/>
              </w:rPr>
              <w:t>项目技改后新增数码印花工艺，其他工艺流程无变化，</w:t>
            </w:r>
            <w:r>
              <w:rPr>
                <w:rFonts w:hint="default" w:ascii="Times New Roman" w:hAnsi="Times New Roman" w:cs="Times New Roman" w:eastAsiaTheme="minorEastAsia"/>
                <w:color w:val="auto"/>
                <w:szCs w:val="21"/>
                <w:highlight w:val="none"/>
              </w:rPr>
              <w:t>项目主要生产</w:t>
            </w:r>
            <w:r>
              <w:rPr>
                <w:rFonts w:hint="default" w:ascii="Times New Roman" w:hAnsi="Times New Roman" w:cs="Times New Roman" w:eastAsiaTheme="minorEastAsia"/>
                <w:color w:val="auto"/>
                <w:szCs w:val="21"/>
                <w:highlight w:val="none"/>
                <w:lang w:val="de-DE"/>
              </w:rPr>
              <w:t>工艺流程见</w:t>
            </w:r>
            <w:r>
              <w:rPr>
                <w:rFonts w:hint="default" w:ascii="Times New Roman" w:hAnsi="Times New Roman" w:cs="Times New Roman" w:eastAsiaTheme="minorEastAsia"/>
                <w:color w:val="auto"/>
                <w:szCs w:val="21"/>
                <w:highlight w:val="none"/>
                <w:lang w:val="en-US" w:eastAsia="zh-CN"/>
              </w:rPr>
              <w:t>下图。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color w:val="auto"/>
                <w:highlight w:val="none"/>
              </w:rPr>
              <w:object>
                <v:shape id="_x0000_i1027" o:spt="75" type="#_x0000_t75" style="height:377.8pt;width:414.7pt;" o:ole="t" filled="f" o:preferrelative="t" stroked="f" coordsize="21600,21600">
                  <v:path/>
                  <v:fill on="f" focussize="0,0"/>
                  <v:stroke on="f"/>
                  <v:imagedata r:id="rId19" o:title=""/>
                  <o:lock v:ext="edit" aspectratio="f"/>
                  <w10:wrap type="none"/>
                  <w10:anchorlock/>
                </v:shape>
                <o:OLEObject Type="Embed" ProgID="Visio.Drawing.15" ShapeID="_x0000_i1027" DrawAspect="Content" ObjectID="_1468075727" r:id="rId18">
                  <o:LockedField>false</o:LockedField>
                </o:OLEObject>
              </w:objec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default" w:ascii="Times New Roman" w:hAnsi="Times New Roman" w:cs="Times New Roman" w:eastAsiaTheme="minorEastAsia"/>
                <w:b/>
                <w:color w:val="auto"/>
                <w:kern w:val="2"/>
                <w:sz w:val="21"/>
                <w:szCs w:val="21"/>
                <w:highlight w:val="none"/>
                <w:lang w:val="en-US" w:eastAsia="zh-CN" w:bidi="ar-SA"/>
              </w:rPr>
            </w:pPr>
            <w:r>
              <w:rPr>
                <w:rFonts w:hint="default" w:ascii="Times New Roman" w:hAnsi="Times New Roman" w:cs="Times New Roman" w:eastAsiaTheme="minorEastAsia"/>
                <w:b/>
                <w:color w:val="auto"/>
                <w:kern w:val="2"/>
                <w:sz w:val="21"/>
                <w:szCs w:val="21"/>
                <w:highlight w:val="none"/>
                <w:lang w:val="en-US" w:eastAsia="zh-CN" w:bidi="ar-SA"/>
              </w:rPr>
              <w:t>图2-3  本项目生产工艺流程及产污环节图</w:t>
            </w:r>
          </w:p>
          <w:p>
            <w:pPr>
              <w:pStyle w:val="2"/>
              <w:keepNext w:val="0"/>
              <w:keepLines w:val="0"/>
              <w:pageBreakBefore w:val="0"/>
              <w:numPr>
                <w:ilvl w:val="0"/>
                <w:numId w:val="0"/>
              </w:numPr>
              <w:kinsoku/>
              <w:wordWrap/>
              <w:overflowPunct/>
              <w:topLinePunct w:val="0"/>
              <w:autoSpaceDE/>
              <w:autoSpaceDN/>
              <w:bidi w:val="0"/>
              <w:spacing w:after="0" w:line="360" w:lineRule="auto"/>
              <w:ind w:firstLine="422" w:firstLineChars="200"/>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工艺流程：</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bookmarkStart w:id="9" w:name="OLE_LINK3"/>
            <w:r>
              <w:rPr>
                <w:rFonts w:hint="default" w:ascii="Times New Roman" w:hAnsi="Times New Roman" w:cs="Times New Roman" w:eastAsiaTheme="minorEastAsia"/>
                <w:b w:val="0"/>
                <w:bCs w:val="0"/>
                <w:color w:val="auto"/>
                <w:spacing w:val="0"/>
                <w:sz w:val="21"/>
                <w:szCs w:val="21"/>
                <w:highlight w:val="none"/>
                <w:lang w:val="en-US" w:eastAsia="zh-CN"/>
              </w:rPr>
              <w:t>第一步：验布缝头</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将待染色的棉坯布通过验布机进行逐卷外观检验，重点排查布面是否存在断纱、跳纱、污渍、破洞等质量缺陷，确保坯布符合后续加工要求。检验合格后，人工将相邻两卷坯布的布头拉出，校准布边平整度并确认织物正反面一致，采用工业缝纫机逐批进行连续缝头处理，形成连续布卷以保障后续工序不间断运行。此工序主要污染物为缝纫机运行产生的机械噪声。</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第二步：烧毛</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根据客户对布面光洁度的需求，约3‰的坯布需进入烧毛工序。坯布经导布辊送入烧毛机，通过天然气加热火口（天然气用量按需调节，单批次用量极少）对布面进行快速灼烧处理，去除布面绒毛以提升织物平整度与后续印花显色效果。烧毛过程中，坯布表面绒毛燃烧会产生少量粉尘（产生量低，无组织排放），同时可能伴随极少量非甲烷总烃（坯布中含有涤棉成分，涤棉为化学纤维，加热会产生有机废气）；天然气燃烧废气因用量少，未单独核算，与其他工序燃烧废气统一管控。</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第三步：冷堆</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将烧毛后（或无需烧毛）的棉坯布输送至冷堆机，按工艺配方在浸轧槽中加入调配好的工艺用水、双氧水（氧化剂）及液碱（pH调节剂）等冷堆助剂，通过轧辊对坯布进行均匀浸轧，使助剂充分渗透至纤维内部，随后将浸轧后的坯布卷绕成圆柱状布卷。布卷在室温（20~25℃）、密闭环境下静置堆存8~16小时，利用双氧水在碱性条件下的缓慢氧化作用，实现坯布的初步退浆与棉纤维杂质降解。冷堆助剂定期根据消耗量补充，全程无外排。</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第四步：丝光</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针对需提升尺寸稳定性与染色匀染性的坯布，送入丝光机进行处理。在丝光机浸轧槽中，按工艺要求加入调配好的工艺用水与液碱（浓度按坯布品种控制，通常为20%~25%），通过双轧辊对坯布进行浸轧，使棉纤维充分膨化，随后经张力控制装置保持布面平整，在室温下浸轧成卷并静置2小时，完成丝光处理以提升织物光泽度与染料吸附能力。丝光助剂定期补充，无外排。</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第五步：煮练、漂白</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冷堆、丝光处理后的棉坯布送入染色机，通入工艺用水与蒸汽，将温度升至90℃并保温2小时，通过煮练去除坯布残留的蜡质、果胶及冷堆助剂；同时，利用蒸汽维持温度，通过双氧水进一步漂白，提升坯布白度（白度值需达到85%以上，满足后续染色/印花要求）。此工序产生弱碱性废水（pH8~9），主要污染物为COD、SS及残留助剂，废水产生量约占印染总废水的30%，经车间管网收集后进入厂区污水处理站。冷堆、煮练所用药剂均为无机物，全程不产生VOCs。</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第六步：水洗</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煮练、漂白后的坯布先排出煮练废水，再通入40~50℃的工艺用水与蒸汽，通过多段水洗装置反复冲洗，去除坯布内部残留的碱剂、双氧水及煮练杂质，确保坯布pH降至6~7（中性），避免影响后续染色/印花效果。水洗过程产生的废水为弱碱性（pH7~8），污染物成分与煮练废水类似，与煮练废水合并进入厂区污水处理站。</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第七步：染色、染色后水洗</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7.1染色</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部分水洗后的棉坯布送入高温染色机（项目技改新增3台），按客户色号要求，在染色机内加入调配好的无机染料、偶氮类染料及配套助剂（如匀染剂、缓染剂）的水溶物，通入工艺用水与蒸汽，将温度升至90~100℃，保温1.5~2小时，通过染料分子渗透与纤维结合实现染色。此工序产生弱酸性废水（pH5~6），主要污染物为COD、色度及残留染料，废水产生量约占印染总废水的40%，收集后进入厂区污水处理站。染色所用染料及助剂均不含挥发性成分，全程不产生VOCs。</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7.2染色后水洗</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染色完成后，向染色机内加入固色剂（如阳离子固色剂），通入60℃的工艺用水与蒸汽，保温30分钟，随后反复冲洗，去除布面浮色与残留染色助剂，确保织物色牢度（皂洗牢度、摩擦牢度）符合客户标准。水洗产生的废水为弱酸性（pH6~7），含少量浮色与固色剂，与染色废水合并处理。</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部分棉坯布根据客户需求无需染色，经水洗达标后直接进入拉幅烘干工序。</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第八步：印花（技改新增数码印花工序）</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8.1印花前准备</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项目2台数码印花机设置在环境温度要求25±5摄氏度，环境湿度要求65±5%RH的密闭印花间内，外购的成品水性油墨经人工加料送入数码印花机的水性油墨储罐，坯布经导布系统进入印花机，通过计算机预设花型图案，控制印花机喷头（温度35~40℃）按图案轨迹精准喷射水性油墨至布面，印花速度根据花型复杂度调整（通常为15~20m/min）。此工序产生少量VOCs。</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8.2印花后处理</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印花完成的坯布进入印花机配套的热风干燥装置（温度60~70℃，热源为装置内天然气燃烧机燃烧天然气产生的热烟气），直接、快速烘干布面表层水性油墨，防止花型晕染；随后转入暂存区。此工序产生少量VOCs。</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第九步：浸浆</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水洗白坯布、印花坯布、染色坯布送入浸浆机，在浸浆槽中加入预先调配的浆料（主要成分为淀粉、聚乙烯醇，辅以少量柔软剂、防腐剂），通过双轧辊（压力0.3~0.5MPa）对坯布进行均匀浸轧，控制布面带液量为70%~80%，确保浆料在布面形成连续、均匀的薄膜，以提升织物手感、耐磨性与挺括度。浆料定期根据消耗量补充，无外排。</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第十步：烘焙</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浸浆后的坯布送入焙烘设备（蒸汽供热，温度120~150℃），在热风循环环境下加热20~30分钟。此过程中，一方面使浆料中的水分完全蒸发（蒸发水蒸汽无污染物，直接排放），另一方面促使淀粉、聚乙烯醇发生交联固化反应，将浆料牢固附着于布面，形成稳定的保护层。</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第十步：拉幅定型</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焙烘后的坯布先经烘干机（</w:t>
            </w:r>
            <w:r>
              <w:rPr>
                <w:rFonts w:hint="eastAsia" w:cs="Times New Roman" w:eastAsiaTheme="minorEastAsia"/>
                <w:b w:val="0"/>
                <w:bCs w:val="0"/>
                <w:color w:val="auto"/>
                <w:spacing w:val="0"/>
                <w:sz w:val="21"/>
                <w:szCs w:val="21"/>
                <w:highlight w:val="none"/>
                <w:lang w:val="en-US" w:eastAsia="zh-CN"/>
              </w:rPr>
              <w:t>共设有4条定型线，2条</w:t>
            </w:r>
            <w:r>
              <w:rPr>
                <w:rFonts w:hint="default" w:ascii="Times New Roman" w:hAnsi="Times New Roman" w:cs="Times New Roman" w:eastAsiaTheme="minorEastAsia"/>
                <w:b w:val="0"/>
                <w:bCs w:val="0"/>
                <w:color w:val="auto"/>
                <w:spacing w:val="0"/>
                <w:sz w:val="21"/>
                <w:szCs w:val="21"/>
                <w:highlight w:val="none"/>
                <w:lang w:val="en-US" w:eastAsia="zh-CN"/>
              </w:rPr>
              <w:t>蒸汽</w:t>
            </w:r>
            <w:r>
              <w:rPr>
                <w:rFonts w:hint="eastAsia" w:cs="Times New Roman" w:eastAsiaTheme="minorEastAsia"/>
                <w:b w:val="0"/>
                <w:bCs w:val="0"/>
                <w:color w:val="auto"/>
                <w:spacing w:val="0"/>
                <w:sz w:val="21"/>
                <w:szCs w:val="21"/>
                <w:highlight w:val="none"/>
                <w:lang w:val="en-US" w:eastAsia="zh-CN"/>
              </w:rPr>
              <w:t>烘干定型线和2条天然气烘干定型线；2条天然气烘干定型线伴随极少量非甲烷总烃（涤棉为化学纤维，加热会产生有机废气）</w:t>
            </w:r>
            <w:r>
              <w:rPr>
                <w:rFonts w:hint="default" w:ascii="Times New Roman" w:hAnsi="Times New Roman" w:cs="Times New Roman" w:eastAsiaTheme="minorEastAsia"/>
                <w:b w:val="0"/>
                <w:bCs w:val="0"/>
                <w:color w:val="auto"/>
                <w:spacing w:val="0"/>
                <w:sz w:val="21"/>
                <w:szCs w:val="21"/>
                <w:highlight w:val="none"/>
                <w:lang w:val="en-US" w:eastAsia="zh-CN"/>
              </w:rPr>
              <w:t>）烘干表层残留水分，随后送入开幅定型机。定型机利用机械张力调整布幅宽度，使坯布门幅缩水率控制在2%以内，满足客户对织物尺寸稳定性的要求。定型过程中，布面残留的少量浆料挥发性成分随热风排出，因产生量极少，无组织排放。</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第十步：质检打包</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人工将定型后的坯布送至验布机，通过灯光照射逐米检验布面质量，按花型完整性、色牢度、布面缺陷等指标分出合格品（一等品、二等品）与不合格品；同时，随机取样检测织物的缩水率（按GB/T8629-2017标准）、克重（按GB/T4802.1-2008标准）等物理指标，确保符合订单要求。合格品经打卷机打卷或打包机打包，不合格品收集后外售综合利用。此工序主要污染物为验布机运行产生的机械噪声</w:t>
            </w:r>
            <w:r>
              <w:rPr>
                <w:rFonts w:hint="default" w:ascii="Times New Roman" w:hAnsi="Times New Roman" w:cs="Times New Roman"/>
                <w:color w:val="auto"/>
                <w:highlight w:val="none"/>
                <w:lang w:val="en-US" w:eastAsia="zh-CN"/>
              </w:rPr>
              <w:t>。</w:t>
            </w:r>
          </w:p>
          <w:bookmarkEnd w:id="9"/>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2、产污环节分析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（1）废气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color w:val="auto"/>
                <w:highlight w:val="none"/>
                <w:lang w:val="en-US" w:eastAsia="zh-CN"/>
              </w:rPr>
              <w:t>技改项目新增废气为印花工序产生的VOCs（以非甲烷总烃计）、二氧化硫、氮氧化物、颗粒物</w:t>
            </w:r>
            <w:r>
              <w:rPr>
                <w:rFonts w:hint="default" w:ascii="Times New Roman" w:hAnsi="Times New Roman" w:cs="Times New Roman" w:eastAsiaTheme="minorEastAsia"/>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（2）废水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color w:val="auto"/>
                <w:szCs w:val="21"/>
                <w:highlight w:val="none"/>
                <w:lang w:val="en-US" w:eastAsia="zh-CN"/>
              </w:rPr>
              <w:t>技改项目不新增废水种类和产生量。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（3）固废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现有项目生产过程产生的固废主要为废包装材料、废边角料、废缝纫线轮、污泥、废机油、废油桶、废离子交换树脂、废活性炭、废灯管、废料桶。技改后项目新增固废种类废水性油墨桶，新增废活性炭产生量</w:t>
            </w:r>
            <w:r>
              <w:rPr>
                <w:rFonts w:hint="default" w:ascii="Times New Roman" w:hAnsi="Times New Roman" w:cs="Times New Roman" w:eastAsiaTheme="minorEastAsia"/>
                <w:color w:val="auto"/>
                <w:spacing w:val="0"/>
                <w:kern w:val="0"/>
                <w:position w:val="0"/>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（4）噪声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rPr>
              <w:t>本项目</w:t>
            </w:r>
            <w:r>
              <w:rPr>
                <w:rFonts w:hint="default" w:ascii="Times New Roman" w:hAnsi="Times New Roman" w:cs="Times New Roman" w:eastAsiaTheme="minorEastAsia"/>
                <w:color w:val="auto"/>
                <w:highlight w:val="none"/>
                <w:lang w:val="en-US" w:eastAsia="zh-CN"/>
              </w:rPr>
              <w:t>技改后</w:t>
            </w:r>
            <w:r>
              <w:rPr>
                <w:rFonts w:hint="default" w:ascii="Times New Roman" w:hAnsi="Times New Roman" w:cs="Times New Roman" w:eastAsiaTheme="minorEastAsia"/>
                <w:color w:val="auto"/>
                <w:highlight w:val="none"/>
              </w:rPr>
              <w:t>噪声主要</w:t>
            </w:r>
            <w:r>
              <w:rPr>
                <w:rFonts w:hint="default" w:ascii="Times New Roman" w:hAnsi="Times New Roman" w:cs="Times New Roman" w:eastAsiaTheme="minorEastAsia"/>
                <w:color w:val="auto"/>
                <w:highlight w:val="none"/>
                <w:lang w:val="en-US" w:eastAsia="zh-CN"/>
              </w:rPr>
              <w:t>为数码印花机</w:t>
            </w:r>
            <w:r>
              <w:rPr>
                <w:rFonts w:hint="default" w:ascii="Times New Roman" w:hAnsi="Times New Roman" w:cs="Times New Roman" w:eastAsiaTheme="minorEastAsia"/>
                <w:color w:val="auto"/>
                <w:highlight w:val="none"/>
              </w:rPr>
              <w:t>，噪声强度约</w:t>
            </w:r>
            <w:r>
              <w:rPr>
                <w:rFonts w:hint="default" w:ascii="Times New Roman" w:hAnsi="Times New Roman" w:cs="Times New Roman" w:eastAsiaTheme="minorEastAsia"/>
                <w:color w:val="auto"/>
                <w:highlight w:val="none"/>
                <w:lang w:eastAsia="zh-CN"/>
              </w:rPr>
              <w:t>85~89</w:t>
            </w:r>
            <w:r>
              <w:rPr>
                <w:rFonts w:hint="default" w:ascii="Times New Roman" w:hAnsi="Times New Roman" w:cs="Times New Roman" w:eastAsiaTheme="minorEastAsia"/>
                <w:color w:val="auto"/>
                <w:highlight w:val="none"/>
              </w:rPr>
              <w:t>dB</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A</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技改</w:t>
            </w:r>
            <w:r>
              <w:rPr>
                <w:rFonts w:hint="default" w:ascii="Times New Roman" w:hAnsi="Times New Roman" w:cs="Times New Roman" w:eastAsiaTheme="minorEastAsia"/>
                <w:color w:val="auto"/>
                <w:highlight w:val="none"/>
              </w:rPr>
              <w:t>项目通过选用低噪声设备，合理布置噪声源位置，安装减振垫，同时项目主要生产设备均位于厂房内，噪声通过厂房墙壁的隔声，可有效降低项目噪声影响</w:t>
            </w:r>
            <w:r>
              <w:rPr>
                <w:rFonts w:hint="default" w:ascii="Times New Roman" w:hAnsi="Times New Roman" w:cs="Times New Roman" w:eastAsiaTheme="minor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auto"/>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70" w:hRule="atLeast"/>
          <w:jc w:val="center"/>
        </w:trPr>
        <w:tc>
          <w:tcPr>
            <w:tcW w:w="352" w:type="pct"/>
            <w:noWrap w:val="0"/>
            <w:vAlign w:val="center"/>
          </w:tcPr>
          <w:p>
            <w:pPr>
              <w:adjustRightInd w:val="0"/>
              <w:snapToGrid w:val="0"/>
              <w:jc w:val="center"/>
              <w:rPr>
                <w:rFonts w:hint="default" w:ascii="Times New Roman" w:hAnsi="Times New Roman" w:cs="Times New Roman" w:eastAsiaTheme="minorEastAsia"/>
                <w:color w:val="auto"/>
                <w:spacing w:val="0"/>
                <w:kern w:val="0"/>
                <w:sz w:val="21"/>
                <w:szCs w:val="21"/>
                <w:highlight w:val="none"/>
                <w:lang w:eastAsia="zh-CN"/>
              </w:rPr>
            </w:pPr>
            <w:r>
              <w:rPr>
                <w:rFonts w:hint="default" w:ascii="Times New Roman" w:hAnsi="Times New Roman" w:cs="Times New Roman" w:eastAsiaTheme="minorEastAsia"/>
                <w:color w:val="auto"/>
                <w:spacing w:val="0"/>
                <w:kern w:val="0"/>
                <w:sz w:val="21"/>
                <w:szCs w:val="21"/>
                <w:highlight w:val="none"/>
                <w:lang w:eastAsia="zh-CN"/>
              </w:rPr>
              <w:t>与项目有关的原有环境污染问题</w:t>
            </w:r>
          </w:p>
        </w:tc>
        <w:tc>
          <w:tcPr>
            <w:tcW w:w="4647" w:type="pct"/>
            <w:noWrap w:val="0"/>
            <w:vAlign w:val="center"/>
          </w:tcPr>
          <w:p>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1、与本项目有关的现有项目情况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（1）现有项目“三同时”情况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公司现有项目“三同时”情况见下表：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表2-7 公司现有项目“三同时”情况一览表</w:t>
            </w:r>
          </w:p>
          <w:tbl>
            <w:tblPr>
              <w:tblStyle w:val="36"/>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494"/>
              <w:gridCol w:w="1117"/>
              <w:gridCol w:w="2259"/>
              <w:gridCol w:w="1757"/>
              <w:gridCol w:w="14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873"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项目名称</w:t>
                  </w:r>
                </w:p>
              </w:tc>
              <w:tc>
                <w:tcPr>
                  <w:tcW w:w="653"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报告类型</w:t>
                  </w:r>
                </w:p>
              </w:tc>
              <w:tc>
                <w:tcPr>
                  <w:tcW w:w="1320"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环评</w:t>
                  </w:r>
                  <w:r>
                    <w:rPr>
                      <w:rFonts w:hint="default" w:ascii="Times New Roman" w:hAnsi="Times New Roman" w:eastAsia="宋体" w:cs="Times New Roman"/>
                      <w:b/>
                      <w:bCs/>
                      <w:color w:val="auto"/>
                      <w:sz w:val="21"/>
                      <w:szCs w:val="21"/>
                      <w:highlight w:val="none"/>
                      <w:lang w:val="en-US" w:eastAsia="zh-CN"/>
                    </w:rPr>
                    <w:t>批复/</w:t>
                  </w:r>
                  <w:r>
                    <w:rPr>
                      <w:rFonts w:hint="default" w:ascii="Times New Roman" w:hAnsi="Times New Roman" w:eastAsia="宋体" w:cs="Times New Roman"/>
                      <w:b/>
                      <w:bCs/>
                      <w:color w:val="auto"/>
                      <w:sz w:val="21"/>
                      <w:szCs w:val="21"/>
                      <w:highlight w:val="none"/>
                    </w:rPr>
                    <w:t>备案</w:t>
                  </w:r>
                </w:p>
              </w:tc>
              <w:tc>
                <w:tcPr>
                  <w:tcW w:w="1027"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验收批复</w:t>
                  </w:r>
                </w:p>
              </w:tc>
              <w:tc>
                <w:tcPr>
                  <w:tcW w:w="859"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运行情况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873"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年产3000万米印染布项目</w:t>
                  </w:r>
                </w:p>
              </w:tc>
              <w:tc>
                <w:tcPr>
                  <w:tcW w:w="653"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报告</w:t>
                  </w:r>
                  <w:r>
                    <w:rPr>
                      <w:rFonts w:hint="default" w:ascii="Times New Roman" w:hAnsi="Times New Roman" w:eastAsia="宋体" w:cs="Times New Roman"/>
                      <w:color w:val="auto"/>
                      <w:sz w:val="21"/>
                      <w:szCs w:val="21"/>
                      <w:highlight w:val="none"/>
                      <w:lang w:val="en-US" w:eastAsia="zh-CN"/>
                    </w:rPr>
                    <w:t>书</w:t>
                  </w:r>
                </w:p>
              </w:tc>
              <w:tc>
                <w:tcPr>
                  <w:tcW w:w="1320" w:type="pct"/>
                  <w:tcBorders>
                    <w:tl2br w:val="nil"/>
                    <w:tr2bl w:val="nil"/>
                  </w:tcBorders>
                  <w:noWrap w:val="0"/>
                  <w:tcMar>
                    <w:left w:w="0" w:type="dxa"/>
                    <w:right w:w="0" w:type="dxa"/>
                  </w:tcMar>
                  <w:vAlign w:val="center"/>
                </w:tcPr>
                <w:p>
                  <w:pPr>
                    <w:pStyle w:val="75"/>
                    <w:spacing w:line="32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1991.3</w:t>
                  </w:r>
                </w:p>
                <w:p>
                  <w:pPr>
                    <w:pStyle w:val="75"/>
                    <w:spacing w:line="32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淄环便字[1991]第12号</w:t>
                  </w:r>
                </w:p>
              </w:tc>
              <w:tc>
                <w:tcPr>
                  <w:tcW w:w="1027" w:type="pct"/>
                  <w:tcBorders>
                    <w:tl2br w:val="nil"/>
                    <w:tr2bl w:val="nil"/>
                  </w:tcBorders>
                  <w:noWrap w:val="0"/>
                  <w:tcMar>
                    <w:left w:w="0" w:type="dxa"/>
                    <w:right w:w="0" w:type="dxa"/>
                  </w:tcMar>
                  <w:vAlign w:val="center"/>
                </w:tcPr>
                <w:p>
                  <w:pPr>
                    <w:pStyle w:val="75"/>
                    <w:spacing w:line="32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val="en-US" w:eastAsia="zh-CN"/>
                    </w:rPr>
                    <w:t>2008.1.13</w:t>
                  </w:r>
                </w:p>
                <w:p>
                  <w:pPr>
                    <w:pStyle w:val="75"/>
                    <w:spacing w:line="32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周环验[2008]03号</w:t>
                  </w:r>
                </w:p>
              </w:tc>
              <w:tc>
                <w:tcPr>
                  <w:tcW w:w="859"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正常运行</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highlight w:val="none"/>
                    </w:rPr>
                    <w:t>达到</w:t>
                  </w:r>
                  <w:r>
                    <w:rPr>
                      <w:rFonts w:hint="default" w:ascii="Times New Roman" w:hAnsi="Times New Roman" w:eastAsia="宋体" w:cs="Times New Roman"/>
                      <w:color w:val="auto"/>
                      <w:sz w:val="21"/>
                      <w:szCs w:val="21"/>
                      <w:highlight w:val="none"/>
                      <w:lang w:val="en-US" w:eastAsia="zh-CN"/>
                    </w:rPr>
                    <w:t>年产3000万米印染布</w:t>
                  </w:r>
                  <w:r>
                    <w:rPr>
                      <w:rFonts w:hint="default" w:ascii="Times New Roman" w:hAnsi="Times New Roman" w:eastAsia="宋体" w:cs="Times New Roman"/>
                      <w:color w:val="auto"/>
                      <w:highlight w:val="none"/>
                    </w:rPr>
                    <w:t>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873"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年产3000万米印染布项目</w:t>
                  </w:r>
                </w:p>
              </w:tc>
              <w:tc>
                <w:tcPr>
                  <w:tcW w:w="653"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后评价</w:t>
                  </w:r>
                </w:p>
              </w:tc>
              <w:tc>
                <w:tcPr>
                  <w:tcW w:w="1320" w:type="pct"/>
                  <w:tcBorders>
                    <w:tl2br w:val="nil"/>
                    <w:tr2bl w:val="nil"/>
                  </w:tcBorders>
                  <w:noWrap w:val="0"/>
                  <w:tcMar>
                    <w:left w:w="0" w:type="dxa"/>
                    <w:right w:w="0" w:type="dxa"/>
                  </w:tcMar>
                  <w:vAlign w:val="center"/>
                </w:tcPr>
                <w:p>
                  <w:pPr>
                    <w:pStyle w:val="75"/>
                    <w:spacing w:line="32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2018.2.28</w:t>
                  </w:r>
                </w:p>
                <w:p>
                  <w:pPr>
                    <w:pStyle w:val="75"/>
                    <w:spacing w:line="320" w:lineRule="exact"/>
                    <w:jc w:val="center"/>
                    <w:rPr>
                      <w:rFonts w:hint="default" w:ascii="Times New Roman" w:hAnsi="Times New Roman" w:eastAsia="宋体" w:cs="Times New Roman"/>
                      <w:color w:val="auto"/>
                      <w:kern w:val="2"/>
                      <w:sz w:val="21"/>
                      <w:szCs w:val="24"/>
                      <w:highlight w:val="none"/>
                      <w:lang w:val="en-US" w:eastAsia="zh-CN" w:bidi="zh-CN"/>
                    </w:rPr>
                  </w:pPr>
                  <w:r>
                    <w:rPr>
                      <w:rFonts w:hint="default" w:ascii="Times New Roman" w:hAnsi="Times New Roman" w:eastAsia="宋体" w:cs="Times New Roman"/>
                      <w:color w:val="auto"/>
                      <w:highlight w:val="none"/>
                      <w:lang w:val="en-US" w:eastAsia="zh-CN"/>
                    </w:rPr>
                    <w:t>淄文环备[2018]1号</w:t>
                  </w:r>
                </w:p>
              </w:tc>
              <w:tc>
                <w:tcPr>
                  <w:tcW w:w="1027" w:type="pct"/>
                  <w:tcBorders>
                    <w:tl2br w:val="nil"/>
                    <w:tr2bl w:val="nil"/>
                  </w:tcBorders>
                  <w:noWrap w:val="0"/>
                  <w:tcMar>
                    <w:left w:w="0" w:type="dxa"/>
                    <w:right w:w="0" w:type="dxa"/>
                  </w:tcMar>
                  <w:vAlign w:val="center"/>
                </w:tcPr>
                <w:p>
                  <w:pPr>
                    <w:pStyle w:val="75"/>
                    <w:spacing w:line="320" w:lineRule="exact"/>
                    <w:jc w:val="center"/>
                    <w:rPr>
                      <w:rFonts w:hint="default" w:ascii="Times New Roman" w:hAnsi="Times New Roman" w:eastAsia="宋体" w:cs="Times New Roman"/>
                      <w:color w:val="auto"/>
                      <w:kern w:val="2"/>
                      <w:sz w:val="21"/>
                      <w:szCs w:val="24"/>
                      <w:highlight w:val="none"/>
                      <w:lang w:val="en-US" w:eastAsia="zh-CN" w:bidi="zh-CN"/>
                    </w:rPr>
                  </w:pPr>
                  <w:r>
                    <w:rPr>
                      <w:rFonts w:hint="default" w:ascii="Times New Roman" w:hAnsi="Times New Roman" w:eastAsia="宋体" w:cs="Times New Roman"/>
                      <w:color w:val="auto"/>
                      <w:highlight w:val="none"/>
                      <w:lang w:val="en-US" w:eastAsia="zh-CN"/>
                    </w:rPr>
                    <w:t>/</w:t>
                  </w:r>
                </w:p>
              </w:tc>
              <w:tc>
                <w:tcPr>
                  <w:tcW w:w="859"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正常运行</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highlight w:val="none"/>
                    </w:rPr>
                    <w:t>达到</w:t>
                  </w:r>
                  <w:r>
                    <w:rPr>
                      <w:rFonts w:hint="default" w:ascii="Times New Roman" w:hAnsi="Times New Roman" w:eastAsia="宋体" w:cs="Times New Roman"/>
                      <w:color w:val="auto"/>
                      <w:sz w:val="21"/>
                      <w:szCs w:val="21"/>
                      <w:highlight w:val="none"/>
                      <w:lang w:val="en-US" w:eastAsia="zh-CN"/>
                    </w:rPr>
                    <w:t>年产3000万米印染布</w:t>
                  </w:r>
                  <w:r>
                    <w:rPr>
                      <w:rFonts w:hint="default" w:ascii="Times New Roman" w:hAnsi="Times New Roman" w:eastAsia="宋体" w:cs="Times New Roman"/>
                      <w:color w:val="auto"/>
                      <w:highlight w:val="none"/>
                    </w:rPr>
                    <w:t>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873"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锅炉清洁能源项目</w:t>
                  </w:r>
                </w:p>
              </w:tc>
              <w:tc>
                <w:tcPr>
                  <w:tcW w:w="653"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报告表</w:t>
                  </w:r>
                </w:p>
              </w:tc>
              <w:tc>
                <w:tcPr>
                  <w:tcW w:w="1320" w:type="pct"/>
                  <w:tcBorders>
                    <w:tl2br w:val="nil"/>
                    <w:tr2bl w:val="nil"/>
                  </w:tcBorders>
                  <w:noWrap w:val="0"/>
                  <w:tcMar>
                    <w:left w:w="0" w:type="dxa"/>
                    <w:right w:w="0" w:type="dxa"/>
                  </w:tcMar>
                  <w:vAlign w:val="center"/>
                </w:tcPr>
                <w:p>
                  <w:pPr>
                    <w:pStyle w:val="75"/>
                    <w:spacing w:line="32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2018.12.11</w:t>
                  </w:r>
                </w:p>
                <w:p>
                  <w:pPr>
                    <w:pStyle w:val="75"/>
                    <w:spacing w:line="320" w:lineRule="exact"/>
                    <w:jc w:val="center"/>
                    <w:rPr>
                      <w:rFonts w:hint="default" w:ascii="Times New Roman" w:hAnsi="Times New Roman" w:eastAsia="宋体" w:cs="Times New Roman"/>
                      <w:color w:val="auto"/>
                      <w:kern w:val="2"/>
                      <w:sz w:val="21"/>
                      <w:szCs w:val="24"/>
                      <w:highlight w:val="none"/>
                      <w:lang w:val="en-US" w:eastAsia="zh-CN" w:bidi="zh-CN"/>
                    </w:rPr>
                  </w:pPr>
                  <w:r>
                    <w:rPr>
                      <w:rFonts w:hint="default" w:ascii="Times New Roman" w:hAnsi="Times New Roman" w:eastAsia="宋体" w:cs="Times New Roman"/>
                      <w:color w:val="auto"/>
                      <w:highlight w:val="none"/>
                      <w:lang w:val="en-US" w:eastAsia="zh-CN"/>
                    </w:rPr>
                    <w:t>淄文环报告表[2018]99号</w:t>
                  </w:r>
                </w:p>
              </w:tc>
              <w:tc>
                <w:tcPr>
                  <w:tcW w:w="1027" w:type="pct"/>
                  <w:tcBorders>
                    <w:tl2br w:val="nil"/>
                    <w:tr2bl w:val="nil"/>
                  </w:tcBorders>
                  <w:noWrap w:val="0"/>
                  <w:tcMar>
                    <w:left w:w="0" w:type="dxa"/>
                    <w:right w:w="0" w:type="dxa"/>
                  </w:tcMar>
                  <w:vAlign w:val="center"/>
                </w:tcPr>
                <w:p>
                  <w:pPr>
                    <w:pStyle w:val="75"/>
                    <w:spacing w:line="32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2019.1.15</w:t>
                  </w:r>
                </w:p>
                <w:p>
                  <w:pPr>
                    <w:pStyle w:val="75"/>
                    <w:spacing w:line="320" w:lineRule="exact"/>
                    <w:jc w:val="center"/>
                    <w:rPr>
                      <w:rFonts w:hint="default" w:ascii="Times New Roman" w:hAnsi="Times New Roman" w:eastAsia="宋体" w:cs="Times New Roman"/>
                      <w:color w:val="auto"/>
                      <w:kern w:val="2"/>
                      <w:sz w:val="21"/>
                      <w:szCs w:val="24"/>
                      <w:highlight w:val="none"/>
                      <w:lang w:val="en-US" w:eastAsia="zh-CN" w:bidi="zh-CN"/>
                    </w:rPr>
                  </w:pPr>
                  <w:r>
                    <w:rPr>
                      <w:rFonts w:hint="default" w:ascii="Times New Roman" w:hAnsi="Times New Roman" w:eastAsia="宋体" w:cs="Times New Roman"/>
                      <w:color w:val="auto"/>
                      <w:highlight w:val="none"/>
                      <w:lang w:val="en-US" w:eastAsia="zh-CN"/>
                    </w:rPr>
                    <w:t>完成自主竣工验收</w:t>
                  </w:r>
                </w:p>
              </w:tc>
              <w:tc>
                <w:tcPr>
                  <w:tcW w:w="859"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拆除原燃煤锅炉，新建8t/h的燃气锅炉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tcBorders>
                    <w:tl2br w:val="nil"/>
                    <w:tr2bl w:val="nil"/>
                  </w:tcBorders>
                  <w:noWrap w:val="0"/>
                  <w:tcMar>
                    <w:left w:w="0" w:type="dxa"/>
                    <w:right w:w="0" w:type="dxa"/>
                  </w:tcMar>
                  <w:vAlign w:val="center"/>
                </w:tcPr>
                <w:p>
                  <w:pPr>
                    <w:pStyle w:val="75"/>
                    <w:spacing w:line="320" w:lineRule="exact"/>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rPr>
                    <w:t>项目</w:t>
                  </w:r>
                  <w:r>
                    <w:rPr>
                      <w:rFonts w:hint="default" w:ascii="Times New Roman" w:hAnsi="Times New Roman" w:eastAsia="宋体" w:cs="Times New Roman"/>
                      <w:color w:val="auto"/>
                      <w:highlight w:val="none"/>
                      <w:lang w:val="en-US" w:eastAsia="zh-CN"/>
                    </w:rPr>
                    <w:t>已</w:t>
                  </w:r>
                  <w:r>
                    <w:rPr>
                      <w:rFonts w:hint="default" w:ascii="Times New Roman" w:hAnsi="Times New Roman" w:eastAsia="宋体" w:cs="Times New Roman"/>
                      <w:color w:val="auto"/>
                      <w:highlight w:val="none"/>
                    </w:rPr>
                    <w:t>申领排污许可证（编号：91370306737243058K001P），有效期至2029</w:t>
                  </w:r>
                  <w:r>
                    <w:rPr>
                      <w:rFonts w:hint="default" w:ascii="Times New Roman" w:hAnsi="Times New Roman" w:eastAsia="宋体" w:cs="Times New Roman"/>
                      <w:color w:val="auto"/>
                      <w:highlight w:val="none"/>
                      <w:lang w:val="en-US" w:eastAsia="zh-CN"/>
                    </w:rPr>
                    <w:t>年3月27日</w:t>
                  </w:r>
                </w:p>
              </w:tc>
            </w:tr>
          </w:tbl>
          <w:p>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公司现有项目产能为年产3000万米染色布。</w:t>
            </w:r>
            <w:r>
              <w:rPr>
                <w:rFonts w:hint="default" w:ascii="Times New Roman" w:hAnsi="Times New Roman" w:cs="Times New Roman" w:eastAsiaTheme="minorEastAsia"/>
                <w:color w:val="auto"/>
                <w:spacing w:val="0"/>
                <w:sz w:val="21"/>
                <w:szCs w:val="21"/>
                <w:highlight w:val="none"/>
                <w:lang w:val="en-US" w:eastAsia="zh-CN"/>
              </w:rPr>
              <w:tab/>
            </w:r>
          </w:p>
          <w:p>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（2）现有项目原辅材料</w:t>
            </w:r>
          </w:p>
          <w:p>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现有项目原辅材料消耗情况见下表。</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表2-8 现有项目主要原辅材料及能源消耗一览表</w:t>
            </w:r>
          </w:p>
          <w:tbl>
            <w:tblPr>
              <w:tblStyle w:val="3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1643"/>
              <w:gridCol w:w="1419"/>
              <w:gridCol w:w="1508"/>
              <w:gridCol w:w="31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序号</w:t>
                  </w:r>
                </w:p>
              </w:tc>
              <w:tc>
                <w:tcPr>
                  <w:tcW w:w="960"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名称</w:t>
                  </w:r>
                </w:p>
              </w:tc>
              <w:tc>
                <w:tcPr>
                  <w:tcW w:w="829"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单位</w:t>
                  </w:r>
                </w:p>
              </w:tc>
              <w:tc>
                <w:tcPr>
                  <w:tcW w:w="881"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年用量</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sz w:val="21"/>
                      <w:szCs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原辅材料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highlight w:val="none"/>
                    </w:rPr>
                    <w:t>1</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坯布</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万m/a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3000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highlight w:val="none"/>
                    </w:rPr>
                    <w:t>2</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染化料</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30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外购，固体，箱装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元明粉</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35</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外购，固体，10kg袋装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液碱</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500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外购，液态，40m</w:t>
                  </w:r>
                  <w:r>
                    <w:rPr>
                      <w:rFonts w:hint="default" w:ascii="Times New Roman" w:hAnsi="Times New Roman" w:cs="Times New Roman" w:eastAsiaTheme="minorEastAsia"/>
                      <w:color w:val="auto"/>
                      <w:kern w:val="2"/>
                      <w:sz w:val="21"/>
                      <w:szCs w:val="21"/>
                      <w:highlight w:val="none"/>
                      <w:vertAlign w:val="superscript"/>
                      <w:lang w:val="en-US" w:eastAsia="zh-CN" w:bidi="ar-SA"/>
                    </w:rPr>
                    <w:t>3</w:t>
                  </w:r>
                  <w:r>
                    <w:rPr>
                      <w:rFonts w:hint="default" w:ascii="Times New Roman" w:hAnsi="Times New Roman" w:cs="Times New Roman" w:eastAsiaTheme="minorEastAsia"/>
                      <w:color w:val="auto"/>
                      <w:kern w:val="2"/>
                      <w:sz w:val="21"/>
                      <w:szCs w:val="21"/>
                      <w:highlight w:val="none"/>
                      <w:lang w:val="en-US" w:eastAsia="zh-CN" w:bidi="ar-SA"/>
                    </w:rPr>
                    <w:t>储罐储存（车间内）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双氧水</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150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碱粉</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外购，固体，40kg袋装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7</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去碱剂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20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外购，液体，120kg桶装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涤棉处理剂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15</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9</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柔软剂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12</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染色助剂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12</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11</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渗透剂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12</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除油剂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8</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13</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增白剂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7</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外购，固体，25kg袋装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14</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淀粉</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20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外购，固体，袋装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15</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固色剂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5</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16</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退浆酶</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17</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浆料</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20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外购，液体，50kg桶装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18</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皂洗剂</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5</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19</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硅油</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10</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外购，液体，125kg桶装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20</w:t>
                  </w:r>
                </w:p>
              </w:tc>
              <w:tc>
                <w:tcPr>
                  <w:tcW w:w="96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聚丙烯酰胺</w:t>
                  </w:r>
                </w:p>
              </w:tc>
              <w:tc>
                <w:tcPr>
                  <w:tcW w:w="82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t/a</w:t>
                  </w:r>
                </w:p>
              </w:tc>
              <w:tc>
                <w:tcPr>
                  <w:tcW w:w="881"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15</w:t>
                  </w:r>
                </w:p>
              </w:tc>
              <w:tc>
                <w:tcPr>
                  <w:tcW w:w="1818"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外购，固体，25kg袋装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能源消耗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w:t>
                  </w:r>
                </w:p>
              </w:tc>
              <w:tc>
                <w:tcPr>
                  <w:tcW w:w="960"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水</w:t>
                  </w:r>
                </w:p>
              </w:tc>
              <w:tc>
                <w:tcPr>
                  <w:tcW w:w="829"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bidi="ar-SA"/>
                    </w:rPr>
                    <w:t>m</w:t>
                  </w:r>
                  <w:r>
                    <w:rPr>
                      <w:rFonts w:hint="default" w:ascii="Times New Roman" w:hAnsi="Times New Roman" w:cs="Times New Roman" w:eastAsiaTheme="minorEastAsia"/>
                      <w:color w:val="auto"/>
                      <w:sz w:val="21"/>
                      <w:szCs w:val="21"/>
                      <w:highlight w:val="none"/>
                      <w:vertAlign w:val="superscript"/>
                      <w:lang w:val="en-US" w:eastAsia="zh-CN" w:bidi="ar-SA"/>
                    </w:rPr>
                    <w:t>3</w:t>
                  </w:r>
                  <w:r>
                    <w:rPr>
                      <w:rFonts w:hint="default" w:ascii="Times New Roman" w:hAnsi="Times New Roman" w:cs="Times New Roman" w:eastAsiaTheme="minorEastAsia"/>
                      <w:color w:val="auto"/>
                      <w:sz w:val="21"/>
                      <w:szCs w:val="21"/>
                      <w:highlight w:val="none"/>
                      <w:lang w:val="en-US" w:eastAsia="zh-CN" w:bidi="ar-SA"/>
                    </w:rPr>
                    <w:t>/a</w:t>
                  </w:r>
                </w:p>
              </w:tc>
              <w:tc>
                <w:tcPr>
                  <w:tcW w:w="881"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198000</w:t>
                  </w:r>
                </w:p>
              </w:tc>
              <w:tc>
                <w:tcPr>
                  <w:tcW w:w="1818"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萌水镇自来水管网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noWrap w:val="0"/>
                  <w:vAlign w:val="center"/>
                </w:tcPr>
                <w:p>
                  <w:pPr>
                    <w:widowControl/>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960"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天然气</w:t>
                  </w:r>
                </w:p>
              </w:tc>
              <w:tc>
                <w:tcPr>
                  <w:tcW w:w="829"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bidi="ar-SA"/>
                    </w:rPr>
                    <w:t>Nm</w:t>
                  </w:r>
                  <w:r>
                    <w:rPr>
                      <w:rFonts w:hint="default" w:ascii="Times New Roman" w:hAnsi="Times New Roman" w:cs="Times New Roman" w:eastAsiaTheme="minorEastAsia"/>
                      <w:color w:val="auto"/>
                      <w:sz w:val="21"/>
                      <w:szCs w:val="21"/>
                      <w:highlight w:val="none"/>
                      <w:vertAlign w:val="superscript"/>
                      <w:lang w:val="en-US" w:eastAsia="zh-CN" w:bidi="ar-SA"/>
                    </w:rPr>
                    <w:t>3/</w:t>
                  </w:r>
                  <w:r>
                    <w:rPr>
                      <w:rFonts w:hint="default" w:ascii="Times New Roman" w:hAnsi="Times New Roman" w:cs="Times New Roman" w:eastAsiaTheme="minorEastAsia"/>
                      <w:color w:val="auto"/>
                      <w:sz w:val="21"/>
                      <w:szCs w:val="21"/>
                      <w:highlight w:val="none"/>
                      <w:lang w:val="en-US" w:eastAsia="zh-CN" w:bidi="ar-SA"/>
                    </w:rPr>
                    <w:t>a</w:t>
                  </w:r>
                </w:p>
              </w:tc>
              <w:tc>
                <w:tcPr>
                  <w:tcW w:w="881"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260</w:t>
                  </w:r>
                </w:p>
              </w:tc>
              <w:tc>
                <w:tcPr>
                  <w:tcW w:w="1818"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外购，绿周燃气管道输送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3</w:t>
                  </w:r>
                </w:p>
              </w:tc>
              <w:tc>
                <w:tcPr>
                  <w:tcW w:w="960"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电</w:t>
                  </w:r>
                </w:p>
              </w:tc>
              <w:tc>
                <w:tcPr>
                  <w:tcW w:w="829"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eastAsia="zh-CN"/>
                    </w:rPr>
                    <w:t>万</w:t>
                  </w:r>
                  <w:r>
                    <w:rPr>
                      <w:rFonts w:hint="default" w:ascii="Times New Roman" w:hAnsi="Times New Roman" w:cs="Times New Roman" w:eastAsiaTheme="minorEastAsia"/>
                      <w:color w:val="auto"/>
                      <w:szCs w:val="21"/>
                      <w:highlight w:val="none"/>
                    </w:rPr>
                    <w:t>kWh/a</w:t>
                  </w:r>
                </w:p>
              </w:tc>
              <w:tc>
                <w:tcPr>
                  <w:tcW w:w="881"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135</w:t>
                  </w:r>
                </w:p>
              </w:tc>
              <w:tc>
                <w:tcPr>
                  <w:tcW w:w="1818"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萌水镇供电所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4</w:t>
                  </w:r>
                </w:p>
              </w:tc>
              <w:tc>
                <w:tcPr>
                  <w:tcW w:w="960"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软水</w:t>
                  </w:r>
                </w:p>
              </w:tc>
              <w:tc>
                <w:tcPr>
                  <w:tcW w:w="829"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t/a</w:t>
                  </w:r>
                </w:p>
              </w:tc>
              <w:tc>
                <w:tcPr>
                  <w:tcW w:w="881"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3.6</w:t>
                  </w:r>
                </w:p>
              </w:tc>
              <w:tc>
                <w:tcPr>
                  <w:tcW w:w="1818"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自制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noWrap w:val="0"/>
                  <w:vAlign w:val="center"/>
                </w:tcPr>
                <w:p>
                  <w:pPr>
                    <w:widowControl/>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5</w:t>
                  </w:r>
                </w:p>
              </w:tc>
              <w:tc>
                <w:tcPr>
                  <w:tcW w:w="960"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蒸汽</w:t>
                  </w:r>
                </w:p>
              </w:tc>
              <w:tc>
                <w:tcPr>
                  <w:tcW w:w="829"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t/a</w:t>
                  </w:r>
                </w:p>
              </w:tc>
              <w:tc>
                <w:tcPr>
                  <w:tcW w:w="881"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3.42</w:t>
                  </w:r>
                </w:p>
              </w:tc>
              <w:tc>
                <w:tcPr>
                  <w:tcW w:w="1818" w:type="pct"/>
                  <w:tcBorders>
                    <w:tl2br w:val="nil"/>
                    <w:tr2bl w:val="nil"/>
                  </w:tcBorders>
                  <w:shd w:val="clear" w:color="auto" w:fill="auto"/>
                  <w:noWrap w:val="0"/>
                  <w:vAlign w:val="center"/>
                </w:tcPr>
                <w:p>
                  <w:pPr>
                    <w:widowControl/>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自制</w:t>
                  </w:r>
                </w:p>
              </w:tc>
            </w:tr>
          </w:tbl>
          <w:p>
            <w:pPr>
              <w:keepNext w:val="0"/>
              <w:keepLines w:val="0"/>
              <w:pageBreakBefore w:val="0"/>
              <w:numPr>
                <w:ilvl w:val="0"/>
                <w:numId w:val="0"/>
              </w:numPr>
              <w:kinsoku/>
              <w:wordWrap/>
              <w:overflowPunct/>
              <w:topLinePunct w:val="0"/>
              <w:autoSpaceDE/>
              <w:autoSpaceDN/>
              <w:bidi w:val="0"/>
              <w:spacing w:line="360" w:lineRule="auto"/>
              <w:ind w:firstLine="420" w:firstLineChars="200"/>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主要原辅材料理化性质见下表。</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表2-9 主要原辅材料理化性质</w:t>
            </w:r>
          </w:p>
          <w:tbl>
            <w:tblPr>
              <w:tblStyle w:val="36"/>
              <w:tblW w:w="4998" w:type="pc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autofit"/>
              <w:tblCellMar>
                <w:top w:w="0" w:type="dxa"/>
                <w:left w:w="10" w:type="dxa"/>
                <w:bottom w:w="0" w:type="dxa"/>
                <w:right w:w="10" w:type="dxa"/>
              </w:tblCellMar>
            </w:tblPr>
            <w:tblGrid>
              <w:gridCol w:w="844"/>
              <w:gridCol w:w="1232"/>
              <w:gridCol w:w="6481"/>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序号</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名称</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理化性质</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染化料</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含各类染料（如活性、分散染料等）及配套化学药剂；外观为粉末、颗粒或液体，溶解性因染料类型而异（活性染料易溶于水），具有特定染色性能，耐光、耐洗牢度随染料种类不同有差异。</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元明粉</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无水硫酸钠，白色结晶性粉末，易溶于水，水溶液呈中性；作为促染剂，可提高染料上染率。</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液碱</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氢氧化钠水溶液，无色透明液体，强碱性、腐蚀性强；能与酸中和，用于退浆、煮练等工序，去除织物杂质与浆料。</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双氧水</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过氧化氢水溶液，无色透明液体，具强氧化性、不稳定（易分解为水和氧气）；用作漂白剂，去除织物色素。</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碱粉</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多为碳酸钠，白色粉末，易溶于水，水溶液呈碱性；可调节体系pH值，兼具助染作用。</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去碱剂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多为酸性/两性化合物，液体状；能与碱反应，降低织物碱残留，改善手感与后续染色性能。</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7</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涤棉处理剂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针对涤棉混纺面料的复配表面活性剂，液体；可改善涤纶、棉两种纤维的润湿性、渗透性，便于后续加工。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柔软剂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多为阳离子/非离子表面活性剂，液体或膏状；具润滑性，降低纤维间摩擦力，使织物手感柔软顺滑。</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9</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染色助剂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含匀染剂、缓染剂等（多为表面活性剂或聚合物），液体/粉末；可改善染色均匀性，防止“色花”等问题。</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渗透剂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表面活性剂，液体；能降低液体表面张力，使处理液快速渗透至织物内部，提升加工效率。</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11</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除油剂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表面活性剂复配物，液体；具乳化、分散作用，可去除织物表面油污等杂质。</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12</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增白剂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如荧光增白剂，白色粉末/液体；能吸收紫外光并发射蓝紫色荧光，提升织物白度，使织物更显洁白。</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13</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淀粉</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白色粉末，不溶于冷水、溶于热水成糊状；具良好成膜性，印染中用作浆料（上浆工序，提高织造性能）。</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14</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固色剂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多为阳离子聚合物，液体；能与染料分子结合形成不溶性色淀，提高染料的水洗、摩擦等牢度。</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15</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退浆酶</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生物制剂，粉末/液体；具催化活性，可在温和条件下分解淀粉浆料，环保且反应后易去除。</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16</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浆料</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含淀粉、聚乙烯醇（PVA）等，液体/糊状；具成膜性、粘附性，用于织物上浆，提升织造性能。</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17</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皂洗剂</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表面活性剂复配物，液体；能去除织物表面未固着的染料、助剂，提高染色牢度与色泽鲜艳度。</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18</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硅油</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无色透明液体，耐热、耐低温、润滑性好；后整理中用作柔软剂，赋予织物滑爽、柔软的手感。</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 w:type="dxa"/>
                  <w:bottom w:w="0" w:type="dxa"/>
                  <w:right w:w="10" w:type="dxa"/>
                </w:tblCellMar>
              </w:tblPrEx>
              <w:tc>
                <w:tcPr>
                  <w:tcW w:w="493"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19</w:t>
                  </w:r>
                </w:p>
              </w:tc>
              <w:tc>
                <w:tcPr>
                  <w:tcW w:w="720" w:type="pct"/>
                  <w:tcBorders>
                    <w:tl2br w:val="nil"/>
                    <w:tr2bl w:val="nil"/>
                  </w:tcBorders>
                  <w:tcMar>
                    <w:top w:w="60" w:type="dxa"/>
                    <w:left w:w="120" w:type="dxa"/>
                    <w:bottom w:w="30" w:type="dxa"/>
                    <w:right w:w="120" w:type="dxa"/>
                  </w:tcMar>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聚丙烯酰胺</w:t>
                  </w:r>
                </w:p>
              </w:tc>
              <w:tc>
                <w:tcPr>
                  <w:tcW w:w="3786" w:type="pct"/>
                  <w:tcBorders>
                    <w:tl2br w:val="nil"/>
                    <w:tr2bl w:val="nil"/>
                  </w:tcBorders>
                  <w:tcMar>
                    <w:top w:w="60" w:type="dxa"/>
                    <w:left w:w="120" w:type="dxa"/>
                    <w:bottom w:w="30" w:type="dxa"/>
                    <w:right w:w="120" w:type="dxa"/>
                  </w:tcMar>
                  <w:vAlign w:val="center"/>
                </w:tcPr>
                <w:p>
                  <w:pPr>
                    <w:pStyle w:val="109"/>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白色粉末/颗粒，易溶于水，水溶液具一定粘度；可作为絮凝剂用于印染污水处理，或在部分工序中作助剂。</w:t>
                  </w: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（3）现有项目设备情况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cs="Times New Roman" w:eastAsiaTheme="minorEastAsia"/>
                <w:color w:val="auto"/>
                <w:spacing w:val="0"/>
                <w:sz w:val="21"/>
                <w:szCs w:val="21"/>
                <w:highlight w:val="none"/>
                <w:lang w:val="en-US" w:eastAsia="zh-CN"/>
              </w:rPr>
            </w:pPr>
            <w:r>
              <w:rPr>
                <w:rFonts w:hint="default" w:ascii="Times New Roman" w:hAnsi="Times New Roman" w:cs="Times New Roman" w:eastAsiaTheme="minorEastAsia"/>
                <w:color w:val="auto"/>
                <w:spacing w:val="0"/>
                <w:sz w:val="21"/>
                <w:szCs w:val="21"/>
                <w:highlight w:val="none"/>
                <w:lang w:val="en-US" w:eastAsia="zh-CN"/>
              </w:rPr>
              <w:t>现有项目主要设备情况见下表。</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表2-10  现有项目主要设备情况一览表</w:t>
            </w:r>
          </w:p>
          <w:tbl>
            <w:tblPr>
              <w:tblStyle w:val="36"/>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52"/>
              <w:gridCol w:w="3842"/>
              <w:gridCol w:w="28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2244"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lang w:val="en-US" w:eastAsia="zh-CN"/>
                    </w:rPr>
                    <w:t>设备</w:t>
                  </w:r>
                  <w:r>
                    <w:rPr>
                      <w:rFonts w:hint="default" w:ascii="Times New Roman" w:hAnsi="Times New Roman" w:cs="Times New Roman" w:eastAsiaTheme="minorEastAsia"/>
                      <w:b/>
                      <w:bCs/>
                      <w:color w:val="auto"/>
                      <w:highlight w:val="none"/>
                    </w:rPr>
                    <w:t>名称</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rPr>
                    <w:t>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8t/h燃气锅炉</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烧毛机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高温染色机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常温染色机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烘干机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eastAsia" w:ascii="Times New Roman" w:cs="Times New Roman" w:eastAsiaTheme="minorEastAsia"/>
                      <w:color w:val="auto"/>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定型机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eastAsia" w:ascii="Times New Roman" w:cs="Times New Roman" w:eastAsiaTheme="minorEastAsia"/>
                      <w:color w:val="auto"/>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7</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拉幅机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冷堆机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9</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丝光机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轧光机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11</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码布机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12</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缝纫机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13</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退卷机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14</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空压机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15</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电焊机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16</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砂轮机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17</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切割机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18</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污泥压滤机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19</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喷淋塔</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20</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UV光氧催化装置</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21</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钠离子纯水机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22</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打样机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23</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污水处理站</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24</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捲验机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2" w:type="pct"/>
                  <w:tcBorders>
                    <w:tl2br w:val="nil"/>
                    <w:tr2bl w:val="nil"/>
                  </w:tcBorders>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25</w:t>
                  </w:r>
                </w:p>
              </w:tc>
              <w:tc>
                <w:tcPr>
                  <w:tcW w:w="2244"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打包机</w:t>
                  </w:r>
                </w:p>
              </w:tc>
              <w:tc>
                <w:tcPr>
                  <w:tcW w:w="1672" w:type="pct"/>
                  <w:tcBorders>
                    <w:tl2br w:val="nil"/>
                    <w:tr2bl w:val="nil"/>
                  </w:tcBorders>
                  <w:shd w:val="clear" w:color="auto" w:fill="auto"/>
                  <w:noWrap w:val="0"/>
                  <w:vAlign w:val="center"/>
                </w:tcPr>
                <w:p>
                  <w:pPr>
                    <w:pStyle w:val="109"/>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default" w:ascii="Times New Roman" w:hAnsi="Times New Roman" w:eastAsia="宋体" w:cs="Times New Roman"/>
                <w:b w:val="0"/>
                <w:bCs/>
                <w:color w:val="auto"/>
                <w:kern w:val="0"/>
                <w:highlight w:val="none"/>
                <w:lang w:val="en-US" w:eastAsia="zh-CN"/>
              </w:rPr>
            </w:pPr>
            <w:r>
              <w:rPr>
                <w:rFonts w:hint="eastAsia" w:cs="Times New Roman"/>
                <w:b w:val="0"/>
                <w:bCs/>
                <w:color w:val="auto"/>
                <w:kern w:val="0"/>
                <w:highlight w:val="none"/>
                <w:lang w:val="en-US" w:eastAsia="zh-CN"/>
              </w:rPr>
              <w:t>（4）现有项目</w:t>
            </w:r>
            <w:r>
              <w:rPr>
                <w:rFonts w:hint="default" w:ascii="Times New Roman" w:hAnsi="Times New Roman" w:eastAsia="宋体" w:cs="Times New Roman"/>
                <w:b w:val="0"/>
                <w:bCs/>
                <w:color w:val="auto"/>
                <w:kern w:val="0"/>
                <w:highlight w:val="none"/>
                <w:lang w:val="en-US" w:eastAsia="zh-CN"/>
              </w:rPr>
              <w:t>工艺流程</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eastAsia" w:cs="Times New Roman" w:eastAsiaTheme="minorEastAsia"/>
                <w:color w:val="auto"/>
                <w:szCs w:val="21"/>
                <w:highlight w:val="none"/>
                <w:lang w:val="en-US" w:eastAsia="zh-CN"/>
              </w:rPr>
              <w:t>现有</w:t>
            </w:r>
            <w:r>
              <w:rPr>
                <w:rFonts w:hint="default" w:ascii="Times New Roman" w:hAnsi="Times New Roman" w:cs="Times New Roman" w:eastAsiaTheme="minorEastAsia"/>
                <w:color w:val="auto"/>
                <w:szCs w:val="21"/>
                <w:highlight w:val="none"/>
              </w:rPr>
              <w:t>项目主要生产</w:t>
            </w:r>
            <w:r>
              <w:rPr>
                <w:rFonts w:hint="default" w:ascii="Times New Roman" w:hAnsi="Times New Roman" w:cs="Times New Roman" w:eastAsiaTheme="minorEastAsia"/>
                <w:color w:val="auto"/>
                <w:szCs w:val="21"/>
                <w:highlight w:val="none"/>
                <w:lang w:val="de-DE"/>
              </w:rPr>
              <w:t>工艺流程见</w:t>
            </w:r>
            <w:r>
              <w:rPr>
                <w:rFonts w:hint="default" w:ascii="Times New Roman" w:hAnsi="Times New Roman" w:cs="Times New Roman" w:eastAsiaTheme="minorEastAsia"/>
                <w:color w:val="auto"/>
                <w:szCs w:val="21"/>
                <w:highlight w:val="none"/>
                <w:lang w:val="en-US" w:eastAsia="zh-CN"/>
              </w:rPr>
              <w:t>下图。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eastAsia="zh-CN"/>
              </w:rPr>
              <w:object>
                <v:shape id="_x0000_i1028" o:spt="75" type="#_x0000_t75" style="height:402.45pt;width:301.35pt;" o:ole="t" filled="f" o:preferrelative="t" stroked="f" coordsize="21600,21600">
                  <v:path/>
                  <v:fill on="f" focussize="0,0"/>
                  <v:stroke on="f"/>
                  <v:imagedata r:id="rId21" o:title=""/>
                  <o:lock v:ext="edit" aspectratio="f"/>
                  <w10:wrap type="none"/>
                  <w10:anchorlock/>
                </v:shape>
                <o:OLEObject Type="Embed" ProgID="Visio.Drawing.15" ShapeID="_x0000_i1028" DrawAspect="Content" ObjectID="_1468075728" r:id="rId20">
                  <o:LockedField>false</o:LockedField>
                </o:OLEObject>
              </w:objec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default" w:ascii="Times New Roman" w:hAnsi="Times New Roman" w:cs="Times New Roman" w:eastAsiaTheme="minorEastAsia"/>
                <w:b/>
                <w:color w:val="auto"/>
                <w:kern w:val="2"/>
                <w:sz w:val="21"/>
                <w:szCs w:val="21"/>
                <w:highlight w:val="none"/>
                <w:lang w:val="en-US" w:eastAsia="zh-CN" w:bidi="ar-SA"/>
              </w:rPr>
            </w:pPr>
            <w:r>
              <w:rPr>
                <w:rFonts w:hint="default" w:ascii="Times New Roman" w:hAnsi="Times New Roman" w:cs="Times New Roman" w:eastAsiaTheme="minorEastAsia"/>
                <w:b/>
                <w:color w:val="auto"/>
                <w:kern w:val="2"/>
                <w:sz w:val="21"/>
                <w:szCs w:val="21"/>
                <w:highlight w:val="none"/>
                <w:lang w:val="en-US" w:eastAsia="zh-CN" w:bidi="ar-SA"/>
              </w:rPr>
              <w:t>图2</w:t>
            </w:r>
            <w:r>
              <w:rPr>
                <w:rFonts w:hint="eastAsia" w:cs="Times New Roman" w:eastAsiaTheme="minorEastAsia"/>
                <w:b/>
                <w:color w:val="auto"/>
                <w:kern w:val="2"/>
                <w:sz w:val="21"/>
                <w:szCs w:val="21"/>
                <w:highlight w:val="none"/>
                <w:lang w:val="en-US" w:eastAsia="zh-CN" w:bidi="ar-SA"/>
              </w:rPr>
              <w:t>-4</w:t>
            </w:r>
            <w:r>
              <w:rPr>
                <w:rFonts w:hint="default" w:ascii="Times New Roman" w:hAnsi="Times New Roman" w:cs="Times New Roman" w:eastAsiaTheme="minorEastAsia"/>
                <w:b/>
                <w:color w:val="auto"/>
                <w:kern w:val="2"/>
                <w:sz w:val="21"/>
                <w:szCs w:val="21"/>
                <w:highlight w:val="none"/>
                <w:lang w:val="en-US" w:eastAsia="zh-CN" w:bidi="ar-SA"/>
              </w:rPr>
              <w:t xml:space="preserve">  </w:t>
            </w:r>
            <w:r>
              <w:rPr>
                <w:rFonts w:hint="eastAsia" w:cs="Times New Roman" w:eastAsiaTheme="minorEastAsia"/>
                <w:b/>
                <w:color w:val="auto"/>
                <w:kern w:val="2"/>
                <w:sz w:val="21"/>
                <w:szCs w:val="21"/>
                <w:highlight w:val="none"/>
                <w:lang w:val="en-US" w:eastAsia="zh-CN" w:bidi="ar-SA"/>
              </w:rPr>
              <w:t>现有</w:t>
            </w:r>
            <w:r>
              <w:rPr>
                <w:rFonts w:hint="default" w:ascii="Times New Roman" w:hAnsi="Times New Roman" w:cs="Times New Roman" w:eastAsiaTheme="minorEastAsia"/>
                <w:b/>
                <w:color w:val="auto"/>
                <w:kern w:val="2"/>
                <w:sz w:val="21"/>
                <w:szCs w:val="21"/>
                <w:highlight w:val="none"/>
                <w:lang w:val="en-US" w:eastAsia="zh-CN" w:bidi="ar-SA"/>
              </w:rPr>
              <w:t>项目生产工艺流程及产污环节图</w:t>
            </w:r>
          </w:p>
          <w:p>
            <w:pPr>
              <w:pStyle w:val="2"/>
              <w:keepNext w:val="0"/>
              <w:keepLines w:val="0"/>
              <w:pageBreakBefore w:val="0"/>
              <w:numPr>
                <w:ilvl w:val="0"/>
                <w:numId w:val="0"/>
              </w:numPr>
              <w:kinsoku/>
              <w:wordWrap/>
              <w:overflowPunct/>
              <w:topLinePunct w:val="0"/>
              <w:autoSpaceDE/>
              <w:autoSpaceDN/>
              <w:bidi w:val="0"/>
              <w:spacing w:after="0" w:line="360" w:lineRule="auto"/>
              <w:ind w:firstLine="422" w:firstLineChars="200"/>
              <w:textAlignment w:val="auto"/>
              <w:rPr>
                <w:rFonts w:hint="default" w:ascii="Times New Roman" w:hAnsi="Times New Roman" w:cs="Times New Roman" w:eastAsiaTheme="minorEastAsia"/>
                <w:b/>
                <w:bCs/>
                <w:color w:val="auto"/>
                <w:spacing w:val="0"/>
                <w:sz w:val="21"/>
                <w:szCs w:val="21"/>
                <w:highlight w:val="none"/>
                <w:lang w:val="en-US" w:eastAsia="zh-CN"/>
              </w:rPr>
            </w:pPr>
            <w:r>
              <w:rPr>
                <w:rFonts w:hint="default" w:ascii="Times New Roman" w:hAnsi="Times New Roman" w:cs="Times New Roman" w:eastAsiaTheme="minorEastAsia"/>
                <w:b/>
                <w:bCs/>
                <w:color w:val="auto"/>
                <w:spacing w:val="0"/>
                <w:sz w:val="21"/>
                <w:szCs w:val="21"/>
                <w:highlight w:val="none"/>
                <w:lang w:val="en-US" w:eastAsia="zh-CN"/>
              </w:rPr>
              <w:t>工艺流程：</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第一步：验布缝头</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将待染色的棉坯布通过验布机进行逐卷外观检验，重点排查布面是否存在断纱、跳纱、污渍、破洞等质量缺陷，确保坯布符合后续加工要求。检验合格后，人工将相邻两卷坯布的布头拉出，校准布边平整度并确认织物正反面一致，采用工业缝纫机逐批进行连续缝头处理，形成连续布卷以保障后续工序不间断运行。此工序主要污染物为缝纫机运行产生的机械噪声。</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第二步：烧毛</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根据客户对布面光洁度的需求，约3‰的坯布需进入烧毛工序。坯布经导布辊送入烧毛机，通过天然气加热火口（天然气用量按需调节，单批次用量极少）对布面进行快速灼烧处理，去除布面绒毛以提升织物平整度。烧毛过程中，坯布表面燃烧会产生少量粉尘（产生量低，无组织排放），同时伴随极少量非甲烷总烃</w:t>
            </w:r>
            <w:r>
              <w:rPr>
                <w:rFonts w:hint="eastAsia" w:cs="Times New Roman" w:eastAsiaTheme="minorEastAsia"/>
                <w:b w:val="0"/>
                <w:bCs w:val="0"/>
                <w:color w:val="auto"/>
                <w:spacing w:val="0"/>
                <w:sz w:val="21"/>
                <w:szCs w:val="21"/>
                <w:highlight w:val="none"/>
                <w:lang w:val="en-US" w:eastAsia="zh-CN"/>
              </w:rPr>
              <w:t>（坯布中含有涤棉成分，涤棉为化学纤维，加热会产生有机废气）</w:t>
            </w:r>
            <w:r>
              <w:rPr>
                <w:rFonts w:hint="default" w:ascii="Times New Roman" w:hAnsi="Times New Roman" w:cs="Times New Roman" w:eastAsiaTheme="minorEastAsia"/>
                <w:b w:val="0"/>
                <w:bCs w:val="0"/>
                <w:color w:val="auto"/>
                <w:spacing w:val="0"/>
                <w:sz w:val="21"/>
                <w:szCs w:val="21"/>
                <w:highlight w:val="none"/>
                <w:lang w:val="en-US" w:eastAsia="zh-CN"/>
              </w:rPr>
              <w:t>；天然气燃烧废气因用量少，未单独核算，与其他工序燃烧废气统一管控。</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第三步：冷堆</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将烧毛后（或无需烧毛）的棉坯布输送至冷堆机，按工艺配方在浸轧槽中加入调配好的工艺用水、双氧水（氧化剂）及液碱（pH调节剂）等冷堆助剂，通过轧辊对坯布进行均匀浸轧，使助剂充分渗透至纤维内部，随后将浸轧后的坯布卷绕成圆柱状布卷。布卷在室温（20~25℃）、密闭环境下静置堆存8~16小时，利用双氧水在碱性条件下的缓慢氧化作用，实现坯布的初步退浆与棉纤维杂质降解。冷堆助剂定期根据消耗量补充，全程无外排。</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第四步：丝光</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针对需提升尺寸稳定性与染色匀染性的坯布，送入丝光机进行处理。在丝光机浸轧槽中，按工艺要求加入调配好的工艺用水与液碱（浓度按坯布品种控制，通常为20%~25%），通过双轧辊对坯布进行浸轧，使棉纤维充分膨化，随后经张力控制装置保持布面平整，在室温下浸轧成卷并静置2小时，完成丝光处理以提升织物光泽度与染料吸附能力。丝光助剂定期补充，无外排。</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第五步：煮练、漂白</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冷堆、丝光处理后的棉坯布送入染色机，通入工艺用水与蒸汽，将温度升至90℃并保温2小时，通过煮练去除坯布残留的蜡质、果胶及冷堆助剂；同时，利用蒸汽维持温度，通过双氧水进一步漂白，提升坯布白度。此工序产生弱碱性废水（pH8~9），主要污染物为COD、SS及残留助剂，废水产生量约占印染总废水的30%，经车间管网收集后进入厂区污水处理站。冷堆、煮练所用药剂均为无机物，全程不产生VOCs。</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第六步：水洗</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煮练、漂白后的坯布先排出煮练废水，再通入40~50℃的工艺用水与蒸汽，通过多段水洗装置反复冲洗，去除坯布内部残留的碱剂、双氧水及煮练杂质，确保坯布pH降至6~7（中性），避免影响后续染色效果。水洗过程产生的废水为弱碱性（pH7~8），污染物成分与煮练废水类似，与煮练废水合并进入厂区污水处理站。</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第七步：染色、染色后水洗</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7.1染色</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部分水洗后的棉坯布送入高温染色机，按客户色号要求，在染色机内加入调配好的无机染料、偶氮类染料及配套助剂（如匀染剂、缓染剂）的水溶物，通入工艺用水与蒸汽，将温度升至90~100℃，保温1.5~2小时，通过染料分子渗透与纤维结合实现染色。此工序产生弱酸性废水（pH5~6），主要污染物为COD、色度及残留染料，废水产生量约占印染总废水的40%，收集后进入厂区污水处理站。染色所用染料及助剂均不含挥发性成分，全程不产生VOCs。</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7.2染色后水洗</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染色完成后，向染色机内加入固色剂（如阳离子固色剂），通入60℃的工艺用水与蒸汽，保温30分钟，随后反复冲洗，去除布面浮色与残留染色助剂，确保织物色牢度（皂洗牢度、摩擦牢度）符合客户标准。水洗产生的废水为弱酸性（pH6~7），含少量浮色与固色剂，与染色废水合并处理。</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部分棉坯布根据客户需求无需染色，经水洗达标后直接进入拉幅烘干工序。</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w:t>
            </w:r>
            <w:r>
              <w:rPr>
                <w:rFonts w:hint="eastAsia" w:cs="Times New Roman" w:eastAsiaTheme="minorEastAsia"/>
                <w:b w:val="0"/>
                <w:bCs w:val="0"/>
                <w:color w:val="auto"/>
                <w:spacing w:val="0"/>
                <w:sz w:val="21"/>
                <w:szCs w:val="21"/>
                <w:highlight w:val="none"/>
                <w:lang w:val="en-US" w:eastAsia="zh-CN"/>
              </w:rPr>
              <w:t>八</w:t>
            </w:r>
            <w:r>
              <w:rPr>
                <w:rFonts w:hint="default" w:ascii="Times New Roman" w:hAnsi="Times New Roman" w:cs="Times New Roman" w:eastAsiaTheme="minorEastAsia"/>
                <w:b w:val="0"/>
                <w:bCs w:val="0"/>
                <w:color w:val="auto"/>
                <w:spacing w:val="0"/>
                <w:sz w:val="21"/>
                <w:szCs w:val="21"/>
                <w:highlight w:val="none"/>
                <w:lang w:val="en-US" w:eastAsia="zh-CN"/>
              </w:rPr>
              <w:t>步：浸浆</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水洗白坯布、染色坯布送入浸浆机，在浸浆槽中加入预先调配的浆料（主要成分为淀粉、聚乙烯醇，辅以少量柔软剂、防腐剂），通过双轧辊（压力0.3~0.5MPa）对坯布进行均匀浸轧，控制布面带液量为70%~80%，确保浆料在布面形成连续、均匀的薄膜，以提升织物手感、耐磨性与挺括度。浆料定期根据消耗量补充，无外排。</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w:t>
            </w:r>
            <w:r>
              <w:rPr>
                <w:rFonts w:hint="eastAsia" w:cs="Times New Roman" w:eastAsiaTheme="minorEastAsia"/>
                <w:b w:val="0"/>
                <w:bCs w:val="0"/>
                <w:color w:val="auto"/>
                <w:spacing w:val="0"/>
                <w:sz w:val="21"/>
                <w:szCs w:val="21"/>
                <w:highlight w:val="none"/>
                <w:lang w:val="en-US" w:eastAsia="zh-CN"/>
              </w:rPr>
              <w:t>九</w:t>
            </w:r>
            <w:r>
              <w:rPr>
                <w:rFonts w:hint="default" w:ascii="Times New Roman" w:hAnsi="Times New Roman" w:cs="Times New Roman" w:eastAsiaTheme="minorEastAsia"/>
                <w:b w:val="0"/>
                <w:bCs w:val="0"/>
                <w:color w:val="auto"/>
                <w:spacing w:val="0"/>
                <w:sz w:val="21"/>
                <w:szCs w:val="21"/>
                <w:highlight w:val="none"/>
                <w:lang w:val="en-US" w:eastAsia="zh-CN"/>
              </w:rPr>
              <w:t>步：烘焙</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浸浆后的坯布送入焙烘设备（蒸汽供热，温度120~150℃），在热风循环环境下加热20~30分钟。此过程中，一方面使浆料中的水分完全蒸发（蒸发水蒸汽无污染物，直接排放），另一方面促使淀粉、聚乙烯醇发生交联固化反应，将浆料牢固附着于布面，形成稳定的保护层。</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第十步：拉幅定型</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焙烘后的坯布先经烘干机（蒸汽</w:t>
            </w:r>
            <w:r>
              <w:rPr>
                <w:rFonts w:hint="eastAsia" w:cs="Times New Roman" w:eastAsiaTheme="minorEastAsia"/>
                <w:b w:val="0"/>
                <w:bCs w:val="0"/>
                <w:color w:val="auto"/>
                <w:spacing w:val="0"/>
                <w:sz w:val="21"/>
                <w:szCs w:val="21"/>
                <w:highlight w:val="none"/>
                <w:lang w:val="en-US" w:eastAsia="zh-CN"/>
              </w:rPr>
              <w:t>/天然气燃烧热风</w:t>
            </w:r>
            <w:r>
              <w:rPr>
                <w:rFonts w:hint="default" w:ascii="Times New Roman" w:hAnsi="Times New Roman" w:cs="Times New Roman" w:eastAsiaTheme="minorEastAsia"/>
                <w:b w:val="0"/>
                <w:bCs w:val="0"/>
                <w:color w:val="auto"/>
                <w:spacing w:val="0"/>
                <w:sz w:val="21"/>
                <w:szCs w:val="21"/>
                <w:highlight w:val="none"/>
                <w:lang w:val="en-US" w:eastAsia="zh-CN"/>
              </w:rPr>
              <w:t>供热）烘干表层残留水分，随后送入开幅定型机。定型机通过红外测温装置控制温度（130~150℃），同时利用机械张力调整布幅宽度，使坯布门幅缩水率控制在2%以内，满足客户对织物尺寸稳定性的要求。</w:t>
            </w:r>
            <w:r>
              <w:rPr>
                <w:rFonts w:hint="eastAsia" w:cs="Times New Roman" w:eastAsiaTheme="minorEastAsia"/>
                <w:b w:val="0"/>
                <w:bCs w:val="0"/>
                <w:color w:val="auto"/>
                <w:spacing w:val="0"/>
                <w:sz w:val="21"/>
                <w:szCs w:val="21"/>
                <w:highlight w:val="none"/>
                <w:lang w:val="en-US" w:eastAsia="zh-CN"/>
              </w:rPr>
              <w:t>天然气烘干定型线</w:t>
            </w:r>
            <w:r>
              <w:rPr>
                <w:rFonts w:hint="default" w:ascii="Times New Roman" w:hAnsi="Times New Roman" w:cs="Times New Roman" w:eastAsiaTheme="minorEastAsia"/>
                <w:b w:val="0"/>
                <w:bCs w:val="0"/>
                <w:color w:val="auto"/>
                <w:spacing w:val="0"/>
                <w:sz w:val="21"/>
                <w:szCs w:val="21"/>
                <w:highlight w:val="none"/>
                <w:lang w:val="en-US" w:eastAsia="zh-CN"/>
              </w:rPr>
              <w:t>伴随极少量非甲烷总烃</w:t>
            </w:r>
            <w:r>
              <w:rPr>
                <w:rFonts w:hint="eastAsia" w:cs="Times New Roman" w:eastAsiaTheme="minorEastAsia"/>
                <w:b w:val="0"/>
                <w:bCs w:val="0"/>
                <w:color w:val="auto"/>
                <w:spacing w:val="0"/>
                <w:sz w:val="21"/>
                <w:szCs w:val="21"/>
                <w:highlight w:val="none"/>
                <w:lang w:val="en-US" w:eastAsia="zh-CN"/>
              </w:rPr>
              <w:t>（涤棉为化学纤维，加热会产生有机废气）</w:t>
            </w:r>
            <w:r>
              <w:rPr>
                <w:rFonts w:hint="default" w:ascii="Times New Roman" w:hAnsi="Times New Roman" w:cs="Times New Roman" w:eastAsiaTheme="minorEastAsia"/>
                <w:b w:val="0"/>
                <w:bCs w:val="0"/>
                <w:color w:val="auto"/>
                <w:spacing w:val="0"/>
                <w:sz w:val="21"/>
                <w:szCs w:val="21"/>
                <w:highlight w:val="none"/>
                <w:lang w:val="en-US" w:eastAsia="zh-CN"/>
              </w:rPr>
              <w:t>；天然气燃烧废气因用量少，未单独核算，与燃烧废气统一管控。。</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eastAsiaTheme="minorEastAsia"/>
                <w:b w:val="0"/>
                <w:bCs w:val="0"/>
                <w:color w:val="auto"/>
                <w:spacing w:val="0"/>
                <w:sz w:val="21"/>
                <w:szCs w:val="21"/>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第十步：质检打包</w:t>
            </w:r>
          </w:p>
          <w:p>
            <w:pPr>
              <w:pStyle w:val="2"/>
              <w:keepNext w:val="0"/>
              <w:keepLines w:val="0"/>
              <w:pageBreakBefore w:val="0"/>
              <w:numPr>
                <w:ilvl w:val="0"/>
                <w:numId w:val="0"/>
              </w:numPr>
              <w:kinsoku/>
              <w:wordWrap/>
              <w:overflowPunct/>
              <w:topLinePunct w:val="0"/>
              <w:autoSpaceDE/>
              <w:autoSpaceDN/>
              <w:bidi w:val="0"/>
              <w:spacing w:after="0" w:line="360" w:lineRule="auto"/>
              <w:ind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eastAsiaTheme="minorEastAsia"/>
                <w:b w:val="0"/>
                <w:bCs w:val="0"/>
                <w:color w:val="auto"/>
                <w:spacing w:val="0"/>
                <w:sz w:val="21"/>
                <w:szCs w:val="21"/>
                <w:highlight w:val="none"/>
                <w:lang w:val="en-US" w:eastAsia="zh-CN"/>
              </w:rPr>
              <w:t>人工将定型后的坯布送至验布机，通过灯光照射逐米检验布面质量，按花型完整性、色牢度、布面缺陷等指标分出合格品（一等品、二等品）与不合格品；同时，随机取样检测织物的缩水率（按GB/T8629-2017标准）、克重（按GB/T4802.1-2008标准）等物理指标，确保符合订单要求。合格品经打卷机打卷或打包机打包，不合格品收集后外售综合利用。此工序主要污染物为验布机运行产生的机械噪声</w:t>
            </w:r>
            <w:r>
              <w:rPr>
                <w:rFonts w:hint="default" w:ascii="Times New Roman" w:hAnsi="Times New Roman" w:cs="Times New Roman"/>
                <w:color w:val="auto"/>
                <w:highlight w:val="none"/>
                <w:lang w:val="en-US" w:eastAsia="zh-CN"/>
              </w:rPr>
              <w:t>。</w:t>
            </w:r>
          </w:p>
          <w:p>
            <w:pPr>
              <w:numPr>
                <w:ilvl w:val="0"/>
                <w:numId w:val="0"/>
              </w:numPr>
              <w:spacing w:line="360" w:lineRule="auto"/>
              <w:ind w:firstLine="422" w:firstLineChars="200"/>
              <w:rPr>
                <w:rFonts w:hint="default" w:ascii="Times New Roman" w:hAnsi="Times New Roman"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2、废气</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（1）有组织废气</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①烧毛工序</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烧毛工序利用天然气燃烧火焰直接接触进行，该工序在项目运营中，仅少量坯布需要进行烧毛工序。烧毛工序会产生微量SO</w:t>
            </w:r>
            <w:r>
              <w:rPr>
                <w:rFonts w:hint="default" w:ascii="Times New Roman" w:hAnsi="Times New Roman" w:eastAsia="宋体" w:cs="Times New Roman"/>
                <w:bCs/>
                <w:color w:val="auto"/>
                <w:kern w:val="2"/>
                <w:sz w:val="21"/>
                <w:szCs w:val="21"/>
                <w:highlight w:val="none"/>
                <w:vertAlign w:val="subscript"/>
                <w:lang w:val="en-US" w:eastAsia="zh-CN" w:bidi="ar-SA"/>
              </w:rPr>
              <w:t>2</w:t>
            </w:r>
            <w:r>
              <w:rPr>
                <w:rFonts w:hint="default" w:ascii="Times New Roman" w:hAnsi="Times New Roman" w:eastAsia="宋体" w:cs="Times New Roman"/>
                <w:bCs/>
                <w:color w:val="auto"/>
                <w:kern w:val="2"/>
                <w:sz w:val="21"/>
                <w:szCs w:val="21"/>
                <w:highlight w:val="none"/>
                <w:lang w:val="en-US" w:eastAsia="zh-CN" w:bidi="ar-SA"/>
              </w:rPr>
              <w:t>、NO</w:t>
            </w:r>
            <w:r>
              <w:rPr>
                <w:rFonts w:hint="default" w:ascii="Times New Roman" w:hAnsi="Times New Roman" w:eastAsia="宋体" w:cs="Times New Roman"/>
                <w:bCs/>
                <w:color w:val="auto"/>
                <w:kern w:val="2"/>
                <w:sz w:val="21"/>
                <w:szCs w:val="21"/>
                <w:highlight w:val="none"/>
                <w:vertAlign w:val="subscript"/>
                <w:lang w:val="en-US" w:eastAsia="zh-CN" w:bidi="ar-SA"/>
              </w:rPr>
              <w:t>X</w:t>
            </w:r>
            <w:r>
              <w:rPr>
                <w:rFonts w:hint="default" w:ascii="Times New Roman" w:hAnsi="Times New Roman" w:cs="Times New Roman"/>
                <w:bCs/>
                <w:color w:val="auto"/>
                <w:kern w:val="2"/>
                <w:sz w:val="21"/>
                <w:szCs w:val="21"/>
                <w:highlight w:val="none"/>
                <w:vertAlign w:val="baseline"/>
                <w:lang w:val="en-US" w:eastAsia="zh-CN" w:bidi="ar-SA"/>
              </w:rPr>
              <w:t>、</w:t>
            </w:r>
            <w:r>
              <w:rPr>
                <w:rFonts w:hint="default" w:ascii="Times New Roman" w:hAnsi="Times New Roman" w:eastAsia="宋体" w:cs="Times New Roman"/>
                <w:bCs/>
                <w:color w:val="auto"/>
                <w:kern w:val="2"/>
                <w:sz w:val="21"/>
                <w:szCs w:val="21"/>
                <w:highlight w:val="none"/>
                <w:lang w:val="en-US" w:eastAsia="zh-CN" w:bidi="ar-SA"/>
              </w:rPr>
              <w:t>粉尘和少量非甲烷总烃</w:t>
            </w:r>
            <w:r>
              <w:rPr>
                <w:rFonts w:hint="eastAsia" w:cs="Times New Roman"/>
                <w:bCs/>
                <w:color w:val="auto"/>
                <w:kern w:val="2"/>
                <w:sz w:val="21"/>
                <w:szCs w:val="21"/>
                <w:highlight w:val="none"/>
                <w:lang w:val="en-US" w:eastAsia="zh-CN" w:bidi="ar-SA"/>
              </w:rPr>
              <w:t>（涤棉受热分解产生）</w:t>
            </w:r>
            <w:r>
              <w:rPr>
                <w:rFonts w:hint="default" w:ascii="Times New Roman" w:hAnsi="Times New Roman" w:eastAsia="宋体" w:cs="Times New Roman"/>
                <w:bCs/>
                <w:color w:val="auto"/>
                <w:kern w:val="2"/>
                <w:sz w:val="21"/>
                <w:szCs w:val="21"/>
                <w:highlight w:val="none"/>
                <w:lang w:val="en-US" w:eastAsia="zh-CN" w:bidi="ar-SA"/>
              </w:rPr>
              <w:t>，经管道进入静电除尘设备+二级活性炭吸附装置后，通过15m高排气筒</w:t>
            </w:r>
            <w:r>
              <w:rPr>
                <w:rFonts w:hint="default" w:ascii="Times New Roman" w:hAnsi="Times New Roman" w:cs="Times New Roman" w:eastAsiaTheme="minorEastAsia"/>
                <w:color w:val="auto"/>
                <w:szCs w:val="21"/>
                <w:highlight w:val="none"/>
                <w:lang w:val="en-US" w:eastAsia="zh-CN"/>
              </w:rPr>
              <w:t>DA002</w:t>
            </w:r>
            <w:r>
              <w:rPr>
                <w:rFonts w:hint="default" w:ascii="Times New Roman" w:hAnsi="Times New Roman" w:eastAsia="宋体" w:cs="Times New Roman"/>
                <w:bCs/>
                <w:color w:val="auto"/>
                <w:kern w:val="2"/>
                <w:sz w:val="21"/>
                <w:szCs w:val="21"/>
                <w:highlight w:val="none"/>
                <w:lang w:val="en-US" w:eastAsia="zh-CN" w:bidi="ar-SA"/>
              </w:rPr>
              <w:t>排放。</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②定型工序</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本项目共有</w:t>
            </w:r>
            <w:r>
              <w:rPr>
                <w:rFonts w:hint="default" w:ascii="Times New Roman" w:hAnsi="Times New Roman" w:cs="Times New Roman"/>
                <w:bCs/>
                <w:color w:val="auto"/>
                <w:kern w:val="2"/>
                <w:sz w:val="21"/>
                <w:szCs w:val="21"/>
                <w:highlight w:val="none"/>
                <w:lang w:val="en-US" w:eastAsia="zh-CN" w:bidi="ar-SA"/>
              </w:rPr>
              <w:t>四</w:t>
            </w:r>
            <w:r>
              <w:rPr>
                <w:rFonts w:hint="default" w:ascii="Times New Roman" w:hAnsi="Times New Roman" w:eastAsia="宋体" w:cs="Times New Roman"/>
                <w:bCs/>
                <w:color w:val="auto"/>
                <w:kern w:val="2"/>
                <w:sz w:val="21"/>
                <w:szCs w:val="21"/>
                <w:highlight w:val="none"/>
                <w:lang w:val="en-US" w:eastAsia="zh-CN" w:bidi="ar-SA"/>
              </w:rPr>
              <w:t>条定型生产线，其中</w:t>
            </w:r>
            <w:r>
              <w:rPr>
                <w:rFonts w:hint="default" w:ascii="Times New Roman" w:hAnsi="Times New Roman" w:cs="Times New Roman"/>
                <w:bCs/>
                <w:color w:val="auto"/>
                <w:kern w:val="2"/>
                <w:sz w:val="21"/>
                <w:szCs w:val="21"/>
                <w:highlight w:val="none"/>
                <w:lang w:val="en-US" w:eastAsia="zh-CN" w:bidi="ar-SA"/>
              </w:rPr>
              <w:t>两</w:t>
            </w:r>
            <w:r>
              <w:rPr>
                <w:rFonts w:hint="default" w:ascii="Times New Roman" w:hAnsi="Times New Roman" w:eastAsia="宋体" w:cs="Times New Roman"/>
                <w:bCs/>
                <w:color w:val="auto"/>
                <w:kern w:val="2"/>
                <w:sz w:val="21"/>
                <w:szCs w:val="21"/>
                <w:highlight w:val="none"/>
                <w:lang w:val="en-US" w:eastAsia="zh-CN" w:bidi="ar-SA"/>
              </w:rPr>
              <w:t>条线利用天然气加热，另外两条</w:t>
            </w:r>
            <w:r>
              <w:rPr>
                <w:rFonts w:hint="default" w:ascii="Times New Roman" w:hAnsi="Times New Roman" w:cs="Times New Roman"/>
                <w:bCs/>
                <w:color w:val="auto"/>
                <w:kern w:val="2"/>
                <w:sz w:val="21"/>
                <w:szCs w:val="21"/>
                <w:highlight w:val="none"/>
                <w:lang w:val="en-US" w:eastAsia="zh-CN" w:bidi="ar-SA"/>
              </w:rPr>
              <w:t>线</w:t>
            </w:r>
            <w:r>
              <w:rPr>
                <w:rFonts w:hint="default" w:ascii="Times New Roman" w:hAnsi="Times New Roman" w:eastAsia="宋体" w:cs="Times New Roman"/>
                <w:bCs/>
                <w:color w:val="auto"/>
                <w:kern w:val="2"/>
                <w:sz w:val="21"/>
                <w:szCs w:val="21"/>
                <w:highlight w:val="none"/>
                <w:lang w:val="en-US" w:eastAsia="zh-CN" w:bidi="ar-SA"/>
              </w:rPr>
              <w:t>利用蒸汽加热。</w:t>
            </w:r>
            <w:r>
              <w:rPr>
                <w:rFonts w:hint="default" w:ascii="Times New Roman" w:hAnsi="Times New Roman" w:cs="Times New Roman"/>
                <w:bCs/>
                <w:color w:val="auto"/>
                <w:kern w:val="2"/>
                <w:sz w:val="21"/>
                <w:szCs w:val="21"/>
                <w:highlight w:val="none"/>
                <w:lang w:val="en-US" w:eastAsia="zh-CN" w:bidi="ar-SA"/>
              </w:rPr>
              <w:t>天</w:t>
            </w:r>
            <w:r>
              <w:rPr>
                <w:rFonts w:hint="default" w:ascii="Times New Roman" w:hAnsi="Times New Roman" w:eastAsia="宋体" w:cs="Times New Roman"/>
                <w:bCs/>
                <w:color w:val="auto"/>
                <w:kern w:val="2"/>
                <w:sz w:val="21"/>
                <w:szCs w:val="21"/>
                <w:highlight w:val="none"/>
                <w:lang w:val="en-US" w:eastAsia="zh-CN" w:bidi="ar-SA"/>
              </w:rPr>
              <w:t>然气燃烧温度最高温度不高于160℃。</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bookmarkStart w:id="10" w:name="OLE_LINK20"/>
            <w:r>
              <w:rPr>
                <w:rFonts w:hint="default" w:ascii="Times New Roman" w:hAnsi="Times New Roman" w:eastAsia="宋体" w:cs="Times New Roman"/>
                <w:bCs/>
                <w:color w:val="auto"/>
                <w:kern w:val="2"/>
                <w:sz w:val="21"/>
                <w:szCs w:val="21"/>
                <w:highlight w:val="none"/>
                <w:lang w:val="en-US" w:eastAsia="zh-CN" w:bidi="ar-SA"/>
              </w:rPr>
              <w:t>1#、2#线产生的</w:t>
            </w:r>
            <w:r>
              <w:rPr>
                <w:rFonts w:hint="default" w:ascii="Times New Roman" w:hAnsi="Times New Roman" w:cs="Times New Roman"/>
                <w:bCs/>
                <w:color w:val="auto"/>
                <w:kern w:val="2"/>
                <w:sz w:val="21"/>
                <w:szCs w:val="21"/>
                <w:highlight w:val="none"/>
                <w:lang w:val="en-US" w:eastAsia="zh-CN" w:bidi="ar-SA"/>
              </w:rPr>
              <w:t>少量</w:t>
            </w:r>
            <w:r>
              <w:rPr>
                <w:rFonts w:hint="default" w:ascii="Times New Roman" w:hAnsi="Times New Roman" w:eastAsia="宋体" w:cs="Times New Roman"/>
                <w:bCs/>
                <w:color w:val="auto"/>
                <w:kern w:val="2"/>
                <w:sz w:val="21"/>
                <w:szCs w:val="21"/>
                <w:highlight w:val="none"/>
                <w:lang w:val="en-US" w:eastAsia="zh-CN" w:bidi="ar-SA"/>
              </w:rPr>
              <w:t>SO</w:t>
            </w:r>
            <w:r>
              <w:rPr>
                <w:rFonts w:hint="default" w:ascii="Times New Roman" w:hAnsi="Times New Roman" w:eastAsia="宋体" w:cs="Times New Roman"/>
                <w:bCs/>
                <w:color w:val="auto"/>
                <w:kern w:val="2"/>
                <w:sz w:val="21"/>
                <w:szCs w:val="21"/>
                <w:highlight w:val="none"/>
                <w:vertAlign w:val="subscript"/>
                <w:lang w:val="en-US" w:eastAsia="zh-CN" w:bidi="ar-SA"/>
              </w:rPr>
              <w:t>2</w:t>
            </w:r>
            <w:r>
              <w:rPr>
                <w:rFonts w:hint="default" w:ascii="Times New Roman" w:hAnsi="Times New Roman" w:eastAsia="宋体" w:cs="Times New Roman"/>
                <w:bCs/>
                <w:color w:val="auto"/>
                <w:kern w:val="2"/>
                <w:sz w:val="21"/>
                <w:szCs w:val="21"/>
                <w:highlight w:val="none"/>
                <w:lang w:val="en-US" w:eastAsia="zh-CN" w:bidi="ar-SA"/>
              </w:rPr>
              <w:t>、NO</w:t>
            </w:r>
            <w:r>
              <w:rPr>
                <w:rFonts w:hint="default" w:ascii="Times New Roman" w:hAnsi="Times New Roman" w:eastAsia="宋体" w:cs="Times New Roman"/>
                <w:bCs/>
                <w:color w:val="auto"/>
                <w:kern w:val="2"/>
                <w:sz w:val="21"/>
                <w:szCs w:val="21"/>
                <w:highlight w:val="none"/>
                <w:vertAlign w:val="subscript"/>
                <w:lang w:val="en-US" w:eastAsia="zh-CN" w:bidi="ar-SA"/>
              </w:rPr>
              <w:t>X</w:t>
            </w:r>
            <w:r>
              <w:rPr>
                <w:rFonts w:hint="default" w:ascii="Times New Roman" w:hAnsi="Times New Roman" w:cs="Times New Roman"/>
                <w:bCs/>
                <w:color w:val="auto"/>
                <w:kern w:val="2"/>
                <w:sz w:val="21"/>
                <w:szCs w:val="21"/>
                <w:highlight w:val="none"/>
                <w:vertAlign w:val="baseline"/>
                <w:lang w:val="en-US" w:eastAsia="zh-CN" w:bidi="ar-SA"/>
              </w:rPr>
              <w:t>、</w:t>
            </w:r>
            <w:r>
              <w:rPr>
                <w:rFonts w:hint="default" w:ascii="Times New Roman" w:hAnsi="Times New Roman" w:eastAsia="宋体" w:cs="Times New Roman"/>
                <w:bCs/>
                <w:color w:val="auto"/>
                <w:kern w:val="2"/>
                <w:sz w:val="21"/>
                <w:szCs w:val="21"/>
                <w:highlight w:val="none"/>
                <w:lang w:val="en-US" w:eastAsia="zh-CN" w:bidi="ar-SA"/>
              </w:rPr>
              <w:t>粉尘、非甲烷总烃</w:t>
            </w:r>
            <w:bookmarkEnd w:id="10"/>
            <w:r>
              <w:rPr>
                <w:rFonts w:hint="eastAsia" w:cs="Times New Roman"/>
                <w:bCs/>
                <w:color w:val="auto"/>
                <w:kern w:val="2"/>
                <w:sz w:val="21"/>
                <w:szCs w:val="21"/>
                <w:highlight w:val="none"/>
                <w:lang w:val="en-US" w:eastAsia="zh-CN" w:bidi="ar-SA"/>
              </w:rPr>
              <w:t>（涤棉受热分解产生）</w:t>
            </w:r>
            <w:r>
              <w:rPr>
                <w:rFonts w:hint="default" w:ascii="Times New Roman" w:hAnsi="Times New Roman" w:eastAsia="宋体" w:cs="Times New Roman"/>
                <w:bCs/>
                <w:color w:val="auto"/>
                <w:kern w:val="2"/>
                <w:sz w:val="21"/>
                <w:szCs w:val="21"/>
                <w:highlight w:val="none"/>
                <w:lang w:val="en-US" w:eastAsia="zh-CN" w:bidi="ar-SA"/>
              </w:rPr>
              <w:t>，通过管道进行收集，经静电除尘设备+二级活性炭吸附装置处理后，通过15m高排气筒</w:t>
            </w:r>
            <w:r>
              <w:rPr>
                <w:rFonts w:hint="default" w:ascii="Times New Roman" w:hAnsi="Times New Roman" w:cs="Times New Roman" w:eastAsiaTheme="minorEastAsia"/>
                <w:color w:val="auto"/>
                <w:szCs w:val="21"/>
                <w:highlight w:val="none"/>
                <w:lang w:val="en-US" w:eastAsia="zh-CN"/>
              </w:rPr>
              <w:t>DA002</w:t>
            </w:r>
            <w:r>
              <w:rPr>
                <w:rFonts w:hint="default" w:ascii="Times New Roman" w:hAnsi="Times New Roman" w:eastAsia="宋体" w:cs="Times New Roman"/>
                <w:bCs/>
                <w:color w:val="auto"/>
                <w:kern w:val="2"/>
                <w:sz w:val="21"/>
                <w:szCs w:val="21"/>
                <w:highlight w:val="none"/>
                <w:lang w:val="en-US" w:eastAsia="zh-CN" w:bidi="ar-SA"/>
              </w:rPr>
              <w:t>排放。</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DA002排气筒二氧化硫、二氧化硫、颗粒物数据依据山东信质环保科技有限公司</w:t>
            </w:r>
            <w:r>
              <w:rPr>
                <w:rFonts w:hint="default" w:ascii="Times New Roman" w:hAnsi="Times New Roman" w:cs="Times New Roman"/>
                <w:bCs/>
                <w:color w:val="auto"/>
                <w:kern w:val="2"/>
                <w:sz w:val="21"/>
                <w:szCs w:val="21"/>
                <w:highlight w:val="none"/>
                <w:lang w:val="en-US" w:eastAsia="zh-CN" w:bidi="ar-SA"/>
              </w:rPr>
              <w:t>2025年6月6日</w:t>
            </w:r>
            <w:r>
              <w:rPr>
                <w:rFonts w:hint="default" w:ascii="Times New Roman" w:hAnsi="Times New Roman" w:eastAsia="宋体" w:cs="Times New Roman"/>
                <w:bCs/>
                <w:color w:val="auto"/>
                <w:kern w:val="2"/>
                <w:sz w:val="21"/>
                <w:szCs w:val="21"/>
                <w:highlight w:val="none"/>
                <w:lang w:val="en-US" w:eastAsia="zh-CN" w:bidi="ar-SA"/>
              </w:rPr>
              <w:t>例行</w:t>
            </w:r>
            <w:r>
              <w:rPr>
                <w:rFonts w:hint="default" w:ascii="Times New Roman" w:hAnsi="Times New Roman" w:cs="Times New Roman"/>
                <w:bCs/>
                <w:color w:val="auto"/>
                <w:kern w:val="2"/>
                <w:sz w:val="21"/>
                <w:szCs w:val="21"/>
                <w:highlight w:val="none"/>
                <w:lang w:val="en-US" w:eastAsia="zh-CN" w:bidi="ar-SA"/>
              </w:rPr>
              <w:t>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bCs/>
                <w:color w:val="auto"/>
                <w:kern w:val="2"/>
                <w:sz w:val="21"/>
                <w:szCs w:val="21"/>
                <w:highlight w:val="none"/>
                <w:lang w:val="en-US" w:eastAsia="zh-CN" w:bidi="ar-SA"/>
              </w:rPr>
              <w:t>（报告编号：信质检字（2025）第 05028 号），检测</w:t>
            </w:r>
            <w:r>
              <w:rPr>
                <w:rFonts w:hint="default" w:ascii="Times New Roman" w:hAnsi="Times New Roman" w:eastAsia="宋体" w:cs="Times New Roman"/>
                <w:bCs/>
                <w:color w:val="auto"/>
                <w:kern w:val="2"/>
                <w:sz w:val="21"/>
                <w:szCs w:val="21"/>
                <w:highlight w:val="none"/>
                <w:lang w:val="en-US" w:eastAsia="zh-CN" w:bidi="ar-SA"/>
              </w:rPr>
              <w:t>数据见下表。</w:t>
            </w:r>
          </w:p>
          <w:p>
            <w:pPr>
              <w:jc w:val="center"/>
              <w:rPr>
                <w:rStyle w:val="95"/>
                <w:rFonts w:hint="default" w:ascii="Times New Roman" w:hAnsi="Times New Roman" w:eastAsia="宋体" w:cs="Times New Roman"/>
                <w:b/>
                <w:bCs/>
                <w:color w:val="auto"/>
                <w:sz w:val="21"/>
                <w:szCs w:val="21"/>
                <w:highlight w:val="none"/>
                <w:lang w:val="en-US" w:eastAsia="zh-CN" w:bidi="ar"/>
              </w:rPr>
            </w:pPr>
            <w:r>
              <w:rPr>
                <w:rStyle w:val="95"/>
                <w:rFonts w:hint="default" w:ascii="Times New Roman" w:hAnsi="Times New Roman" w:eastAsia="宋体" w:cs="Times New Roman"/>
                <w:b/>
                <w:bCs/>
                <w:color w:val="auto"/>
                <w:sz w:val="21"/>
                <w:szCs w:val="21"/>
                <w:highlight w:val="none"/>
                <w:lang w:val="en-US" w:eastAsia="zh-CN" w:bidi="ar"/>
              </w:rPr>
              <w:t>表2-</w:t>
            </w:r>
            <w:r>
              <w:rPr>
                <w:rStyle w:val="95"/>
                <w:rFonts w:hint="default" w:ascii="Times New Roman" w:hAnsi="Times New Roman" w:cs="Times New Roman"/>
                <w:b/>
                <w:bCs/>
                <w:color w:val="auto"/>
                <w:sz w:val="21"/>
                <w:szCs w:val="21"/>
                <w:highlight w:val="none"/>
                <w:lang w:val="en-US" w:eastAsia="zh-CN" w:bidi="ar"/>
              </w:rPr>
              <w:t>11</w:t>
            </w:r>
            <w:r>
              <w:rPr>
                <w:rStyle w:val="95"/>
                <w:rFonts w:hint="default" w:ascii="Times New Roman" w:hAnsi="Times New Roman" w:eastAsia="宋体" w:cs="Times New Roman"/>
                <w:b/>
                <w:bCs/>
                <w:color w:val="auto"/>
                <w:sz w:val="21"/>
                <w:szCs w:val="21"/>
                <w:highlight w:val="none"/>
                <w:lang w:val="en-US" w:eastAsia="zh-CN" w:bidi="ar"/>
              </w:rPr>
              <w:t xml:space="preserve">  DA002（</w:t>
            </w:r>
            <w:r>
              <w:rPr>
                <w:rFonts w:hint="default" w:ascii="Times New Roman" w:hAnsi="Times New Roman" w:eastAsia="宋体" w:cs="Times New Roman"/>
                <w:b/>
                <w:bCs/>
                <w:color w:val="auto"/>
                <w:kern w:val="2"/>
                <w:sz w:val="21"/>
                <w:szCs w:val="21"/>
                <w:highlight w:val="none"/>
                <w:lang w:val="en-US" w:eastAsia="zh-CN" w:bidi="ar-SA"/>
              </w:rPr>
              <w:t>二氧化硫、氮氧化物、颗粒物</w:t>
            </w:r>
            <w:r>
              <w:rPr>
                <w:rStyle w:val="95"/>
                <w:rFonts w:hint="default" w:ascii="Times New Roman" w:hAnsi="Times New Roman" w:eastAsia="宋体" w:cs="Times New Roman"/>
                <w:b/>
                <w:bCs/>
                <w:color w:val="auto"/>
                <w:sz w:val="21"/>
                <w:szCs w:val="21"/>
                <w:highlight w:val="none"/>
                <w:lang w:val="en-US" w:eastAsia="zh-CN" w:bidi="ar"/>
              </w:rPr>
              <w:t>）废气检测一览表</w:t>
            </w:r>
          </w:p>
          <w:tbl>
            <w:tblPr>
              <w:tblStyle w:val="36"/>
              <w:tblW w:w="4998"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01"/>
              <w:gridCol w:w="2047"/>
              <w:gridCol w:w="1280"/>
              <w:gridCol w:w="1390"/>
              <w:gridCol w:w="1419"/>
              <w:gridCol w:w="142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检测日期</w:t>
                  </w:r>
                </w:p>
              </w:tc>
              <w:tc>
                <w:tcPr>
                  <w:tcW w:w="1195"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样品编号</w:t>
                  </w:r>
                </w:p>
              </w:tc>
              <w:tc>
                <w:tcPr>
                  <w:tcW w:w="748"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检测项目</w:t>
                  </w:r>
                </w:p>
              </w:tc>
              <w:tc>
                <w:tcPr>
                  <w:tcW w:w="2469" w:type="pct"/>
                  <w:gridSpan w:val="3"/>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DA002排气筒</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1195"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748"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812"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排放浓度（mg/m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w:t>
                  </w:r>
                </w:p>
              </w:tc>
              <w:tc>
                <w:tcPr>
                  <w:tcW w:w="829"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标干流量（m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/h）</w:t>
                  </w:r>
                </w:p>
              </w:tc>
              <w:tc>
                <w:tcPr>
                  <w:tcW w:w="828"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排放速率（kg/h）</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06.06</w:t>
                  </w: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8"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2196</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8"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2089</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8"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2061</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8"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2196</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0.011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8"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2089</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8"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2061</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FQ-250606-291</w:t>
                  </w:r>
                </w:p>
              </w:tc>
              <w:tc>
                <w:tcPr>
                  <w:tcW w:w="748"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w:t>
                  </w: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2196</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FQ-250606-292</w:t>
                  </w:r>
                </w:p>
              </w:tc>
              <w:tc>
                <w:tcPr>
                  <w:tcW w:w="748"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2089</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5"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19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FQ-250606-293</w:t>
                  </w:r>
                </w:p>
              </w:tc>
              <w:tc>
                <w:tcPr>
                  <w:tcW w:w="748"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1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w:t>
                  </w:r>
                </w:p>
              </w:tc>
              <w:tc>
                <w:tcPr>
                  <w:tcW w:w="82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2061</w:t>
                  </w:r>
                </w:p>
              </w:tc>
              <w:tc>
                <w:tcPr>
                  <w:tcW w:w="82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781"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温度（℃）：44.4</w:t>
                  </w:r>
                </w:p>
              </w:tc>
              <w:tc>
                <w:tcPr>
                  <w:tcW w:w="156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湿度（%）：2.5</w:t>
                  </w:r>
                </w:p>
              </w:tc>
              <w:tc>
                <w:tcPr>
                  <w:tcW w:w="1657"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流速（m/s）：10.1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000" w:type="pct"/>
                  <w:gridSpan w:val="6"/>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排气筒高度：15m</w:t>
                  </w:r>
                  <w:r>
                    <w:rPr>
                      <w:rFonts w:hint="default" w:ascii="Times New Roman" w:hAnsi="Times New Roman" w:cs="Times New Roman"/>
                      <w:color w:val="auto"/>
                      <w:sz w:val="18"/>
                      <w:szCs w:val="18"/>
                      <w:highlight w:val="none"/>
                    </w:rPr>
                    <w:tab/>
                  </w:r>
                  <w:r>
                    <w:rPr>
                      <w:rFonts w:hint="default" w:ascii="Times New Roman" w:hAnsi="Times New Roman" w:cs="Times New Roman"/>
                      <w:color w:val="auto"/>
                      <w:sz w:val="18"/>
                      <w:szCs w:val="18"/>
                      <w:highlight w:val="none"/>
                    </w:rPr>
                    <w:t>圆形烟道直径：0.3m</w:t>
                  </w: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DA002排气筒非甲烷总烃数据依据</w:t>
            </w:r>
            <w:bookmarkStart w:id="11" w:name="OLE_LINK13"/>
            <w:r>
              <w:rPr>
                <w:rFonts w:hint="default" w:ascii="Times New Roman" w:hAnsi="Times New Roman" w:eastAsia="宋体" w:cs="Times New Roman"/>
                <w:bCs/>
                <w:color w:val="auto"/>
                <w:kern w:val="2"/>
                <w:sz w:val="21"/>
                <w:szCs w:val="21"/>
                <w:highlight w:val="none"/>
                <w:lang w:val="en-US" w:eastAsia="zh-CN" w:bidi="ar-SA"/>
              </w:rPr>
              <w:t>山东信质环保科技有限公司</w:t>
            </w:r>
            <w:r>
              <w:rPr>
                <w:rFonts w:hint="default" w:ascii="Times New Roman" w:hAnsi="Times New Roman" w:cs="Times New Roman"/>
                <w:bCs/>
                <w:color w:val="auto"/>
                <w:kern w:val="2"/>
                <w:sz w:val="21"/>
                <w:szCs w:val="21"/>
                <w:highlight w:val="none"/>
                <w:lang w:val="en-US" w:eastAsia="zh-CN" w:bidi="ar-SA"/>
              </w:rPr>
              <w:t>2025年7月14日</w:t>
            </w:r>
            <w:r>
              <w:rPr>
                <w:rFonts w:hint="default" w:ascii="Times New Roman" w:hAnsi="Times New Roman" w:eastAsia="宋体" w:cs="Times New Roman"/>
                <w:bCs/>
                <w:color w:val="auto"/>
                <w:kern w:val="2"/>
                <w:sz w:val="21"/>
                <w:szCs w:val="21"/>
                <w:highlight w:val="none"/>
                <w:lang w:val="en-US" w:eastAsia="zh-CN" w:bidi="ar-SA"/>
              </w:rPr>
              <w:t>例行</w:t>
            </w:r>
            <w:r>
              <w:rPr>
                <w:rFonts w:hint="default" w:ascii="Times New Roman" w:hAnsi="Times New Roman" w:cs="Times New Roman"/>
                <w:bCs/>
                <w:color w:val="auto"/>
                <w:kern w:val="2"/>
                <w:sz w:val="21"/>
                <w:szCs w:val="21"/>
                <w:highlight w:val="none"/>
                <w:lang w:val="en-US" w:eastAsia="zh-CN" w:bidi="ar-SA"/>
              </w:rPr>
              <w:t>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bCs/>
                <w:color w:val="auto"/>
                <w:kern w:val="2"/>
                <w:sz w:val="21"/>
                <w:szCs w:val="21"/>
                <w:highlight w:val="none"/>
                <w:lang w:val="en-US" w:eastAsia="zh-CN" w:bidi="ar-SA"/>
              </w:rPr>
              <w:t>（报告编号：信质检字（2025）第 07099 号）</w:t>
            </w:r>
            <w:bookmarkEnd w:id="11"/>
            <w:r>
              <w:rPr>
                <w:rFonts w:hint="default" w:ascii="Times New Roman" w:hAnsi="Times New Roman" w:cs="Times New Roman"/>
                <w:bCs/>
                <w:color w:val="auto"/>
                <w:kern w:val="2"/>
                <w:sz w:val="21"/>
                <w:szCs w:val="21"/>
                <w:highlight w:val="none"/>
                <w:lang w:val="en-US" w:eastAsia="zh-CN" w:bidi="ar-SA"/>
              </w:rPr>
              <w:t>，检测</w:t>
            </w:r>
            <w:r>
              <w:rPr>
                <w:rFonts w:hint="default" w:ascii="Times New Roman" w:hAnsi="Times New Roman" w:eastAsia="宋体" w:cs="Times New Roman"/>
                <w:bCs/>
                <w:color w:val="auto"/>
                <w:kern w:val="2"/>
                <w:sz w:val="21"/>
                <w:szCs w:val="21"/>
                <w:highlight w:val="none"/>
                <w:lang w:val="en-US" w:eastAsia="zh-CN" w:bidi="ar-SA"/>
              </w:rPr>
              <w:t>数据见下表。</w:t>
            </w:r>
          </w:p>
          <w:p>
            <w:pPr>
              <w:jc w:val="center"/>
              <w:rPr>
                <w:rStyle w:val="95"/>
                <w:rFonts w:hint="default" w:ascii="Times New Roman" w:hAnsi="Times New Roman" w:eastAsia="宋体" w:cs="Times New Roman"/>
                <w:b/>
                <w:bCs/>
                <w:color w:val="auto"/>
                <w:sz w:val="21"/>
                <w:szCs w:val="21"/>
                <w:highlight w:val="none"/>
                <w:lang w:val="en-US" w:eastAsia="zh-CN" w:bidi="ar"/>
              </w:rPr>
            </w:pPr>
            <w:r>
              <w:rPr>
                <w:rStyle w:val="95"/>
                <w:rFonts w:hint="default" w:ascii="Times New Roman" w:hAnsi="Times New Roman" w:eastAsia="宋体" w:cs="Times New Roman"/>
                <w:b/>
                <w:bCs/>
                <w:color w:val="auto"/>
                <w:sz w:val="21"/>
                <w:szCs w:val="21"/>
                <w:highlight w:val="none"/>
                <w:lang w:val="en-US" w:eastAsia="zh-CN" w:bidi="ar"/>
              </w:rPr>
              <w:t>表2-</w:t>
            </w:r>
            <w:r>
              <w:rPr>
                <w:rStyle w:val="95"/>
                <w:rFonts w:hint="default" w:ascii="Times New Roman" w:hAnsi="Times New Roman" w:cs="Times New Roman"/>
                <w:b/>
                <w:bCs/>
                <w:color w:val="auto"/>
                <w:sz w:val="21"/>
                <w:szCs w:val="21"/>
                <w:highlight w:val="none"/>
                <w:lang w:val="en-US" w:eastAsia="zh-CN" w:bidi="ar"/>
              </w:rPr>
              <w:t>12</w:t>
            </w:r>
            <w:r>
              <w:rPr>
                <w:rStyle w:val="95"/>
                <w:rFonts w:hint="default" w:ascii="Times New Roman" w:hAnsi="Times New Roman" w:eastAsia="宋体" w:cs="Times New Roman"/>
                <w:b/>
                <w:bCs/>
                <w:color w:val="auto"/>
                <w:sz w:val="21"/>
                <w:szCs w:val="21"/>
                <w:highlight w:val="none"/>
                <w:lang w:val="en-US" w:eastAsia="zh-CN" w:bidi="ar"/>
              </w:rPr>
              <w:t xml:space="preserve">  DA002（</w:t>
            </w:r>
            <w:r>
              <w:rPr>
                <w:rFonts w:hint="default" w:ascii="Times New Roman" w:hAnsi="Times New Roman" w:eastAsia="宋体" w:cs="Times New Roman"/>
                <w:b/>
                <w:bCs/>
                <w:color w:val="auto"/>
                <w:kern w:val="2"/>
                <w:sz w:val="21"/>
                <w:szCs w:val="21"/>
                <w:highlight w:val="none"/>
                <w:lang w:val="en-US" w:eastAsia="zh-CN" w:bidi="ar-SA"/>
              </w:rPr>
              <w:t>非甲烷总烃</w:t>
            </w:r>
            <w:r>
              <w:rPr>
                <w:rStyle w:val="95"/>
                <w:rFonts w:hint="default" w:ascii="Times New Roman" w:hAnsi="Times New Roman" w:eastAsia="宋体" w:cs="Times New Roman"/>
                <w:b/>
                <w:bCs/>
                <w:color w:val="auto"/>
                <w:sz w:val="21"/>
                <w:szCs w:val="21"/>
                <w:highlight w:val="none"/>
                <w:lang w:val="en-US" w:eastAsia="zh-CN" w:bidi="ar"/>
              </w:rPr>
              <w:t>）废气检测一览表</w:t>
            </w:r>
          </w:p>
          <w:tbl>
            <w:tblPr>
              <w:tblStyle w:val="36"/>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50"/>
              <w:gridCol w:w="1904"/>
              <w:gridCol w:w="1701"/>
              <w:gridCol w:w="1312"/>
              <w:gridCol w:w="1232"/>
              <w:gridCol w:w="127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50"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检测日期</w:t>
                  </w:r>
                </w:p>
              </w:tc>
              <w:tc>
                <w:tcPr>
                  <w:tcW w:w="1904"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样品编号</w:t>
                  </w:r>
                </w:p>
              </w:tc>
              <w:tc>
                <w:tcPr>
                  <w:tcW w:w="1701"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检测项目</w:t>
                  </w:r>
                </w:p>
              </w:tc>
              <w:tc>
                <w:tcPr>
                  <w:tcW w:w="3823" w:type="dxa"/>
                  <w:gridSpan w:val="3"/>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DA002排气筒</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50" w:type="dxa"/>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1904" w:type="dxa"/>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1701" w:type="dxa"/>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1312"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排放浓度（mg/m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w:t>
                  </w:r>
                </w:p>
              </w:tc>
              <w:tc>
                <w:tcPr>
                  <w:tcW w:w="1232"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标干流量（m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/h）</w:t>
                  </w:r>
                </w:p>
              </w:tc>
              <w:tc>
                <w:tcPr>
                  <w:tcW w:w="1279"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排放速率（kg/h）</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50" w:type="dxa"/>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07.14</w:t>
                  </w:r>
                </w:p>
              </w:tc>
              <w:tc>
                <w:tcPr>
                  <w:tcW w:w="1904"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FQ-250714-221</w:t>
                  </w:r>
                </w:p>
              </w:tc>
              <w:tc>
                <w:tcPr>
                  <w:tcW w:w="1701" w:type="dxa"/>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VOCs（以非甲烷总烃计）</w:t>
                  </w:r>
                </w:p>
              </w:tc>
              <w:tc>
                <w:tcPr>
                  <w:tcW w:w="1312"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8.82</w:t>
                  </w:r>
                </w:p>
              </w:tc>
              <w:tc>
                <w:tcPr>
                  <w:tcW w:w="1232"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1956</w:t>
                  </w:r>
                </w:p>
              </w:tc>
              <w:tc>
                <w:tcPr>
                  <w:tcW w:w="1279"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0.017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50"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904"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FQ-250714-222</w:t>
                  </w:r>
                </w:p>
              </w:tc>
              <w:tc>
                <w:tcPr>
                  <w:tcW w:w="1701"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12"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9.77</w:t>
                  </w:r>
                </w:p>
              </w:tc>
              <w:tc>
                <w:tcPr>
                  <w:tcW w:w="1232"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2009</w:t>
                  </w:r>
                </w:p>
              </w:tc>
              <w:tc>
                <w:tcPr>
                  <w:tcW w:w="1279"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50"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904"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FQ-250714-223</w:t>
                  </w:r>
                </w:p>
              </w:tc>
              <w:tc>
                <w:tcPr>
                  <w:tcW w:w="1701"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12"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9.14</w:t>
                  </w:r>
                </w:p>
              </w:tc>
              <w:tc>
                <w:tcPr>
                  <w:tcW w:w="1232"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1989</w:t>
                  </w:r>
                </w:p>
              </w:tc>
              <w:tc>
                <w:tcPr>
                  <w:tcW w:w="1279"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0.018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954" w:type="dxa"/>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温度（℃）：40.9</w:t>
                  </w:r>
                </w:p>
              </w:tc>
              <w:tc>
                <w:tcPr>
                  <w:tcW w:w="3013" w:type="dxa"/>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湿度（%）：----</w:t>
                  </w:r>
                </w:p>
              </w:tc>
              <w:tc>
                <w:tcPr>
                  <w:tcW w:w="2511" w:type="dxa"/>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流速（m/s）：9.5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78" w:type="dxa"/>
                  <w:gridSpan w:val="6"/>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排气筒高度：15m</w:t>
                  </w:r>
                  <w:r>
                    <w:rPr>
                      <w:rFonts w:hint="default" w:ascii="Times New Roman" w:hAnsi="Times New Roman" w:cs="Times New Roman"/>
                      <w:color w:val="auto"/>
                      <w:sz w:val="18"/>
                      <w:szCs w:val="18"/>
                      <w:highlight w:val="none"/>
                    </w:rPr>
                    <w:tab/>
                  </w:r>
                  <w:r>
                    <w:rPr>
                      <w:rFonts w:hint="default" w:ascii="Times New Roman" w:hAnsi="Times New Roman" w:cs="Times New Roman"/>
                      <w:color w:val="auto"/>
                      <w:sz w:val="18"/>
                      <w:szCs w:val="18"/>
                      <w:highlight w:val="none"/>
                    </w:rPr>
                    <w:t>圆形烟道直径：0.3m</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Style w:val="95"/>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SA"/>
              </w:rPr>
              <w:t xml:space="preserve">    </w:t>
            </w:r>
            <w:r>
              <w:rPr>
                <w:rFonts w:hint="default" w:ascii="Times New Roman" w:hAnsi="Times New Roman" w:cs="Times New Roman"/>
                <w:bCs/>
                <w:color w:val="auto"/>
                <w:szCs w:val="21"/>
                <w:highlight w:val="none"/>
              </w:rPr>
              <w:t>由上表可知</w:t>
            </w:r>
            <w:r>
              <w:rPr>
                <w:rFonts w:hint="default" w:ascii="Times New Roman" w:hAnsi="Times New Roman" w:cs="Times New Roman"/>
                <w:bCs/>
                <w:color w:val="auto"/>
                <w:szCs w:val="21"/>
                <w:highlight w:val="none"/>
                <w:lang w:val="en-US" w:eastAsia="zh-CN"/>
              </w:rPr>
              <w:t>现有项目DA002有</w:t>
            </w:r>
            <w:r>
              <w:rPr>
                <w:rFonts w:hint="default" w:ascii="Times New Roman" w:hAnsi="Times New Roman" w:cs="Times New Roman"/>
                <w:bCs/>
                <w:color w:val="auto"/>
                <w:szCs w:val="21"/>
                <w:highlight w:val="none"/>
              </w:rPr>
              <w:t>组织颗粒物</w:t>
            </w:r>
            <w:r>
              <w:rPr>
                <w:rFonts w:hint="default" w:ascii="Times New Roman" w:hAnsi="Times New Roman" w:cs="Times New Roman"/>
                <w:bCs/>
                <w:color w:val="auto"/>
                <w:szCs w:val="21"/>
                <w:highlight w:val="none"/>
                <w:lang w:eastAsia="zh-CN"/>
              </w:rPr>
              <w:t>、</w:t>
            </w:r>
            <w:r>
              <w:rPr>
                <w:rFonts w:hint="default" w:ascii="Times New Roman" w:hAnsi="Times New Roman" w:cs="Times New Roman"/>
                <w:color w:val="auto"/>
                <w:szCs w:val="21"/>
                <w:highlight w:val="none"/>
              </w:rPr>
              <w:t>NO</w:t>
            </w:r>
            <w:r>
              <w:rPr>
                <w:rFonts w:hint="default" w:ascii="Times New Roman" w:hAnsi="Times New Roman" w:cs="Times New Roman"/>
                <w:color w:val="auto"/>
                <w:szCs w:val="21"/>
                <w:highlight w:val="none"/>
                <w:vertAlign w:val="subscript"/>
              </w:rPr>
              <w:t>x</w:t>
            </w:r>
            <w:r>
              <w:rPr>
                <w:rFonts w:hint="default" w:ascii="Times New Roman" w:hAnsi="Times New Roman" w:cs="Times New Roman"/>
                <w:color w:val="auto"/>
                <w:szCs w:val="21"/>
                <w:highlight w:val="none"/>
                <w:vertAlign w:val="baseline"/>
                <w:lang w:eastAsia="zh-CN"/>
              </w:rPr>
              <w:t>、</w:t>
            </w:r>
            <w:r>
              <w:rPr>
                <w:rFonts w:hint="default" w:ascii="Times New Roman" w:hAnsi="Times New Roman" w:cs="Times New Roman"/>
                <w:color w:val="auto"/>
                <w:szCs w:val="21"/>
                <w:highlight w:val="none"/>
              </w:rPr>
              <w:t>SO</w:t>
            </w:r>
            <w:r>
              <w:rPr>
                <w:rFonts w:hint="default" w:ascii="Times New Roman" w:hAnsi="Times New Roman" w:cs="Times New Roman"/>
                <w:color w:val="auto"/>
                <w:szCs w:val="21"/>
                <w:highlight w:val="none"/>
                <w:vertAlign w:val="subscript"/>
              </w:rPr>
              <w:t>2</w:t>
            </w:r>
            <w:r>
              <w:rPr>
                <w:rFonts w:hint="default" w:ascii="Times New Roman" w:hAnsi="Times New Roman" w:cs="Times New Roman"/>
                <w:color w:val="auto"/>
                <w:szCs w:val="21"/>
                <w:highlight w:val="none"/>
              </w:rPr>
              <w:t>排放</w:t>
            </w:r>
            <w:r>
              <w:rPr>
                <w:rFonts w:hint="default" w:ascii="Times New Roman" w:hAnsi="Times New Roman" w:cs="Times New Roman"/>
                <w:color w:val="auto"/>
                <w:szCs w:val="21"/>
                <w:highlight w:val="none"/>
                <w:lang w:val="en-US" w:eastAsia="zh-CN"/>
              </w:rPr>
              <w:t>浓度</w:t>
            </w:r>
            <w:r>
              <w:rPr>
                <w:rFonts w:hint="default" w:ascii="Times New Roman" w:hAnsi="Times New Roman" w:cs="Times New Roman"/>
                <w:color w:val="auto"/>
                <w:szCs w:val="21"/>
                <w:highlight w:val="none"/>
              </w:rPr>
              <w:t>满足《区域性大气污染物综合排放标准》（DB37/2376-2019）中表1</w:t>
            </w:r>
            <w:r>
              <w:rPr>
                <w:rFonts w:hint="default" w:ascii="Times New Roman" w:hAnsi="Times New Roman" w:cs="Times New Roman"/>
                <w:color w:val="auto"/>
                <w:szCs w:val="21"/>
                <w:highlight w:val="none"/>
                <w:lang w:eastAsia="zh-CN"/>
              </w:rPr>
              <w:t>重点控制区</w:t>
            </w:r>
            <w:r>
              <w:rPr>
                <w:rFonts w:hint="default" w:ascii="Times New Roman" w:hAnsi="Times New Roman" w:cs="Times New Roman"/>
                <w:color w:val="auto"/>
                <w:szCs w:val="21"/>
                <w:highlight w:val="none"/>
              </w:rPr>
              <w:t>排放限值要求（颗粒物：</w:t>
            </w:r>
            <w:r>
              <w:rPr>
                <w:rFonts w:hint="default"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0mg/m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；二氧化硫：</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0mg/m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；氮氧化物：</w:t>
            </w:r>
            <w:r>
              <w:rPr>
                <w:rFonts w:hint="default"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00mg/m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非甲烷总烃排放浓度满足《挥发性有机物排放标准 第7部分 其他行业》（DB37/2801.7-2019）表1其他行业排放限值（4</w:t>
            </w:r>
            <w:r>
              <w:rPr>
                <w:rFonts w:hint="default" w:ascii="Times New Roman" w:hAnsi="Times New Roman" w:cs="Times New Roman"/>
                <w:color w:val="auto"/>
                <w:szCs w:val="21"/>
                <w:highlight w:val="none"/>
              </w:rPr>
              <w:t>0mg/m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bCs/>
                <w:color w:val="auto"/>
                <w:szCs w:val="21"/>
                <w:highlight w:val="no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③污水处理站异味气体</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厂区由于平面布置原因，污水处理分两部分，一部分是预处理单元，位于生产车间北侧，主要包括水解酸化和厌氧处理，异味气体采用喷淋塔+UV光氧催化装置，然后经15米高排气筒</w:t>
            </w:r>
            <w:r>
              <w:rPr>
                <w:rFonts w:hint="default" w:ascii="Times New Roman" w:hAnsi="Times New Roman" w:cs="Times New Roman" w:eastAsiaTheme="minorEastAsia"/>
                <w:color w:val="auto"/>
                <w:szCs w:val="21"/>
                <w:highlight w:val="none"/>
                <w:lang w:val="en-US" w:eastAsia="zh-CN"/>
              </w:rPr>
              <w:t>DA004</w:t>
            </w:r>
            <w:r>
              <w:rPr>
                <w:rFonts w:hint="default" w:ascii="Times New Roman" w:hAnsi="Times New Roman" w:eastAsia="宋体" w:cs="Times New Roman"/>
                <w:bCs/>
                <w:color w:val="auto"/>
                <w:kern w:val="2"/>
                <w:sz w:val="21"/>
                <w:szCs w:val="21"/>
                <w:highlight w:val="none"/>
                <w:lang w:val="en-US" w:eastAsia="zh-CN" w:bidi="ar-SA"/>
              </w:rPr>
              <w:t>排放。另一部分后处理单元，主要包括好氧处理，采用双氧水喷淋吸收处理，然后经15米高排气筒</w:t>
            </w:r>
            <w:r>
              <w:rPr>
                <w:rFonts w:hint="default" w:ascii="Times New Roman" w:hAnsi="Times New Roman" w:cs="Times New Roman" w:eastAsiaTheme="minorEastAsia"/>
                <w:color w:val="auto"/>
                <w:szCs w:val="21"/>
                <w:highlight w:val="none"/>
                <w:lang w:val="en-US" w:eastAsia="zh-CN"/>
              </w:rPr>
              <w:t>DA003</w:t>
            </w:r>
            <w:r>
              <w:rPr>
                <w:rFonts w:hint="default" w:ascii="Times New Roman" w:hAnsi="Times New Roman" w:eastAsia="宋体" w:cs="Times New Roman"/>
                <w:bCs/>
                <w:color w:val="auto"/>
                <w:kern w:val="2"/>
                <w:sz w:val="21"/>
                <w:szCs w:val="21"/>
                <w:highlight w:val="none"/>
                <w:lang w:val="en-US" w:eastAsia="zh-CN" w:bidi="ar-SA"/>
              </w:rPr>
              <w:t>排放。</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DA00</w:t>
            </w:r>
            <w:r>
              <w:rPr>
                <w:rFonts w:hint="default" w:ascii="Times New Roman" w:hAnsi="Times New Roman" w:cs="Times New Roman"/>
                <w:bCs/>
                <w:color w:val="auto"/>
                <w:kern w:val="2"/>
                <w:sz w:val="21"/>
                <w:szCs w:val="21"/>
                <w:highlight w:val="none"/>
                <w:lang w:val="en-US" w:eastAsia="zh-CN" w:bidi="ar-SA"/>
              </w:rPr>
              <w:t>3</w:t>
            </w:r>
            <w:r>
              <w:rPr>
                <w:rFonts w:hint="default" w:ascii="Times New Roman" w:hAnsi="Times New Roman" w:eastAsia="宋体" w:cs="Times New Roman"/>
                <w:bCs/>
                <w:color w:val="auto"/>
                <w:kern w:val="2"/>
                <w:sz w:val="21"/>
                <w:szCs w:val="21"/>
                <w:highlight w:val="none"/>
                <w:lang w:val="en-US" w:eastAsia="zh-CN" w:bidi="ar-SA"/>
              </w:rPr>
              <w:t>、DA00</w:t>
            </w:r>
            <w:r>
              <w:rPr>
                <w:rFonts w:hint="default" w:ascii="Times New Roman" w:hAnsi="Times New Roman" w:cs="Times New Roman"/>
                <w:bCs/>
                <w:color w:val="auto"/>
                <w:kern w:val="2"/>
                <w:sz w:val="21"/>
                <w:szCs w:val="21"/>
                <w:highlight w:val="none"/>
                <w:lang w:val="en-US" w:eastAsia="zh-CN" w:bidi="ar-SA"/>
              </w:rPr>
              <w:t>4</w:t>
            </w:r>
            <w:r>
              <w:rPr>
                <w:rFonts w:hint="default" w:ascii="Times New Roman" w:hAnsi="Times New Roman" w:eastAsia="宋体" w:cs="Times New Roman"/>
                <w:bCs/>
                <w:color w:val="auto"/>
                <w:kern w:val="2"/>
                <w:sz w:val="21"/>
                <w:szCs w:val="21"/>
                <w:highlight w:val="none"/>
                <w:lang w:val="en-US" w:eastAsia="zh-CN" w:bidi="ar-SA"/>
              </w:rPr>
              <w:t>排气筒氨、硫化氢、臭气浓度数据依据山东信质环保科技有限公司</w:t>
            </w:r>
            <w:r>
              <w:rPr>
                <w:rFonts w:hint="default" w:ascii="Times New Roman" w:hAnsi="Times New Roman" w:cs="Times New Roman"/>
                <w:bCs/>
                <w:color w:val="auto"/>
                <w:kern w:val="2"/>
                <w:sz w:val="21"/>
                <w:szCs w:val="21"/>
                <w:highlight w:val="none"/>
                <w:lang w:val="en-US" w:eastAsia="zh-CN" w:bidi="ar-SA"/>
              </w:rPr>
              <w:t>2025年5月30日</w:t>
            </w:r>
            <w:r>
              <w:rPr>
                <w:rFonts w:hint="default" w:ascii="Times New Roman" w:hAnsi="Times New Roman" w:eastAsia="宋体" w:cs="Times New Roman"/>
                <w:bCs/>
                <w:color w:val="auto"/>
                <w:kern w:val="2"/>
                <w:sz w:val="21"/>
                <w:szCs w:val="21"/>
                <w:highlight w:val="none"/>
                <w:lang w:val="en-US" w:eastAsia="zh-CN" w:bidi="ar-SA"/>
              </w:rPr>
              <w:t>例行</w:t>
            </w:r>
            <w:r>
              <w:rPr>
                <w:rFonts w:hint="default" w:ascii="Times New Roman" w:hAnsi="Times New Roman" w:cs="Times New Roman"/>
                <w:bCs/>
                <w:color w:val="auto"/>
                <w:kern w:val="2"/>
                <w:sz w:val="21"/>
                <w:szCs w:val="21"/>
                <w:highlight w:val="none"/>
                <w:lang w:val="en-US" w:eastAsia="zh-CN" w:bidi="ar-SA"/>
              </w:rPr>
              <w:t>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bCs/>
                <w:color w:val="auto"/>
                <w:kern w:val="2"/>
                <w:sz w:val="21"/>
                <w:szCs w:val="21"/>
                <w:highlight w:val="none"/>
                <w:lang w:val="en-US" w:eastAsia="zh-CN" w:bidi="ar-SA"/>
              </w:rPr>
              <w:t>（报告编号：信质检字（2025）第 05028 号），检测</w:t>
            </w:r>
            <w:r>
              <w:rPr>
                <w:rFonts w:hint="default" w:ascii="Times New Roman" w:hAnsi="Times New Roman" w:eastAsia="宋体" w:cs="Times New Roman"/>
                <w:bCs/>
                <w:color w:val="auto"/>
                <w:kern w:val="2"/>
                <w:sz w:val="21"/>
                <w:szCs w:val="21"/>
                <w:highlight w:val="none"/>
                <w:lang w:val="en-US" w:eastAsia="zh-CN" w:bidi="ar-SA"/>
              </w:rPr>
              <w:t>数据见下表。</w:t>
            </w:r>
          </w:p>
          <w:p>
            <w:pPr>
              <w:jc w:val="center"/>
              <w:rPr>
                <w:rFonts w:hint="default" w:ascii="Times New Roman" w:hAnsi="Times New Roman" w:eastAsia="宋体" w:cs="Times New Roman"/>
                <w:bCs/>
                <w:color w:val="auto"/>
                <w:kern w:val="2"/>
                <w:sz w:val="21"/>
                <w:szCs w:val="21"/>
                <w:highlight w:val="none"/>
                <w:lang w:val="en-US" w:eastAsia="zh-CN" w:bidi="ar-SA"/>
              </w:rPr>
            </w:pPr>
            <w:r>
              <w:rPr>
                <w:rStyle w:val="95"/>
                <w:rFonts w:hint="default" w:ascii="Times New Roman" w:hAnsi="Times New Roman" w:eastAsia="宋体" w:cs="Times New Roman"/>
                <w:b/>
                <w:bCs/>
                <w:color w:val="auto"/>
                <w:sz w:val="21"/>
                <w:szCs w:val="21"/>
                <w:highlight w:val="none"/>
                <w:lang w:val="en-US" w:eastAsia="zh-CN" w:bidi="ar"/>
              </w:rPr>
              <w:t>表2-</w:t>
            </w:r>
            <w:r>
              <w:rPr>
                <w:rStyle w:val="95"/>
                <w:rFonts w:hint="default" w:ascii="Times New Roman" w:hAnsi="Times New Roman" w:cs="Times New Roman"/>
                <w:b/>
                <w:bCs/>
                <w:color w:val="auto"/>
                <w:sz w:val="21"/>
                <w:szCs w:val="21"/>
                <w:highlight w:val="none"/>
                <w:lang w:val="en-US" w:eastAsia="zh-CN" w:bidi="ar"/>
              </w:rPr>
              <w:t xml:space="preserve">13 </w:t>
            </w:r>
            <w:r>
              <w:rPr>
                <w:rStyle w:val="95"/>
                <w:rFonts w:hint="default" w:ascii="Times New Roman" w:hAnsi="Times New Roman" w:eastAsia="宋体" w:cs="Times New Roman"/>
                <w:b/>
                <w:bCs/>
                <w:color w:val="auto"/>
                <w:sz w:val="21"/>
                <w:szCs w:val="21"/>
                <w:highlight w:val="none"/>
                <w:lang w:val="en-US" w:eastAsia="zh-CN" w:bidi="ar"/>
              </w:rPr>
              <w:t xml:space="preserve"> DA00</w:t>
            </w:r>
            <w:r>
              <w:rPr>
                <w:rStyle w:val="95"/>
                <w:rFonts w:hint="default" w:ascii="Times New Roman" w:hAnsi="Times New Roman" w:cs="Times New Roman"/>
                <w:b/>
                <w:bCs/>
                <w:color w:val="auto"/>
                <w:sz w:val="21"/>
                <w:szCs w:val="21"/>
                <w:highlight w:val="none"/>
                <w:lang w:val="en-US" w:eastAsia="zh-CN" w:bidi="ar"/>
              </w:rPr>
              <w:t>3</w:t>
            </w:r>
            <w:r>
              <w:rPr>
                <w:rStyle w:val="95"/>
                <w:rFonts w:hint="default" w:ascii="Times New Roman" w:hAnsi="Times New Roman" w:eastAsia="宋体" w:cs="Times New Roman"/>
                <w:b/>
                <w:bCs/>
                <w:color w:val="auto"/>
                <w:sz w:val="21"/>
                <w:szCs w:val="21"/>
                <w:highlight w:val="none"/>
                <w:lang w:val="en-US" w:eastAsia="zh-CN" w:bidi="ar"/>
              </w:rPr>
              <w:t>（氨、硫化氢、臭气浓度）废气检测一览表</w:t>
            </w:r>
          </w:p>
          <w:tbl>
            <w:tblPr>
              <w:tblStyle w:val="36"/>
              <w:tblW w:w="4998"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08"/>
              <w:gridCol w:w="2290"/>
              <w:gridCol w:w="1076"/>
              <w:gridCol w:w="1376"/>
              <w:gridCol w:w="1403"/>
              <w:gridCol w:w="140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检测日期</w:t>
                  </w:r>
                </w:p>
              </w:tc>
              <w:tc>
                <w:tcPr>
                  <w:tcW w:w="1337"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样品编号</w:t>
                  </w:r>
                </w:p>
              </w:tc>
              <w:tc>
                <w:tcPr>
                  <w:tcW w:w="629"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检测项目</w:t>
                  </w:r>
                </w:p>
              </w:tc>
              <w:tc>
                <w:tcPr>
                  <w:tcW w:w="2442" w:type="pct"/>
                  <w:gridSpan w:val="3"/>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DA003排气筒</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1337"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629"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排放浓度（mg/m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w:t>
                  </w:r>
                </w:p>
              </w:tc>
              <w:tc>
                <w:tcPr>
                  <w:tcW w:w="820"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标干流量（m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/h）</w:t>
                  </w:r>
                </w:p>
              </w:tc>
              <w:tc>
                <w:tcPr>
                  <w:tcW w:w="818"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排放速率（kg/h）</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FQ-250530-214</w:t>
                  </w:r>
                </w:p>
              </w:tc>
              <w:tc>
                <w:tcPr>
                  <w:tcW w:w="62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氨</w:t>
                  </w: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3.16</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2712</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FQ-250530-215</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2.77</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2585</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FQ-250530-216</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3020</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FQ-250530-220ab</w:t>
                  </w:r>
                </w:p>
              </w:tc>
              <w:tc>
                <w:tcPr>
                  <w:tcW w:w="62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硫化氢</w:t>
                  </w: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0.15</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2712</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4.07×10</w:t>
                  </w:r>
                  <w:r>
                    <w:rPr>
                      <w:rFonts w:hint="default" w:ascii="Times New Roman" w:hAnsi="Times New Roman" w:cs="Times New Roman"/>
                      <w:color w:val="auto"/>
                      <w:sz w:val="18"/>
                      <w:szCs w:val="18"/>
                      <w:highlight w:val="none"/>
                      <w:vertAlign w:val="superscript"/>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FQ-250530-221ab</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0.13</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2585</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3.36×10</w:t>
                  </w:r>
                  <w:r>
                    <w:rPr>
                      <w:rFonts w:hint="default" w:ascii="Times New Roman" w:hAnsi="Times New Roman" w:cs="Times New Roman"/>
                      <w:color w:val="auto"/>
                      <w:sz w:val="18"/>
                      <w:szCs w:val="18"/>
                      <w:highlight w:val="none"/>
                      <w:vertAlign w:val="superscript"/>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FQ-250530-222ab</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0.17</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3020</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5.13×10</w:t>
                  </w:r>
                  <w:r>
                    <w:rPr>
                      <w:rFonts w:hint="default" w:ascii="Times New Roman" w:hAnsi="Times New Roman" w:cs="Times New Roman"/>
                      <w:color w:val="auto"/>
                      <w:sz w:val="18"/>
                      <w:szCs w:val="18"/>
                      <w:highlight w:val="none"/>
                      <w:vertAlign w:val="superscript"/>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927"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温度（℃）：39.1</w:t>
                  </w:r>
                </w:p>
              </w:tc>
              <w:tc>
                <w:tcPr>
                  <w:tcW w:w="1433"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湿度（%）：3.29</w:t>
                  </w:r>
                </w:p>
              </w:tc>
              <w:tc>
                <w:tcPr>
                  <w:tcW w:w="1638"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流速（m/s）：7.3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FQ-250530-217</w:t>
                  </w:r>
                </w:p>
              </w:tc>
              <w:tc>
                <w:tcPr>
                  <w:tcW w:w="62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臭气（无量纲）</w:t>
                  </w: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977</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2554</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FQ-250530-218</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851</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2603</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FQ-250530-219</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1122</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2425</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927"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温度（℃）：37.8</w:t>
                  </w:r>
                </w:p>
              </w:tc>
              <w:tc>
                <w:tcPr>
                  <w:tcW w:w="1433"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湿度（%）：3.41</w:t>
                  </w:r>
                </w:p>
              </w:tc>
              <w:tc>
                <w:tcPr>
                  <w:tcW w:w="1638"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流速（m/s）：6.6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000" w:type="pct"/>
                  <w:gridSpan w:val="6"/>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排气筒高度：15m</w:t>
                  </w:r>
                  <w:r>
                    <w:rPr>
                      <w:rFonts w:hint="default" w:ascii="Times New Roman" w:hAnsi="Times New Roman" w:cs="Times New Roman"/>
                      <w:color w:val="auto"/>
                      <w:sz w:val="18"/>
                      <w:szCs w:val="18"/>
                      <w:highlight w:val="none"/>
                    </w:rPr>
                    <w:tab/>
                  </w:r>
                  <w:r>
                    <w:rPr>
                      <w:rFonts w:hint="default" w:ascii="Times New Roman" w:hAnsi="Times New Roman" w:cs="Times New Roman"/>
                      <w:color w:val="auto"/>
                      <w:sz w:val="18"/>
                      <w:szCs w:val="18"/>
                      <w:highlight w:val="none"/>
                    </w:rPr>
                    <w:t>圆形烟道直径：0.4m</w:t>
                  </w:r>
                </w:p>
              </w:tc>
            </w:tr>
          </w:tbl>
          <w:p>
            <w:pPr>
              <w:jc w:val="center"/>
              <w:rPr>
                <w:rFonts w:hint="default" w:ascii="Times New Roman" w:hAnsi="Times New Roman" w:eastAsia="宋体" w:cs="Times New Roman"/>
                <w:bCs/>
                <w:color w:val="auto"/>
                <w:kern w:val="2"/>
                <w:sz w:val="21"/>
                <w:szCs w:val="21"/>
                <w:highlight w:val="none"/>
                <w:lang w:val="en-US" w:eastAsia="zh-CN" w:bidi="ar-SA"/>
              </w:rPr>
            </w:pPr>
            <w:r>
              <w:rPr>
                <w:rStyle w:val="95"/>
                <w:rFonts w:hint="default" w:ascii="Times New Roman" w:hAnsi="Times New Roman" w:eastAsia="宋体" w:cs="Times New Roman"/>
                <w:b/>
                <w:bCs/>
                <w:color w:val="auto"/>
                <w:sz w:val="21"/>
                <w:szCs w:val="21"/>
                <w:highlight w:val="none"/>
                <w:lang w:val="en-US" w:eastAsia="zh-CN" w:bidi="ar"/>
              </w:rPr>
              <w:t>表2-</w:t>
            </w:r>
            <w:r>
              <w:rPr>
                <w:rStyle w:val="95"/>
                <w:rFonts w:hint="default" w:ascii="Times New Roman" w:hAnsi="Times New Roman" w:cs="Times New Roman"/>
                <w:b/>
                <w:bCs/>
                <w:color w:val="auto"/>
                <w:sz w:val="21"/>
                <w:szCs w:val="21"/>
                <w:highlight w:val="none"/>
                <w:lang w:val="en-US" w:eastAsia="zh-CN" w:bidi="ar"/>
              </w:rPr>
              <w:t>14</w:t>
            </w:r>
            <w:r>
              <w:rPr>
                <w:rStyle w:val="95"/>
                <w:rFonts w:hint="default" w:ascii="Times New Roman" w:hAnsi="Times New Roman" w:eastAsia="宋体" w:cs="Times New Roman"/>
                <w:b/>
                <w:bCs/>
                <w:color w:val="auto"/>
                <w:sz w:val="21"/>
                <w:szCs w:val="21"/>
                <w:highlight w:val="none"/>
                <w:lang w:val="en-US" w:eastAsia="zh-CN" w:bidi="ar"/>
              </w:rPr>
              <w:t xml:space="preserve">  DA00</w:t>
            </w:r>
            <w:r>
              <w:rPr>
                <w:rStyle w:val="95"/>
                <w:rFonts w:hint="default" w:ascii="Times New Roman" w:hAnsi="Times New Roman" w:cs="Times New Roman"/>
                <w:b/>
                <w:bCs/>
                <w:color w:val="auto"/>
                <w:sz w:val="21"/>
                <w:szCs w:val="21"/>
                <w:highlight w:val="none"/>
                <w:lang w:val="en-US" w:eastAsia="zh-CN" w:bidi="ar"/>
              </w:rPr>
              <w:t>4</w:t>
            </w:r>
            <w:r>
              <w:rPr>
                <w:rStyle w:val="95"/>
                <w:rFonts w:hint="default" w:ascii="Times New Roman" w:hAnsi="Times New Roman" w:eastAsia="宋体" w:cs="Times New Roman"/>
                <w:b/>
                <w:bCs/>
                <w:color w:val="auto"/>
                <w:sz w:val="21"/>
                <w:szCs w:val="21"/>
                <w:highlight w:val="none"/>
                <w:lang w:val="en-US" w:eastAsia="zh-CN" w:bidi="ar"/>
              </w:rPr>
              <w:t>（氨、硫化氢、臭气浓度）废气检测一览表</w:t>
            </w:r>
          </w:p>
          <w:tbl>
            <w:tblPr>
              <w:tblStyle w:val="36"/>
              <w:tblW w:w="4998"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08"/>
              <w:gridCol w:w="2291"/>
              <w:gridCol w:w="1077"/>
              <w:gridCol w:w="1376"/>
              <w:gridCol w:w="1404"/>
              <w:gridCol w:w="140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检测日期</w:t>
                  </w:r>
                </w:p>
              </w:tc>
              <w:tc>
                <w:tcPr>
                  <w:tcW w:w="1337"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样品编号</w:t>
                  </w:r>
                </w:p>
              </w:tc>
              <w:tc>
                <w:tcPr>
                  <w:tcW w:w="629"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检测项目</w:t>
                  </w:r>
                </w:p>
              </w:tc>
              <w:tc>
                <w:tcPr>
                  <w:tcW w:w="2442" w:type="pct"/>
                  <w:gridSpan w:val="3"/>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DA004排气筒</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1337"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629"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排放浓度（mg/m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w:t>
                  </w:r>
                </w:p>
              </w:tc>
              <w:tc>
                <w:tcPr>
                  <w:tcW w:w="820"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标干流量（m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/h）</w:t>
                  </w:r>
                </w:p>
              </w:tc>
              <w:tc>
                <w:tcPr>
                  <w:tcW w:w="818"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排放速率（kg/h）</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FQ-250530-223</w:t>
                  </w:r>
                </w:p>
              </w:tc>
              <w:tc>
                <w:tcPr>
                  <w:tcW w:w="62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氨</w:t>
                  </w: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2.44</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627</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FQ-250530-224</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2.61</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582</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FQ-250530-225</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2.97</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670</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FQ-250530-229ab</w:t>
                  </w:r>
                </w:p>
              </w:tc>
              <w:tc>
                <w:tcPr>
                  <w:tcW w:w="62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硫化氢</w:t>
                  </w: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0.11</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627</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6.90×10</w:t>
                  </w:r>
                  <w:r>
                    <w:rPr>
                      <w:rFonts w:hint="default" w:ascii="Times New Roman" w:hAnsi="Times New Roman" w:cs="Times New Roman"/>
                      <w:color w:val="auto"/>
                      <w:sz w:val="18"/>
                      <w:szCs w:val="18"/>
                      <w:highlight w:val="none"/>
                      <w:vertAlign w:val="superscript"/>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FQ-250530-230ab</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0.14</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582</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8.15×10</w:t>
                  </w:r>
                  <w:r>
                    <w:rPr>
                      <w:rFonts w:hint="default" w:ascii="Times New Roman" w:hAnsi="Times New Roman" w:cs="Times New Roman"/>
                      <w:color w:val="auto"/>
                      <w:sz w:val="18"/>
                      <w:szCs w:val="18"/>
                      <w:highlight w:val="none"/>
                      <w:vertAlign w:val="superscript"/>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FQ-250530-231ab</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670</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8.04×10</w:t>
                  </w:r>
                  <w:r>
                    <w:rPr>
                      <w:rFonts w:hint="default" w:ascii="Times New Roman" w:hAnsi="Times New Roman" w:cs="Times New Roman"/>
                      <w:color w:val="auto"/>
                      <w:sz w:val="18"/>
                      <w:szCs w:val="18"/>
                      <w:highlight w:val="none"/>
                      <w:vertAlign w:val="superscript"/>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927"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温度（℃）：36.7</w:t>
                  </w:r>
                </w:p>
              </w:tc>
              <w:tc>
                <w:tcPr>
                  <w:tcW w:w="1433"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湿度（%）：2.92</w:t>
                  </w:r>
                </w:p>
              </w:tc>
              <w:tc>
                <w:tcPr>
                  <w:tcW w:w="1638"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流速（m/s）：2.9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3" w:hRule="atLeast"/>
              </w:trPr>
              <w:tc>
                <w:tcPr>
                  <w:tcW w:w="58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FQ-250530-226</w:t>
                  </w:r>
                </w:p>
              </w:tc>
              <w:tc>
                <w:tcPr>
                  <w:tcW w:w="629" w:type="pct"/>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臭气（无量纲）</w:t>
                  </w: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1122</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584</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FQ-250530-227</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1318</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531</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8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33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FQ-250530-228</w:t>
                  </w:r>
                </w:p>
              </w:tc>
              <w:tc>
                <w:tcPr>
                  <w:tcW w:w="629"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803"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1122</w:t>
                  </w:r>
                </w:p>
              </w:tc>
              <w:tc>
                <w:tcPr>
                  <w:tcW w:w="820"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627</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927"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温度（℃）：36.6</w:t>
                  </w:r>
                </w:p>
              </w:tc>
              <w:tc>
                <w:tcPr>
                  <w:tcW w:w="1433"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湿度（%）：2.77</w:t>
                  </w:r>
                </w:p>
              </w:tc>
              <w:tc>
                <w:tcPr>
                  <w:tcW w:w="1638"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流速（m/s）：2.7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927"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排气筒高度：15m</w:t>
                  </w:r>
                </w:p>
              </w:tc>
              <w:tc>
                <w:tcPr>
                  <w:tcW w:w="2253" w:type="pct"/>
                  <w:gridSpan w:val="3"/>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圆形烟道直径：0.3m</w:t>
                  </w:r>
                </w:p>
              </w:tc>
              <w:tc>
                <w:tcPr>
                  <w:tcW w:w="818" w:type="pct"/>
                  <w:tcBorders>
                    <w:tl2br w:val="nil"/>
                    <w:tr2bl w:val="nil"/>
                  </w:tcBorders>
                  <w:vAlign w:val="center"/>
                </w:tcPr>
                <w:p>
                  <w:pPr>
                    <w:jc w:val="center"/>
                    <w:rPr>
                      <w:rFonts w:hint="default" w:ascii="Times New Roman" w:hAnsi="Times New Roman" w:cs="Times New Roman"/>
                      <w:color w:val="auto"/>
                      <w:sz w:val="18"/>
                      <w:szCs w:val="18"/>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Style w:val="95"/>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SA"/>
              </w:rPr>
              <w:t xml:space="preserve">    </w:t>
            </w:r>
            <w:r>
              <w:rPr>
                <w:rFonts w:hint="default" w:ascii="Times New Roman" w:hAnsi="Times New Roman" w:cs="Times New Roman"/>
                <w:bCs/>
                <w:color w:val="auto"/>
                <w:szCs w:val="21"/>
                <w:highlight w:val="none"/>
              </w:rPr>
              <w:t>由上表可知</w:t>
            </w:r>
            <w:r>
              <w:rPr>
                <w:rFonts w:hint="default" w:ascii="Times New Roman" w:hAnsi="Times New Roman" w:cs="Times New Roman"/>
                <w:bCs/>
                <w:color w:val="auto"/>
                <w:szCs w:val="21"/>
                <w:highlight w:val="none"/>
                <w:lang w:val="en-US" w:eastAsia="zh-CN"/>
              </w:rPr>
              <w:t>现有项目DA003、DA004有</w:t>
            </w:r>
            <w:r>
              <w:rPr>
                <w:rFonts w:hint="default" w:ascii="Times New Roman" w:hAnsi="Times New Roman" w:cs="Times New Roman"/>
                <w:bCs/>
                <w:color w:val="auto"/>
                <w:szCs w:val="21"/>
                <w:highlight w:val="none"/>
              </w:rPr>
              <w:t>组织</w:t>
            </w:r>
            <w:r>
              <w:rPr>
                <w:rFonts w:hint="default" w:ascii="Times New Roman" w:hAnsi="Times New Roman" w:cs="Times New Roman"/>
                <w:bCs/>
                <w:color w:val="auto"/>
                <w:szCs w:val="21"/>
                <w:highlight w:val="none"/>
                <w:lang w:val="en-US" w:eastAsia="zh-CN"/>
              </w:rPr>
              <w:t>氨、硫化氢、臭气浓度</w:t>
            </w:r>
            <w:r>
              <w:rPr>
                <w:rFonts w:hint="default" w:ascii="Times New Roman" w:hAnsi="Times New Roman" w:cs="Times New Roman"/>
                <w:color w:val="auto"/>
                <w:szCs w:val="21"/>
                <w:highlight w:val="none"/>
              </w:rPr>
              <w:t>排放</w:t>
            </w:r>
            <w:r>
              <w:rPr>
                <w:rFonts w:hint="default" w:ascii="Times New Roman" w:hAnsi="Times New Roman" w:cs="Times New Roman"/>
                <w:color w:val="auto"/>
                <w:szCs w:val="21"/>
                <w:highlight w:val="none"/>
                <w:lang w:val="en-US" w:eastAsia="zh-CN"/>
              </w:rPr>
              <w:t>速率及浓度</w:t>
            </w:r>
            <w:r>
              <w:rPr>
                <w:rFonts w:hint="default" w:ascii="Times New Roman" w:hAnsi="Times New Roman" w:cs="Times New Roman"/>
                <w:color w:val="auto"/>
                <w:szCs w:val="21"/>
                <w:highlight w:val="none"/>
              </w:rPr>
              <w:t>满足</w:t>
            </w:r>
            <w:r>
              <w:rPr>
                <w:rFonts w:hint="default" w:ascii="Times New Roman" w:hAnsi="Times New Roman" w:cs="Times New Roman"/>
                <w:color w:val="auto"/>
                <w:szCs w:val="21"/>
                <w:highlight w:val="none"/>
                <w:lang w:eastAsia="zh-CN"/>
              </w:rPr>
              <w:t>《恶臭污染物排放标准》（GB 14554-93）</w:t>
            </w:r>
            <w:r>
              <w:rPr>
                <w:rFonts w:hint="default" w:ascii="Times New Roman" w:hAnsi="Times New Roman" w:cs="Times New Roman"/>
                <w:color w:val="auto"/>
                <w:szCs w:val="21"/>
                <w:highlight w:val="none"/>
                <w:lang w:val="en-US" w:eastAsia="zh-CN"/>
              </w:rPr>
              <w:t>表2排放限值</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氨</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4.9kg/h</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硫化氢</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0.33kg/h</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臭气浓度</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2000无量纲</w:t>
            </w:r>
            <w:r>
              <w:rPr>
                <w:rFonts w:hint="default" w:ascii="Times New Roman" w:hAnsi="Times New Roman" w:cs="Times New Roman"/>
                <w:color w:val="auto"/>
                <w:szCs w:val="21"/>
                <w:highlight w:val="none"/>
              </w:rPr>
              <w:t>）</w:t>
            </w:r>
            <w:r>
              <w:rPr>
                <w:rFonts w:hint="default" w:ascii="Times New Roman" w:hAnsi="Times New Roman" w:cs="Times New Roman"/>
                <w:bCs/>
                <w:color w:val="auto"/>
                <w:szCs w:val="21"/>
                <w:highlight w:val="no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④燃气锅炉</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项目锅炉房锅炉天然气燃烧废气经采用低氮燃烧技术后经</w:t>
            </w:r>
            <w:r>
              <w:rPr>
                <w:rFonts w:hint="default" w:ascii="Times New Roman" w:hAnsi="Times New Roman" w:cs="Times New Roman"/>
                <w:bCs/>
                <w:color w:val="auto"/>
                <w:kern w:val="2"/>
                <w:sz w:val="21"/>
                <w:szCs w:val="21"/>
                <w:highlight w:val="none"/>
                <w:lang w:val="en-US" w:eastAsia="zh-CN" w:bidi="ar-SA"/>
              </w:rPr>
              <w:t>26</w:t>
            </w:r>
            <w:r>
              <w:rPr>
                <w:rFonts w:hint="default" w:ascii="Times New Roman" w:hAnsi="Times New Roman" w:eastAsia="宋体" w:cs="Times New Roman"/>
                <w:bCs/>
                <w:color w:val="auto"/>
                <w:kern w:val="2"/>
                <w:sz w:val="21"/>
                <w:szCs w:val="21"/>
                <w:highlight w:val="none"/>
                <w:lang w:val="en-US" w:eastAsia="zh-CN" w:bidi="ar-SA"/>
              </w:rPr>
              <w:t>m高排气筒DA001排放</w:t>
            </w:r>
            <w:r>
              <w:rPr>
                <w:rFonts w:hint="default" w:ascii="Times New Roman" w:hAnsi="Times New Roman" w:cs="Times New Roman"/>
                <w:bCs/>
                <w:color w:val="auto"/>
                <w:kern w:val="2"/>
                <w:sz w:val="21"/>
                <w:szCs w:val="21"/>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DA001排气筒二氧化硫、颗粒物、烟气黑度排放数据依据山东信质环保科技有限公司于</w:t>
            </w:r>
            <w:r>
              <w:rPr>
                <w:rFonts w:hint="default" w:ascii="Times New Roman" w:hAnsi="Times New Roman" w:cs="Times New Roman"/>
                <w:bCs/>
                <w:color w:val="auto"/>
                <w:kern w:val="2"/>
                <w:sz w:val="21"/>
                <w:szCs w:val="21"/>
                <w:highlight w:val="none"/>
                <w:lang w:val="en-US" w:eastAsia="zh-CN" w:bidi="ar-SA"/>
              </w:rPr>
              <w:t>2025年7月11日</w:t>
            </w:r>
            <w:r>
              <w:rPr>
                <w:rFonts w:hint="default" w:ascii="Times New Roman" w:hAnsi="Times New Roman" w:eastAsia="宋体" w:cs="Times New Roman"/>
                <w:bCs/>
                <w:color w:val="auto"/>
                <w:kern w:val="2"/>
                <w:sz w:val="21"/>
                <w:szCs w:val="21"/>
                <w:highlight w:val="none"/>
                <w:lang w:val="en-US" w:eastAsia="zh-CN" w:bidi="ar-SA"/>
              </w:rPr>
              <w:t>例行</w:t>
            </w:r>
            <w:r>
              <w:rPr>
                <w:rFonts w:hint="default" w:ascii="Times New Roman" w:hAnsi="Times New Roman" w:cs="Times New Roman"/>
                <w:bCs/>
                <w:color w:val="auto"/>
                <w:kern w:val="2"/>
                <w:sz w:val="21"/>
                <w:szCs w:val="21"/>
                <w:highlight w:val="none"/>
                <w:lang w:val="en-US" w:eastAsia="zh-CN" w:bidi="ar-SA"/>
              </w:rPr>
              <w:t>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bCs/>
                <w:color w:val="auto"/>
                <w:kern w:val="2"/>
                <w:sz w:val="21"/>
                <w:szCs w:val="21"/>
                <w:highlight w:val="none"/>
                <w:lang w:val="en-US" w:eastAsia="zh-CN" w:bidi="ar-SA"/>
              </w:rPr>
              <w:t>（报告编号：信质检字（2025）第 07102 号），检测</w:t>
            </w:r>
            <w:r>
              <w:rPr>
                <w:rFonts w:hint="default" w:ascii="Times New Roman" w:hAnsi="Times New Roman" w:eastAsia="宋体" w:cs="Times New Roman"/>
                <w:bCs/>
                <w:color w:val="auto"/>
                <w:kern w:val="2"/>
                <w:sz w:val="21"/>
                <w:szCs w:val="21"/>
                <w:highlight w:val="none"/>
                <w:lang w:val="en-US" w:eastAsia="zh-CN" w:bidi="ar-SA"/>
              </w:rPr>
              <w:t>数据见下表。</w:t>
            </w:r>
          </w:p>
          <w:p>
            <w:pPr>
              <w:jc w:val="center"/>
              <w:rPr>
                <w:rStyle w:val="95"/>
                <w:rFonts w:hint="default" w:ascii="Times New Roman" w:hAnsi="Times New Roman" w:eastAsia="宋体" w:cs="Times New Roman"/>
                <w:b/>
                <w:bCs/>
                <w:color w:val="auto"/>
                <w:sz w:val="21"/>
                <w:szCs w:val="21"/>
                <w:highlight w:val="none"/>
                <w:lang w:val="en-US" w:eastAsia="zh-CN" w:bidi="ar"/>
              </w:rPr>
            </w:pPr>
            <w:r>
              <w:rPr>
                <w:rStyle w:val="95"/>
                <w:rFonts w:hint="default" w:ascii="Times New Roman" w:hAnsi="Times New Roman" w:eastAsia="宋体" w:cs="Times New Roman"/>
                <w:b/>
                <w:bCs/>
                <w:color w:val="auto"/>
                <w:sz w:val="21"/>
                <w:szCs w:val="21"/>
                <w:highlight w:val="none"/>
                <w:lang w:val="en-US" w:eastAsia="zh-CN" w:bidi="ar"/>
              </w:rPr>
              <w:t>表2-</w:t>
            </w:r>
            <w:r>
              <w:rPr>
                <w:rStyle w:val="95"/>
                <w:rFonts w:hint="default" w:ascii="Times New Roman" w:hAnsi="Times New Roman" w:cs="Times New Roman"/>
                <w:b/>
                <w:bCs/>
                <w:color w:val="auto"/>
                <w:sz w:val="21"/>
                <w:szCs w:val="21"/>
                <w:highlight w:val="none"/>
                <w:lang w:val="en-US" w:eastAsia="zh-CN" w:bidi="ar"/>
              </w:rPr>
              <w:t>15</w:t>
            </w:r>
            <w:r>
              <w:rPr>
                <w:rStyle w:val="95"/>
                <w:rFonts w:hint="default" w:ascii="Times New Roman" w:hAnsi="Times New Roman" w:eastAsia="宋体" w:cs="Times New Roman"/>
                <w:b/>
                <w:bCs/>
                <w:color w:val="auto"/>
                <w:sz w:val="21"/>
                <w:szCs w:val="21"/>
                <w:highlight w:val="none"/>
                <w:lang w:val="en-US" w:eastAsia="zh-CN" w:bidi="ar"/>
              </w:rPr>
              <w:t xml:space="preserve">  DA001（</w:t>
            </w:r>
            <w:r>
              <w:rPr>
                <w:rFonts w:hint="default" w:ascii="Times New Roman" w:hAnsi="Times New Roman" w:eastAsia="宋体" w:cs="Times New Roman"/>
                <w:b/>
                <w:bCs/>
                <w:color w:val="auto"/>
                <w:kern w:val="2"/>
                <w:sz w:val="21"/>
                <w:szCs w:val="21"/>
                <w:highlight w:val="none"/>
                <w:lang w:val="en-US" w:eastAsia="zh-CN" w:bidi="ar-SA"/>
              </w:rPr>
              <w:t>二氧化硫、颗粒物</w:t>
            </w:r>
            <w:r>
              <w:rPr>
                <w:rStyle w:val="95"/>
                <w:rFonts w:hint="default" w:ascii="Times New Roman" w:hAnsi="Times New Roman" w:eastAsia="宋体" w:cs="Times New Roman"/>
                <w:b/>
                <w:bCs/>
                <w:color w:val="auto"/>
                <w:sz w:val="21"/>
                <w:szCs w:val="21"/>
                <w:highlight w:val="none"/>
                <w:lang w:val="en-US" w:eastAsia="zh-CN" w:bidi="ar"/>
              </w:rPr>
              <w:t>）废气检测一览表</w:t>
            </w:r>
          </w:p>
          <w:tbl>
            <w:tblPr>
              <w:tblStyle w:val="36"/>
              <w:tblW w:w="854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25"/>
              <w:gridCol w:w="1825"/>
              <w:gridCol w:w="1038"/>
              <w:gridCol w:w="852"/>
              <w:gridCol w:w="884"/>
              <w:gridCol w:w="1155"/>
              <w:gridCol w:w="927"/>
              <w:gridCol w:w="103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5"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检测日期</w:t>
                  </w:r>
                </w:p>
              </w:tc>
              <w:tc>
                <w:tcPr>
                  <w:tcW w:w="1825"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样品编号</w:t>
                  </w:r>
                </w:p>
              </w:tc>
              <w:tc>
                <w:tcPr>
                  <w:tcW w:w="1038"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检测项目</w:t>
                  </w:r>
                </w:p>
              </w:tc>
              <w:tc>
                <w:tcPr>
                  <w:tcW w:w="1736" w:type="dxa"/>
                  <w:gridSpan w:val="2"/>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检测结果（mg/m³）</w:t>
                  </w:r>
                </w:p>
              </w:tc>
              <w:tc>
                <w:tcPr>
                  <w:tcW w:w="1155"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标干流量（m³/h）</w:t>
                  </w:r>
                </w:p>
              </w:tc>
              <w:tc>
                <w:tcPr>
                  <w:tcW w:w="927"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氧气实测值（%）</w:t>
                  </w:r>
                </w:p>
              </w:tc>
              <w:tc>
                <w:tcPr>
                  <w:tcW w:w="1034" w:type="dxa"/>
                  <w:vMerge w:val="restart"/>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排放速率(kg/h)</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5" w:type="dxa"/>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p>
              </w:tc>
              <w:tc>
                <w:tcPr>
                  <w:tcW w:w="1825" w:type="dxa"/>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p>
              </w:tc>
              <w:tc>
                <w:tcPr>
                  <w:tcW w:w="1038" w:type="dxa"/>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p>
              </w:tc>
              <w:tc>
                <w:tcPr>
                  <w:tcW w:w="852" w:type="dxa"/>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实测浓度</w:t>
                  </w:r>
                </w:p>
              </w:tc>
              <w:tc>
                <w:tcPr>
                  <w:tcW w:w="884" w:type="dxa"/>
                  <w:tcBorders>
                    <w:tl2br w:val="nil"/>
                    <w:tr2bl w:val="nil"/>
                  </w:tcBorders>
                  <w:vAlign w:val="center"/>
                </w:tcPr>
                <w:p>
                  <w:pPr>
                    <w:jc w:val="center"/>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折算浓度</w:t>
                  </w:r>
                </w:p>
              </w:tc>
              <w:tc>
                <w:tcPr>
                  <w:tcW w:w="1155"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927"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1034"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81" w:hRule="atLeast"/>
                <w:jc w:val="center"/>
              </w:trPr>
              <w:tc>
                <w:tcPr>
                  <w:tcW w:w="825" w:type="dxa"/>
                  <w:vMerge w:val="restart"/>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07.11</w:t>
                  </w:r>
                </w:p>
              </w:tc>
              <w:tc>
                <w:tcPr>
                  <w:tcW w:w="182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FQ-250711-201</w:t>
                  </w:r>
                </w:p>
              </w:tc>
              <w:tc>
                <w:tcPr>
                  <w:tcW w:w="1038" w:type="dxa"/>
                  <w:vMerge w:val="restart"/>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颗粒物</w:t>
                  </w:r>
                </w:p>
              </w:tc>
              <w:tc>
                <w:tcPr>
                  <w:tcW w:w="852"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2.2</w:t>
                  </w:r>
                </w:p>
              </w:tc>
              <w:tc>
                <w:tcPr>
                  <w:tcW w:w="88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2.3</w:t>
                  </w:r>
                </w:p>
              </w:tc>
              <w:tc>
                <w:tcPr>
                  <w:tcW w:w="115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3927</w:t>
                  </w:r>
                </w:p>
              </w:tc>
              <w:tc>
                <w:tcPr>
                  <w:tcW w:w="927"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4.5</w:t>
                  </w:r>
                </w:p>
              </w:tc>
              <w:tc>
                <w:tcPr>
                  <w:tcW w:w="103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0.009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5"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182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FQ-250711-202</w:t>
                  </w:r>
                </w:p>
              </w:tc>
              <w:tc>
                <w:tcPr>
                  <w:tcW w:w="1038"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852"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2.7</w:t>
                  </w:r>
                </w:p>
              </w:tc>
              <w:tc>
                <w:tcPr>
                  <w:tcW w:w="88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2.9</w:t>
                  </w:r>
                </w:p>
              </w:tc>
              <w:tc>
                <w:tcPr>
                  <w:tcW w:w="115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3791</w:t>
                  </w:r>
                </w:p>
              </w:tc>
              <w:tc>
                <w:tcPr>
                  <w:tcW w:w="927"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4.6</w:t>
                  </w:r>
                </w:p>
              </w:tc>
              <w:tc>
                <w:tcPr>
                  <w:tcW w:w="103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0.010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5"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182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FQ-250711-203</w:t>
                  </w:r>
                </w:p>
              </w:tc>
              <w:tc>
                <w:tcPr>
                  <w:tcW w:w="1038"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852"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2.6</w:t>
                  </w:r>
                </w:p>
              </w:tc>
              <w:tc>
                <w:tcPr>
                  <w:tcW w:w="88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2.7</w:t>
                  </w:r>
                </w:p>
              </w:tc>
              <w:tc>
                <w:tcPr>
                  <w:tcW w:w="115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3663</w:t>
                  </w:r>
                </w:p>
              </w:tc>
              <w:tc>
                <w:tcPr>
                  <w:tcW w:w="927"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4.0</w:t>
                  </w:r>
                </w:p>
              </w:tc>
              <w:tc>
                <w:tcPr>
                  <w:tcW w:w="103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0.010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5"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182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w:t>
                  </w:r>
                </w:p>
              </w:tc>
              <w:tc>
                <w:tcPr>
                  <w:tcW w:w="1038" w:type="dxa"/>
                  <w:vMerge w:val="restart"/>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二氧化硫</w:t>
                  </w:r>
                </w:p>
              </w:tc>
              <w:tc>
                <w:tcPr>
                  <w:tcW w:w="852"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w:t>
                  </w:r>
                </w:p>
              </w:tc>
              <w:tc>
                <w:tcPr>
                  <w:tcW w:w="88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w:t>
                  </w:r>
                </w:p>
              </w:tc>
              <w:tc>
                <w:tcPr>
                  <w:tcW w:w="115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3927</w:t>
                  </w:r>
                </w:p>
              </w:tc>
              <w:tc>
                <w:tcPr>
                  <w:tcW w:w="927"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4.61</w:t>
                  </w:r>
                </w:p>
              </w:tc>
              <w:tc>
                <w:tcPr>
                  <w:tcW w:w="103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0.008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5"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182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w:t>
                  </w:r>
                </w:p>
              </w:tc>
              <w:tc>
                <w:tcPr>
                  <w:tcW w:w="1038"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852"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w:t>
                  </w:r>
                </w:p>
              </w:tc>
              <w:tc>
                <w:tcPr>
                  <w:tcW w:w="88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w:t>
                  </w:r>
                </w:p>
              </w:tc>
              <w:tc>
                <w:tcPr>
                  <w:tcW w:w="115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3791</w:t>
                  </w:r>
                </w:p>
              </w:tc>
              <w:tc>
                <w:tcPr>
                  <w:tcW w:w="927"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4.12</w:t>
                  </w:r>
                </w:p>
              </w:tc>
              <w:tc>
                <w:tcPr>
                  <w:tcW w:w="103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0.008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5"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182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w:t>
                  </w:r>
                </w:p>
              </w:tc>
              <w:tc>
                <w:tcPr>
                  <w:tcW w:w="1038"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p>
              </w:tc>
              <w:tc>
                <w:tcPr>
                  <w:tcW w:w="852"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w:t>
                  </w:r>
                </w:p>
              </w:tc>
              <w:tc>
                <w:tcPr>
                  <w:tcW w:w="88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w:t>
                  </w:r>
                </w:p>
              </w:tc>
              <w:tc>
                <w:tcPr>
                  <w:tcW w:w="1155"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3663</w:t>
                  </w:r>
                </w:p>
              </w:tc>
              <w:tc>
                <w:tcPr>
                  <w:tcW w:w="927"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3.98</w:t>
                  </w:r>
                </w:p>
              </w:tc>
              <w:tc>
                <w:tcPr>
                  <w:tcW w:w="1034" w:type="dxa"/>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0.007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650" w:type="dxa"/>
                  <w:gridSpan w:val="2"/>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温度（℃）：55.3</w:t>
                  </w:r>
                </w:p>
              </w:tc>
              <w:tc>
                <w:tcPr>
                  <w:tcW w:w="2774" w:type="dxa"/>
                  <w:gridSpan w:val="3"/>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湿度（%）：17.6</w:t>
                  </w:r>
                </w:p>
              </w:tc>
              <w:tc>
                <w:tcPr>
                  <w:tcW w:w="3116" w:type="dxa"/>
                  <w:gridSpan w:val="3"/>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流速（m/s）：3.1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540" w:type="dxa"/>
                  <w:gridSpan w:val="8"/>
                  <w:tcBorders>
                    <w:tl2br w:val="nil"/>
                    <w:tr2bl w:val="nil"/>
                  </w:tcBorders>
                  <w:vAlign w:val="center"/>
                </w:tcPr>
                <w:p>
                  <w:pPr>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排气筒高度：25m</w:t>
                  </w:r>
                  <w:r>
                    <w:rPr>
                      <w:rFonts w:hint="default" w:ascii="Times New Roman" w:hAnsi="Times New Roman" w:cs="Times New Roman"/>
                      <w:color w:val="auto"/>
                      <w:sz w:val="18"/>
                      <w:szCs w:val="18"/>
                      <w:highlight w:val="none"/>
                      <w:lang w:eastAsia="zh-CN"/>
                    </w:rPr>
                    <w:tab/>
                  </w:r>
                  <w:r>
                    <w:rPr>
                      <w:rFonts w:hint="default" w:ascii="Times New Roman" w:hAnsi="Times New Roman" w:cs="Times New Roman"/>
                      <w:color w:val="auto"/>
                      <w:sz w:val="18"/>
                      <w:szCs w:val="18"/>
                      <w:highlight w:val="none"/>
                      <w:lang w:eastAsia="zh-CN"/>
                    </w:rPr>
                    <w:t>圆形烟道直径：0.8m</w:t>
                  </w:r>
                </w:p>
              </w:tc>
            </w:tr>
          </w:tbl>
          <w:p>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表2-</w:t>
            </w:r>
            <w:r>
              <w:rPr>
                <w:rFonts w:hint="default" w:ascii="Times New Roman" w:hAnsi="Times New Roman" w:cs="Times New Roman"/>
                <w:b/>
                <w:bCs/>
                <w:color w:val="auto"/>
                <w:kern w:val="2"/>
                <w:sz w:val="21"/>
                <w:szCs w:val="21"/>
                <w:highlight w:val="none"/>
                <w:lang w:val="en-US" w:eastAsia="zh-CN" w:bidi="ar-SA"/>
              </w:rPr>
              <w:t>16</w:t>
            </w:r>
            <w:r>
              <w:rPr>
                <w:rFonts w:hint="default" w:ascii="Times New Roman" w:hAnsi="Times New Roman" w:eastAsia="宋体" w:cs="Times New Roman"/>
                <w:b/>
                <w:bCs/>
                <w:color w:val="auto"/>
                <w:kern w:val="2"/>
                <w:sz w:val="21"/>
                <w:szCs w:val="21"/>
                <w:highlight w:val="none"/>
                <w:lang w:val="en-US" w:eastAsia="zh-CN" w:bidi="ar-SA"/>
              </w:rPr>
              <w:t xml:space="preserve"> 企业废气排放口（DA001，烟气黑度）废气检测一览表</w:t>
            </w:r>
          </w:p>
          <w:tbl>
            <w:tblPr>
              <w:tblStyle w:val="36"/>
              <w:tblW w:w="85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853"/>
              <w:gridCol w:w="2853"/>
              <w:gridCol w:w="285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560" w:type="dxa"/>
                  <w:gridSpan w:val="3"/>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观测日期：2025年07月11日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560" w:type="dxa"/>
                  <w:gridSpan w:val="3"/>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检测结果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等级</w:t>
                  </w:r>
                </w:p>
              </w:tc>
              <w:tc>
                <w:tcPr>
                  <w:tcW w:w="2853" w:type="dxa"/>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次数</w:t>
                  </w:r>
                </w:p>
              </w:tc>
              <w:tc>
                <w:tcPr>
                  <w:tcW w:w="2854" w:type="dxa"/>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累计时间（min)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5级</w:t>
                  </w:r>
                </w:p>
              </w:tc>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w:t>
                  </w:r>
                </w:p>
              </w:tc>
              <w:tc>
                <w:tcPr>
                  <w:tcW w:w="2854"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4级</w:t>
                  </w:r>
                </w:p>
              </w:tc>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w:t>
                  </w:r>
                </w:p>
              </w:tc>
              <w:tc>
                <w:tcPr>
                  <w:tcW w:w="2854"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3级</w:t>
                  </w:r>
                </w:p>
              </w:tc>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w:t>
                  </w:r>
                </w:p>
              </w:tc>
              <w:tc>
                <w:tcPr>
                  <w:tcW w:w="2854"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2级</w:t>
                  </w:r>
                </w:p>
              </w:tc>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w:t>
                  </w:r>
                </w:p>
              </w:tc>
              <w:tc>
                <w:tcPr>
                  <w:tcW w:w="2854"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1级</w:t>
                  </w:r>
                </w:p>
              </w:tc>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w:t>
                  </w:r>
                </w:p>
              </w:tc>
              <w:tc>
                <w:tcPr>
                  <w:tcW w:w="2854"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1级</w:t>
                  </w:r>
                </w:p>
              </w:tc>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118</w:t>
                  </w:r>
                </w:p>
              </w:tc>
              <w:tc>
                <w:tcPr>
                  <w:tcW w:w="2854"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29.5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烟气黑度（林格曼级）</w:t>
                  </w:r>
                </w:p>
              </w:tc>
              <w:tc>
                <w:tcPr>
                  <w:tcW w:w="5707" w:type="dxa"/>
                  <w:gridSpan w:val="2"/>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&lt;1级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53" w:type="dxa"/>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备注</w:t>
                  </w:r>
                </w:p>
              </w:tc>
              <w:tc>
                <w:tcPr>
                  <w:tcW w:w="5707" w:type="dxa"/>
                  <w:gridSpan w:val="2"/>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观测时段内，属于无雨无雪风速小于4.5m/s的晴朗天气，生产设备和净化设备正常稳定运行。观测者与烟羽飘动方向垂直，仰视角小于45度；</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Style w:val="95"/>
                <w:rFonts w:hint="default" w:ascii="Times New Roman" w:hAnsi="Times New Roman" w:eastAsia="宋体" w:cs="Times New Roman"/>
                <w:color w:val="auto"/>
                <w:sz w:val="21"/>
                <w:szCs w:val="21"/>
                <w:highlight w:val="none"/>
                <w:lang w:val="en-US" w:eastAsia="zh-CN" w:bidi="ar"/>
              </w:rPr>
            </w:pPr>
            <w:r>
              <w:rPr>
                <w:rStyle w:val="95"/>
                <w:rFonts w:hint="default" w:ascii="Times New Roman" w:hAnsi="Times New Roman" w:eastAsia="宋体" w:cs="Times New Roman"/>
                <w:color w:val="auto"/>
                <w:sz w:val="21"/>
                <w:szCs w:val="21"/>
                <w:highlight w:val="none"/>
                <w:lang w:val="en-US" w:eastAsia="zh-CN" w:bidi="ar"/>
              </w:rPr>
              <w:t xml:space="preserve">    DA001氮氧化物排放数据依据在线监测数据2024年1月-12月在线监测数据，见下表：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表2-</w:t>
            </w:r>
            <w:r>
              <w:rPr>
                <w:rFonts w:hint="default" w:ascii="Times New Roman" w:hAnsi="Times New Roman" w:cs="Times New Roman"/>
                <w:b/>
                <w:bCs/>
                <w:color w:val="auto"/>
                <w:kern w:val="2"/>
                <w:sz w:val="21"/>
                <w:szCs w:val="21"/>
                <w:highlight w:val="none"/>
                <w:lang w:val="en-US" w:eastAsia="zh-CN" w:bidi="ar-SA"/>
              </w:rPr>
              <w:t xml:space="preserve">17 </w:t>
            </w:r>
            <w:r>
              <w:rPr>
                <w:rFonts w:hint="default" w:ascii="Times New Roman" w:hAnsi="Times New Roman" w:eastAsia="宋体" w:cs="Times New Roman"/>
                <w:b/>
                <w:bCs/>
                <w:color w:val="auto"/>
                <w:kern w:val="2"/>
                <w:sz w:val="21"/>
                <w:szCs w:val="21"/>
                <w:highlight w:val="none"/>
                <w:lang w:val="en-US" w:eastAsia="zh-CN" w:bidi="ar-SA"/>
              </w:rPr>
              <w:t>企业废气排放口（DA001，氮氧化物）在线监测数据一览表</w:t>
            </w:r>
          </w:p>
          <w:tbl>
            <w:tblPr>
              <w:tblStyle w:val="118"/>
              <w:tblW w:w="4998"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55"/>
              <w:gridCol w:w="1450"/>
              <w:gridCol w:w="1353"/>
              <w:gridCol w:w="1363"/>
              <w:gridCol w:w="1435"/>
              <w:gridCol w:w="1353"/>
              <w:gridCol w:w="134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vMerge w:val="restar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lang w:val="en-US" w:eastAsia="zh-CN"/>
                    </w:rPr>
                    <w:t>序号</w:t>
                  </w:r>
                </w:p>
              </w:tc>
              <w:tc>
                <w:tcPr>
                  <w:tcW w:w="847" w:type="pct"/>
                  <w:vMerge w:val="restar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监测时间</w:t>
                  </w:r>
                </w:p>
              </w:tc>
              <w:tc>
                <w:tcPr>
                  <w:tcW w:w="2424" w:type="pct"/>
                  <w:gridSpan w:val="3"/>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氮氧化物（mg/m³）</w:t>
                  </w:r>
                </w:p>
              </w:tc>
              <w:tc>
                <w:tcPr>
                  <w:tcW w:w="790" w:type="pct"/>
                  <w:vMerge w:val="restar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氧含量（%）</w:t>
                  </w:r>
                </w:p>
              </w:tc>
              <w:tc>
                <w:tcPr>
                  <w:tcW w:w="787" w:type="pct"/>
                  <w:vMerge w:val="restar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流量（m3）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vMerge w:val="continue"/>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p>
              </w:tc>
              <w:tc>
                <w:tcPr>
                  <w:tcW w:w="847" w:type="pct"/>
                  <w:vMerge w:val="continue"/>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p>
              </w:tc>
              <w:tc>
                <w:tcPr>
                  <w:tcW w:w="790" w:type="pc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实测值</w:t>
                  </w:r>
                </w:p>
              </w:tc>
              <w:tc>
                <w:tcPr>
                  <w:tcW w:w="796" w:type="pc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折算值</w:t>
                  </w:r>
                </w:p>
              </w:tc>
              <w:tc>
                <w:tcPr>
                  <w:tcW w:w="838" w:type="pc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eastAsia="宋体" w:cs="Times New Roman"/>
                      <w:b/>
                      <w:bCs/>
                      <w:color w:val="auto"/>
                      <w:sz w:val="18"/>
                      <w:szCs w:val="18"/>
                      <w:highlight w:val="none"/>
                      <w:lang w:eastAsia="zh-CN"/>
                    </w:rPr>
                    <w:t>排放量（t）</w:t>
                  </w:r>
                </w:p>
              </w:tc>
              <w:tc>
                <w:tcPr>
                  <w:tcW w:w="790" w:type="pct"/>
                  <w:vMerge w:val="continue"/>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p>
              </w:tc>
              <w:tc>
                <w:tcPr>
                  <w:tcW w:w="787" w:type="pct"/>
                  <w:vMerge w:val="continue"/>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2024-01</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38.1</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39.4</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0.05</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4.14</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1167780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2024-02</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38.2</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39.7</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0.0184</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4.22</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481128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2024-03</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32.7</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34.9</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0.0436</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4.64</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1227116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2024-04</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38.9</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39.2</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0.039</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3.81</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943794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5</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2024-05</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40.7</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40.5</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0.0433</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3.47</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1061446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6</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2024-06</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43.3</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43.8</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0.0324</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3.71</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712979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7</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2024-07</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35.9</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37</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0.0321</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4.03</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776345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8</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2024-08</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42.4</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43.7</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0.0316</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4.01</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702449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9</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2024-09</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45.8</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47</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0.0338</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3.97</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730959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10</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2024-10</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47.1</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48.2</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0.0305</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3.91</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510233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11</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2024-11</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47.9</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49</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0.0397</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3.92</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807419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9"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12</w:t>
                  </w:r>
                </w:p>
              </w:tc>
              <w:tc>
                <w:tcPr>
                  <w:tcW w:w="84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2024-12</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36.8</w:t>
                  </w:r>
                </w:p>
              </w:tc>
              <w:tc>
                <w:tcPr>
                  <w:tcW w:w="796"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39.1</w:t>
                  </w:r>
                </w:p>
              </w:tc>
              <w:tc>
                <w:tcPr>
                  <w:tcW w:w="838"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0.0454</w:t>
                  </w:r>
                </w:p>
              </w:tc>
              <w:tc>
                <w:tcPr>
                  <w:tcW w:w="790"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4.82</w:t>
                  </w:r>
                </w:p>
              </w:tc>
              <w:tc>
                <w:tcPr>
                  <w:tcW w:w="787" w:type="pct"/>
                  <w:tcBorders>
                    <w:tl2br w:val="nil"/>
                    <w:tr2bl w:val="nil"/>
                  </w:tcBorders>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1199011</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Style w:val="95"/>
                <w:rFonts w:hint="default" w:ascii="Times New Roman" w:hAnsi="Times New Roman" w:eastAsia="宋体" w:cs="Times New Roman"/>
                <w:color w:val="auto"/>
                <w:sz w:val="21"/>
                <w:szCs w:val="21"/>
                <w:highlight w:val="none"/>
                <w:lang w:val="en-US" w:eastAsia="zh-CN" w:bidi="ar"/>
              </w:rPr>
            </w:pPr>
            <w:r>
              <w:rPr>
                <w:rStyle w:val="95"/>
                <w:rFonts w:hint="default" w:ascii="Times New Roman" w:hAnsi="Times New Roman" w:eastAsia="宋体" w:cs="Times New Roman"/>
                <w:color w:val="auto"/>
                <w:sz w:val="21"/>
                <w:szCs w:val="21"/>
                <w:highlight w:val="none"/>
                <w:lang w:val="en-US" w:eastAsia="zh-CN" w:bidi="ar"/>
              </w:rPr>
              <w:t xml:space="preserve">    </w:t>
            </w:r>
            <w:bookmarkStart w:id="12" w:name="OLE_LINK5"/>
            <w:r>
              <w:rPr>
                <w:rFonts w:hint="default" w:ascii="Times New Roman" w:hAnsi="Times New Roman" w:cs="Times New Roman"/>
                <w:bCs/>
                <w:color w:val="auto"/>
                <w:szCs w:val="21"/>
                <w:highlight w:val="none"/>
              </w:rPr>
              <w:t>由上表可知</w:t>
            </w:r>
            <w:r>
              <w:rPr>
                <w:rFonts w:hint="default" w:ascii="Times New Roman" w:hAnsi="Times New Roman" w:cs="Times New Roman"/>
                <w:bCs/>
                <w:color w:val="auto"/>
                <w:szCs w:val="21"/>
                <w:highlight w:val="none"/>
                <w:lang w:val="en-US" w:eastAsia="zh-CN"/>
              </w:rPr>
              <w:t>现有项目DA001有</w:t>
            </w:r>
            <w:r>
              <w:rPr>
                <w:rFonts w:hint="default" w:ascii="Times New Roman" w:hAnsi="Times New Roman" w:cs="Times New Roman"/>
                <w:bCs/>
                <w:color w:val="auto"/>
                <w:szCs w:val="21"/>
                <w:highlight w:val="none"/>
              </w:rPr>
              <w:t>组织</w:t>
            </w:r>
            <w:r>
              <w:rPr>
                <w:rFonts w:hint="default" w:ascii="Times New Roman" w:hAnsi="Times New Roman" w:cs="Times New Roman"/>
                <w:bCs/>
                <w:color w:val="auto"/>
                <w:szCs w:val="21"/>
                <w:highlight w:val="none"/>
                <w:lang w:val="en-US" w:eastAsia="zh-CN"/>
              </w:rPr>
              <w:t>烟气黑度、</w:t>
            </w:r>
            <w:r>
              <w:rPr>
                <w:rFonts w:hint="default" w:ascii="Times New Roman" w:hAnsi="Times New Roman" w:cs="Times New Roman"/>
                <w:bCs/>
                <w:color w:val="auto"/>
                <w:szCs w:val="21"/>
                <w:highlight w:val="none"/>
              </w:rPr>
              <w:t>颗粒物</w:t>
            </w:r>
            <w:r>
              <w:rPr>
                <w:rFonts w:hint="default" w:ascii="Times New Roman" w:hAnsi="Times New Roman" w:cs="Times New Roman"/>
                <w:bCs/>
                <w:color w:val="auto"/>
                <w:szCs w:val="21"/>
                <w:highlight w:val="none"/>
                <w:lang w:eastAsia="zh-CN"/>
              </w:rPr>
              <w:t>、</w:t>
            </w:r>
            <w:r>
              <w:rPr>
                <w:rFonts w:hint="default" w:ascii="Times New Roman" w:hAnsi="Times New Roman" w:cs="Times New Roman"/>
                <w:color w:val="auto"/>
                <w:szCs w:val="21"/>
                <w:highlight w:val="none"/>
              </w:rPr>
              <w:t>NO</w:t>
            </w:r>
            <w:r>
              <w:rPr>
                <w:rFonts w:hint="default" w:ascii="Times New Roman" w:hAnsi="Times New Roman" w:cs="Times New Roman"/>
                <w:color w:val="auto"/>
                <w:szCs w:val="21"/>
                <w:highlight w:val="none"/>
                <w:vertAlign w:val="subscript"/>
              </w:rPr>
              <w:t>x</w:t>
            </w:r>
            <w:r>
              <w:rPr>
                <w:rFonts w:hint="default" w:ascii="Times New Roman" w:hAnsi="Times New Roman" w:cs="Times New Roman"/>
                <w:color w:val="auto"/>
                <w:szCs w:val="21"/>
                <w:highlight w:val="none"/>
                <w:vertAlign w:val="baseline"/>
                <w:lang w:eastAsia="zh-CN"/>
              </w:rPr>
              <w:t>、</w:t>
            </w:r>
            <w:r>
              <w:rPr>
                <w:rFonts w:hint="default" w:ascii="Times New Roman" w:hAnsi="Times New Roman" w:cs="Times New Roman"/>
                <w:color w:val="auto"/>
                <w:szCs w:val="21"/>
                <w:highlight w:val="none"/>
              </w:rPr>
              <w:t>SO</w:t>
            </w:r>
            <w:r>
              <w:rPr>
                <w:rFonts w:hint="default" w:ascii="Times New Roman" w:hAnsi="Times New Roman" w:cs="Times New Roman"/>
                <w:color w:val="auto"/>
                <w:szCs w:val="21"/>
                <w:highlight w:val="none"/>
                <w:vertAlign w:val="subscript"/>
              </w:rPr>
              <w:t>2</w:t>
            </w:r>
            <w:r>
              <w:rPr>
                <w:rFonts w:hint="default" w:ascii="Times New Roman" w:hAnsi="Times New Roman" w:cs="Times New Roman"/>
                <w:color w:val="auto"/>
                <w:szCs w:val="21"/>
                <w:highlight w:val="none"/>
              </w:rPr>
              <w:t>排放</w:t>
            </w:r>
            <w:r>
              <w:rPr>
                <w:rFonts w:hint="default" w:ascii="Times New Roman" w:hAnsi="Times New Roman" w:cs="Times New Roman"/>
                <w:color w:val="auto"/>
                <w:szCs w:val="21"/>
                <w:highlight w:val="none"/>
                <w:lang w:val="en-US" w:eastAsia="zh-CN"/>
              </w:rPr>
              <w:t>浓度</w:t>
            </w:r>
            <w:r>
              <w:rPr>
                <w:rFonts w:hint="default" w:ascii="Times New Roman" w:hAnsi="Times New Roman" w:cs="Times New Roman"/>
                <w:color w:val="auto"/>
                <w:szCs w:val="21"/>
                <w:highlight w:val="none"/>
              </w:rPr>
              <w:t>满足</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山东省锅炉大气污染物排放标准</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DB37/2374-2018</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中表</w:t>
            </w:r>
            <w:r>
              <w:rPr>
                <w:rFonts w:hint="default" w:ascii="Times New Roman" w:hAnsi="Times New Roman" w:cs="Times New Roman"/>
                <w:color w:val="auto"/>
                <w:szCs w:val="21"/>
                <w:highlight w:val="none"/>
                <w:lang w:val="en-US" w:eastAsia="zh-CN"/>
              </w:rPr>
              <w:t>2重点</w:t>
            </w:r>
            <w:r>
              <w:rPr>
                <w:rFonts w:hint="default" w:ascii="Times New Roman" w:hAnsi="Times New Roman" w:cs="Times New Roman"/>
                <w:color w:val="auto"/>
                <w:szCs w:val="21"/>
                <w:highlight w:val="none"/>
              </w:rPr>
              <w:t>控制区排放限值要求（颗粒物：</w:t>
            </w:r>
            <w:r>
              <w:rPr>
                <w:rFonts w:hint="default"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0mg/m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；二氧化硫：</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0mg/m</w:t>
            </w:r>
            <w:r>
              <w:rPr>
                <w:rFonts w:hint="default" w:ascii="Times New Roman" w:hAnsi="Times New Roman" w:cs="Times New Roman"/>
                <w:color w:val="auto"/>
                <w:szCs w:val="21"/>
                <w:highlight w:val="none"/>
                <w:vertAlign w:val="superscript"/>
              </w:rPr>
              <w:t>3</w:t>
            </w:r>
            <w:bookmarkStart w:id="13" w:name="OLE_LINK4"/>
            <w:r>
              <w:rPr>
                <w:rFonts w:hint="default" w:ascii="Times New Roman" w:hAnsi="Times New Roman" w:cs="Times New Roman"/>
                <w:color w:val="auto"/>
                <w:szCs w:val="21"/>
                <w:highlight w:val="none"/>
              </w:rPr>
              <w:t>；</w:t>
            </w:r>
            <w:bookmarkEnd w:id="13"/>
            <w:r>
              <w:rPr>
                <w:rFonts w:hint="default" w:ascii="Times New Roman" w:hAnsi="Times New Roman" w:cs="Times New Roman"/>
                <w:color w:val="auto"/>
                <w:szCs w:val="21"/>
                <w:highlight w:val="none"/>
              </w:rPr>
              <w:t>氮氧化物：</w:t>
            </w:r>
            <w:r>
              <w:rPr>
                <w:rFonts w:hint="default"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00mg/m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烟气黑度：1级</w:t>
            </w:r>
            <w:r>
              <w:rPr>
                <w:rFonts w:hint="default" w:ascii="Times New Roman" w:hAnsi="Times New Roman" w:cs="Times New Roman"/>
                <w:color w:val="auto"/>
                <w:szCs w:val="21"/>
                <w:highlight w:val="none"/>
              </w:rPr>
              <w:t>）</w:t>
            </w:r>
            <w:r>
              <w:rPr>
                <w:rFonts w:hint="default" w:ascii="Times New Roman" w:hAnsi="Times New Roman" w:cs="Times New Roman"/>
                <w:bCs/>
                <w:color w:val="auto"/>
                <w:szCs w:val="21"/>
                <w:highlight w:val="none"/>
                <w:lang w:eastAsia="zh-CN"/>
              </w:rPr>
              <w:t>。</w:t>
            </w:r>
          </w:p>
          <w:bookmarkEnd w:id="12"/>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r>
              <w:rPr>
                <w:rFonts w:hint="default" w:ascii="Times New Roman" w:hAnsi="Times New Roman" w:cs="Times New Roman"/>
                <w:bCs/>
                <w:color w:val="auto"/>
                <w:kern w:val="2"/>
                <w:sz w:val="21"/>
                <w:szCs w:val="21"/>
                <w:highlight w:val="none"/>
                <w:lang w:val="en-US" w:eastAsia="zh-CN" w:bidi="ar-SA"/>
              </w:rPr>
              <w:t>2</w:t>
            </w:r>
            <w:r>
              <w:rPr>
                <w:rFonts w:hint="default" w:ascii="Times New Roman" w:hAnsi="Times New Roman" w:eastAsia="宋体" w:cs="Times New Roman"/>
                <w:bCs/>
                <w:color w:val="auto"/>
                <w:kern w:val="2"/>
                <w:sz w:val="21"/>
                <w:szCs w:val="21"/>
                <w:highlight w:val="none"/>
                <w:lang w:val="en-US" w:eastAsia="zh-CN" w:bidi="ar-SA"/>
              </w:rPr>
              <w:t>）</w:t>
            </w:r>
            <w:r>
              <w:rPr>
                <w:rFonts w:hint="default" w:ascii="Times New Roman" w:hAnsi="Times New Roman" w:cs="Times New Roman"/>
                <w:bCs/>
                <w:color w:val="auto"/>
                <w:kern w:val="2"/>
                <w:sz w:val="21"/>
                <w:szCs w:val="21"/>
                <w:highlight w:val="none"/>
                <w:lang w:val="en-US" w:eastAsia="zh-CN" w:bidi="ar-SA"/>
              </w:rPr>
              <w:t>无</w:t>
            </w:r>
            <w:r>
              <w:rPr>
                <w:rFonts w:hint="default" w:ascii="Times New Roman" w:hAnsi="Times New Roman" w:eastAsia="宋体" w:cs="Times New Roman"/>
                <w:bCs/>
                <w:color w:val="auto"/>
                <w:kern w:val="2"/>
                <w:sz w:val="21"/>
                <w:szCs w:val="21"/>
                <w:highlight w:val="none"/>
                <w:lang w:val="en-US" w:eastAsia="zh-CN" w:bidi="ar-SA"/>
              </w:rPr>
              <w:t>组织废气</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现有项目</w:t>
            </w:r>
            <w:r>
              <w:rPr>
                <w:rFonts w:hint="default" w:ascii="Times New Roman" w:hAnsi="Times New Roman" w:cs="Times New Roman"/>
                <w:bCs/>
                <w:color w:val="auto"/>
                <w:kern w:val="2"/>
                <w:sz w:val="21"/>
                <w:szCs w:val="21"/>
                <w:highlight w:val="none"/>
                <w:lang w:val="en-US" w:eastAsia="zh-CN" w:bidi="ar-SA"/>
              </w:rPr>
              <w:t>无组织</w:t>
            </w:r>
            <w:r>
              <w:rPr>
                <w:rFonts w:hint="default" w:ascii="Times New Roman" w:hAnsi="Times New Roman" w:eastAsia="宋体" w:cs="Times New Roman"/>
                <w:bCs/>
                <w:color w:val="auto"/>
                <w:kern w:val="2"/>
                <w:sz w:val="21"/>
                <w:szCs w:val="21"/>
                <w:highlight w:val="none"/>
                <w:lang w:val="en-US" w:eastAsia="zh-CN" w:bidi="ar-SA"/>
              </w:rPr>
              <w:t>废气排放数据依据山东信质环保科技有限公司于</w:t>
            </w:r>
            <w:r>
              <w:rPr>
                <w:rFonts w:hint="default" w:ascii="Times New Roman" w:hAnsi="Times New Roman" w:cs="Times New Roman"/>
                <w:bCs/>
                <w:color w:val="auto"/>
                <w:kern w:val="2"/>
                <w:sz w:val="21"/>
                <w:szCs w:val="21"/>
                <w:highlight w:val="none"/>
                <w:lang w:val="en-US" w:eastAsia="zh-CN" w:bidi="ar-SA"/>
              </w:rPr>
              <w:t>2025年5月30日</w:t>
            </w:r>
            <w:r>
              <w:rPr>
                <w:rFonts w:hint="default" w:ascii="Times New Roman" w:hAnsi="Times New Roman" w:eastAsia="宋体" w:cs="Times New Roman"/>
                <w:bCs/>
                <w:color w:val="auto"/>
                <w:kern w:val="2"/>
                <w:sz w:val="21"/>
                <w:szCs w:val="21"/>
                <w:highlight w:val="none"/>
                <w:lang w:val="en-US" w:eastAsia="zh-CN" w:bidi="ar-SA"/>
              </w:rPr>
              <w:t>例行</w:t>
            </w:r>
            <w:r>
              <w:rPr>
                <w:rFonts w:hint="default" w:ascii="Times New Roman" w:hAnsi="Times New Roman" w:cs="Times New Roman"/>
                <w:bCs/>
                <w:color w:val="auto"/>
                <w:kern w:val="2"/>
                <w:sz w:val="21"/>
                <w:szCs w:val="21"/>
                <w:highlight w:val="none"/>
                <w:lang w:val="en-US" w:eastAsia="zh-CN" w:bidi="ar-SA"/>
              </w:rPr>
              <w:t>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bCs/>
                <w:color w:val="auto"/>
                <w:kern w:val="2"/>
                <w:sz w:val="21"/>
                <w:szCs w:val="21"/>
                <w:highlight w:val="none"/>
                <w:lang w:val="en-US" w:eastAsia="zh-CN" w:bidi="ar-SA"/>
              </w:rPr>
              <w:t>（报告编号：信质检字（2025）第 05028 号），检测</w:t>
            </w:r>
            <w:r>
              <w:rPr>
                <w:rFonts w:hint="default" w:ascii="Times New Roman" w:hAnsi="Times New Roman" w:eastAsia="宋体" w:cs="Times New Roman"/>
                <w:bCs/>
                <w:color w:val="auto"/>
                <w:kern w:val="2"/>
                <w:sz w:val="21"/>
                <w:szCs w:val="21"/>
                <w:highlight w:val="none"/>
                <w:lang w:val="en-US" w:eastAsia="zh-CN" w:bidi="ar-SA"/>
              </w:rPr>
              <w:t>数据见下表。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Style w:val="95"/>
                <w:rFonts w:hint="default" w:ascii="Times New Roman" w:hAnsi="Times New Roman" w:eastAsia="宋体" w:cs="Times New Roman"/>
                <w:b/>
                <w:bCs/>
                <w:color w:val="auto"/>
                <w:sz w:val="21"/>
                <w:szCs w:val="21"/>
                <w:highlight w:val="none"/>
                <w:lang w:val="en-US" w:eastAsia="zh-CN" w:bidi="ar"/>
              </w:rPr>
              <w:t>表2-1</w:t>
            </w:r>
            <w:r>
              <w:rPr>
                <w:rStyle w:val="95"/>
                <w:rFonts w:hint="default" w:ascii="Times New Roman" w:hAnsi="Times New Roman" w:cs="Times New Roman"/>
                <w:b/>
                <w:bCs/>
                <w:color w:val="auto"/>
                <w:sz w:val="21"/>
                <w:szCs w:val="21"/>
                <w:highlight w:val="none"/>
                <w:lang w:val="en-US" w:eastAsia="zh-CN" w:bidi="ar"/>
              </w:rPr>
              <w:t>8</w:t>
            </w:r>
            <w:r>
              <w:rPr>
                <w:rStyle w:val="95"/>
                <w:rFonts w:hint="default" w:ascii="Times New Roman" w:hAnsi="Times New Roman" w:eastAsia="宋体" w:cs="Times New Roman"/>
                <w:b/>
                <w:bCs/>
                <w:color w:val="auto"/>
                <w:sz w:val="21"/>
                <w:szCs w:val="21"/>
                <w:highlight w:val="none"/>
                <w:lang w:val="en-US" w:eastAsia="zh-CN" w:bidi="ar"/>
              </w:rPr>
              <w:t xml:space="preserve"> 企业无组织废气检测一览表</w:t>
            </w:r>
          </w:p>
          <w:tbl>
            <w:tblPr>
              <w:tblStyle w:val="36"/>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35"/>
              <w:gridCol w:w="1014"/>
              <w:gridCol w:w="1676"/>
              <w:gridCol w:w="1676"/>
              <w:gridCol w:w="1676"/>
              <w:gridCol w:w="168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检测时间</w:t>
                  </w:r>
                </w:p>
              </w:tc>
              <w:tc>
                <w:tcPr>
                  <w:tcW w:w="3919" w:type="pct"/>
                  <w:gridSpan w:val="4"/>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氨（mg/m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979"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上风向1#</w:t>
                  </w:r>
                </w:p>
              </w:tc>
              <w:tc>
                <w:tcPr>
                  <w:tcW w:w="979"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下风向2#</w:t>
                  </w:r>
                </w:p>
              </w:tc>
              <w:tc>
                <w:tcPr>
                  <w:tcW w:w="979"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下风向3#</w:t>
                  </w:r>
                </w:p>
              </w:tc>
              <w:tc>
                <w:tcPr>
                  <w:tcW w:w="981"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下风向4#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WQ-250530-211</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WQ-250530-212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WQ-250530-213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WQ-250530-214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09:47</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0.07</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0.13</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0.10</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检测时间</w:t>
                  </w:r>
                </w:p>
              </w:tc>
              <w:tc>
                <w:tcPr>
                  <w:tcW w:w="3919" w:type="pct"/>
                  <w:gridSpan w:val="4"/>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颗粒物（μg/m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上风向1#</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WQ-250530-215</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WQ-250530-216</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WQ-250530-217</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WQ-250530-218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09:47</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260</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345</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检测时间</w:t>
                  </w:r>
                </w:p>
              </w:tc>
              <w:tc>
                <w:tcPr>
                  <w:tcW w:w="3919" w:type="pct"/>
                  <w:gridSpan w:val="4"/>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VOCs（以非甲烷总烃计）（mg/m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上风向1#</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WQ-250530-261</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10:04</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0.78</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0.88</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WQ-250530-265</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WQ-250530-266</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WQ-250530-267</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10:23</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0.85</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WQ-250530-269</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WQ-250530-270</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WQ-250530-271</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10:40</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0.67</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0.87</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WQ-250530-273</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WQ-250530-274</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WQ-250530-275</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10:57</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0.92</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检测时间</w:t>
                  </w:r>
                </w:p>
              </w:tc>
              <w:tc>
                <w:tcPr>
                  <w:tcW w:w="3919" w:type="pct"/>
                  <w:gridSpan w:val="4"/>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硫化氢（mg/m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上风向1#</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WQ-250530-277</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WQ-250530-278</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WQ-250530-279</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WQ-250530-280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09:47</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0.005</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0.006</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0.009</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检测时间</w:t>
                  </w:r>
                </w:p>
              </w:tc>
              <w:tc>
                <w:tcPr>
                  <w:tcW w:w="3919" w:type="pct"/>
                  <w:gridSpan w:val="4"/>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臭气（无量纲）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上风向1#</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下风向4#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WQ-250530-241</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09:26</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&lt;10</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WQ-250530-245</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WQ-250530-246</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WQ-250530-247</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11:42</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&lt;10</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WQ-250530-249</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WQ-250530-250</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WQ-250530-251</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WQ-250530-252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13:43</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&lt;10</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pct"/>
                  <w:gridSpan w:val="2"/>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WQ-250530-253</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WQ-250530-254</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WQ-250530-255</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WQ-250530-256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05.30</w:t>
                  </w:r>
                </w:p>
              </w:tc>
              <w:tc>
                <w:tcPr>
                  <w:tcW w:w="5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15:44</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&lt;10</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w:t>
                  </w:r>
                </w:p>
              </w:tc>
              <w:tc>
                <w:tcPr>
                  <w:tcW w:w="97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w:t>
                  </w:r>
                </w:p>
              </w:tc>
              <w:tc>
                <w:tcPr>
                  <w:tcW w:w="98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w:t>
                  </w:r>
                </w:p>
              </w:tc>
            </w:tr>
          </w:tbl>
          <w:p>
            <w:pPr>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lang w:val="en-US" w:eastAsia="zh-CN"/>
              </w:rPr>
              <w:t>根据上述监测结果</w:t>
            </w:r>
            <w:r>
              <w:rPr>
                <w:rFonts w:hint="default" w:ascii="Times New Roman" w:hAnsi="Times New Roman" w:cs="Times New Roman"/>
                <w:bCs/>
                <w:color w:val="auto"/>
                <w:szCs w:val="21"/>
                <w:highlight w:val="none"/>
              </w:rPr>
              <w:t>，项目厂界硫化氢、氨</w:t>
            </w:r>
            <w:bookmarkStart w:id="14" w:name="OLE_LINK6"/>
            <w:r>
              <w:rPr>
                <w:rFonts w:hint="default" w:ascii="Times New Roman" w:hAnsi="Times New Roman" w:cs="Times New Roman"/>
                <w:bCs/>
                <w:color w:val="auto"/>
                <w:szCs w:val="21"/>
                <w:highlight w:val="none"/>
              </w:rPr>
              <w:t>排放浓度满足《恶臭污染物排放标准》（GB14554-93）表</w:t>
            </w:r>
            <w:r>
              <w:rPr>
                <w:rFonts w:hint="default" w:ascii="Times New Roman" w:hAnsi="Times New Roman" w:cs="Times New Roman"/>
                <w:bCs/>
                <w:color w:val="auto"/>
                <w:szCs w:val="21"/>
                <w:highlight w:val="none"/>
                <w:lang w:val="en-US" w:eastAsia="zh-CN"/>
              </w:rPr>
              <w:t>1</w:t>
            </w:r>
            <w:r>
              <w:rPr>
                <w:rFonts w:hint="default" w:ascii="Times New Roman" w:hAnsi="Times New Roman" w:cs="Times New Roman"/>
                <w:bCs/>
                <w:color w:val="auto"/>
                <w:szCs w:val="21"/>
                <w:highlight w:val="none"/>
              </w:rPr>
              <w:t>中厂界排放标准限值要求：</w:t>
            </w:r>
            <w:bookmarkEnd w:id="14"/>
            <w:r>
              <w:rPr>
                <w:rFonts w:hint="default" w:ascii="Times New Roman" w:hAnsi="Times New Roman" w:cs="Times New Roman"/>
                <w:bCs/>
                <w:color w:val="auto"/>
                <w:szCs w:val="21"/>
                <w:highlight w:val="none"/>
              </w:rPr>
              <w:t>硫化氢0.06mg/m</w:t>
            </w:r>
            <w:r>
              <w:rPr>
                <w:rFonts w:hint="default" w:ascii="Times New Roman" w:hAnsi="Times New Roman" w:cs="Times New Roman"/>
                <w:bCs/>
                <w:color w:val="auto"/>
                <w:szCs w:val="21"/>
                <w:highlight w:val="none"/>
                <w:vertAlign w:val="superscript"/>
              </w:rPr>
              <w:t>3</w:t>
            </w:r>
            <w:r>
              <w:rPr>
                <w:rFonts w:hint="default" w:ascii="Times New Roman" w:hAnsi="Times New Roman" w:cs="Times New Roman"/>
                <w:bCs/>
                <w:color w:val="auto"/>
                <w:szCs w:val="21"/>
                <w:highlight w:val="none"/>
              </w:rPr>
              <w:t>；氨1.5mg/m</w:t>
            </w:r>
            <w:r>
              <w:rPr>
                <w:rFonts w:hint="default" w:ascii="Times New Roman" w:hAnsi="Times New Roman" w:cs="Times New Roman"/>
                <w:bCs/>
                <w:color w:val="auto"/>
                <w:szCs w:val="21"/>
                <w:highlight w:val="none"/>
                <w:vertAlign w:val="superscript"/>
              </w:rPr>
              <w:t>3</w:t>
            </w:r>
            <w:r>
              <w:rPr>
                <w:rFonts w:hint="default" w:ascii="Times New Roman" w:hAnsi="Times New Roman" w:cs="Times New Roman"/>
                <w:bCs/>
                <w:color w:val="auto"/>
                <w:szCs w:val="21"/>
                <w:highlight w:val="none"/>
              </w:rPr>
              <w:t>。</w:t>
            </w:r>
            <w:r>
              <w:rPr>
                <w:rFonts w:hint="default" w:ascii="Times New Roman" w:hAnsi="Times New Roman" w:cs="Times New Roman"/>
                <w:bCs/>
                <w:color w:val="auto"/>
                <w:szCs w:val="21"/>
                <w:highlight w:val="none"/>
                <w:lang w:val="en-US" w:eastAsia="zh-CN"/>
              </w:rPr>
              <w:t>厂界</w:t>
            </w:r>
            <w:r>
              <w:rPr>
                <w:rFonts w:hint="default" w:ascii="Times New Roman" w:hAnsi="Times New Roman" w:cs="Times New Roman"/>
                <w:bCs/>
                <w:color w:val="auto"/>
                <w:szCs w:val="21"/>
                <w:highlight w:val="none"/>
              </w:rPr>
              <w:t>臭气浓度</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VOCs（非甲烷总烃）</w:t>
            </w:r>
            <w:r>
              <w:rPr>
                <w:rFonts w:hint="default" w:ascii="Times New Roman" w:hAnsi="Times New Roman" w:cs="Times New Roman"/>
                <w:bCs/>
                <w:color w:val="auto"/>
                <w:szCs w:val="21"/>
                <w:highlight w:val="none"/>
              </w:rPr>
              <w:t>排放浓度满足《挥发性有机物排放标准 第7部分 其他行业》（DB37/2801.7-2019）表2中厂界排放标准限值要求：</w:t>
            </w:r>
            <w:r>
              <w:rPr>
                <w:rFonts w:hint="default" w:ascii="Times New Roman" w:hAnsi="Times New Roman" w:cs="Times New Roman"/>
                <w:bCs/>
                <w:color w:val="auto"/>
                <w:szCs w:val="21"/>
                <w:highlight w:val="none"/>
                <w:lang w:val="en-US" w:eastAsia="zh-CN"/>
              </w:rPr>
              <w:t>臭气浓度16无量纲；VOCs（非甲烷总烃）2.0</w:t>
            </w: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r>
              <w:rPr>
                <w:rFonts w:hint="default" w:ascii="Times New Roman" w:hAnsi="Times New Roman" w:cs="Times New Roman"/>
                <w:bCs/>
                <w:color w:val="auto"/>
                <w:szCs w:val="21"/>
                <w:highlight w:val="none"/>
                <w:lang w:val="en-US" w:eastAsia="zh-CN"/>
              </w:rPr>
              <w:t>，</w:t>
            </w:r>
            <w:r>
              <w:rPr>
                <w:rFonts w:hint="default" w:ascii="Times New Roman" w:hAnsi="Times New Roman" w:cs="Times New Roman"/>
                <w:bCs/>
                <w:color w:val="auto"/>
                <w:szCs w:val="21"/>
                <w:highlight w:val="none"/>
              </w:rPr>
              <w:t>厂界颗粒物排放浓度满足《大气污染物综合排放标准》（GB16297-1996）排放标准限值（1.0 mg/m</w:t>
            </w:r>
            <w:r>
              <w:rPr>
                <w:rFonts w:hint="default" w:ascii="Times New Roman" w:hAnsi="Times New Roman" w:cs="Times New Roman"/>
                <w:bCs/>
                <w:color w:val="auto"/>
                <w:szCs w:val="21"/>
                <w:highlight w:val="none"/>
                <w:vertAlign w:val="superscript"/>
              </w:rPr>
              <w:t>3</w:t>
            </w:r>
            <w:r>
              <w:rPr>
                <w:rFonts w:hint="default" w:ascii="Times New Roman" w:hAnsi="Times New Roman" w:cs="Times New Roman"/>
                <w:bCs/>
                <w:color w:val="auto"/>
                <w:szCs w:val="21"/>
                <w:highlight w:val="none"/>
              </w:rPr>
              <w:t>）</w:t>
            </w:r>
            <w:r>
              <w:rPr>
                <w:rFonts w:hint="default" w:ascii="Times New Roman" w:hAnsi="Times New Roman" w:cs="Times New Roman"/>
                <w:bCs/>
                <w:color w:val="auto"/>
                <w:szCs w:val="21"/>
                <w:highlight w:val="none"/>
                <w:lang w:eastAsia="zh-CN"/>
              </w:rPr>
              <w:t>。</w:t>
            </w:r>
          </w:p>
          <w:p>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lang w:val="en-US" w:eastAsia="zh-CN"/>
              </w:rPr>
              <w:t>3、</w:t>
            </w:r>
            <w:r>
              <w:rPr>
                <w:rFonts w:hint="default" w:ascii="Times New Roman" w:hAnsi="Times New Roman" w:cs="Times New Roman"/>
                <w:b/>
                <w:bCs/>
                <w:color w:val="auto"/>
                <w:szCs w:val="21"/>
                <w:highlight w:val="none"/>
              </w:rPr>
              <w:t>废水</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现有项目废水主要为职工生活污水、印染废水、地面及设备冲洗废水、软水制备及锅炉排污水，综合废水经污水处理站处理后，排入淄博沃特水务能源开发有限公司。</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根据项目运营数据，职工生活污水排放量为960m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/a，经污水处理站处理后，排入淄博沃特水务能源开发有限公司；根据项目运营数据，项目煮炼、漂白、染色工序印染废水产生量为11.23万m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/a，经污水处理站处理后，排入淄博沃特水务能源开发有限公司；项目采用全自动钠离子交换装置制备软水，供给燃气锅炉。根据企业提供数据，软水用量为3.6万m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/a，全自动钠离子交换装置效率约为50%，则新鲜水用量约为7.2万m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/a，软水制备废水产生量约为3.6万m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/a。锅炉排污水量约为用水量的5%，则锅炉排污水量约为0.18万m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/a。软水制备废水和锅炉排污水经污水处理站处理后，排入淄博沃特水务能源开发有限公司。</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地面及设备冲洗废水量为0.6万m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/a，排入污水处理站处理后，排入淄博沃特水务能源开发有限公司；项目生产过程蒸汽接触煮炼、漂白、染色设备产生的冷凝水1.62万m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/a，排入污水处理站处理后，排入淄博沃特水务能源开发有限公司。</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废水排放数据化学需氧量、氦氮、总磷、总氮、pH参考2024年1-12月在线监测数据，</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Style w:val="95"/>
                <w:rFonts w:hint="default" w:ascii="Times New Roman" w:hAnsi="Times New Roman" w:eastAsia="宋体" w:cs="Times New Roman"/>
                <w:b/>
                <w:bCs/>
                <w:color w:val="auto"/>
                <w:sz w:val="21"/>
                <w:szCs w:val="21"/>
                <w:highlight w:val="none"/>
                <w:lang w:val="en-US" w:eastAsia="zh-CN" w:bidi="ar"/>
              </w:rPr>
              <w:t>表2-1</w:t>
            </w:r>
            <w:r>
              <w:rPr>
                <w:rStyle w:val="95"/>
                <w:rFonts w:hint="default" w:ascii="Times New Roman" w:hAnsi="Times New Roman" w:cs="Times New Roman"/>
                <w:b/>
                <w:bCs/>
                <w:color w:val="auto"/>
                <w:sz w:val="21"/>
                <w:szCs w:val="21"/>
                <w:highlight w:val="none"/>
                <w:lang w:val="en-US" w:eastAsia="zh-CN" w:bidi="ar"/>
              </w:rPr>
              <w:t>9</w:t>
            </w:r>
            <w:r>
              <w:rPr>
                <w:rStyle w:val="95"/>
                <w:rFonts w:hint="default" w:ascii="Times New Roman" w:hAnsi="Times New Roman" w:eastAsia="宋体" w:cs="Times New Roman"/>
                <w:b/>
                <w:bCs/>
                <w:color w:val="auto"/>
                <w:sz w:val="21"/>
                <w:szCs w:val="21"/>
                <w:highlight w:val="none"/>
                <w:lang w:val="en-US" w:eastAsia="zh-CN" w:bidi="ar"/>
              </w:rPr>
              <w:t xml:space="preserve"> 企业废水（化学需氧量、氦氮、总磷、总氮、pH）检测一览表</w:t>
            </w:r>
          </w:p>
          <w:tbl>
            <w:tblPr>
              <w:tblStyle w:val="118"/>
              <w:tblW w:w="4998"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01"/>
              <w:gridCol w:w="865"/>
              <w:gridCol w:w="664"/>
              <w:gridCol w:w="716"/>
              <w:gridCol w:w="664"/>
              <w:gridCol w:w="712"/>
              <w:gridCol w:w="664"/>
              <w:gridCol w:w="712"/>
              <w:gridCol w:w="664"/>
              <w:gridCol w:w="717"/>
              <w:gridCol w:w="667"/>
              <w:gridCol w:w="718"/>
              <w:gridCol w:w="5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17" w:type="pct"/>
                  <w:vMerge w:val="restar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序号</w:t>
                  </w:r>
                </w:p>
              </w:tc>
              <w:tc>
                <w:tcPr>
                  <w:tcW w:w="505"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监测时间</w:t>
                  </w:r>
                </w:p>
              </w:tc>
              <w:tc>
                <w:tcPr>
                  <w:tcW w:w="806" w:type="pct"/>
                  <w:gridSpan w:val="2"/>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化学需氧量</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mg/L</w:t>
                  </w:r>
                  <w:r>
                    <w:rPr>
                      <w:rFonts w:hint="default" w:ascii="Times New Roman" w:hAnsi="Times New Roman" w:cs="Times New Roman"/>
                      <w:b/>
                      <w:bCs/>
                      <w:color w:val="auto"/>
                      <w:sz w:val="18"/>
                      <w:szCs w:val="18"/>
                      <w:highlight w:val="none"/>
                      <w:lang w:eastAsia="zh-CN"/>
                    </w:rPr>
                    <w:t>）</w:t>
                  </w:r>
                </w:p>
              </w:tc>
              <w:tc>
                <w:tcPr>
                  <w:tcW w:w="804" w:type="pct"/>
                  <w:gridSpan w:val="2"/>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氦氮</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mg/L</w:t>
                  </w:r>
                  <w:r>
                    <w:rPr>
                      <w:rFonts w:hint="default" w:ascii="Times New Roman" w:hAnsi="Times New Roman" w:cs="Times New Roman"/>
                      <w:b/>
                      <w:bCs/>
                      <w:color w:val="auto"/>
                      <w:sz w:val="18"/>
                      <w:szCs w:val="18"/>
                      <w:highlight w:val="none"/>
                      <w:lang w:eastAsia="zh-CN"/>
                    </w:rPr>
                    <w:t>）</w:t>
                  </w:r>
                </w:p>
              </w:tc>
              <w:tc>
                <w:tcPr>
                  <w:tcW w:w="804" w:type="pct"/>
                  <w:gridSpan w:val="2"/>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总磷</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mg/L</w:t>
                  </w:r>
                  <w:r>
                    <w:rPr>
                      <w:rFonts w:hint="default" w:ascii="Times New Roman" w:hAnsi="Times New Roman" w:cs="Times New Roman"/>
                      <w:b/>
                      <w:bCs/>
                      <w:color w:val="auto"/>
                      <w:sz w:val="18"/>
                      <w:szCs w:val="18"/>
                      <w:highlight w:val="none"/>
                      <w:lang w:eastAsia="zh-CN"/>
                    </w:rPr>
                    <w:t>）</w:t>
                  </w:r>
                </w:p>
              </w:tc>
              <w:tc>
                <w:tcPr>
                  <w:tcW w:w="807" w:type="pct"/>
                  <w:gridSpan w:val="2"/>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总氮</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mg/L</w:t>
                  </w:r>
                  <w:r>
                    <w:rPr>
                      <w:rFonts w:hint="default" w:ascii="Times New Roman" w:hAnsi="Times New Roman" w:cs="Times New Roman"/>
                      <w:b/>
                      <w:bCs/>
                      <w:color w:val="auto"/>
                      <w:sz w:val="18"/>
                      <w:szCs w:val="18"/>
                      <w:highlight w:val="none"/>
                      <w:lang w:eastAsia="zh-CN"/>
                    </w:rPr>
                    <w:t>）</w:t>
                  </w:r>
                </w:p>
              </w:tc>
              <w:tc>
                <w:tcPr>
                  <w:tcW w:w="808" w:type="pct"/>
                  <w:gridSpan w:val="2"/>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pH</w:t>
                  </w:r>
                </w:p>
              </w:tc>
              <w:tc>
                <w:tcPr>
                  <w:tcW w:w="346" w:type="pct"/>
                  <w:vMerge w:val="restar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流量</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m</w:t>
                  </w:r>
                  <w:r>
                    <w:rPr>
                      <w:rFonts w:hint="default" w:ascii="Times New Roman" w:hAnsi="Times New Roman" w:cs="Times New Roman"/>
                      <w:b/>
                      <w:bCs/>
                      <w:color w:val="auto"/>
                      <w:sz w:val="18"/>
                      <w:szCs w:val="18"/>
                      <w:highlight w:val="none"/>
                      <w:vertAlign w:val="superscript"/>
                    </w:rPr>
                    <w:t>3</w:t>
                  </w:r>
                  <w:r>
                    <w:rPr>
                      <w:rFonts w:hint="default" w:ascii="Times New Roman" w:hAnsi="Times New Roman" w:cs="Times New Roman"/>
                      <w:b/>
                      <w:bCs/>
                      <w:color w:val="auto"/>
                      <w:sz w:val="18"/>
                      <w:szCs w:val="18"/>
                      <w:highlight w:val="none"/>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505"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388"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浓度</w:t>
                  </w:r>
                </w:p>
              </w:tc>
              <w:tc>
                <w:tcPr>
                  <w:tcW w:w="418" w:type="pc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排放量</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t</w:t>
                  </w:r>
                  <w:r>
                    <w:rPr>
                      <w:rFonts w:hint="default" w:ascii="Times New Roman" w:hAnsi="Times New Roman" w:cs="Times New Roman"/>
                      <w:b/>
                      <w:bCs/>
                      <w:color w:val="auto"/>
                      <w:sz w:val="18"/>
                      <w:szCs w:val="18"/>
                      <w:highlight w:val="none"/>
                      <w:lang w:eastAsia="zh-CN"/>
                    </w:rPr>
                    <w:t>）</w:t>
                  </w:r>
                </w:p>
              </w:tc>
              <w:tc>
                <w:tcPr>
                  <w:tcW w:w="388"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浓度</w:t>
                  </w:r>
                </w:p>
              </w:tc>
              <w:tc>
                <w:tcPr>
                  <w:tcW w:w="415" w:type="pc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排放量</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t</w:t>
                  </w:r>
                  <w:r>
                    <w:rPr>
                      <w:rFonts w:hint="default" w:ascii="Times New Roman" w:hAnsi="Times New Roman" w:cs="Times New Roman"/>
                      <w:b/>
                      <w:bCs/>
                      <w:color w:val="auto"/>
                      <w:sz w:val="18"/>
                      <w:szCs w:val="18"/>
                      <w:highlight w:val="none"/>
                      <w:lang w:eastAsia="zh-CN"/>
                    </w:rPr>
                    <w:t>）</w:t>
                  </w:r>
                </w:p>
              </w:tc>
              <w:tc>
                <w:tcPr>
                  <w:tcW w:w="388"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浓度</w:t>
                  </w:r>
                </w:p>
              </w:tc>
              <w:tc>
                <w:tcPr>
                  <w:tcW w:w="415" w:type="pc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排放量</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t</w:t>
                  </w:r>
                  <w:r>
                    <w:rPr>
                      <w:rFonts w:hint="default" w:ascii="Times New Roman" w:hAnsi="Times New Roman" w:cs="Times New Roman"/>
                      <w:b/>
                      <w:bCs/>
                      <w:color w:val="auto"/>
                      <w:sz w:val="18"/>
                      <w:szCs w:val="18"/>
                      <w:highlight w:val="none"/>
                      <w:lang w:eastAsia="zh-CN"/>
                    </w:rPr>
                    <w:t>）</w:t>
                  </w:r>
                </w:p>
              </w:tc>
              <w:tc>
                <w:tcPr>
                  <w:tcW w:w="388"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浓度</w:t>
                  </w:r>
                </w:p>
              </w:tc>
              <w:tc>
                <w:tcPr>
                  <w:tcW w:w="418" w:type="pc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排放量</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t</w:t>
                  </w:r>
                  <w:r>
                    <w:rPr>
                      <w:rFonts w:hint="default" w:ascii="Times New Roman" w:hAnsi="Times New Roman" w:cs="Times New Roman"/>
                      <w:b/>
                      <w:bCs/>
                      <w:color w:val="auto"/>
                      <w:sz w:val="18"/>
                      <w:szCs w:val="18"/>
                      <w:highlight w:val="none"/>
                      <w:lang w:eastAsia="zh-CN"/>
                    </w:rPr>
                    <w:t>）</w:t>
                  </w:r>
                </w:p>
              </w:tc>
              <w:tc>
                <w:tcPr>
                  <w:tcW w:w="389"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浓度</w:t>
                  </w:r>
                </w:p>
              </w:tc>
              <w:tc>
                <w:tcPr>
                  <w:tcW w:w="418" w:type="pct"/>
                  <w:tcBorders>
                    <w:tl2br w:val="nil"/>
                    <w:tr2bl w:val="nil"/>
                  </w:tcBorders>
                  <w:vAlign w:val="center"/>
                </w:tcPr>
                <w:p>
                  <w:pPr>
                    <w:jc w:val="center"/>
                    <w:rPr>
                      <w:rFonts w:hint="default" w:ascii="Times New Roman" w:hAnsi="Times New Roman" w:eastAsia="宋体" w:cs="Times New Roman"/>
                      <w:b/>
                      <w:bCs/>
                      <w:color w:val="auto"/>
                      <w:sz w:val="18"/>
                      <w:szCs w:val="18"/>
                      <w:highlight w:val="none"/>
                      <w:lang w:eastAsia="zh-CN"/>
                    </w:rPr>
                  </w:pPr>
                  <w:r>
                    <w:rPr>
                      <w:rFonts w:hint="default" w:ascii="Times New Roman" w:hAnsi="Times New Roman" w:cs="Times New Roman"/>
                      <w:b/>
                      <w:bCs/>
                      <w:color w:val="auto"/>
                      <w:sz w:val="18"/>
                      <w:szCs w:val="18"/>
                      <w:highlight w:val="none"/>
                    </w:rPr>
                    <w:t>排放量</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t</w:t>
                  </w:r>
                  <w:r>
                    <w:rPr>
                      <w:rFonts w:hint="default" w:ascii="Times New Roman" w:hAnsi="Times New Roman" w:cs="Times New Roman"/>
                      <w:b/>
                      <w:bCs/>
                      <w:color w:val="auto"/>
                      <w:sz w:val="18"/>
                      <w:szCs w:val="18"/>
                      <w:highlight w:val="none"/>
                      <w:lang w:eastAsia="zh-CN"/>
                    </w:rPr>
                    <w:t>）</w:t>
                  </w:r>
                </w:p>
              </w:tc>
              <w:tc>
                <w:tcPr>
                  <w:tcW w:w="346" w:type="pct"/>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2024-01</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63.7</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0.643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0.0783</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0.000806</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0.123</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0.00118</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7.44</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0.0743</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7.45</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10116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2024-02</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98.3</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0.557</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0.318</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0.00177</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0.23</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0.00127</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8.67</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0.0493</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7.46</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5433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80.3</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0.739</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0.348</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0.00303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0.281</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0.00246</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4.59</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0.0406</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7.47</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8969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2024-04</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80.8</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0.575</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0.696</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0.00436</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0.597</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0.00445</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7.49</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0.0573</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7.64</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2024-05</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68.4</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3.92</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0.0369</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0.584</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0.00523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7.14</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0.0658</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9139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2024-06</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55.1</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0.453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0.29</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0.00225</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0.585</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0.0048</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5.85</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0.0491</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8.11</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8233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2024-07</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70.7</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0.694</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1.61</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0.0152</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0.548</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0.00534</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6.64</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0.0657</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8.06</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9809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2024-08</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73.7</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0.819</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2.48</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0.0254</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0.432</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0.00467</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0.119</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7.91</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11046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2024-09</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86.4</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0.711</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0.831</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0.00693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0.513</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0.00442</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0.0644</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8.07</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8156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2024-10</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0.328</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0.636</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0.0028</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0.324</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0.00163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6.58</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0.0305</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8.16</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4486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2024-11</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56.3</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0.363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0.347</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0.00213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0.303</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0.00198</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6.92</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0.048</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8.05</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6515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7"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w:t>
                  </w:r>
                </w:p>
              </w:tc>
              <w:tc>
                <w:tcPr>
                  <w:tcW w:w="50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2024-12</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75.2</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0.743</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0.516</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0.00498</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0.258</w:t>
                  </w:r>
                </w:p>
              </w:tc>
              <w:tc>
                <w:tcPr>
                  <w:tcW w:w="41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0.00258</w:t>
                  </w:r>
                </w:p>
              </w:tc>
              <w:tc>
                <w:tcPr>
                  <w:tcW w:w="38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6.98</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0.072</w:t>
                  </w:r>
                </w:p>
              </w:tc>
              <w:tc>
                <w:tcPr>
                  <w:tcW w:w="38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8.04</w:t>
                  </w:r>
                </w:p>
              </w:tc>
              <w:tc>
                <w:tcPr>
                  <w:tcW w:w="418"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34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9490</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废水排放数据苯胺、硫化物参考</w:t>
            </w:r>
            <w:r>
              <w:rPr>
                <w:rFonts w:hint="default" w:ascii="Times New Roman" w:hAnsi="Times New Roman" w:eastAsia="宋体" w:cs="Times New Roman"/>
                <w:bCs/>
                <w:color w:val="auto"/>
                <w:kern w:val="2"/>
                <w:sz w:val="21"/>
                <w:szCs w:val="21"/>
                <w:highlight w:val="none"/>
                <w:lang w:val="en-US" w:eastAsia="zh-CN" w:bidi="ar-SA"/>
              </w:rPr>
              <w:t>山东信质环保科技有限公司于</w:t>
            </w:r>
            <w:r>
              <w:rPr>
                <w:rFonts w:hint="default" w:ascii="Times New Roman" w:hAnsi="Times New Roman" w:cs="Times New Roman"/>
                <w:bCs/>
                <w:color w:val="auto"/>
                <w:kern w:val="2"/>
                <w:sz w:val="21"/>
                <w:szCs w:val="21"/>
                <w:highlight w:val="none"/>
                <w:lang w:val="en-US" w:eastAsia="zh-CN" w:bidi="ar-SA"/>
              </w:rPr>
              <w:t>2025年7月14日</w:t>
            </w:r>
            <w:r>
              <w:rPr>
                <w:rFonts w:hint="default" w:ascii="Times New Roman" w:hAnsi="Times New Roman" w:eastAsia="宋体" w:cs="Times New Roman"/>
                <w:bCs/>
                <w:color w:val="auto"/>
                <w:kern w:val="2"/>
                <w:sz w:val="21"/>
                <w:szCs w:val="21"/>
                <w:highlight w:val="none"/>
                <w:lang w:val="en-US" w:eastAsia="zh-CN" w:bidi="ar-SA"/>
              </w:rPr>
              <w:t>例行</w:t>
            </w:r>
            <w:r>
              <w:rPr>
                <w:rFonts w:hint="default" w:ascii="Times New Roman" w:hAnsi="Times New Roman" w:cs="Times New Roman"/>
                <w:bCs/>
                <w:color w:val="auto"/>
                <w:kern w:val="2"/>
                <w:sz w:val="21"/>
                <w:szCs w:val="21"/>
                <w:highlight w:val="none"/>
                <w:lang w:val="en-US" w:eastAsia="zh-CN" w:bidi="ar-SA"/>
              </w:rPr>
              <w:t>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bCs/>
                <w:color w:val="auto"/>
                <w:kern w:val="2"/>
                <w:sz w:val="21"/>
                <w:szCs w:val="21"/>
                <w:highlight w:val="none"/>
                <w:lang w:val="en-US" w:eastAsia="zh-CN" w:bidi="ar-SA"/>
              </w:rPr>
              <w:t>（报告编号：信质检字（2025）第 07099 号），数据见下表：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Style w:val="95"/>
                <w:rFonts w:hint="default" w:ascii="Times New Roman" w:hAnsi="Times New Roman" w:eastAsia="宋体" w:cs="Times New Roman"/>
                <w:b/>
                <w:bCs/>
                <w:color w:val="auto"/>
                <w:sz w:val="21"/>
                <w:szCs w:val="21"/>
                <w:highlight w:val="none"/>
                <w:lang w:val="en-US" w:eastAsia="zh-CN" w:bidi="ar"/>
              </w:rPr>
              <w:t>表2-</w:t>
            </w:r>
            <w:r>
              <w:rPr>
                <w:rStyle w:val="95"/>
                <w:rFonts w:hint="default" w:ascii="Times New Roman" w:hAnsi="Times New Roman" w:cs="Times New Roman"/>
                <w:b/>
                <w:bCs/>
                <w:color w:val="auto"/>
                <w:sz w:val="21"/>
                <w:szCs w:val="21"/>
                <w:highlight w:val="none"/>
                <w:lang w:val="en-US" w:eastAsia="zh-CN" w:bidi="ar"/>
              </w:rPr>
              <w:t>20</w:t>
            </w:r>
            <w:r>
              <w:rPr>
                <w:rStyle w:val="95"/>
                <w:rFonts w:hint="default" w:ascii="Times New Roman" w:hAnsi="Times New Roman" w:eastAsia="宋体" w:cs="Times New Roman"/>
                <w:b/>
                <w:bCs/>
                <w:color w:val="auto"/>
                <w:sz w:val="21"/>
                <w:szCs w:val="21"/>
                <w:highlight w:val="none"/>
                <w:lang w:val="en-US" w:eastAsia="zh-CN" w:bidi="ar"/>
              </w:rPr>
              <w:t xml:space="preserve"> 企业废水（苯胺、硫化物）检测一览表</w:t>
            </w:r>
          </w:p>
          <w:tbl>
            <w:tblPr>
              <w:tblStyle w:val="36"/>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023"/>
              <w:gridCol w:w="2210"/>
              <w:gridCol w:w="2172"/>
              <w:gridCol w:w="215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82"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采样日期检测项目</w:t>
                  </w:r>
                </w:p>
              </w:tc>
              <w:tc>
                <w:tcPr>
                  <w:tcW w:w="3817" w:type="pct"/>
                  <w:gridSpan w:val="3"/>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07.14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82"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1291"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09:34</w:t>
                  </w:r>
                </w:p>
              </w:tc>
              <w:tc>
                <w:tcPr>
                  <w:tcW w:w="1269"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11:53</w:t>
                  </w:r>
                </w:p>
              </w:tc>
              <w:tc>
                <w:tcPr>
                  <w:tcW w:w="1256"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14:12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8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状态描述</w:t>
                  </w:r>
                </w:p>
              </w:tc>
              <w:tc>
                <w:tcPr>
                  <w:tcW w:w="12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浅黄色弱臭气味无油液体</w:t>
                  </w:r>
                </w:p>
              </w:tc>
              <w:tc>
                <w:tcPr>
                  <w:tcW w:w="126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浅黄色弱臭气味无油液体</w:t>
                  </w:r>
                </w:p>
              </w:tc>
              <w:tc>
                <w:tcPr>
                  <w:tcW w:w="125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浅黄色弱臭气味无油液体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8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12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FS-250714-221</w:t>
                  </w:r>
                </w:p>
              </w:tc>
              <w:tc>
                <w:tcPr>
                  <w:tcW w:w="126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FS-250714-222</w:t>
                  </w:r>
                </w:p>
              </w:tc>
              <w:tc>
                <w:tcPr>
                  <w:tcW w:w="125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FS-250714-223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8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苯胺类（mg/L）</w:t>
                  </w:r>
                </w:p>
              </w:tc>
              <w:tc>
                <w:tcPr>
                  <w:tcW w:w="12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未检出</w:t>
                  </w:r>
                </w:p>
              </w:tc>
              <w:tc>
                <w:tcPr>
                  <w:tcW w:w="126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未检出</w:t>
                  </w:r>
                </w:p>
              </w:tc>
              <w:tc>
                <w:tcPr>
                  <w:tcW w:w="125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未检出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8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12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FS-250714-224</w:t>
                  </w:r>
                </w:p>
              </w:tc>
              <w:tc>
                <w:tcPr>
                  <w:tcW w:w="126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FS-250714-225</w:t>
                  </w:r>
                </w:p>
              </w:tc>
              <w:tc>
                <w:tcPr>
                  <w:tcW w:w="125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FS-250714-226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82"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硫化物（mg/L）</w:t>
                  </w:r>
                </w:p>
              </w:tc>
              <w:tc>
                <w:tcPr>
                  <w:tcW w:w="1291"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0.05</w:t>
                  </w:r>
                </w:p>
              </w:tc>
              <w:tc>
                <w:tcPr>
                  <w:tcW w:w="1269"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0.04</w:t>
                  </w:r>
                </w:p>
              </w:tc>
              <w:tc>
                <w:tcPr>
                  <w:tcW w:w="1256"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00" w:type="pct"/>
                  <w:gridSpan w:val="4"/>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采样点位：厂区总排口</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废水排放数据BOD</w:t>
            </w:r>
            <w:r>
              <w:rPr>
                <w:rFonts w:hint="default" w:ascii="Times New Roman" w:hAnsi="Times New Roman" w:cs="Times New Roman" w:eastAsiaTheme="minorEastAsia"/>
                <w:color w:val="auto"/>
                <w:spacing w:val="0"/>
                <w:w w:val="100"/>
                <w:position w:val="0"/>
                <w:sz w:val="21"/>
                <w:szCs w:val="21"/>
                <w:highlight w:val="none"/>
                <w:vertAlign w:val="subscript"/>
                <w:lang w:val="en-US" w:eastAsia="zh-CN"/>
              </w:rPr>
              <w:t>5</w:t>
            </w:r>
            <w:r>
              <w:rPr>
                <w:rFonts w:hint="default" w:ascii="Times New Roman" w:hAnsi="Times New Roman" w:cs="Times New Roman" w:eastAsiaTheme="minorEastAsia"/>
                <w:color w:val="auto"/>
                <w:spacing w:val="0"/>
                <w:w w:val="100"/>
                <w:position w:val="0"/>
                <w:sz w:val="21"/>
                <w:szCs w:val="21"/>
                <w:highlight w:val="none"/>
                <w:lang w:val="en-US" w:eastAsia="zh-CN"/>
              </w:rPr>
              <w:t>参考</w:t>
            </w:r>
            <w:r>
              <w:rPr>
                <w:rFonts w:hint="default" w:ascii="Times New Roman" w:hAnsi="Times New Roman" w:eastAsia="宋体" w:cs="Times New Roman"/>
                <w:bCs/>
                <w:color w:val="auto"/>
                <w:kern w:val="2"/>
                <w:sz w:val="21"/>
                <w:szCs w:val="21"/>
                <w:highlight w:val="none"/>
                <w:lang w:val="en-US" w:eastAsia="zh-CN" w:bidi="ar-SA"/>
              </w:rPr>
              <w:t>山东信质环保科技有限公司于</w:t>
            </w:r>
            <w:r>
              <w:rPr>
                <w:rFonts w:hint="default" w:ascii="Times New Roman" w:hAnsi="Times New Roman" w:cs="Times New Roman"/>
                <w:bCs/>
                <w:color w:val="auto"/>
                <w:kern w:val="2"/>
                <w:sz w:val="21"/>
                <w:szCs w:val="21"/>
                <w:highlight w:val="none"/>
                <w:lang w:val="en-US" w:eastAsia="zh-CN" w:bidi="ar-SA"/>
              </w:rPr>
              <w:t>2025年9月1日</w:t>
            </w:r>
            <w:r>
              <w:rPr>
                <w:rFonts w:hint="default" w:ascii="Times New Roman" w:hAnsi="Times New Roman" w:eastAsia="宋体" w:cs="Times New Roman"/>
                <w:bCs/>
                <w:color w:val="auto"/>
                <w:kern w:val="2"/>
                <w:sz w:val="21"/>
                <w:szCs w:val="21"/>
                <w:highlight w:val="none"/>
                <w:lang w:val="en-US" w:eastAsia="zh-CN" w:bidi="ar-SA"/>
              </w:rPr>
              <w:t>例行</w:t>
            </w:r>
            <w:r>
              <w:rPr>
                <w:rFonts w:hint="default" w:ascii="Times New Roman" w:hAnsi="Times New Roman" w:cs="Times New Roman"/>
                <w:bCs/>
                <w:color w:val="auto"/>
                <w:kern w:val="2"/>
                <w:sz w:val="21"/>
                <w:szCs w:val="21"/>
                <w:highlight w:val="none"/>
                <w:lang w:val="en-US" w:eastAsia="zh-CN" w:bidi="ar-SA"/>
              </w:rPr>
              <w:t>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bCs/>
                <w:color w:val="auto"/>
                <w:kern w:val="2"/>
                <w:sz w:val="21"/>
                <w:szCs w:val="21"/>
                <w:highlight w:val="none"/>
                <w:lang w:val="en-US" w:eastAsia="zh-CN" w:bidi="ar-SA"/>
              </w:rPr>
              <w:t>（报告编号：</w:t>
            </w:r>
            <w:r>
              <w:rPr>
                <w:rFonts w:hint="default" w:ascii="Times New Roman" w:hAnsi="Times New Roman" w:cs="Times New Roman"/>
                <w:color w:val="auto"/>
                <w:highlight w:val="none"/>
              </w:rPr>
              <w:t>信质检字（2025）第 09001-01 号</w:t>
            </w:r>
            <w:r>
              <w:rPr>
                <w:rFonts w:hint="default" w:ascii="Times New Roman" w:hAnsi="Times New Roman" w:cs="Times New Roman"/>
                <w:bCs/>
                <w:color w:val="auto"/>
                <w:kern w:val="2"/>
                <w:sz w:val="21"/>
                <w:szCs w:val="21"/>
                <w:highlight w:val="none"/>
                <w:lang w:val="en-US" w:eastAsia="zh-CN" w:bidi="ar-SA"/>
              </w:rPr>
              <w:t>），数据见下表：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Style w:val="95"/>
                <w:rFonts w:hint="default" w:ascii="Times New Roman" w:hAnsi="Times New Roman" w:eastAsia="宋体" w:cs="Times New Roman"/>
                <w:b/>
                <w:bCs/>
                <w:color w:val="auto"/>
                <w:sz w:val="21"/>
                <w:szCs w:val="21"/>
                <w:highlight w:val="none"/>
                <w:lang w:val="en-US" w:eastAsia="zh-CN" w:bidi="ar"/>
              </w:rPr>
              <w:t>表2-</w:t>
            </w:r>
            <w:r>
              <w:rPr>
                <w:rStyle w:val="95"/>
                <w:rFonts w:hint="default" w:ascii="Times New Roman" w:hAnsi="Times New Roman" w:cs="Times New Roman"/>
                <w:b/>
                <w:bCs/>
                <w:color w:val="auto"/>
                <w:sz w:val="21"/>
                <w:szCs w:val="21"/>
                <w:highlight w:val="none"/>
                <w:lang w:val="en-US" w:eastAsia="zh-CN" w:bidi="ar"/>
              </w:rPr>
              <w:t>21</w:t>
            </w:r>
            <w:r>
              <w:rPr>
                <w:rStyle w:val="95"/>
                <w:rFonts w:hint="default" w:ascii="Times New Roman" w:hAnsi="Times New Roman" w:eastAsia="宋体" w:cs="Times New Roman"/>
                <w:b/>
                <w:bCs/>
                <w:color w:val="auto"/>
                <w:sz w:val="21"/>
                <w:szCs w:val="21"/>
                <w:highlight w:val="none"/>
                <w:lang w:val="en-US" w:eastAsia="zh-CN" w:bidi="ar"/>
              </w:rPr>
              <w:t xml:space="preserve"> 企业废水（BOD</w:t>
            </w:r>
            <w:r>
              <w:rPr>
                <w:rStyle w:val="95"/>
                <w:rFonts w:hint="default" w:ascii="Times New Roman" w:hAnsi="Times New Roman" w:eastAsia="宋体" w:cs="Times New Roman"/>
                <w:b/>
                <w:bCs/>
                <w:color w:val="auto"/>
                <w:sz w:val="21"/>
                <w:szCs w:val="21"/>
                <w:highlight w:val="none"/>
                <w:vertAlign w:val="subscript"/>
                <w:lang w:val="en-US" w:eastAsia="zh-CN" w:bidi="ar"/>
              </w:rPr>
              <w:t>5</w:t>
            </w:r>
            <w:r>
              <w:rPr>
                <w:rStyle w:val="95"/>
                <w:rFonts w:hint="default" w:ascii="Times New Roman" w:hAnsi="Times New Roman" w:eastAsia="宋体" w:cs="Times New Roman"/>
                <w:b/>
                <w:bCs/>
                <w:color w:val="auto"/>
                <w:sz w:val="21"/>
                <w:szCs w:val="21"/>
                <w:highlight w:val="none"/>
                <w:lang w:val="en-US" w:eastAsia="zh-CN" w:bidi="ar"/>
              </w:rPr>
              <w:t>）检测一览表</w:t>
            </w:r>
          </w:p>
          <w:tbl>
            <w:tblPr>
              <w:tblStyle w:val="36"/>
              <w:tblW w:w="4999"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959"/>
              <w:gridCol w:w="2198"/>
              <w:gridCol w:w="2198"/>
              <w:gridCol w:w="220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145" w:type="pct"/>
                  <w:vMerge w:val="restar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采样日期检测项目</w:t>
                  </w:r>
                </w:p>
              </w:tc>
              <w:tc>
                <w:tcPr>
                  <w:tcW w:w="3854" w:type="pct"/>
                  <w:gridSpan w:val="3"/>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09.01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145" w:type="pct"/>
                  <w:vMerge w:val="continue"/>
                  <w:tcBorders>
                    <w:tl2br w:val="nil"/>
                    <w:tr2bl w:val="nil"/>
                  </w:tcBorders>
                  <w:vAlign w:val="center"/>
                </w:tcPr>
                <w:p>
                  <w:pPr>
                    <w:jc w:val="center"/>
                    <w:rPr>
                      <w:rFonts w:hint="default" w:ascii="Times New Roman" w:hAnsi="Times New Roman" w:cs="Times New Roman"/>
                      <w:b/>
                      <w:bCs/>
                      <w:color w:val="auto"/>
                      <w:sz w:val="18"/>
                      <w:szCs w:val="18"/>
                      <w:highlight w:val="none"/>
                    </w:rPr>
                  </w:pPr>
                </w:p>
              </w:tc>
              <w:tc>
                <w:tcPr>
                  <w:tcW w:w="1284"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10:38</w:t>
                  </w:r>
                </w:p>
              </w:tc>
              <w:tc>
                <w:tcPr>
                  <w:tcW w:w="1284"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13:17</w:t>
                  </w:r>
                </w:p>
              </w:tc>
              <w:tc>
                <w:tcPr>
                  <w:tcW w:w="1284" w:type="pct"/>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15:43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14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状态描述</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浅黄色无味无油液体</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浅黄色无味无油液体</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浅黄色无味无油液体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14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样品编号</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FS-250901-107</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FS-250901-108</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FS-250901-109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145"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BOD</w:t>
                  </w:r>
                  <w:r>
                    <w:rPr>
                      <w:rFonts w:hint="default" w:ascii="Times New Roman" w:hAnsi="Times New Roman" w:cs="Times New Roman"/>
                      <w:color w:val="auto"/>
                      <w:sz w:val="18"/>
                      <w:szCs w:val="18"/>
                      <w:highlight w:val="none"/>
                      <w:vertAlign w:val="subscript"/>
                    </w:rPr>
                    <w:t>5</w:t>
                  </w:r>
                  <w:r>
                    <w:rPr>
                      <w:rFonts w:hint="default" w:ascii="Times New Roman" w:hAnsi="Times New Roman" w:cs="Times New Roman"/>
                      <w:color w:val="auto"/>
                      <w:sz w:val="18"/>
                      <w:szCs w:val="18"/>
                      <w:highlight w:val="none"/>
                    </w:rPr>
                    <w:t>（mg/L）</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18.1</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w:t>
                  </w:r>
                </w:p>
              </w:tc>
              <w:tc>
                <w:tcPr>
                  <w:tcW w:w="1284" w:type="pc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00" w:type="pct"/>
                  <w:gridSpan w:val="4"/>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采样点位：厂区总排口</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right="0" w:rightChars="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 xml:space="preserve">    废水污染物排放浓度满足《纺织染整工业水污染物排放标准》（GB 4287-2012）及修改单表2水污染物排放浓度限值（化学需氧量200mg/L；氨氮20mg/L；总磷1.5mg/L；总氮30mg/L；pH6-9；苯胺类1mg/L；硫化物0.5mg/L；BOD</w:t>
            </w:r>
            <w:r>
              <w:rPr>
                <w:rFonts w:hint="default" w:ascii="Times New Roman" w:hAnsi="Times New Roman" w:cs="Times New Roman" w:eastAsiaTheme="minorEastAsia"/>
                <w:color w:val="auto"/>
                <w:spacing w:val="0"/>
                <w:w w:val="100"/>
                <w:position w:val="0"/>
                <w:sz w:val="21"/>
                <w:szCs w:val="21"/>
                <w:highlight w:val="none"/>
                <w:vertAlign w:val="subscript"/>
                <w:lang w:val="en-US" w:eastAsia="zh-CN"/>
              </w:rPr>
              <w:t>5</w:t>
            </w:r>
            <w:r>
              <w:rPr>
                <w:rFonts w:hint="default" w:ascii="Times New Roman" w:hAnsi="Times New Roman" w:cs="Times New Roman" w:eastAsiaTheme="minorEastAsia"/>
                <w:color w:val="auto"/>
                <w:spacing w:val="0"/>
                <w:w w:val="100"/>
                <w:position w:val="0"/>
                <w:sz w:val="21"/>
                <w:szCs w:val="21"/>
                <w:highlight w:val="none"/>
                <w:lang w:val="en-US" w:eastAsia="zh-CN"/>
              </w:rPr>
              <w:t>50mg/L）。</w:t>
            </w:r>
          </w:p>
          <w:p>
            <w:pPr>
              <w:spacing w:line="360" w:lineRule="auto"/>
              <w:ind w:firstLine="422" w:firstLineChars="200"/>
              <w:rPr>
                <w:rFonts w:hint="default" w:ascii="Times New Roman" w:hAnsi="Times New Roman" w:eastAsia="宋体" w:cs="Times New Roman"/>
                <w:b/>
                <w:color w:val="auto"/>
                <w:szCs w:val="21"/>
                <w:highlight w:val="none"/>
                <w:lang w:val="en-US" w:eastAsia="zh-CN"/>
              </w:rPr>
            </w:pPr>
            <w:r>
              <w:rPr>
                <w:rFonts w:hint="default" w:ascii="Times New Roman" w:hAnsi="Times New Roman" w:cs="Times New Roman"/>
                <w:b/>
                <w:color w:val="auto"/>
                <w:szCs w:val="21"/>
                <w:highlight w:val="none"/>
                <w:lang w:val="en-US" w:eastAsia="zh-CN"/>
              </w:rPr>
              <w:t>4</w:t>
            </w:r>
            <w:r>
              <w:rPr>
                <w:rFonts w:hint="default" w:ascii="Times New Roman" w:hAnsi="Times New Roman" w:cs="Times New Roman"/>
                <w:b/>
                <w:color w:val="auto"/>
                <w:szCs w:val="21"/>
                <w:highlight w:val="none"/>
              </w:rPr>
              <w:t>、噪声</w:t>
            </w:r>
          </w:p>
          <w:p>
            <w:pPr>
              <w:spacing w:line="360" w:lineRule="auto"/>
              <w:ind w:firstLine="496"/>
              <w:rPr>
                <w:rFonts w:hint="default" w:ascii="Times New Roman" w:hAnsi="Times New Roman" w:cs="Times New Roman"/>
                <w:color w:val="auto"/>
                <w:spacing w:val="4"/>
                <w:highlight w:val="none"/>
              </w:rPr>
            </w:pPr>
            <w:r>
              <w:rPr>
                <w:rFonts w:hint="default" w:ascii="Times New Roman" w:hAnsi="Times New Roman" w:cs="Times New Roman"/>
                <w:bCs/>
                <w:color w:val="auto"/>
                <w:szCs w:val="21"/>
                <w:highlight w:val="none"/>
              </w:rPr>
              <w:t>现有项目</w:t>
            </w:r>
            <w:r>
              <w:rPr>
                <w:rFonts w:hint="default" w:ascii="Times New Roman" w:hAnsi="Times New Roman" w:cs="Times New Roman"/>
                <w:bCs/>
                <w:color w:val="auto"/>
                <w:szCs w:val="21"/>
                <w:highlight w:val="none"/>
                <w:lang w:val="en-US" w:eastAsia="zh-CN"/>
              </w:rPr>
              <w:t>噪声源</w:t>
            </w:r>
            <w:r>
              <w:rPr>
                <w:rFonts w:hint="default" w:ascii="Times New Roman" w:hAnsi="Times New Roman" w:cs="Times New Roman"/>
                <w:bCs/>
                <w:color w:val="auto"/>
                <w:szCs w:val="21"/>
                <w:highlight w:val="none"/>
              </w:rPr>
              <w:t>主要为</w:t>
            </w:r>
            <w:r>
              <w:rPr>
                <w:rFonts w:hint="default" w:ascii="Times New Roman" w:hAnsi="Times New Roman" w:cs="Times New Roman"/>
                <w:bCs/>
                <w:color w:val="auto"/>
                <w:szCs w:val="21"/>
                <w:highlight w:val="none"/>
                <w:lang w:val="en-US" w:eastAsia="zh-CN"/>
              </w:rPr>
              <w:t>烧毛机、</w:t>
            </w:r>
            <w:r>
              <w:rPr>
                <w:rFonts w:hint="default" w:ascii="Times New Roman" w:hAnsi="Times New Roman" w:cs="Times New Roman"/>
                <w:bCs/>
                <w:color w:val="auto"/>
                <w:szCs w:val="21"/>
                <w:highlight w:val="none"/>
              </w:rPr>
              <w:t>风机</w:t>
            </w:r>
            <w:r>
              <w:rPr>
                <w:rFonts w:hint="default" w:ascii="Times New Roman" w:hAnsi="Times New Roman" w:cs="Times New Roman"/>
                <w:color w:val="auto"/>
                <w:spacing w:val="4"/>
                <w:highlight w:val="none"/>
              </w:rPr>
              <w:t>等设备</w:t>
            </w:r>
            <w:r>
              <w:rPr>
                <w:rFonts w:hint="default" w:ascii="Times New Roman" w:hAnsi="Times New Roman" w:cs="Times New Roman"/>
                <w:color w:val="auto"/>
                <w:spacing w:val="4"/>
                <w:highlight w:val="none"/>
                <w:lang w:eastAsia="zh-CN"/>
              </w:rPr>
              <w:t>，其源强约为</w:t>
            </w:r>
            <w:r>
              <w:rPr>
                <w:rFonts w:hint="default" w:ascii="Times New Roman" w:hAnsi="Times New Roman" w:cs="Times New Roman"/>
                <w:color w:val="auto"/>
                <w:spacing w:val="4"/>
                <w:highlight w:val="none"/>
                <w:lang w:val="en-US" w:eastAsia="zh-CN"/>
              </w:rPr>
              <w:t>80</w:t>
            </w:r>
            <w:r>
              <w:rPr>
                <w:rFonts w:hint="default" w:ascii="Times New Roman" w:hAnsi="Times New Roman" w:cs="Times New Roman"/>
                <w:color w:val="auto"/>
                <w:spacing w:val="4"/>
                <w:highlight w:val="none"/>
                <w:lang w:eastAsia="zh-CN"/>
              </w:rPr>
              <w:t>～9</w:t>
            </w:r>
            <w:r>
              <w:rPr>
                <w:rFonts w:hint="default" w:ascii="Times New Roman" w:hAnsi="Times New Roman" w:cs="Times New Roman"/>
                <w:color w:val="auto"/>
                <w:spacing w:val="4"/>
                <w:highlight w:val="none"/>
                <w:lang w:val="en-US" w:eastAsia="zh-CN"/>
              </w:rPr>
              <w:t>0</w:t>
            </w:r>
            <w:r>
              <w:rPr>
                <w:rFonts w:hint="default" w:ascii="Times New Roman" w:hAnsi="Times New Roman" w:cs="Times New Roman"/>
                <w:color w:val="auto"/>
                <w:spacing w:val="4"/>
                <w:highlight w:val="none"/>
                <w:lang w:eastAsia="zh-CN"/>
              </w:rPr>
              <w:t>dB（A），</w:t>
            </w:r>
            <w:r>
              <w:rPr>
                <w:rFonts w:hint="default" w:ascii="Times New Roman" w:hAnsi="Times New Roman" w:cs="Times New Roman" w:eastAsiaTheme="minorEastAsia"/>
                <w:color w:val="auto"/>
                <w:spacing w:val="0"/>
                <w:w w:val="100"/>
                <w:position w:val="0"/>
                <w:sz w:val="21"/>
                <w:szCs w:val="21"/>
                <w:highlight w:val="none"/>
                <w:lang w:val="en-US" w:eastAsia="zh-CN"/>
              </w:rPr>
              <w:t>参考</w:t>
            </w:r>
            <w:r>
              <w:rPr>
                <w:rFonts w:hint="default" w:ascii="Times New Roman" w:hAnsi="Times New Roman" w:eastAsia="宋体" w:cs="Times New Roman"/>
                <w:bCs/>
                <w:color w:val="auto"/>
                <w:kern w:val="2"/>
                <w:sz w:val="21"/>
                <w:szCs w:val="21"/>
                <w:highlight w:val="none"/>
                <w:lang w:val="en-US" w:eastAsia="zh-CN" w:bidi="ar-SA"/>
              </w:rPr>
              <w:t>山东信质环保科技有限公司</w:t>
            </w:r>
            <w:r>
              <w:rPr>
                <w:rFonts w:hint="default" w:ascii="Times New Roman" w:hAnsi="Times New Roman" w:cs="Times New Roman"/>
                <w:bCs/>
                <w:color w:val="auto"/>
                <w:kern w:val="2"/>
                <w:sz w:val="21"/>
                <w:szCs w:val="21"/>
                <w:highlight w:val="none"/>
                <w:lang w:val="en-US" w:eastAsia="zh-CN" w:bidi="ar-SA"/>
              </w:rPr>
              <w:t>2025年7月14日</w:t>
            </w:r>
            <w:r>
              <w:rPr>
                <w:rFonts w:hint="default" w:ascii="Times New Roman" w:hAnsi="Times New Roman" w:eastAsia="宋体" w:cs="Times New Roman"/>
                <w:bCs/>
                <w:color w:val="auto"/>
                <w:kern w:val="2"/>
                <w:sz w:val="21"/>
                <w:szCs w:val="21"/>
                <w:highlight w:val="none"/>
                <w:lang w:val="en-US" w:eastAsia="zh-CN" w:bidi="ar-SA"/>
              </w:rPr>
              <w:t>例行</w:t>
            </w:r>
            <w:r>
              <w:rPr>
                <w:rFonts w:hint="default" w:ascii="Times New Roman" w:hAnsi="Times New Roman" w:cs="Times New Roman"/>
                <w:bCs/>
                <w:color w:val="auto"/>
                <w:kern w:val="2"/>
                <w:sz w:val="21"/>
                <w:szCs w:val="21"/>
                <w:highlight w:val="none"/>
                <w:lang w:val="en-US" w:eastAsia="zh-CN" w:bidi="ar-SA"/>
              </w:rPr>
              <w:t>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bCs/>
                <w:color w:val="auto"/>
                <w:kern w:val="2"/>
                <w:sz w:val="21"/>
                <w:szCs w:val="21"/>
                <w:highlight w:val="none"/>
                <w:lang w:val="en-US" w:eastAsia="zh-CN" w:bidi="ar-SA"/>
              </w:rPr>
              <w:t>（报告编号：信质检字（2025）第 07099 号），检测</w:t>
            </w:r>
            <w:r>
              <w:rPr>
                <w:rFonts w:hint="default" w:ascii="Times New Roman" w:hAnsi="Times New Roman" w:eastAsia="宋体" w:cs="Times New Roman"/>
                <w:bCs/>
                <w:color w:val="auto"/>
                <w:kern w:val="2"/>
                <w:sz w:val="21"/>
                <w:szCs w:val="21"/>
                <w:highlight w:val="none"/>
                <w:lang w:val="en-US" w:eastAsia="zh-CN" w:bidi="ar-SA"/>
              </w:rPr>
              <w:t>数据见下表。</w:t>
            </w:r>
          </w:p>
          <w:p>
            <w:pPr>
              <w:ind w:firstLine="422" w:firstLineChars="200"/>
              <w:jc w:val="center"/>
              <w:rPr>
                <w:rStyle w:val="95"/>
                <w:rFonts w:hint="default" w:ascii="Times New Roman" w:hAnsi="Times New Roman" w:eastAsia="宋体" w:cs="Times New Roman"/>
                <w:b/>
                <w:bCs/>
                <w:color w:val="auto"/>
                <w:sz w:val="21"/>
                <w:szCs w:val="21"/>
                <w:highlight w:val="none"/>
                <w:lang w:bidi="ar"/>
              </w:rPr>
            </w:pPr>
            <w:r>
              <w:rPr>
                <w:rStyle w:val="95"/>
                <w:rFonts w:hint="default" w:ascii="Times New Roman" w:hAnsi="Times New Roman" w:eastAsia="宋体" w:cs="Times New Roman"/>
                <w:b/>
                <w:bCs/>
                <w:color w:val="auto"/>
                <w:sz w:val="21"/>
                <w:szCs w:val="21"/>
                <w:highlight w:val="none"/>
                <w:lang w:bidi="ar"/>
              </w:rPr>
              <w:t>表2-</w:t>
            </w:r>
            <w:r>
              <w:rPr>
                <w:rStyle w:val="95"/>
                <w:rFonts w:hint="default" w:ascii="Times New Roman" w:hAnsi="Times New Roman" w:cs="Times New Roman"/>
                <w:b/>
                <w:bCs/>
                <w:color w:val="auto"/>
                <w:sz w:val="21"/>
                <w:szCs w:val="21"/>
                <w:highlight w:val="none"/>
                <w:lang w:val="en-US" w:eastAsia="zh-CN" w:bidi="ar"/>
              </w:rPr>
              <w:t>22</w:t>
            </w:r>
            <w:r>
              <w:rPr>
                <w:rStyle w:val="95"/>
                <w:rFonts w:hint="default" w:ascii="Times New Roman" w:hAnsi="Times New Roman" w:eastAsia="宋体" w:cs="Times New Roman"/>
                <w:b/>
                <w:bCs/>
                <w:color w:val="auto"/>
                <w:sz w:val="21"/>
                <w:szCs w:val="21"/>
                <w:highlight w:val="none"/>
                <w:lang w:val="en-US" w:eastAsia="zh-CN" w:bidi="ar"/>
              </w:rPr>
              <w:t xml:space="preserve"> </w:t>
            </w:r>
            <w:r>
              <w:rPr>
                <w:rStyle w:val="95"/>
                <w:rFonts w:hint="default" w:ascii="Times New Roman" w:hAnsi="Times New Roman" w:eastAsia="宋体" w:cs="Times New Roman"/>
                <w:b/>
                <w:bCs/>
                <w:color w:val="auto"/>
                <w:sz w:val="21"/>
                <w:szCs w:val="21"/>
                <w:highlight w:val="none"/>
                <w:lang w:bidi="ar"/>
              </w:rPr>
              <w:t>厂界噪声</w:t>
            </w:r>
            <w:r>
              <w:rPr>
                <w:rStyle w:val="95"/>
                <w:rFonts w:hint="default" w:ascii="Times New Roman" w:hAnsi="Times New Roman" w:eastAsia="宋体" w:cs="Times New Roman"/>
                <w:b/>
                <w:bCs/>
                <w:color w:val="auto"/>
                <w:sz w:val="21"/>
                <w:szCs w:val="21"/>
                <w:highlight w:val="none"/>
                <w:lang w:val="en-US" w:eastAsia="zh-CN" w:bidi="ar"/>
              </w:rPr>
              <w:t>检测</w:t>
            </w:r>
            <w:r>
              <w:rPr>
                <w:rStyle w:val="95"/>
                <w:rFonts w:hint="default" w:ascii="Times New Roman" w:hAnsi="Times New Roman" w:eastAsia="宋体" w:cs="Times New Roman"/>
                <w:b/>
                <w:bCs/>
                <w:color w:val="auto"/>
                <w:sz w:val="21"/>
                <w:szCs w:val="21"/>
                <w:highlight w:val="none"/>
                <w:lang w:bidi="ar"/>
              </w:rPr>
              <w:t>结果</w:t>
            </w:r>
            <w:r>
              <w:rPr>
                <w:rFonts w:hint="default" w:ascii="Times New Roman" w:hAnsi="Times New Roman" w:cs="Times New Roman"/>
                <w:b/>
                <w:bCs/>
                <w:color w:val="auto"/>
                <w:sz w:val="18"/>
                <w:szCs w:val="18"/>
                <w:highlight w:val="none"/>
              </w:rPr>
              <w:t xml:space="preserve">  </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单位：dB（A）</w:t>
            </w:r>
            <w:r>
              <w:rPr>
                <w:rFonts w:hint="default" w:ascii="Times New Roman" w:hAnsi="Times New Roman" w:cs="Times New Roman"/>
                <w:b/>
                <w:bCs/>
                <w:color w:val="auto"/>
                <w:sz w:val="18"/>
                <w:szCs w:val="18"/>
                <w:highlight w:val="none"/>
                <w:lang w:eastAsia="zh-CN"/>
              </w:rPr>
              <w:t>）</w:t>
            </w:r>
          </w:p>
          <w:tbl>
            <w:tblPr>
              <w:tblStyle w:val="36"/>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40"/>
              <w:gridCol w:w="1247"/>
              <w:gridCol w:w="1247"/>
              <w:gridCol w:w="1247"/>
              <w:gridCol w:w="1247"/>
              <w:gridCol w:w="1247"/>
              <w:gridCol w:w="124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dxa"/>
                  <w:tcBorders>
                    <w:tl2br w:val="nil"/>
                    <w:tr2bl w:val="nil"/>
                  </w:tcBorders>
                  <w:vAlign w:val="center"/>
                </w:tcPr>
                <w:p>
                  <w:pPr>
                    <w:jc w:val="center"/>
                    <w:rPr>
                      <w:rFonts w:hint="default" w:ascii="Times New Roman" w:hAnsi="Times New Roman" w:cs="Times New Roman"/>
                      <w:b/>
                      <w:bCs/>
                      <w:color w:val="auto"/>
                      <w:sz w:val="18"/>
                      <w:szCs w:val="18"/>
                      <w:highlight w:val="none"/>
                    </w:rPr>
                  </w:pPr>
                  <w:bookmarkStart w:id="15" w:name="OLE_LINK15"/>
                  <w:r>
                    <w:rPr>
                      <w:rFonts w:hint="default" w:ascii="Times New Roman" w:hAnsi="Times New Roman" w:cs="Times New Roman"/>
                      <w:b/>
                      <w:bCs/>
                      <w:color w:val="auto"/>
                      <w:sz w:val="18"/>
                      <w:szCs w:val="18"/>
                      <w:highlight w:val="none"/>
                    </w:rPr>
                    <w:t>测量时间</w:t>
                  </w:r>
                </w:p>
              </w:tc>
              <w:tc>
                <w:tcPr>
                  <w:tcW w:w="1247"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测量点位</w:t>
                  </w:r>
                </w:p>
              </w:tc>
              <w:tc>
                <w:tcPr>
                  <w:tcW w:w="1247"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测量时间（昼间）</w:t>
                  </w:r>
                </w:p>
              </w:tc>
              <w:tc>
                <w:tcPr>
                  <w:tcW w:w="1247"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测量结果Leq（A）</w:t>
                  </w:r>
                </w:p>
              </w:tc>
              <w:tc>
                <w:tcPr>
                  <w:tcW w:w="1247"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测量时间（夜间）</w:t>
                  </w:r>
                </w:p>
              </w:tc>
              <w:tc>
                <w:tcPr>
                  <w:tcW w:w="1247"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测量结果Leq（A）</w:t>
                  </w:r>
                </w:p>
              </w:tc>
              <w:tc>
                <w:tcPr>
                  <w:tcW w:w="1247" w:type="dxa"/>
                  <w:tcBorders>
                    <w:tl2br w:val="nil"/>
                    <w:tr2bl w:val="nil"/>
                  </w:tcBorders>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最大声级Lmax（A）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dxa"/>
                  <w:vMerge w:val="restart"/>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07.14</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东厂界1#</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10:54</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52.8</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22:44</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47.9</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南厂界2#</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10:11</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53.1</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22:01</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47.7</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西厂界3#</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10:26</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52.8</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22:13</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dxa"/>
                  <w:vMerge w:val="continue"/>
                  <w:tcBorders>
                    <w:tl2br w:val="nil"/>
                    <w:tr2bl w:val="nil"/>
                  </w:tcBorders>
                  <w:vAlign w:val="center"/>
                </w:tcPr>
                <w:p>
                  <w:pPr>
                    <w:jc w:val="center"/>
                    <w:rPr>
                      <w:rFonts w:hint="default" w:ascii="Times New Roman" w:hAnsi="Times New Roman" w:cs="Times New Roman"/>
                      <w:color w:val="auto"/>
                      <w:sz w:val="18"/>
                      <w:szCs w:val="18"/>
                      <w:highlight w:val="none"/>
                    </w:rPr>
                  </w:pP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北厂界4#</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10:40</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54.0</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22:29</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48.5</w:t>
                  </w:r>
                </w:p>
              </w:tc>
              <w:tc>
                <w:tcPr>
                  <w:tcW w:w="1247" w:type="dxa"/>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322" w:type="dxa"/>
                  <w:gridSpan w:val="7"/>
                  <w:tcBorders>
                    <w:tl2br w:val="nil"/>
                    <w:tr2bl w:val="nil"/>
                  </w:tcBorders>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噪声测量过程中，企业生产正常，风速：3.1m/s。</w:t>
                  </w:r>
                </w:p>
              </w:tc>
            </w:tr>
            <w:bookmarkEnd w:id="15"/>
          </w:tbl>
          <w:p>
            <w:pPr>
              <w:pStyle w:val="14"/>
              <w:adjustRightInd w:val="0"/>
              <w:spacing w:line="360" w:lineRule="auto"/>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根据</w:t>
            </w:r>
            <w:r>
              <w:rPr>
                <w:rFonts w:hint="default" w:ascii="Times New Roman" w:hAnsi="Times New Roman" w:cs="Times New Roman"/>
                <w:bCs/>
                <w:color w:val="auto"/>
                <w:szCs w:val="21"/>
                <w:highlight w:val="none"/>
                <w:lang w:val="en-US" w:eastAsia="zh-CN"/>
              </w:rPr>
              <w:t>检测</w:t>
            </w:r>
            <w:r>
              <w:rPr>
                <w:rFonts w:hint="default" w:ascii="Times New Roman" w:hAnsi="Times New Roman" w:cs="Times New Roman"/>
                <w:bCs/>
                <w:color w:val="auto"/>
                <w:szCs w:val="21"/>
                <w:highlight w:val="none"/>
              </w:rPr>
              <w:t>数据可知，厂界噪声</w:t>
            </w:r>
            <w:r>
              <w:rPr>
                <w:rFonts w:hint="default" w:ascii="Times New Roman" w:hAnsi="Times New Roman" w:cs="Times New Roman"/>
                <w:bCs/>
                <w:color w:val="auto"/>
                <w:szCs w:val="21"/>
                <w:highlight w:val="none"/>
                <w:lang w:val="en-US" w:eastAsia="zh-CN"/>
              </w:rPr>
              <w:t>值</w:t>
            </w:r>
            <w:r>
              <w:rPr>
                <w:rFonts w:hint="default" w:ascii="Times New Roman" w:hAnsi="Times New Roman" w:cs="Times New Roman"/>
                <w:bCs/>
                <w:color w:val="auto"/>
                <w:szCs w:val="21"/>
                <w:highlight w:val="none"/>
              </w:rPr>
              <w:t>能够符合《工业企业厂界环境噪声排放标准》（GB12348-2008）中的</w:t>
            </w:r>
            <w:r>
              <w:rPr>
                <w:rFonts w:hint="default" w:ascii="Times New Roman" w:hAnsi="Times New Roman" w:cs="Times New Roman"/>
                <w:bCs/>
                <w:color w:val="auto"/>
                <w:szCs w:val="21"/>
                <w:highlight w:val="none"/>
                <w:lang w:val="en-US" w:eastAsia="zh-CN"/>
              </w:rPr>
              <w:t>2</w:t>
            </w:r>
            <w:r>
              <w:rPr>
                <w:rFonts w:hint="default" w:ascii="Times New Roman" w:hAnsi="Times New Roman" w:cs="Times New Roman"/>
                <w:bCs/>
                <w:color w:val="auto"/>
                <w:szCs w:val="21"/>
                <w:highlight w:val="none"/>
              </w:rPr>
              <w:t>类标准</w:t>
            </w:r>
            <w:r>
              <w:rPr>
                <w:rFonts w:hint="default" w:ascii="Times New Roman" w:hAnsi="Times New Roman" w:cs="Times New Roman"/>
                <w:bCs/>
                <w:color w:val="auto"/>
                <w:szCs w:val="21"/>
                <w:highlight w:val="none"/>
                <w:lang w:eastAsia="zh-CN"/>
              </w:rPr>
              <w:t>（</w:t>
            </w:r>
            <w:bookmarkStart w:id="16" w:name="OLE_LINK21"/>
            <w:r>
              <w:rPr>
                <w:rFonts w:hint="default" w:ascii="Times New Roman" w:hAnsi="Times New Roman" w:cs="Times New Roman"/>
                <w:bCs/>
                <w:color w:val="auto"/>
                <w:szCs w:val="21"/>
                <w:highlight w:val="none"/>
              </w:rPr>
              <w:t>昼间</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rPr>
              <w:t>6</w:t>
            </w:r>
            <w:r>
              <w:rPr>
                <w:rFonts w:hint="default" w:ascii="Times New Roman" w:hAnsi="Times New Roman" w:cs="Times New Roman"/>
                <w:bCs/>
                <w:color w:val="auto"/>
                <w:szCs w:val="21"/>
                <w:highlight w:val="none"/>
                <w:lang w:val="en-US" w:eastAsia="zh-CN"/>
              </w:rPr>
              <w:t>0</w:t>
            </w:r>
            <w:r>
              <w:rPr>
                <w:rFonts w:hint="default" w:ascii="Times New Roman" w:hAnsi="Times New Roman" w:cs="Times New Roman"/>
                <w:bCs/>
                <w:color w:val="auto"/>
                <w:szCs w:val="21"/>
                <w:highlight w:val="none"/>
              </w:rPr>
              <w:t>dB</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rPr>
              <w:t>A</w:t>
            </w:r>
            <w:r>
              <w:rPr>
                <w:rFonts w:hint="default" w:ascii="Times New Roman" w:hAnsi="Times New Roman" w:cs="Times New Roman"/>
                <w:bCs/>
                <w:color w:val="auto"/>
                <w:szCs w:val="21"/>
                <w:highlight w:val="none"/>
                <w:lang w:eastAsia="zh-CN"/>
              </w:rPr>
              <w:t>）</w:t>
            </w:r>
            <w:bookmarkEnd w:id="16"/>
            <w:r>
              <w:rPr>
                <w:rFonts w:hint="default" w:ascii="Times New Roman" w:hAnsi="Times New Roman" w:cs="Times New Roman"/>
                <w:bCs/>
                <w:color w:val="auto"/>
                <w:szCs w:val="21"/>
                <w:highlight w:val="none"/>
                <w:lang w:val="en-US" w:eastAsia="zh-CN"/>
              </w:rPr>
              <w:t>;夜</w:t>
            </w:r>
            <w:r>
              <w:rPr>
                <w:rFonts w:hint="default" w:ascii="Times New Roman" w:hAnsi="Times New Roman" w:cs="Times New Roman"/>
                <w:bCs/>
                <w:color w:val="auto"/>
                <w:szCs w:val="21"/>
                <w:highlight w:val="none"/>
              </w:rPr>
              <w:t>间</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50</w:t>
            </w:r>
            <w:r>
              <w:rPr>
                <w:rFonts w:hint="default" w:ascii="Times New Roman" w:hAnsi="Times New Roman" w:cs="Times New Roman"/>
                <w:bCs/>
                <w:color w:val="auto"/>
                <w:szCs w:val="21"/>
                <w:highlight w:val="none"/>
              </w:rPr>
              <w:t>dB</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rPr>
              <w:t>A</w:t>
            </w:r>
            <w:r>
              <w:rPr>
                <w:rFonts w:hint="default" w:ascii="Times New Roman" w:hAnsi="Times New Roman" w:cs="Times New Roman"/>
                <w:bCs/>
                <w:color w:val="auto"/>
                <w:szCs w:val="21"/>
                <w:highlight w:val="none"/>
                <w:lang w:eastAsia="zh-CN"/>
              </w:rPr>
              <w:t>））</w:t>
            </w:r>
            <w:r>
              <w:rPr>
                <w:rFonts w:hint="default" w:ascii="Times New Roman" w:hAnsi="Times New Roman" w:cs="Times New Roman"/>
                <w:color w:val="auto"/>
                <w:szCs w:val="21"/>
                <w:highlight w:val="none"/>
              </w:rPr>
              <w:t>。</w:t>
            </w:r>
          </w:p>
          <w:p>
            <w:pPr>
              <w:spacing w:line="360" w:lineRule="auto"/>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lang w:val="en-US" w:eastAsia="zh-CN"/>
              </w:rPr>
              <w:t>5</w:t>
            </w:r>
            <w:r>
              <w:rPr>
                <w:rFonts w:hint="default" w:ascii="Times New Roman" w:hAnsi="Times New Roman" w:cs="Times New Roman"/>
                <w:b/>
                <w:color w:val="auto"/>
                <w:szCs w:val="21"/>
                <w:highlight w:val="none"/>
              </w:rPr>
              <w:t>、固体废物</w:t>
            </w:r>
          </w:p>
          <w:p>
            <w:pPr>
              <w:spacing w:line="360" w:lineRule="auto"/>
              <w:ind w:firstLine="420" w:firstLineChars="200"/>
              <w:rPr>
                <w:rFonts w:hint="default" w:ascii="Times New Roman" w:hAnsi="Times New Roman" w:eastAsia="宋体" w:cs="Times New Roman"/>
                <w:bCs/>
                <w:color w:val="auto"/>
                <w:szCs w:val="21"/>
                <w:highlight w:val="none"/>
                <w:lang w:eastAsia="zh-CN"/>
              </w:rPr>
            </w:pPr>
            <w:r>
              <w:rPr>
                <w:rFonts w:hint="default" w:ascii="Times New Roman" w:hAnsi="Times New Roman" w:cs="Times New Roman"/>
                <w:bCs/>
                <w:color w:val="auto"/>
                <w:szCs w:val="21"/>
                <w:highlight w:val="none"/>
              </w:rPr>
              <w:t>现有项目固废主要为废包装材料、废边角料、废缝纫线轮</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污泥、废机油、废油桶、废离子交换树脂、废活性炭、废灯管、废料桶</w:t>
            </w:r>
            <w:r>
              <w:rPr>
                <w:rFonts w:hint="default" w:ascii="Times New Roman" w:hAnsi="Times New Roman" w:cs="Times New Roman"/>
                <w:bCs/>
                <w:color w:val="auto"/>
                <w:szCs w:val="21"/>
                <w:highlight w:val="none"/>
                <w:lang w:eastAsia="zh-CN"/>
              </w:rPr>
              <w:t>。</w:t>
            </w:r>
          </w:p>
          <w:p>
            <w:pPr>
              <w:autoSpaceDE w:val="0"/>
              <w:autoSpaceDN w:val="0"/>
              <w:adjustRightInd w:val="0"/>
              <w:spacing w:line="360" w:lineRule="auto"/>
              <w:ind w:firstLine="420" w:firstLineChars="200"/>
              <w:rPr>
                <w:rFonts w:hint="default" w:ascii="Times New Roman" w:hAnsi="Times New Roman" w:cs="Times New Roman"/>
                <w:bCs/>
                <w:color w:val="auto"/>
                <w:szCs w:val="21"/>
                <w:highlight w:val="none"/>
                <w:lang w:val="zh-CN"/>
              </w:rPr>
            </w:pPr>
            <w:r>
              <w:rPr>
                <w:rFonts w:hint="default" w:ascii="Times New Roman" w:hAnsi="Times New Roman" w:cs="Times New Roman"/>
                <w:bCs/>
                <w:color w:val="auto"/>
                <w:szCs w:val="21"/>
                <w:highlight w:val="none"/>
                <w:lang w:val="en-US" w:eastAsia="zh-CN"/>
              </w:rPr>
              <w:t>现有</w:t>
            </w:r>
            <w:r>
              <w:rPr>
                <w:rFonts w:hint="default" w:ascii="Times New Roman" w:hAnsi="Times New Roman" w:cs="Times New Roman"/>
                <w:bCs/>
                <w:color w:val="auto"/>
                <w:szCs w:val="21"/>
                <w:highlight w:val="none"/>
                <w:lang w:val="zh-CN"/>
              </w:rPr>
              <w:t>项目固废产生及处理情况见下表。</w:t>
            </w:r>
          </w:p>
          <w:p>
            <w:pPr>
              <w:adjustRightInd w:val="0"/>
              <w:snapToGrid w:val="0"/>
              <w:spacing w:line="360" w:lineRule="auto"/>
              <w:ind w:firstLine="422" w:firstLineChars="20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表2-</w:t>
            </w:r>
            <w:r>
              <w:rPr>
                <w:rFonts w:hint="default" w:ascii="Times New Roman" w:hAnsi="Times New Roman" w:cs="Times New Roman"/>
                <w:b/>
                <w:color w:val="auto"/>
                <w:sz w:val="21"/>
                <w:szCs w:val="21"/>
                <w:highlight w:val="none"/>
                <w:lang w:val="en-US" w:eastAsia="zh-CN"/>
              </w:rPr>
              <w:t>23</w:t>
            </w:r>
            <w:r>
              <w:rPr>
                <w:rFonts w:hint="default" w:ascii="Times New Roman" w:hAnsi="Times New Roman" w:cs="Times New Roman"/>
                <w:b/>
                <w:color w:val="auto"/>
                <w:sz w:val="21"/>
                <w:szCs w:val="21"/>
                <w:highlight w:val="none"/>
              </w:rPr>
              <w:t xml:space="preserve">  </w:t>
            </w:r>
            <w:r>
              <w:rPr>
                <w:rFonts w:hint="default" w:ascii="Times New Roman" w:hAnsi="Times New Roman" w:cs="Times New Roman"/>
                <w:b/>
                <w:color w:val="auto"/>
                <w:sz w:val="21"/>
                <w:szCs w:val="21"/>
                <w:highlight w:val="none"/>
                <w:lang w:val="en-US" w:eastAsia="zh-CN"/>
              </w:rPr>
              <w:t>现有</w:t>
            </w:r>
            <w:r>
              <w:rPr>
                <w:rFonts w:hint="default" w:ascii="Times New Roman" w:hAnsi="Times New Roman" w:cs="Times New Roman"/>
                <w:b/>
                <w:color w:val="auto"/>
                <w:sz w:val="21"/>
                <w:szCs w:val="21"/>
                <w:highlight w:val="none"/>
              </w:rPr>
              <w:t>项目固废及处理措施一览表</w:t>
            </w:r>
          </w:p>
          <w:tbl>
            <w:tblPr>
              <w:tblStyle w:val="36"/>
              <w:tblW w:w="499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1863"/>
              <w:gridCol w:w="1201"/>
              <w:gridCol w:w="1228"/>
              <w:gridCol w:w="1382"/>
              <w:gridCol w:w="1064"/>
              <w:gridCol w:w="12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序号</w:t>
                  </w:r>
                </w:p>
              </w:tc>
              <w:tc>
                <w:tcPr>
                  <w:tcW w:w="1089"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固废名称</w:t>
                  </w:r>
                </w:p>
              </w:tc>
              <w:tc>
                <w:tcPr>
                  <w:tcW w:w="702"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来源</w:t>
                  </w:r>
                </w:p>
              </w:tc>
              <w:tc>
                <w:tcPr>
                  <w:tcW w:w="718"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产生量t/a</w:t>
                  </w:r>
                </w:p>
              </w:tc>
              <w:tc>
                <w:tcPr>
                  <w:tcW w:w="808"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处理措施</w:t>
                  </w:r>
                </w:p>
              </w:tc>
              <w:tc>
                <w:tcPr>
                  <w:tcW w:w="622"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排放量t/a</w:t>
                  </w:r>
                </w:p>
              </w:tc>
              <w:tc>
                <w:tcPr>
                  <w:tcW w:w="718"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废物类别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cs="Times New Roman"/>
                      <w:color w:val="auto"/>
                      <w:sz w:val="18"/>
                      <w:szCs w:val="18"/>
                      <w:highlight w:val="none"/>
                    </w:rPr>
                  </w:pPr>
                  <w:bookmarkStart w:id="17" w:name="OLE_LINK23" w:colFirst="3" w:colLast="3"/>
                  <w:r>
                    <w:rPr>
                      <w:rFonts w:hint="default" w:ascii="Times New Roman" w:hAnsi="Times New Roman" w:cs="Times New Roman"/>
                      <w:color w:val="auto"/>
                      <w:sz w:val="18"/>
                      <w:szCs w:val="18"/>
                      <w:highlight w:val="none"/>
                    </w:rPr>
                    <w:t>1</w:t>
                  </w:r>
                </w:p>
              </w:tc>
              <w:tc>
                <w:tcPr>
                  <w:tcW w:w="1089" w:type="pct"/>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rPr>
                  </w:pPr>
                  <w:r>
                    <w:rPr>
                      <w:rFonts w:hint="default" w:ascii="Times New Roman" w:hAnsi="Times New Roman" w:cs="Times New Roman"/>
                      <w:bCs/>
                      <w:color w:val="auto"/>
                      <w:sz w:val="18"/>
                      <w:szCs w:val="18"/>
                      <w:highlight w:val="none"/>
                      <w:lang w:val="en-US" w:eastAsia="zh-CN"/>
                    </w:rPr>
                    <w:t>生活垃圾</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color w:val="auto"/>
                      <w:sz w:val="18"/>
                      <w:szCs w:val="18"/>
                      <w:highlight w:val="none"/>
                      <w:lang w:val="en-US"/>
                    </w:rPr>
                  </w:pPr>
                  <w:r>
                    <w:rPr>
                      <w:rFonts w:hint="default" w:ascii="Times New Roman" w:hAnsi="Times New Roman" w:cs="Times New Roman"/>
                      <w:bCs/>
                      <w:color w:val="auto"/>
                      <w:sz w:val="18"/>
                      <w:szCs w:val="18"/>
                      <w:highlight w:val="none"/>
                      <w:lang w:val="en-US" w:eastAsia="zh-CN"/>
                    </w:rPr>
                    <w:t>员工生活</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10.5</w:t>
                  </w:r>
                </w:p>
              </w:tc>
              <w:tc>
                <w:tcPr>
                  <w:tcW w:w="80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环卫部门清运</w:t>
                  </w:r>
                </w:p>
              </w:tc>
              <w:tc>
                <w:tcPr>
                  <w:tcW w:w="622" w:type="pct"/>
                  <w:vMerge w:val="restar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w:t>
                  </w:r>
                </w:p>
              </w:tc>
              <w:tc>
                <w:tcPr>
                  <w:tcW w:w="718" w:type="pct"/>
                  <w:vMerge w:val="restart"/>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一般固废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1089"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废包装材料</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生产过程</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0.4</w:t>
                  </w:r>
                </w:p>
              </w:tc>
              <w:tc>
                <w:tcPr>
                  <w:tcW w:w="808" w:type="pct"/>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外售综合利用</w:t>
                  </w:r>
                </w:p>
              </w:tc>
              <w:tc>
                <w:tcPr>
                  <w:tcW w:w="622"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c>
                <w:tcPr>
                  <w:tcW w:w="718" w:type="pct"/>
                  <w:vMerge w:val="continue"/>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1089"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废边角料</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生产过程</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w:t>
                  </w:r>
                </w:p>
              </w:tc>
              <w:tc>
                <w:tcPr>
                  <w:tcW w:w="808" w:type="pct"/>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外售综合利用</w:t>
                  </w:r>
                </w:p>
              </w:tc>
              <w:tc>
                <w:tcPr>
                  <w:tcW w:w="622"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c>
                <w:tcPr>
                  <w:tcW w:w="718" w:type="pct"/>
                  <w:vMerge w:val="continue"/>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bookmarkStart w:id="18" w:name="OLE_LINK7" w:colFirst="4" w:colLast="4"/>
                  <w:r>
                    <w:rPr>
                      <w:rFonts w:hint="default" w:ascii="Times New Roman" w:hAnsi="Times New Roman" w:cs="Times New Roman"/>
                      <w:color w:val="auto"/>
                      <w:sz w:val="18"/>
                      <w:szCs w:val="18"/>
                      <w:highlight w:val="none"/>
                      <w:lang w:val="en-US" w:eastAsia="zh-CN"/>
                    </w:rPr>
                    <w:t>4</w:t>
                  </w:r>
                </w:p>
              </w:tc>
              <w:tc>
                <w:tcPr>
                  <w:tcW w:w="1089"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废缝纫线轮</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生产过程</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0.02</w:t>
                  </w:r>
                </w:p>
              </w:tc>
              <w:tc>
                <w:tcPr>
                  <w:tcW w:w="808" w:type="pct"/>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外售综合利用</w:t>
                  </w:r>
                </w:p>
              </w:tc>
              <w:tc>
                <w:tcPr>
                  <w:tcW w:w="622"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c>
                <w:tcPr>
                  <w:tcW w:w="718" w:type="pct"/>
                  <w:vMerge w:val="continue"/>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rPr>
                  </w:pPr>
                </w:p>
              </w:tc>
            </w:tr>
            <w:bookmarkEnd w:id="18"/>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1089"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污泥</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生产过程</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450</w:t>
                  </w:r>
                </w:p>
              </w:tc>
              <w:tc>
                <w:tcPr>
                  <w:tcW w:w="80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环卫部门清运</w:t>
                  </w:r>
                </w:p>
              </w:tc>
              <w:tc>
                <w:tcPr>
                  <w:tcW w:w="622"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c>
                <w:tcPr>
                  <w:tcW w:w="718" w:type="pct"/>
                  <w:vMerge w:val="continue"/>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1089"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废离子交换树脂</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制纯水</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0.17</w:t>
                  </w:r>
                </w:p>
              </w:tc>
              <w:tc>
                <w:tcPr>
                  <w:tcW w:w="80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外售综合利用</w:t>
                  </w:r>
                </w:p>
              </w:tc>
              <w:tc>
                <w:tcPr>
                  <w:tcW w:w="622"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c>
                <w:tcPr>
                  <w:tcW w:w="718" w:type="pct"/>
                  <w:vMerge w:val="continue"/>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7</w:t>
                  </w:r>
                </w:p>
              </w:tc>
              <w:tc>
                <w:tcPr>
                  <w:tcW w:w="1089"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废料桶</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生产过程</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w:t>
                  </w:r>
                </w:p>
              </w:tc>
              <w:tc>
                <w:tcPr>
                  <w:tcW w:w="808" w:type="pct"/>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厂家回收</w:t>
                  </w:r>
                </w:p>
              </w:tc>
              <w:tc>
                <w:tcPr>
                  <w:tcW w:w="622"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c>
                <w:tcPr>
                  <w:tcW w:w="718" w:type="pct"/>
                  <w:vMerge w:val="continue"/>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8</w:t>
                  </w:r>
                </w:p>
              </w:tc>
              <w:tc>
                <w:tcPr>
                  <w:tcW w:w="1089"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废机油（HW08 900-214-08）</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kern w:val="2"/>
                      <w:sz w:val="18"/>
                      <w:szCs w:val="18"/>
                      <w:highlight w:val="none"/>
                      <w:lang w:val="en-US" w:eastAsia="zh-CN" w:bidi="ar-SA"/>
                    </w:rPr>
                  </w:pPr>
                  <w:r>
                    <w:rPr>
                      <w:rFonts w:hint="default" w:ascii="Times New Roman" w:hAnsi="Times New Roman" w:cs="Times New Roman"/>
                      <w:bCs/>
                      <w:color w:val="auto"/>
                      <w:kern w:val="2"/>
                      <w:sz w:val="18"/>
                      <w:szCs w:val="18"/>
                      <w:highlight w:val="none"/>
                      <w:lang w:val="en-US" w:eastAsia="zh-CN" w:bidi="ar-SA"/>
                    </w:rPr>
                    <w:t>设备维护</w:t>
                  </w:r>
                </w:p>
              </w:tc>
              <w:tc>
                <w:tcPr>
                  <w:tcW w:w="718" w:type="pct"/>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0.05</w:t>
                  </w:r>
                </w:p>
              </w:tc>
              <w:tc>
                <w:tcPr>
                  <w:tcW w:w="808" w:type="pct"/>
                  <w:vMerge w:val="restart"/>
                  <w:tcBorders>
                    <w:tl2br w:val="nil"/>
                    <w:tr2bl w:val="nil"/>
                  </w:tcBorders>
                  <w:noWrap w:val="0"/>
                  <w:vAlign w:val="center"/>
                </w:tcPr>
                <w:p>
                  <w:pPr>
                    <w:adjustRightInd w:val="0"/>
                    <w:jc w:val="center"/>
                    <w:textAlignment w:val="baseline"/>
                    <w:rPr>
                      <w:rFonts w:hint="default" w:ascii="Times New Roman" w:hAnsi="Times New Roman" w:cs="Times New Roman"/>
                      <w:bCs/>
                      <w:color w:val="auto"/>
                      <w:kern w:val="2"/>
                      <w:sz w:val="18"/>
                      <w:szCs w:val="18"/>
                      <w:highlight w:val="none"/>
                      <w:lang w:val="en-US" w:eastAsia="zh-CN" w:bidi="ar-SA"/>
                    </w:rPr>
                  </w:pPr>
                  <w:r>
                    <w:rPr>
                      <w:rFonts w:hint="default" w:ascii="Times New Roman" w:hAnsi="Times New Roman" w:cs="Times New Roman"/>
                      <w:bCs/>
                      <w:color w:val="auto"/>
                      <w:kern w:val="2"/>
                      <w:sz w:val="18"/>
                      <w:szCs w:val="18"/>
                      <w:highlight w:val="none"/>
                      <w:lang w:val="en-US" w:eastAsia="zh-CN" w:bidi="ar-SA"/>
                    </w:rPr>
                    <w:t>委托有资质单位处置</w:t>
                  </w:r>
                </w:p>
              </w:tc>
              <w:tc>
                <w:tcPr>
                  <w:tcW w:w="622" w:type="pct"/>
                  <w:vMerge w:val="continue"/>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kern w:val="2"/>
                      <w:sz w:val="18"/>
                      <w:szCs w:val="18"/>
                      <w:highlight w:val="none"/>
                      <w:lang w:val="en-US" w:eastAsia="zh-CN" w:bidi="ar-SA"/>
                    </w:rPr>
                  </w:pPr>
                </w:p>
              </w:tc>
              <w:tc>
                <w:tcPr>
                  <w:tcW w:w="718" w:type="pct"/>
                  <w:vMerge w:val="restart"/>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危险废物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9</w:t>
                  </w:r>
                </w:p>
              </w:tc>
              <w:tc>
                <w:tcPr>
                  <w:tcW w:w="1089"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kern w:val="2"/>
                      <w:sz w:val="18"/>
                      <w:szCs w:val="18"/>
                      <w:highlight w:val="none"/>
                      <w:lang w:val="en-US" w:eastAsia="zh-CN" w:bidi="ar-SA"/>
                    </w:rPr>
                    <w:t>废油桶（HW49 900-041-49）</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kern w:val="2"/>
                      <w:sz w:val="18"/>
                      <w:szCs w:val="18"/>
                      <w:highlight w:val="none"/>
                      <w:lang w:val="en-US" w:eastAsia="zh-CN" w:bidi="ar-SA"/>
                    </w:rPr>
                    <w:t>设备维护</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0.05</w:t>
                  </w:r>
                </w:p>
              </w:tc>
              <w:tc>
                <w:tcPr>
                  <w:tcW w:w="808"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bCs/>
                      <w:color w:val="auto"/>
                      <w:kern w:val="2"/>
                      <w:sz w:val="18"/>
                      <w:szCs w:val="18"/>
                      <w:highlight w:val="none"/>
                      <w:lang w:val="en-US" w:eastAsia="zh-CN" w:bidi="ar-SA"/>
                    </w:rPr>
                  </w:pPr>
                </w:p>
              </w:tc>
              <w:tc>
                <w:tcPr>
                  <w:tcW w:w="622" w:type="pct"/>
                  <w:vMerge w:val="continue"/>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kern w:val="2"/>
                      <w:sz w:val="18"/>
                      <w:szCs w:val="18"/>
                      <w:highlight w:val="none"/>
                      <w:lang w:val="en-US" w:eastAsia="zh-CN" w:bidi="ar-SA"/>
                    </w:rPr>
                  </w:pPr>
                </w:p>
              </w:tc>
              <w:tc>
                <w:tcPr>
                  <w:tcW w:w="718" w:type="pct"/>
                  <w:vMerge w:val="continue"/>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10</w:t>
                  </w:r>
                </w:p>
              </w:tc>
              <w:tc>
                <w:tcPr>
                  <w:tcW w:w="1089"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kern w:val="2"/>
                      <w:sz w:val="18"/>
                      <w:szCs w:val="18"/>
                      <w:highlight w:val="none"/>
                      <w:lang w:val="en-US" w:eastAsia="zh-CN" w:bidi="ar-SA"/>
                    </w:rPr>
                    <w:t>废灯管（HW29 900-023-29</w:t>
                  </w:r>
                  <w:r>
                    <w:rPr>
                      <w:rFonts w:hint="default" w:ascii="Times New Roman" w:hAnsi="Times New Roman" w:eastAsia="宋体" w:cs="Times New Roman"/>
                      <w:bCs/>
                      <w:color w:val="auto"/>
                      <w:kern w:val="2"/>
                      <w:sz w:val="18"/>
                      <w:szCs w:val="18"/>
                      <w:highlight w:val="none"/>
                      <w:lang w:val="en-US" w:eastAsia="zh-CN" w:bidi="ar-SA"/>
                    </w:rPr>
                    <w:tab/>
                  </w:r>
                  <w:r>
                    <w:rPr>
                      <w:rFonts w:hint="default" w:ascii="Times New Roman" w:hAnsi="Times New Roman" w:eastAsia="宋体" w:cs="Times New Roman"/>
                      <w:bCs/>
                      <w:color w:val="auto"/>
                      <w:kern w:val="2"/>
                      <w:sz w:val="18"/>
                      <w:szCs w:val="18"/>
                      <w:highlight w:val="none"/>
                      <w:lang w:val="en-US" w:eastAsia="zh-CN" w:bidi="ar-SA"/>
                    </w:rPr>
                    <w:t>）</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kern w:val="2"/>
                      <w:sz w:val="18"/>
                      <w:szCs w:val="18"/>
                      <w:highlight w:val="none"/>
                      <w:lang w:val="en-US" w:eastAsia="zh-CN" w:bidi="ar-SA"/>
                    </w:rPr>
                  </w:pPr>
                  <w:r>
                    <w:rPr>
                      <w:rFonts w:hint="default" w:ascii="Times New Roman" w:hAnsi="Times New Roman" w:cs="Times New Roman"/>
                      <w:bCs/>
                      <w:color w:val="auto"/>
                      <w:kern w:val="2"/>
                      <w:sz w:val="18"/>
                      <w:szCs w:val="18"/>
                      <w:highlight w:val="none"/>
                      <w:lang w:val="en-US" w:eastAsia="zh-CN" w:bidi="ar-SA"/>
                    </w:rPr>
                    <w:t>环保设备</w:t>
                  </w:r>
                </w:p>
              </w:tc>
              <w:tc>
                <w:tcPr>
                  <w:tcW w:w="718" w:type="pct"/>
                  <w:tcBorders>
                    <w:tl2br w:val="nil"/>
                    <w:tr2bl w:val="nil"/>
                  </w:tcBorders>
                  <w:noWrap w:val="0"/>
                  <w:vAlign w:val="center"/>
                </w:tcPr>
                <w:p>
                  <w:pPr>
                    <w:adjustRightInd w:val="0"/>
                    <w:jc w:val="center"/>
                    <w:textAlignment w:val="baseline"/>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0.01</w:t>
                  </w:r>
                </w:p>
              </w:tc>
              <w:tc>
                <w:tcPr>
                  <w:tcW w:w="808"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bCs/>
                      <w:color w:val="auto"/>
                      <w:kern w:val="2"/>
                      <w:sz w:val="18"/>
                      <w:szCs w:val="18"/>
                      <w:highlight w:val="none"/>
                      <w:lang w:val="en-US" w:eastAsia="zh-CN" w:bidi="ar-SA"/>
                    </w:rPr>
                  </w:pPr>
                </w:p>
              </w:tc>
              <w:tc>
                <w:tcPr>
                  <w:tcW w:w="622" w:type="pct"/>
                  <w:vMerge w:val="continue"/>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kern w:val="2"/>
                      <w:sz w:val="18"/>
                      <w:szCs w:val="18"/>
                      <w:highlight w:val="none"/>
                      <w:lang w:val="en-US" w:eastAsia="zh-CN" w:bidi="ar-SA"/>
                    </w:rPr>
                  </w:pPr>
                </w:p>
              </w:tc>
              <w:tc>
                <w:tcPr>
                  <w:tcW w:w="718" w:type="pct"/>
                  <w:vMerge w:val="continue"/>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8"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11</w:t>
                  </w:r>
                </w:p>
              </w:tc>
              <w:tc>
                <w:tcPr>
                  <w:tcW w:w="1089"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废活性炭（HW49 900-039-49</w:t>
                  </w:r>
                  <w:r>
                    <w:rPr>
                      <w:rFonts w:hint="default" w:ascii="Times New Roman" w:hAnsi="Times New Roman" w:cs="Times New Roman"/>
                      <w:bCs/>
                      <w:color w:val="auto"/>
                      <w:sz w:val="18"/>
                      <w:szCs w:val="18"/>
                      <w:highlight w:val="none"/>
                      <w:lang w:val="en-US" w:eastAsia="zh-CN"/>
                    </w:rPr>
                    <w:tab/>
                  </w:r>
                  <w:r>
                    <w:rPr>
                      <w:rFonts w:hint="default" w:ascii="Times New Roman" w:hAnsi="Times New Roman" w:cs="Times New Roman"/>
                      <w:bCs/>
                      <w:color w:val="auto"/>
                      <w:sz w:val="18"/>
                      <w:szCs w:val="18"/>
                      <w:highlight w:val="none"/>
                      <w:lang w:val="en-US" w:eastAsia="zh-CN"/>
                    </w:rPr>
                    <w:t>）</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环保设备</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1.5</w:t>
                  </w:r>
                </w:p>
              </w:tc>
              <w:tc>
                <w:tcPr>
                  <w:tcW w:w="808"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c>
                <w:tcPr>
                  <w:tcW w:w="622"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c>
                <w:tcPr>
                  <w:tcW w:w="718"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color w:val="auto"/>
                      <w:sz w:val="18"/>
                      <w:szCs w:val="18"/>
                      <w:highlight w:val="none"/>
                      <w:lang w:val="en-US" w:eastAsia="zh-CN"/>
                    </w:rPr>
                  </w:pPr>
                </w:p>
              </w:tc>
            </w:tr>
            <w:bookmarkEnd w:id="17"/>
          </w:tbl>
          <w:p>
            <w:pPr>
              <w:spacing w:line="360" w:lineRule="auto"/>
              <w:ind w:firstLine="422" w:firstLineChars="200"/>
              <w:rPr>
                <w:rFonts w:hint="default" w:ascii="Times New Roman" w:hAnsi="Times New Roman" w:cs="Times New Roman"/>
                <w:b/>
                <w:color w:val="auto"/>
                <w:szCs w:val="21"/>
                <w:highlight w:val="none"/>
                <w:lang w:val="en-US" w:eastAsia="zh-CN"/>
              </w:rPr>
            </w:pPr>
            <w:r>
              <w:rPr>
                <w:rFonts w:hint="default" w:ascii="Times New Roman" w:hAnsi="Times New Roman" w:cs="Times New Roman"/>
                <w:b/>
                <w:color w:val="auto"/>
                <w:szCs w:val="21"/>
                <w:highlight w:val="none"/>
                <w:lang w:val="en-US" w:eastAsia="zh-CN"/>
              </w:rPr>
              <w:t>6</w:t>
            </w:r>
            <w:r>
              <w:rPr>
                <w:rFonts w:hint="default" w:ascii="Times New Roman" w:hAnsi="Times New Roman" w:cs="Times New Roman"/>
                <w:b/>
                <w:color w:val="auto"/>
                <w:szCs w:val="21"/>
                <w:highlight w:val="none"/>
              </w:rPr>
              <w:t>、</w:t>
            </w:r>
            <w:r>
              <w:rPr>
                <w:rFonts w:hint="default" w:ascii="Times New Roman" w:hAnsi="Times New Roman" w:cs="Times New Roman"/>
                <w:b/>
                <w:color w:val="auto"/>
                <w:szCs w:val="21"/>
                <w:highlight w:val="none"/>
                <w:lang w:val="en-US" w:eastAsia="zh-CN"/>
              </w:rPr>
              <w:t>现有项目污染物核算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color w:val="auto"/>
                <w:szCs w:val="21"/>
                <w:highlight w:val="none"/>
                <w:lang w:val="en-US" w:eastAsia="zh-CN"/>
              </w:rPr>
            </w:pPr>
            <w:r>
              <w:rPr>
                <w:rFonts w:hint="default" w:ascii="Times New Roman" w:hAnsi="Times New Roman" w:cs="Times New Roman"/>
                <w:b w:val="0"/>
                <w:bCs/>
                <w:color w:val="auto"/>
                <w:szCs w:val="21"/>
                <w:highlight w:val="none"/>
                <w:lang w:val="en-US" w:eastAsia="zh-CN"/>
              </w:rPr>
              <w:t>（1）废气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color w:val="auto"/>
                <w:szCs w:val="21"/>
                <w:highlight w:val="none"/>
                <w:lang w:val="en-US" w:eastAsia="zh-CN"/>
              </w:rPr>
            </w:pPr>
            <w:r>
              <w:rPr>
                <w:rFonts w:hint="default" w:ascii="Times New Roman" w:hAnsi="Times New Roman" w:eastAsia="宋体" w:cs="Times New Roman"/>
                <w:b w:val="0"/>
                <w:bCs/>
                <w:color w:val="auto"/>
                <w:szCs w:val="21"/>
                <w:highlight w:val="none"/>
                <w:lang w:val="en-US" w:eastAsia="zh-CN"/>
              </w:rPr>
              <w:t>①</w:t>
            </w:r>
            <w:r>
              <w:rPr>
                <w:rFonts w:hint="default" w:ascii="Times New Roman" w:hAnsi="Times New Roman" w:cs="Times New Roman"/>
                <w:b w:val="0"/>
                <w:bCs/>
                <w:color w:val="auto"/>
                <w:szCs w:val="21"/>
                <w:highlight w:val="none"/>
                <w:lang w:val="en-US" w:eastAsia="zh-CN"/>
              </w:rPr>
              <w:t>燃气锅炉（DA001）</w:t>
            </w:r>
          </w:p>
          <w:p>
            <w:pPr>
              <w:numPr>
                <w:ilvl w:val="0"/>
                <w:numId w:val="0"/>
              </w:numPr>
              <w:spacing w:line="360" w:lineRule="auto"/>
              <w:ind w:firstLine="420" w:firstLineChars="200"/>
              <w:rPr>
                <w:rFonts w:hint="default" w:ascii="Times New Roman" w:hAnsi="Times New Roman" w:cs="Times New Roman"/>
                <w:b w:val="0"/>
                <w:bCs/>
                <w:color w:val="auto"/>
                <w:szCs w:val="21"/>
                <w:highlight w:val="none"/>
                <w:lang w:val="en-US" w:eastAsia="zh-CN"/>
              </w:rPr>
            </w:pPr>
            <w:r>
              <w:rPr>
                <w:rFonts w:hint="default" w:ascii="Times New Roman" w:hAnsi="Times New Roman" w:cs="Times New Roman"/>
                <w:b w:val="0"/>
                <w:bCs/>
                <w:color w:val="auto"/>
                <w:szCs w:val="21"/>
                <w:highlight w:val="none"/>
                <w:lang w:val="en-US" w:eastAsia="zh-CN"/>
              </w:rPr>
              <w:t>根据现有DA001排气筒监测数据，DA001排气筒出口各污染物最大排放速率为颗粒物</w:t>
            </w:r>
            <w:bookmarkStart w:id="19" w:name="OLE_LINK22"/>
            <w:r>
              <w:rPr>
                <w:rFonts w:hint="default" w:ascii="Times New Roman" w:hAnsi="Times New Roman" w:cs="Times New Roman"/>
                <w:b w:val="0"/>
                <w:bCs/>
                <w:color w:val="auto"/>
                <w:szCs w:val="21"/>
                <w:highlight w:val="none"/>
                <w:lang w:val="en-US" w:eastAsia="zh-CN"/>
              </w:rPr>
              <w:t>0.01kg/h</w:t>
            </w:r>
            <w:bookmarkEnd w:id="19"/>
            <w:r>
              <w:rPr>
                <w:rFonts w:hint="default" w:ascii="Times New Roman" w:hAnsi="Times New Roman" w:cs="Times New Roman"/>
                <w:b w:val="0"/>
                <w:bCs/>
                <w:color w:val="auto"/>
                <w:szCs w:val="21"/>
                <w:highlight w:val="none"/>
                <w:lang w:val="en-US" w:eastAsia="zh-CN"/>
              </w:rPr>
              <w:t>、SO</w:t>
            </w:r>
            <w:r>
              <w:rPr>
                <w:rFonts w:hint="default" w:ascii="Times New Roman" w:hAnsi="Times New Roman" w:cs="Times New Roman"/>
                <w:b w:val="0"/>
                <w:bCs/>
                <w:color w:val="auto"/>
                <w:szCs w:val="21"/>
                <w:highlight w:val="none"/>
                <w:vertAlign w:val="subscript"/>
                <w:lang w:val="en-US" w:eastAsia="zh-CN"/>
              </w:rPr>
              <w:t>2</w:t>
            </w:r>
            <w:r>
              <w:rPr>
                <w:rFonts w:hint="default" w:ascii="Times New Roman" w:hAnsi="Times New Roman" w:cs="Times New Roman"/>
                <w:b w:val="0"/>
                <w:bCs/>
                <w:color w:val="auto"/>
                <w:szCs w:val="21"/>
                <w:highlight w:val="none"/>
                <w:lang w:val="en-US" w:eastAsia="zh-CN"/>
              </w:rPr>
              <w:t>0.008kg/h，运行负荷为100%，运行时间为4800h，DA001排气筒满负荷运行时有组织排放量</w:t>
            </w:r>
            <w:bookmarkStart w:id="20" w:name="OLE_LINK24"/>
            <w:r>
              <w:rPr>
                <w:rFonts w:hint="default" w:ascii="Times New Roman" w:hAnsi="Times New Roman" w:cs="Times New Roman"/>
                <w:b w:val="0"/>
                <w:bCs/>
                <w:color w:val="auto"/>
                <w:szCs w:val="21"/>
                <w:highlight w:val="none"/>
                <w:lang w:val="en-US" w:eastAsia="zh-CN"/>
              </w:rPr>
              <w:t>颗粒物0.048t/a、SO</w:t>
            </w:r>
            <w:r>
              <w:rPr>
                <w:rFonts w:hint="default" w:ascii="Times New Roman" w:hAnsi="Times New Roman" w:cs="Times New Roman"/>
                <w:b w:val="0"/>
                <w:bCs/>
                <w:color w:val="auto"/>
                <w:szCs w:val="21"/>
                <w:highlight w:val="none"/>
                <w:vertAlign w:val="subscript"/>
                <w:lang w:val="en-US" w:eastAsia="zh-CN"/>
              </w:rPr>
              <w:t>2</w:t>
            </w:r>
            <w:r>
              <w:rPr>
                <w:rFonts w:hint="default" w:ascii="Times New Roman" w:hAnsi="Times New Roman" w:cs="Times New Roman"/>
                <w:b w:val="0"/>
                <w:bCs/>
                <w:color w:val="auto"/>
                <w:szCs w:val="21"/>
                <w:highlight w:val="none"/>
                <w:vertAlign w:val="baseline"/>
                <w:lang w:val="en-US" w:eastAsia="zh-CN"/>
              </w:rPr>
              <w:t>0.038</w:t>
            </w:r>
            <w:r>
              <w:rPr>
                <w:rFonts w:hint="default" w:ascii="Times New Roman" w:hAnsi="Times New Roman" w:cs="Times New Roman"/>
                <w:b w:val="0"/>
                <w:bCs/>
                <w:color w:val="auto"/>
                <w:szCs w:val="21"/>
                <w:highlight w:val="none"/>
                <w:lang w:val="en-US" w:eastAsia="zh-CN"/>
              </w:rPr>
              <w:t>t/a，根据在线监测数据，年排放量汇总数NO</w:t>
            </w:r>
            <w:r>
              <w:rPr>
                <w:rFonts w:hint="default" w:ascii="Times New Roman" w:hAnsi="Times New Roman" w:cs="Times New Roman"/>
                <w:b w:val="0"/>
                <w:bCs/>
                <w:color w:val="auto"/>
                <w:szCs w:val="21"/>
                <w:highlight w:val="none"/>
                <w:vertAlign w:val="subscript"/>
                <w:lang w:val="en-US" w:eastAsia="zh-CN"/>
              </w:rPr>
              <w:t>X</w:t>
            </w:r>
            <w:r>
              <w:rPr>
                <w:rFonts w:hint="default" w:ascii="Times New Roman" w:hAnsi="Times New Roman" w:cs="Times New Roman"/>
                <w:b w:val="0"/>
                <w:bCs/>
                <w:color w:val="auto"/>
                <w:szCs w:val="21"/>
                <w:highlight w:val="none"/>
                <w:vertAlign w:val="baseline"/>
                <w:lang w:val="en-US" w:eastAsia="zh-CN"/>
              </w:rPr>
              <w:t>0.44</w:t>
            </w:r>
            <w:r>
              <w:rPr>
                <w:rFonts w:hint="default" w:ascii="Times New Roman" w:hAnsi="Times New Roman" w:cs="Times New Roman"/>
                <w:b w:val="0"/>
                <w:bCs/>
                <w:color w:val="auto"/>
                <w:szCs w:val="21"/>
                <w:highlight w:val="none"/>
                <w:lang w:val="en-US" w:eastAsia="zh-CN"/>
              </w:rPr>
              <w:t>t/a</w:t>
            </w:r>
            <w:bookmarkEnd w:id="20"/>
            <w:r>
              <w:rPr>
                <w:rFonts w:hint="default" w:ascii="Times New Roman" w:hAnsi="Times New Roman" w:cs="Times New Roman"/>
                <w:b w:val="0"/>
                <w:bCs/>
                <w:color w:val="auto"/>
                <w:szCs w:val="21"/>
                <w:highlight w:val="none"/>
                <w:lang w:val="en-US" w:eastAsia="zh-CN"/>
              </w:rPr>
              <w:t>。</w:t>
            </w:r>
          </w:p>
          <w:p>
            <w:pPr>
              <w:numPr>
                <w:ilvl w:val="0"/>
                <w:numId w:val="0"/>
              </w:numPr>
              <w:spacing w:line="360" w:lineRule="auto"/>
              <w:ind w:firstLine="420" w:firstLineChars="200"/>
              <w:rPr>
                <w:rFonts w:hint="default" w:ascii="Times New Roman" w:hAnsi="Times New Roman" w:cs="Times New Roman"/>
                <w:b w:val="0"/>
                <w:bCs/>
                <w:color w:val="auto"/>
                <w:szCs w:val="21"/>
                <w:highlight w:val="none"/>
                <w:lang w:val="en-US" w:eastAsia="zh-CN"/>
              </w:rPr>
            </w:pPr>
            <w:bookmarkStart w:id="21" w:name="OLE_LINK11"/>
            <w:r>
              <w:rPr>
                <w:rFonts w:hint="default" w:ascii="Times New Roman" w:hAnsi="Times New Roman" w:eastAsia="宋体" w:cs="Times New Roman"/>
                <w:b w:val="0"/>
                <w:bCs/>
                <w:color w:val="auto"/>
                <w:szCs w:val="21"/>
                <w:highlight w:val="none"/>
                <w:lang w:val="en-US" w:eastAsia="zh-CN"/>
              </w:rPr>
              <w:t>②</w:t>
            </w:r>
            <w:r>
              <w:rPr>
                <w:rFonts w:hint="default" w:ascii="Times New Roman" w:hAnsi="Times New Roman" w:cs="Times New Roman"/>
                <w:b w:val="0"/>
                <w:bCs/>
                <w:color w:val="auto"/>
                <w:szCs w:val="21"/>
                <w:highlight w:val="none"/>
                <w:lang w:val="en-US" w:eastAsia="zh-CN"/>
              </w:rPr>
              <w:t>烧毛、定型工序（DA002）</w:t>
            </w:r>
          </w:p>
          <w:p>
            <w:pPr>
              <w:numPr>
                <w:ilvl w:val="0"/>
                <w:numId w:val="0"/>
              </w:numPr>
              <w:spacing w:line="360" w:lineRule="auto"/>
              <w:ind w:firstLine="420" w:firstLineChars="200"/>
              <w:rPr>
                <w:rFonts w:hint="default" w:ascii="Times New Roman" w:hAnsi="Times New Roman" w:cs="Times New Roman"/>
                <w:b w:val="0"/>
                <w:bCs/>
                <w:color w:val="auto"/>
                <w:szCs w:val="21"/>
                <w:highlight w:val="none"/>
                <w:lang w:val="en-US" w:eastAsia="zh-CN"/>
              </w:rPr>
            </w:pPr>
            <w:r>
              <w:rPr>
                <w:rFonts w:hint="default" w:ascii="Times New Roman" w:hAnsi="Times New Roman" w:cs="Times New Roman"/>
                <w:b w:val="0"/>
                <w:bCs/>
                <w:color w:val="auto"/>
                <w:szCs w:val="21"/>
                <w:highlight w:val="none"/>
                <w:lang w:val="en-US" w:eastAsia="zh-CN"/>
              </w:rPr>
              <w:t>根据现有DA002监测数据，DA002排气筒出口各污染物最大排放速率为颗粒物0.008kg/h、SO</w:t>
            </w:r>
            <w:r>
              <w:rPr>
                <w:rFonts w:hint="default" w:ascii="Times New Roman" w:hAnsi="Times New Roman" w:cs="Times New Roman"/>
                <w:b w:val="0"/>
                <w:bCs/>
                <w:color w:val="auto"/>
                <w:szCs w:val="21"/>
                <w:highlight w:val="none"/>
                <w:vertAlign w:val="subscript"/>
                <w:lang w:val="en-US" w:eastAsia="zh-CN"/>
              </w:rPr>
              <w:t>2</w:t>
            </w:r>
            <w:r>
              <w:rPr>
                <w:rFonts w:hint="default" w:ascii="Times New Roman" w:hAnsi="Times New Roman" w:cs="Times New Roman"/>
                <w:b w:val="0"/>
                <w:bCs/>
                <w:color w:val="auto"/>
                <w:szCs w:val="21"/>
                <w:highlight w:val="none"/>
                <w:lang w:val="en-US" w:eastAsia="zh-CN"/>
              </w:rPr>
              <w:t>0.008kg/h、氮氧化物0.011kg/h、非甲烷总烃0.02kg/h，运行负荷为100%，运行时间为4800h，DA002排气筒满负荷运行时有组织排放量颗粒物0.038t/a、SO</w:t>
            </w:r>
            <w:r>
              <w:rPr>
                <w:rFonts w:hint="default" w:ascii="Times New Roman" w:hAnsi="Times New Roman" w:cs="Times New Roman"/>
                <w:b w:val="0"/>
                <w:bCs/>
                <w:color w:val="auto"/>
                <w:szCs w:val="21"/>
                <w:highlight w:val="none"/>
                <w:vertAlign w:val="subscript"/>
                <w:lang w:val="en-US" w:eastAsia="zh-CN"/>
              </w:rPr>
              <w:t>2</w:t>
            </w:r>
            <w:r>
              <w:rPr>
                <w:rFonts w:hint="default" w:ascii="Times New Roman" w:hAnsi="Times New Roman" w:cs="Times New Roman"/>
                <w:b w:val="0"/>
                <w:bCs/>
                <w:color w:val="auto"/>
                <w:szCs w:val="21"/>
                <w:highlight w:val="none"/>
                <w:vertAlign w:val="baseline"/>
                <w:lang w:val="en-US" w:eastAsia="zh-CN"/>
              </w:rPr>
              <w:t>0.038</w:t>
            </w:r>
            <w:r>
              <w:rPr>
                <w:rFonts w:hint="default" w:ascii="Times New Roman" w:hAnsi="Times New Roman" w:cs="Times New Roman"/>
                <w:b w:val="0"/>
                <w:bCs/>
                <w:color w:val="auto"/>
                <w:szCs w:val="21"/>
                <w:highlight w:val="none"/>
                <w:lang w:val="en-US" w:eastAsia="zh-CN"/>
              </w:rPr>
              <w:t>t/a、氮氧化物0.053t/a、非甲烷总烃0.096t/a。</w:t>
            </w:r>
          </w:p>
          <w:bookmarkEnd w:id="21"/>
          <w:p>
            <w:pPr>
              <w:numPr>
                <w:ilvl w:val="0"/>
                <w:numId w:val="0"/>
              </w:numPr>
              <w:spacing w:line="360" w:lineRule="auto"/>
              <w:ind w:firstLine="420" w:firstLineChars="200"/>
              <w:rPr>
                <w:rFonts w:hint="default" w:ascii="Times New Roman" w:hAnsi="Times New Roman" w:cs="Times New Roman"/>
                <w:b w:val="0"/>
                <w:bCs/>
                <w:color w:val="auto"/>
                <w:szCs w:val="21"/>
                <w:highlight w:val="none"/>
                <w:lang w:val="en-US" w:eastAsia="zh-CN"/>
              </w:rPr>
            </w:pPr>
            <w:r>
              <w:rPr>
                <w:rFonts w:hint="default" w:ascii="Times New Roman" w:hAnsi="Times New Roman" w:eastAsia="宋体" w:cs="Times New Roman"/>
                <w:b w:val="0"/>
                <w:bCs/>
                <w:color w:val="auto"/>
                <w:szCs w:val="21"/>
                <w:highlight w:val="none"/>
                <w:lang w:val="en-US" w:eastAsia="zh-CN"/>
              </w:rPr>
              <w:t>③</w:t>
            </w:r>
            <w:r>
              <w:rPr>
                <w:rFonts w:hint="default" w:ascii="Times New Roman" w:hAnsi="Times New Roman" w:cs="Times New Roman"/>
                <w:b w:val="0"/>
                <w:bCs/>
                <w:color w:val="auto"/>
                <w:szCs w:val="21"/>
                <w:highlight w:val="none"/>
                <w:lang w:val="en-US" w:eastAsia="zh-CN"/>
              </w:rPr>
              <w:t>污水处理站异味气体（DA003、DA004）</w:t>
            </w:r>
          </w:p>
          <w:p>
            <w:pPr>
              <w:numPr>
                <w:ilvl w:val="0"/>
                <w:numId w:val="0"/>
              </w:numPr>
              <w:spacing w:line="360" w:lineRule="auto"/>
              <w:ind w:firstLine="420" w:firstLineChars="200"/>
              <w:rPr>
                <w:rFonts w:hint="default" w:ascii="Times New Roman" w:hAnsi="Times New Roman" w:cs="Times New Roman"/>
                <w:b w:val="0"/>
                <w:bCs/>
                <w:color w:val="auto"/>
                <w:szCs w:val="21"/>
                <w:highlight w:val="none"/>
                <w:lang w:val="en-US" w:eastAsia="zh-CN"/>
              </w:rPr>
            </w:pPr>
            <w:r>
              <w:rPr>
                <w:rFonts w:hint="default" w:ascii="Times New Roman" w:hAnsi="Times New Roman" w:cs="Times New Roman"/>
                <w:b w:val="0"/>
                <w:bCs/>
                <w:color w:val="auto"/>
                <w:szCs w:val="21"/>
                <w:highlight w:val="none"/>
                <w:lang w:val="en-US" w:eastAsia="zh-CN"/>
              </w:rPr>
              <w:t>根据现有DA003监测数据，DA003排气筒出口各污染物最大排放速率为氨0.002kg/h、硫化氢0.00008kg/h，运行负荷为100%，运行时间为4800h，DA003排气筒满负荷运行时有组织排放量氨0.01t/a、硫化氢0.0004t/a。</w:t>
            </w:r>
          </w:p>
          <w:p>
            <w:pPr>
              <w:numPr>
                <w:ilvl w:val="0"/>
                <w:numId w:val="0"/>
              </w:numPr>
              <w:spacing w:line="360" w:lineRule="auto"/>
              <w:ind w:firstLine="420" w:firstLineChars="200"/>
              <w:rPr>
                <w:rFonts w:hint="default" w:ascii="Times New Roman" w:hAnsi="Times New Roman" w:cs="Times New Roman"/>
                <w:b w:val="0"/>
                <w:bCs/>
                <w:color w:val="auto"/>
                <w:szCs w:val="21"/>
                <w:highlight w:val="none"/>
                <w:lang w:val="en-US" w:eastAsia="zh-CN"/>
              </w:rPr>
            </w:pPr>
            <w:r>
              <w:rPr>
                <w:rFonts w:hint="default" w:ascii="Times New Roman" w:hAnsi="Times New Roman" w:cs="Times New Roman"/>
                <w:b w:val="0"/>
                <w:bCs/>
                <w:color w:val="auto"/>
                <w:szCs w:val="21"/>
                <w:highlight w:val="none"/>
                <w:lang w:val="en-US" w:eastAsia="zh-CN"/>
              </w:rPr>
              <w:t>根据现有DA004监测数据，DA004排气筒出口各污染物最大排放速率为氨0.009kg/h、硫化氢0.0005kg/h，运行负荷为100%，运行时间为4800h，DA004排气筒满负荷运行时有组织排放量氨0.043t/a、硫化氢0.002t/a。</w:t>
            </w:r>
          </w:p>
          <w:p>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auto"/>
                <w:szCs w:val="21"/>
                <w:highlight w:val="none"/>
                <w:lang w:val="en-US" w:eastAsia="zh-CN"/>
              </w:rPr>
            </w:pPr>
            <w:r>
              <w:rPr>
                <w:rFonts w:hint="default" w:ascii="Times New Roman" w:hAnsi="Times New Roman" w:eastAsia="宋体" w:cs="Times New Roman"/>
                <w:b w:val="0"/>
                <w:bCs w:val="0"/>
                <w:color w:val="auto"/>
                <w:highlight w:val="none"/>
                <w:lang w:val="en-US" w:eastAsia="zh-CN"/>
              </w:rPr>
              <w:t>综上，现有项目污染物总排放量：</w:t>
            </w:r>
            <w:bookmarkStart w:id="22" w:name="OLE_LINK69"/>
            <w:r>
              <w:rPr>
                <w:rFonts w:hint="default" w:ascii="Times New Roman" w:hAnsi="Times New Roman" w:cs="Times New Roman"/>
                <w:b w:val="0"/>
                <w:bCs/>
                <w:color w:val="auto"/>
                <w:szCs w:val="21"/>
                <w:highlight w:val="none"/>
                <w:lang w:val="en-US" w:eastAsia="zh-CN"/>
              </w:rPr>
              <w:t>颗粒物：</w:t>
            </w:r>
            <w:r>
              <w:rPr>
                <w:rFonts w:hint="eastAsia" w:hAnsi="Times New Roman" w:cs="Times New Roman"/>
                <w:b w:val="0"/>
                <w:bCs/>
                <w:color w:val="auto"/>
                <w:szCs w:val="21"/>
                <w:highlight w:val="none"/>
                <w:lang w:val="en-US" w:eastAsia="zh-CN"/>
              </w:rPr>
              <w:t>0.086</w:t>
            </w:r>
            <w:r>
              <w:rPr>
                <w:rFonts w:hint="default" w:ascii="Times New Roman" w:hAnsi="Times New Roman" w:cs="Times New Roman"/>
                <w:b w:val="0"/>
                <w:bCs/>
                <w:color w:val="auto"/>
                <w:szCs w:val="21"/>
                <w:highlight w:val="none"/>
                <w:lang w:val="en-US" w:eastAsia="zh-CN"/>
              </w:rPr>
              <w:t>t/a、SO</w:t>
            </w:r>
            <w:r>
              <w:rPr>
                <w:rFonts w:hint="default" w:ascii="Times New Roman" w:hAnsi="Times New Roman" w:cs="Times New Roman"/>
                <w:b w:val="0"/>
                <w:bCs/>
                <w:color w:val="auto"/>
                <w:szCs w:val="21"/>
                <w:highlight w:val="none"/>
                <w:vertAlign w:val="subscript"/>
                <w:lang w:val="en-US" w:eastAsia="zh-CN"/>
              </w:rPr>
              <w:t>2</w:t>
            </w:r>
            <w:r>
              <w:rPr>
                <w:rFonts w:hint="default" w:ascii="Times New Roman" w:hAnsi="Times New Roman" w:cs="Times New Roman"/>
                <w:b w:val="0"/>
                <w:bCs/>
                <w:color w:val="auto"/>
                <w:szCs w:val="21"/>
                <w:highlight w:val="none"/>
                <w:vertAlign w:val="baseline"/>
                <w:lang w:val="en-US" w:eastAsia="zh-CN"/>
              </w:rPr>
              <w:t>：0.076</w:t>
            </w:r>
            <w:r>
              <w:rPr>
                <w:rFonts w:hint="default" w:ascii="Times New Roman" w:hAnsi="Times New Roman" w:cs="Times New Roman"/>
                <w:b w:val="0"/>
                <w:bCs/>
                <w:color w:val="auto"/>
                <w:szCs w:val="21"/>
                <w:highlight w:val="none"/>
                <w:lang w:val="en-US" w:eastAsia="zh-CN"/>
              </w:rPr>
              <w:t>t/a、NO</w:t>
            </w:r>
            <w:r>
              <w:rPr>
                <w:rFonts w:hint="default" w:ascii="Times New Roman" w:hAnsi="Times New Roman" w:cs="Times New Roman"/>
                <w:b w:val="0"/>
                <w:bCs/>
                <w:color w:val="auto"/>
                <w:szCs w:val="21"/>
                <w:highlight w:val="none"/>
                <w:vertAlign w:val="subscript"/>
                <w:lang w:val="en-US" w:eastAsia="zh-CN"/>
              </w:rPr>
              <w:t>X</w:t>
            </w:r>
            <w:r>
              <w:rPr>
                <w:rFonts w:hint="default" w:ascii="Times New Roman" w:hAnsi="Times New Roman" w:cs="Times New Roman"/>
                <w:b w:val="0"/>
                <w:bCs/>
                <w:color w:val="auto"/>
                <w:szCs w:val="21"/>
                <w:highlight w:val="none"/>
                <w:vertAlign w:val="baseline"/>
                <w:lang w:val="en-US" w:eastAsia="zh-CN"/>
              </w:rPr>
              <w:t>：0.493</w:t>
            </w:r>
            <w:r>
              <w:rPr>
                <w:rFonts w:hint="default" w:ascii="Times New Roman" w:hAnsi="Times New Roman" w:cs="Times New Roman"/>
                <w:b w:val="0"/>
                <w:bCs/>
                <w:color w:val="auto"/>
                <w:szCs w:val="21"/>
                <w:highlight w:val="none"/>
                <w:lang w:val="en-US" w:eastAsia="zh-CN"/>
              </w:rPr>
              <w:t>t/a、</w:t>
            </w:r>
            <w:bookmarkEnd w:id="22"/>
            <w:r>
              <w:rPr>
                <w:rFonts w:hint="default" w:ascii="Times New Roman" w:hAnsi="Times New Roman" w:cs="Times New Roman"/>
                <w:b w:val="0"/>
                <w:bCs/>
                <w:color w:val="auto"/>
                <w:szCs w:val="21"/>
                <w:highlight w:val="none"/>
                <w:lang w:val="en-US" w:eastAsia="zh-CN"/>
              </w:rPr>
              <w:t>非甲烷总烃：</w:t>
            </w:r>
            <w:r>
              <w:rPr>
                <w:rFonts w:hint="eastAsia" w:hAnsi="Times New Roman" w:cs="Times New Roman"/>
                <w:b w:val="0"/>
                <w:bCs/>
                <w:color w:val="auto"/>
                <w:szCs w:val="21"/>
                <w:highlight w:val="none"/>
                <w:lang w:val="en-US" w:eastAsia="zh-CN"/>
              </w:rPr>
              <w:t>0.096</w:t>
            </w:r>
            <w:r>
              <w:rPr>
                <w:rFonts w:hint="default" w:ascii="Times New Roman" w:hAnsi="Times New Roman" w:cs="Times New Roman"/>
                <w:b w:val="0"/>
                <w:bCs/>
                <w:color w:val="auto"/>
                <w:szCs w:val="21"/>
                <w:highlight w:val="none"/>
                <w:lang w:val="en-US" w:eastAsia="zh-CN"/>
              </w:rPr>
              <w:t>t/a、硫化氢：0.011t/a、氨：0.178t/a。</w:t>
            </w:r>
          </w:p>
          <w:p>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auto"/>
                <w:szCs w:val="21"/>
                <w:highlight w:val="none"/>
                <w:lang w:val="en-US" w:eastAsia="zh-CN"/>
              </w:rPr>
            </w:pPr>
            <w:r>
              <w:rPr>
                <w:rFonts w:hint="default" w:ascii="Times New Roman" w:hAnsi="Times New Roman" w:cs="Times New Roman"/>
                <w:b w:val="0"/>
                <w:bCs/>
                <w:color w:val="auto"/>
                <w:szCs w:val="21"/>
                <w:highlight w:val="none"/>
                <w:lang w:val="en-US" w:eastAsia="zh-CN"/>
              </w:rPr>
              <w:t>（2）废水</w:t>
            </w:r>
          </w:p>
          <w:p>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auto"/>
                <w:highlight w:val="none"/>
                <w:lang w:val="en-US" w:eastAsia="zh-CN"/>
              </w:rPr>
            </w:pPr>
            <w:r>
              <w:rPr>
                <w:rFonts w:hint="default" w:ascii="Times New Roman" w:hAnsi="Times New Roman" w:cs="Times New Roman"/>
                <w:b w:val="0"/>
                <w:bCs/>
                <w:color w:val="auto"/>
                <w:szCs w:val="21"/>
                <w:highlight w:val="none"/>
                <w:lang w:val="en-US" w:eastAsia="zh-CN"/>
              </w:rPr>
              <w:t>根据在线监测数据，废水年排放量汇总数COD</w:t>
            </w:r>
            <w:r>
              <w:rPr>
                <w:rFonts w:hint="eastAsia" w:hAnsi="Times New Roman" w:cs="Times New Roman"/>
                <w:b w:val="0"/>
                <w:bCs/>
                <w:color w:val="auto"/>
                <w:szCs w:val="21"/>
                <w:highlight w:val="none"/>
                <w:lang w:val="en-US" w:eastAsia="zh-CN"/>
              </w:rPr>
              <w:t xml:space="preserve"> </w:t>
            </w:r>
            <w:r>
              <w:rPr>
                <w:rFonts w:hint="default" w:ascii="Times New Roman" w:hAnsi="Times New Roman" w:cs="Times New Roman"/>
                <w:b w:val="0"/>
                <w:bCs/>
                <w:color w:val="auto"/>
                <w:szCs w:val="21"/>
                <w:highlight w:val="none"/>
                <w:lang w:val="en-US" w:eastAsia="zh-CN"/>
              </w:rPr>
              <w:t>7.255t/a、氨氮0.107t/a。</w:t>
            </w:r>
          </w:p>
          <w:p>
            <w:pPr>
              <w:spacing w:line="360" w:lineRule="auto"/>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lang w:val="en-US" w:eastAsia="zh-CN"/>
              </w:rPr>
              <w:t>7、</w:t>
            </w:r>
            <w:r>
              <w:rPr>
                <w:rFonts w:hint="default" w:ascii="Times New Roman" w:hAnsi="Times New Roman" w:cs="Times New Roman"/>
                <w:b/>
                <w:color w:val="auto"/>
                <w:szCs w:val="21"/>
                <w:highlight w:val="none"/>
              </w:rPr>
              <w:t>现有项目总量核算</w:t>
            </w:r>
          </w:p>
          <w:p>
            <w:pPr>
              <w:spacing w:line="360" w:lineRule="auto"/>
              <w:ind w:firstLine="420" w:firstLineChars="200"/>
              <w:rPr>
                <w:rStyle w:val="95"/>
                <w:rFonts w:hint="default" w:ascii="Times New Roman" w:hAnsi="Times New Roman" w:eastAsia="宋体" w:cs="Times New Roman"/>
                <w:color w:val="auto"/>
                <w:sz w:val="21"/>
                <w:szCs w:val="21"/>
                <w:highlight w:val="none"/>
                <w:lang w:bidi="ar"/>
              </w:rPr>
            </w:pPr>
            <w:r>
              <w:rPr>
                <w:rFonts w:hint="default" w:ascii="Times New Roman" w:hAnsi="Times New Roman" w:cs="Times New Roman"/>
                <w:bCs/>
                <w:color w:val="auto"/>
                <w:szCs w:val="21"/>
                <w:highlight w:val="none"/>
              </w:rPr>
              <w:t>现有项目污染物排放情况汇总见</w:t>
            </w:r>
            <w:r>
              <w:rPr>
                <w:rFonts w:hint="default" w:ascii="Times New Roman" w:hAnsi="Times New Roman" w:cs="Times New Roman"/>
                <w:bCs/>
                <w:color w:val="auto"/>
                <w:szCs w:val="21"/>
                <w:highlight w:val="none"/>
                <w:lang w:val="en-US" w:eastAsia="zh-CN"/>
              </w:rPr>
              <w:t>下</w:t>
            </w:r>
            <w:r>
              <w:rPr>
                <w:rFonts w:hint="default" w:ascii="Times New Roman" w:hAnsi="Times New Roman" w:cs="Times New Roman"/>
                <w:bCs/>
                <w:color w:val="auto"/>
                <w:szCs w:val="21"/>
                <w:highlight w:val="none"/>
              </w:rPr>
              <w:t>表。</w:t>
            </w:r>
          </w:p>
          <w:p>
            <w:pPr>
              <w:ind w:firstLine="422" w:firstLineChars="200"/>
              <w:jc w:val="center"/>
              <w:rPr>
                <w:rStyle w:val="95"/>
                <w:rFonts w:hint="default" w:ascii="Times New Roman" w:hAnsi="Times New Roman" w:eastAsia="宋体" w:cs="Times New Roman"/>
                <w:b/>
                <w:bCs/>
                <w:color w:val="auto"/>
                <w:sz w:val="21"/>
                <w:szCs w:val="21"/>
                <w:highlight w:val="none"/>
                <w:lang w:val="en-US" w:eastAsia="zh-CN" w:bidi="ar"/>
              </w:rPr>
            </w:pPr>
            <w:r>
              <w:rPr>
                <w:rStyle w:val="95"/>
                <w:rFonts w:hint="default" w:ascii="Times New Roman" w:hAnsi="Times New Roman" w:eastAsia="宋体" w:cs="Times New Roman"/>
                <w:b/>
                <w:bCs/>
                <w:color w:val="auto"/>
                <w:sz w:val="21"/>
                <w:szCs w:val="21"/>
                <w:highlight w:val="none"/>
                <w:lang w:bidi="ar"/>
              </w:rPr>
              <w:t>表2-</w:t>
            </w:r>
            <w:r>
              <w:rPr>
                <w:rStyle w:val="95"/>
                <w:rFonts w:hint="default" w:ascii="Times New Roman" w:hAnsi="Times New Roman" w:cs="Times New Roman"/>
                <w:b/>
                <w:bCs/>
                <w:color w:val="auto"/>
                <w:sz w:val="21"/>
                <w:szCs w:val="21"/>
                <w:highlight w:val="none"/>
                <w:lang w:val="en-US" w:eastAsia="zh-CN" w:bidi="ar"/>
              </w:rPr>
              <w:t>24</w:t>
            </w:r>
            <w:r>
              <w:rPr>
                <w:rStyle w:val="95"/>
                <w:rFonts w:hint="default" w:ascii="Times New Roman" w:hAnsi="Times New Roman" w:eastAsia="宋体" w:cs="Times New Roman"/>
                <w:b/>
                <w:bCs/>
                <w:color w:val="auto"/>
                <w:sz w:val="21"/>
                <w:szCs w:val="21"/>
                <w:highlight w:val="none"/>
                <w:lang w:bidi="ar"/>
              </w:rPr>
              <w:t xml:space="preserve">   现有项目“三废”情况汇总一览表</w:t>
            </w:r>
          </w:p>
          <w:tbl>
            <w:tblPr>
              <w:tblStyle w:val="3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2084"/>
              <w:gridCol w:w="3373"/>
              <w:gridCol w:w="20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tcBorders>
                    <w:tl2br w:val="nil"/>
                    <w:tr2bl w:val="nil"/>
                  </w:tcBorders>
                  <w:noWrap w:val="0"/>
                  <w:vAlign w:val="center"/>
                </w:tcPr>
                <w:p>
                  <w:pPr>
                    <w:adjustRightInd w:val="0"/>
                    <w:snapToGrid w:val="0"/>
                    <w:jc w:val="center"/>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类型</w:t>
                  </w: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污染物</w:t>
                  </w:r>
                </w:p>
              </w:tc>
              <w:tc>
                <w:tcPr>
                  <w:tcW w:w="1970" w:type="pct"/>
                  <w:tcBorders>
                    <w:tl2br w:val="nil"/>
                    <w:tr2bl w:val="nil"/>
                  </w:tcBorders>
                  <w:noWrap w:val="0"/>
                  <w:vAlign w:val="center"/>
                </w:tcPr>
                <w:p>
                  <w:pPr>
                    <w:adjustRightInd w:val="0"/>
                    <w:snapToGrid w:val="0"/>
                    <w:jc w:val="center"/>
                    <w:rPr>
                      <w:rFonts w:hint="default" w:ascii="Times New Roman" w:hAnsi="Times New Roman" w:eastAsia="宋体" w:cs="Times New Roman"/>
                      <w:b/>
                      <w:bCs w:val="0"/>
                      <w:color w:val="auto"/>
                      <w:sz w:val="18"/>
                      <w:szCs w:val="18"/>
                      <w:highlight w:val="none"/>
                      <w:lang w:eastAsia="zh-CN"/>
                    </w:rPr>
                  </w:pPr>
                  <w:r>
                    <w:rPr>
                      <w:rFonts w:hint="default" w:ascii="Times New Roman" w:hAnsi="Times New Roman" w:cs="Times New Roman"/>
                      <w:b/>
                      <w:bCs w:val="0"/>
                      <w:color w:val="auto"/>
                      <w:sz w:val="18"/>
                      <w:szCs w:val="18"/>
                      <w:highlight w:val="none"/>
                    </w:rPr>
                    <w:t>现有项目排放量</w:t>
                  </w:r>
                  <w:r>
                    <w:rPr>
                      <w:rFonts w:hint="default" w:ascii="Times New Roman" w:hAnsi="Times New Roman" w:cs="Times New Roman"/>
                      <w:b/>
                      <w:bCs w:val="0"/>
                      <w:color w:val="auto"/>
                      <w:sz w:val="18"/>
                      <w:szCs w:val="18"/>
                      <w:highlight w:val="none"/>
                      <w:lang w:eastAsia="zh-CN"/>
                    </w:rPr>
                    <w:t>（</w:t>
                  </w:r>
                  <w:r>
                    <w:rPr>
                      <w:rFonts w:hint="default" w:ascii="Times New Roman" w:hAnsi="Times New Roman" w:cs="Times New Roman"/>
                      <w:b/>
                      <w:bCs w:val="0"/>
                      <w:color w:val="auto"/>
                      <w:sz w:val="18"/>
                      <w:szCs w:val="18"/>
                      <w:highlight w:val="none"/>
                      <w:lang w:val="en-US" w:eastAsia="zh-CN"/>
                    </w:rPr>
                    <w:t>t/a</w:t>
                  </w:r>
                  <w:r>
                    <w:rPr>
                      <w:rFonts w:hint="default" w:ascii="Times New Roman" w:hAnsi="Times New Roman" w:cs="Times New Roman"/>
                      <w:b/>
                      <w:bCs w:val="0"/>
                      <w:color w:val="auto"/>
                      <w:sz w:val="18"/>
                      <w:szCs w:val="18"/>
                      <w:highlight w:val="none"/>
                      <w:lang w:eastAsia="zh-CN"/>
                    </w:rPr>
                    <w:t>）</w:t>
                  </w:r>
                </w:p>
              </w:tc>
              <w:tc>
                <w:tcPr>
                  <w:tcW w:w="1197" w:type="pct"/>
                  <w:tcBorders>
                    <w:tl2br w:val="nil"/>
                    <w:tr2bl w:val="nil"/>
                  </w:tcBorders>
                  <w:noWrap w:val="0"/>
                  <w:vAlign w:val="center"/>
                </w:tcPr>
                <w:p>
                  <w:pPr>
                    <w:adjustRightInd w:val="0"/>
                    <w:snapToGrid w:val="0"/>
                    <w:jc w:val="center"/>
                    <w:rPr>
                      <w:rFonts w:hint="default" w:ascii="Times New Roman" w:hAnsi="Times New Roman" w:eastAsia="宋体" w:cs="Times New Roman"/>
                      <w:b/>
                      <w:bCs w:val="0"/>
                      <w:color w:val="auto"/>
                      <w:sz w:val="18"/>
                      <w:szCs w:val="18"/>
                      <w:highlight w:val="none"/>
                      <w:lang w:eastAsia="zh-CN"/>
                    </w:rPr>
                  </w:pPr>
                  <w:r>
                    <w:rPr>
                      <w:rFonts w:hint="default" w:ascii="Times New Roman" w:hAnsi="Times New Roman" w:cs="Times New Roman"/>
                      <w:b/>
                      <w:bCs w:val="0"/>
                      <w:color w:val="auto"/>
                      <w:sz w:val="18"/>
                      <w:szCs w:val="18"/>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废气</w:t>
                  </w: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颗粒物</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0.086</w:t>
                  </w:r>
                </w:p>
              </w:tc>
              <w:tc>
                <w:tcPr>
                  <w:tcW w:w="119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SO</w:t>
                  </w:r>
                  <w:r>
                    <w:rPr>
                      <w:rFonts w:hint="default" w:ascii="Times New Roman" w:hAnsi="Times New Roman" w:cs="Times New Roman"/>
                      <w:bCs/>
                      <w:color w:val="auto"/>
                      <w:sz w:val="18"/>
                      <w:szCs w:val="18"/>
                      <w:highlight w:val="none"/>
                      <w:vertAlign w:val="subscript"/>
                      <w:lang w:val="en-US" w:eastAsia="zh-CN"/>
                    </w:rPr>
                    <w:t>2</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0.076</w:t>
                  </w:r>
                </w:p>
              </w:tc>
              <w:tc>
                <w:tcPr>
                  <w:tcW w:w="119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NO</w:t>
                  </w:r>
                  <w:r>
                    <w:rPr>
                      <w:rFonts w:hint="default" w:ascii="Times New Roman" w:hAnsi="Times New Roman" w:cs="Times New Roman"/>
                      <w:bCs/>
                      <w:color w:val="auto"/>
                      <w:sz w:val="18"/>
                      <w:szCs w:val="18"/>
                      <w:highlight w:val="none"/>
                      <w:vertAlign w:val="subscript"/>
                      <w:lang w:val="en-US" w:eastAsia="zh-CN"/>
                    </w:rPr>
                    <w:t>X</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0.493</w:t>
                  </w:r>
                </w:p>
              </w:tc>
              <w:tc>
                <w:tcPr>
                  <w:tcW w:w="119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非甲烷总烃</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0.096</w:t>
                  </w:r>
                </w:p>
              </w:tc>
              <w:tc>
                <w:tcPr>
                  <w:tcW w:w="119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氨</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0.178</w:t>
                  </w:r>
                </w:p>
              </w:tc>
              <w:tc>
                <w:tcPr>
                  <w:tcW w:w="119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硫化氢</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0.0114</w:t>
                  </w:r>
                </w:p>
              </w:tc>
              <w:tc>
                <w:tcPr>
                  <w:tcW w:w="119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rPr>
                  </w:pPr>
                </w:p>
              </w:tc>
              <w:tc>
                <w:tcPr>
                  <w:tcW w:w="1217" w:type="pct"/>
                  <w:tcBorders>
                    <w:tl2br w:val="nil"/>
                    <w:tr2bl w:val="nil"/>
                  </w:tcBorders>
                  <w:noWrap w:val="0"/>
                  <w:vAlign w:val="center"/>
                </w:tcPr>
                <w:p>
                  <w:pPr>
                    <w:adjustRightInd w:val="0"/>
                    <w:snapToGrid w:val="0"/>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臭气浓度</w:t>
                  </w:r>
                </w:p>
              </w:tc>
              <w:tc>
                <w:tcPr>
                  <w:tcW w:w="1970" w:type="pct"/>
                  <w:tcBorders>
                    <w:tl2br w:val="nil"/>
                    <w:tr2bl w:val="nil"/>
                  </w:tcBorders>
                  <w:noWrap w:val="0"/>
                  <w:vAlign w:val="center"/>
                </w:tcPr>
                <w:p>
                  <w:pPr>
                    <w:adjustRightInd w:val="0"/>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c>
                <w:tcPr>
                  <w:tcW w:w="119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废水</w:t>
                  </w: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COD</w:t>
                  </w:r>
                </w:p>
              </w:tc>
              <w:tc>
                <w:tcPr>
                  <w:tcW w:w="1970" w:type="pct"/>
                  <w:tcBorders>
                    <w:tl2br w:val="nil"/>
                    <w:tr2bl w:val="nil"/>
                  </w:tcBorders>
                  <w:noWrap w:val="0"/>
                  <w:vAlign w:val="center"/>
                </w:tcPr>
                <w:p>
                  <w:pPr>
                    <w:adjustRightInd w:val="0"/>
                    <w:snapToGrid w:val="0"/>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7.255</w:t>
                  </w:r>
                </w:p>
              </w:tc>
              <w:tc>
                <w:tcPr>
                  <w:tcW w:w="1197" w:type="pct"/>
                  <w:vMerge w:val="restar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经污水站处理后进入</w:t>
                  </w:r>
                  <w:r>
                    <w:rPr>
                      <w:rFonts w:hint="default" w:ascii="Times New Roman" w:hAnsi="Times New Roman" w:cs="Times New Roman"/>
                      <w:bCs/>
                      <w:color w:val="auto"/>
                      <w:sz w:val="18"/>
                      <w:szCs w:val="18"/>
                      <w:highlight w:val="none"/>
                      <w:lang w:val="en-US" w:eastAsia="zh-CN"/>
                    </w:rPr>
                    <w:t>淄博沃特水务能源开发有限公司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氨氮</w:t>
                  </w:r>
                </w:p>
              </w:tc>
              <w:tc>
                <w:tcPr>
                  <w:tcW w:w="1970" w:type="pc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0.107</w:t>
                  </w:r>
                </w:p>
              </w:tc>
              <w:tc>
                <w:tcPr>
                  <w:tcW w:w="1197"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restart"/>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固废</w:t>
                  </w: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生活垃圾</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10.5</w:t>
                  </w:r>
                </w:p>
              </w:tc>
              <w:tc>
                <w:tcPr>
                  <w:tcW w:w="119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环卫部门清运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废包装材料</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0.4</w:t>
                  </w:r>
                </w:p>
              </w:tc>
              <w:tc>
                <w:tcPr>
                  <w:tcW w:w="119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外售综合利用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废边角料</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0.2</w:t>
                  </w:r>
                </w:p>
              </w:tc>
              <w:tc>
                <w:tcPr>
                  <w:tcW w:w="119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外售综合利用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废缝纫线轮</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0.02</w:t>
                  </w:r>
                </w:p>
              </w:tc>
              <w:tc>
                <w:tcPr>
                  <w:tcW w:w="119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外售综合利用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污泥</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450</w:t>
                  </w:r>
                </w:p>
              </w:tc>
              <w:tc>
                <w:tcPr>
                  <w:tcW w:w="119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环卫部门清运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废离子交换树脂</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0.17</w:t>
                  </w:r>
                </w:p>
              </w:tc>
              <w:tc>
                <w:tcPr>
                  <w:tcW w:w="119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外售综合利用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废料桶</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0.6</w:t>
                  </w:r>
                </w:p>
              </w:tc>
              <w:tc>
                <w:tcPr>
                  <w:tcW w:w="119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厂家回收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废机油（HW08 900-214-08）</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0.05</w:t>
                  </w:r>
                </w:p>
              </w:tc>
              <w:tc>
                <w:tcPr>
                  <w:tcW w:w="1197" w:type="pct"/>
                  <w:vMerge w:val="restar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kern w:val="2"/>
                      <w:sz w:val="18"/>
                      <w:szCs w:val="18"/>
                      <w:highlight w:val="none"/>
                      <w:lang w:val="en-US" w:eastAsia="zh-CN" w:bidi="ar-SA"/>
                    </w:rPr>
                    <w:t>委托有资质单位处置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kern w:val="2"/>
                      <w:sz w:val="18"/>
                      <w:szCs w:val="18"/>
                      <w:highlight w:val="none"/>
                      <w:lang w:val="en-US" w:eastAsia="zh-CN" w:bidi="ar-SA"/>
                    </w:rPr>
                    <w:t>废油桶（HW49 900-041-49）</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0.05</w:t>
                  </w:r>
                </w:p>
              </w:tc>
              <w:tc>
                <w:tcPr>
                  <w:tcW w:w="1197"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bCs/>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kern w:val="2"/>
                      <w:sz w:val="18"/>
                      <w:szCs w:val="18"/>
                      <w:highlight w:val="none"/>
                      <w:lang w:val="en-US" w:eastAsia="zh-CN" w:bidi="ar-SA"/>
                    </w:rPr>
                    <w:t>废灯管（HW29 900-023-29</w:t>
                  </w:r>
                  <w:r>
                    <w:rPr>
                      <w:rFonts w:hint="default" w:ascii="Times New Roman" w:hAnsi="Times New Roman" w:eastAsia="宋体" w:cs="Times New Roman"/>
                      <w:bCs/>
                      <w:color w:val="auto"/>
                      <w:kern w:val="2"/>
                      <w:sz w:val="18"/>
                      <w:szCs w:val="18"/>
                      <w:highlight w:val="none"/>
                      <w:lang w:val="en-US" w:eastAsia="zh-CN" w:bidi="ar-SA"/>
                    </w:rPr>
                    <w:tab/>
                  </w:r>
                  <w:r>
                    <w:rPr>
                      <w:rFonts w:hint="default" w:ascii="Times New Roman" w:hAnsi="Times New Roman" w:eastAsia="宋体" w:cs="Times New Roman"/>
                      <w:bCs/>
                      <w:color w:val="auto"/>
                      <w:kern w:val="2"/>
                      <w:sz w:val="18"/>
                      <w:szCs w:val="18"/>
                      <w:highlight w:val="none"/>
                      <w:lang w:val="en-US" w:eastAsia="zh-CN" w:bidi="ar-SA"/>
                    </w:rPr>
                    <w:t>）</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0.01</w:t>
                  </w:r>
                </w:p>
              </w:tc>
              <w:tc>
                <w:tcPr>
                  <w:tcW w:w="1197"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14"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18"/>
                      <w:highlight w:val="none"/>
                      <w:lang w:val="en-US" w:eastAsia="zh-CN"/>
                    </w:rPr>
                  </w:pPr>
                </w:p>
              </w:tc>
              <w:tc>
                <w:tcPr>
                  <w:tcW w:w="1217"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废活性炭（HW49 900-039-49</w:t>
                  </w:r>
                  <w:r>
                    <w:rPr>
                      <w:rFonts w:hint="default" w:ascii="Times New Roman" w:hAnsi="Times New Roman" w:cs="Times New Roman"/>
                      <w:bCs/>
                      <w:color w:val="auto"/>
                      <w:sz w:val="18"/>
                      <w:szCs w:val="18"/>
                      <w:highlight w:val="none"/>
                      <w:lang w:val="en-US" w:eastAsia="zh-CN"/>
                    </w:rPr>
                    <w:tab/>
                  </w:r>
                  <w:r>
                    <w:rPr>
                      <w:rFonts w:hint="default" w:ascii="Times New Roman" w:hAnsi="Times New Roman" w:cs="Times New Roman"/>
                      <w:bCs/>
                      <w:color w:val="auto"/>
                      <w:sz w:val="18"/>
                      <w:szCs w:val="18"/>
                      <w:highlight w:val="none"/>
                      <w:lang w:val="en-US" w:eastAsia="zh-CN"/>
                    </w:rPr>
                    <w:t>）</w:t>
                  </w:r>
                </w:p>
              </w:tc>
              <w:tc>
                <w:tcPr>
                  <w:tcW w:w="1970"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1.5</w:t>
                  </w:r>
                </w:p>
              </w:tc>
              <w:tc>
                <w:tcPr>
                  <w:tcW w:w="1197" w:type="pct"/>
                  <w:vMerge w:val="continue"/>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18"/>
                      <w:szCs w:val="18"/>
                      <w:highlight w:val="none"/>
                      <w:lang w:val="en-US" w:eastAsia="zh-CN"/>
                    </w:rPr>
                  </w:pPr>
                </w:p>
              </w:tc>
            </w:tr>
          </w:tbl>
          <w:p>
            <w:pPr>
              <w:spacing w:line="360" w:lineRule="auto"/>
              <w:ind w:firstLine="48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根据2017年11月《淄博市周村雅曼印染厂年产3000万米印染布项目后评价报告》第六章 污染物排放总量控制，</w:t>
            </w:r>
            <w:r>
              <w:rPr>
                <w:rFonts w:hint="eastAsia" w:cs="Times New Roman"/>
                <w:color w:val="auto"/>
                <w:szCs w:val="21"/>
                <w:highlight w:val="none"/>
                <w:lang w:val="en-US" w:eastAsia="zh-CN"/>
              </w:rPr>
              <w:t>全厂</w:t>
            </w:r>
            <w:r>
              <w:rPr>
                <w:rFonts w:hint="default" w:ascii="Times New Roman" w:hAnsi="Times New Roman" w:cs="Times New Roman"/>
                <w:color w:val="auto"/>
                <w:szCs w:val="21"/>
                <w:highlight w:val="none"/>
                <w:lang w:val="en-US" w:eastAsia="zh-CN"/>
              </w:rPr>
              <w:t>SO</w:t>
            </w:r>
            <w:r>
              <w:rPr>
                <w:rFonts w:hint="default" w:ascii="Times New Roman" w:hAnsi="Times New Roman" w:cs="Times New Roman"/>
                <w:color w:val="auto"/>
                <w:szCs w:val="21"/>
                <w:highlight w:val="none"/>
                <w:vertAlign w:val="subscript"/>
                <w:lang w:val="en-US" w:eastAsia="zh-CN"/>
              </w:rPr>
              <w:t>2</w:t>
            </w:r>
            <w:r>
              <w:rPr>
                <w:rFonts w:hint="default" w:ascii="Times New Roman" w:hAnsi="Times New Roman" w:cs="Times New Roman"/>
                <w:color w:val="auto"/>
                <w:szCs w:val="21"/>
                <w:highlight w:val="none"/>
                <w:lang w:val="en-US" w:eastAsia="zh-CN"/>
              </w:rPr>
              <w:t>、NOx、烟粉</w:t>
            </w:r>
            <w:r>
              <w:rPr>
                <w:rFonts w:hint="default" w:ascii="Times New Roman" w:hAnsi="Times New Roman" w:cs="Times New Roman"/>
                <w:i w:val="0"/>
                <w:iCs w:val="0"/>
                <w:color w:val="auto"/>
                <w:szCs w:val="21"/>
                <w:highlight w:val="none"/>
                <w:lang w:val="en-US" w:eastAsia="zh-CN"/>
              </w:rPr>
              <w:t>尘</w:t>
            </w:r>
            <w:r>
              <w:rPr>
                <w:rFonts w:hint="eastAsia" w:cs="Times New Roman"/>
                <w:i w:val="0"/>
                <w:iCs w:val="0"/>
                <w:color w:val="auto"/>
                <w:szCs w:val="21"/>
                <w:highlight w:val="none"/>
                <w:lang w:val="en-US" w:eastAsia="zh-CN"/>
              </w:rPr>
              <w:t>排放量</w:t>
            </w:r>
            <w:r>
              <w:rPr>
                <w:rFonts w:hint="default" w:ascii="Times New Roman" w:hAnsi="Times New Roman" w:cs="Times New Roman"/>
                <w:i w:val="0"/>
                <w:iCs w:val="0"/>
                <w:color w:val="auto"/>
                <w:szCs w:val="21"/>
                <w:highlight w:val="none"/>
                <w:lang w:val="en-US" w:eastAsia="zh-CN"/>
              </w:rPr>
              <w:t>为0.2544t/a、1.728t/a、0.</w:t>
            </w:r>
            <w:r>
              <w:rPr>
                <w:rFonts w:hint="eastAsia" w:cs="Times New Roman"/>
                <w:i w:val="0"/>
                <w:iCs w:val="0"/>
                <w:color w:val="auto"/>
                <w:szCs w:val="21"/>
                <w:highlight w:val="none"/>
                <w:lang w:val="en-US" w:eastAsia="zh-CN"/>
              </w:rPr>
              <w:t>21</w:t>
            </w:r>
            <w:r>
              <w:rPr>
                <w:rFonts w:hint="default" w:ascii="Times New Roman" w:hAnsi="Times New Roman" w:cs="Times New Roman"/>
                <w:i w:val="0"/>
                <w:iCs w:val="0"/>
                <w:color w:val="auto"/>
                <w:szCs w:val="21"/>
                <w:highlight w:val="none"/>
                <w:lang w:val="en-US" w:eastAsia="zh-CN"/>
              </w:rPr>
              <w:t>12t/a</w:t>
            </w:r>
            <w:r>
              <w:rPr>
                <w:rFonts w:hint="eastAsia" w:cs="Times New Roman"/>
                <w:i w:val="0"/>
                <w:iCs w:val="0"/>
                <w:color w:val="auto"/>
                <w:szCs w:val="21"/>
                <w:highlight w:val="none"/>
                <w:lang w:val="en-US" w:eastAsia="zh-CN"/>
              </w:rPr>
              <w:t>，该</w:t>
            </w:r>
            <w:r>
              <w:rPr>
                <w:rFonts w:hint="default" w:ascii="Times New Roman" w:hAnsi="Times New Roman" w:cs="Times New Roman"/>
                <w:i w:val="0"/>
                <w:iCs w:val="0"/>
                <w:color w:val="auto"/>
                <w:szCs w:val="21"/>
                <w:highlight w:val="none"/>
                <w:lang w:val="en-US" w:eastAsia="zh-CN"/>
              </w:rPr>
              <w:t>后评价</w:t>
            </w:r>
            <w:r>
              <w:rPr>
                <w:rFonts w:hint="default" w:ascii="Times New Roman" w:hAnsi="Times New Roman" w:cs="Times New Roman"/>
                <w:color w:val="auto"/>
                <w:szCs w:val="21"/>
                <w:highlight w:val="none"/>
                <w:lang w:val="en-US" w:eastAsia="zh-CN"/>
              </w:rPr>
              <w:t>报告</w:t>
            </w:r>
            <w:r>
              <w:rPr>
                <w:rFonts w:hint="eastAsia" w:cs="Times New Roman"/>
                <w:color w:val="auto"/>
                <w:szCs w:val="21"/>
                <w:highlight w:val="none"/>
                <w:lang w:val="en-US" w:eastAsia="zh-CN"/>
              </w:rPr>
              <w:t>未分析VOCs排放情况</w:t>
            </w:r>
            <w:r>
              <w:rPr>
                <w:rFonts w:hint="default" w:ascii="Times New Roman" w:hAnsi="Times New Roman" w:cs="Times New Roman"/>
                <w:color w:val="auto"/>
                <w:szCs w:val="21"/>
                <w:highlight w:val="none"/>
                <w:lang w:val="en-US" w:eastAsia="zh-CN"/>
              </w:rPr>
              <w:t>。</w:t>
            </w:r>
          </w:p>
          <w:p>
            <w:pPr>
              <w:spacing w:line="360" w:lineRule="auto"/>
              <w:ind w:firstLine="480"/>
              <w:rPr>
                <w:rFonts w:hint="eastAsia"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根据201</w:t>
            </w:r>
            <w:r>
              <w:rPr>
                <w:rFonts w:hint="eastAsia" w:cs="Times New Roman"/>
                <w:color w:val="auto"/>
                <w:szCs w:val="21"/>
                <w:highlight w:val="none"/>
                <w:lang w:val="en-US" w:eastAsia="zh-CN"/>
              </w:rPr>
              <w:t>8</w:t>
            </w:r>
            <w:r>
              <w:rPr>
                <w:rFonts w:hint="default" w:ascii="Times New Roman" w:hAnsi="Times New Roman" w:cs="Times New Roman"/>
                <w:color w:val="auto"/>
                <w:szCs w:val="21"/>
                <w:highlight w:val="none"/>
                <w:lang w:val="en-US" w:eastAsia="zh-CN"/>
              </w:rPr>
              <w:t>年</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lang w:val="en-US" w:eastAsia="zh-CN"/>
              </w:rPr>
              <w:t>月《淄博市周村雅曼印染厂锅炉清洁能源项目环境影响报告表》</w:t>
            </w:r>
            <w:r>
              <w:rPr>
                <w:rFonts w:hint="eastAsia" w:cs="Times New Roman"/>
                <w:color w:val="auto"/>
                <w:szCs w:val="21"/>
                <w:highlight w:val="none"/>
                <w:lang w:val="en-US" w:eastAsia="zh-CN"/>
              </w:rPr>
              <w:t>燃气锅炉污染物</w:t>
            </w:r>
            <w:r>
              <w:rPr>
                <w:rFonts w:hint="eastAsia" w:cs="Times New Roman"/>
                <w:i w:val="0"/>
                <w:iCs w:val="0"/>
                <w:color w:val="auto"/>
                <w:szCs w:val="21"/>
                <w:highlight w:val="none"/>
                <w:lang w:val="en-US" w:eastAsia="zh-CN"/>
              </w:rPr>
              <w:t>总量指标</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i w:val="0"/>
                <w:iCs w:val="0"/>
                <w:color w:val="auto"/>
                <w:szCs w:val="21"/>
                <w:highlight w:val="none"/>
                <w:lang w:val="en-US" w:eastAsia="zh-CN"/>
              </w:rPr>
              <w:t>颗粒物</w:t>
            </w:r>
            <w:r>
              <w:rPr>
                <w:rFonts w:hint="eastAsia" w:cs="Times New Roman"/>
                <w:i w:val="0"/>
                <w:iCs w:val="0"/>
                <w:color w:val="auto"/>
                <w:szCs w:val="21"/>
                <w:highlight w:val="none"/>
                <w:lang w:val="en-US" w:eastAsia="zh-CN"/>
              </w:rPr>
              <w:t>0.12</w:t>
            </w:r>
            <w:r>
              <w:rPr>
                <w:rFonts w:hint="default" w:ascii="Times New Roman" w:hAnsi="Times New Roman" w:cs="Times New Roman"/>
                <w:i w:val="0"/>
                <w:iCs w:val="0"/>
                <w:color w:val="auto"/>
                <w:szCs w:val="21"/>
                <w:highlight w:val="none"/>
                <w:lang w:val="en-US" w:eastAsia="zh-CN"/>
              </w:rPr>
              <w:t>t/a、SO</w:t>
            </w:r>
            <w:r>
              <w:rPr>
                <w:rFonts w:hint="default" w:ascii="Times New Roman" w:hAnsi="Times New Roman" w:cs="Times New Roman"/>
                <w:i w:val="0"/>
                <w:iCs w:val="0"/>
                <w:color w:val="auto"/>
                <w:szCs w:val="21"/>
                <w:highlight w:val="none"/>
                <w:vertAlign w:val="subscript"/>
                <w:lang w:val="en-US" w:eastAsia="zh-CN"/>
              </w:rPr>
              <w:t>2</w:t>
            </w:r>
            <w:r>
              <w:rPr>
                <w:rFonts w:hint="eastAsia" w:cs="Times New Roman"/>
                <w:i w:val="0"/>
                <w:iCs w:val="0"/>
                <w:color w:val="auto"/>
                <w:szCs w:val="21"/>
                <w:highlight w:val="none"/>
                <w:lang w:val="en-US" w:eastAsia="zh-CN"/>
              </w:rPr>
              <w:t>0.2544</w:t>
            </w:r>
            <w:r>
              <w:rPr>
                <w:rFonts w:hint="default" w:ascii="Times New Roman" w:hAnsi="Times New Roman" w:cs="Times New Roman"/>
                <w:i w:val="0"/>
                <w:iCs w:val="0"/>
                <w:color w:val="auto"/>
                <w:szCs w:val="21"/>
                <w:highlight w:val="none"/>
                <w:lang w:val="en-US" w:eastAsia="zh-CN"/>
              </w:rPr>
              <w:t>t/a、NOx</w:t>
            </w:r>
            <w:r>
              <w:rPr>
                <w:rFonts w:hint="eastAsia" w:cs="Times New Roman"/>
                <w:i w:val="0"/>
                <w:iCs w:val="0"/>
                <w:color w:val="auto"/>
                <w:szCs w:val="21"/>
                <w:highlight w:val="none"/>
                <w:lang w:val="en-US" w:eastAsia="zh-CN"/>
              </w:rPr>
              <w:t>1.728</w:t>
            </w:r>
            <w:r>
              <w:rPr>
                <w:rFonts w:hint="default" w:ascii="Times New Roman" w:hAnsi="Times New Roman" w:cs="Times New Roman"/>
                <w:i w:val="0"/>
                <w:iCs w:val="0"/>
                <w:color w:val="auto"/>
                <w:szCs w:val="21"/>
                <w:highlight w:val="none"/>
                <w:lang w:val="en-US" w:eastAsia="zh-CN"/>
              </w:rPr>
              <w:t>t/a</w:t>
            </w:r>
            <w:r>
              <w:rPr>
                <w:rFonts w:hint="eastAsia" w:cs="Times New Roman"/>
                <w:color w:val="auto"/>
                <w:szCs w:val="21"/>
                <w:highlight w:val="none"/>
                <w:lang w:val="en-US" w:eastAsia="zh-CN"/>
              </w:rPr>
              <w:t>。依据该报告表P21现有项目情况说明里表1-16 1#排气筒废气监测数据：1#排气筒（DA002）非甲烷总烃监测数据最大排放速率0.0427kg/h，年工作时间4800h，推导现有项目非甲烷总烃排放量为0.205t/a。</w:t>
            </w:r>
          </w:p>
          <w:p>
            <w:pPr>
              <w:spacing w:line="360" w:lineRule="auto"/>
              <w:ind w:firstLine="480"/>
              <w:rPr>
                <w:rFonts w:hint="default"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淄博市周村雅曼印染厂排污许可管理级别为重点管理，无废气主排口，不需许可废气排放口排放量</w:t>
            </w:r>
            <w:r>
              <w:rPr>
                <w:rFonts w:hint="eastAsia" w:cs="Times New Roman"/>
                <w:color w:val="auto"/>
                <w:szCs w:val="21"/>
                <w:highlight w:val="none"/>
                <w:lang w:val="en-US" w:eastAsia="zh-CN"/>
              </w:rPr>
              <w:t>。企业于2024年11月自主安装二级活性炭吸附装置处理DA002有机废气，排污许可证已做变更。</w:t>
            </w:r>
          </w:p>
          <w:p>
            <w:pPr>
              <w:spacing w:line="360" w:lineRule="auto"/>
              <w:ind w:firstLine="480"/>
              <w:rPr>
                <w:rFonts w:hint="default" w:ascii="Times New Roman" w:hAnsi="Times New Roman" w:cs="Times New Roman"/>
                <w:i w:val="0"/>
                <w:iCs w:val="0"/>
                <w:color w:val="auto"/>
                <w:szCs w:val="21"/>
                <w:highlight w:val="none"/>
                <w:lang w:val="en-US" w:eastAsia="zh-CN"/>
              </w:rPr>
            </w:pPr>
            <w:r>
              <w:rPr>
                <w:rFonts w:hint="default" w:ascii="Times New Roman" w:hAnsi="Times New Roman" w:cs="Times New Roman"/>
                <w:i w:val="0"/>
                <w:iCs w:val="0"/>
                <w:color w:val="auto"/>
                <w:szCs w:val="21"/>
                <w:highlight w:val="none"/>
                <w:lang w:val="en-US" w:eastAsia="zh-CN"/>
              </w:rPr>
              <w:t>综合考虑，现有项目</w:t>
            </w:r>
            <w:r>
              <w:rPr>
                <w:rFonts w:hint="eastAsia" w:cs="Times New Roman"/>
                <w:i w:val="0"/>
                <w:iCs w:val="0"/>
                <w:color w:val="auto"/>
                <w:szCs w:val="21"/>
                <w:highlight w:val="none"/>
                <w:lang w:val="en-US" w:eastAsia="zh-CN"/>
              </w:rPr>
              <w:t>污染物排放量</w:t>
            </w:r>
            <w:r>
              <w:rPr>
                <w:rFonts w:hint="default" w:ascii="Times New Roman" w:hAnsi="Times New Roman" w:cs="Times New Roman"/>
                <w:i w:val="0"/>
                <w:iCs w:val="0"/>
                <w:color w:val="auto"/>
                <w:szCs w:val="21"/>
                <w:highlight w:val="none"/>
                <w:lang w:val="en-US" w:eastAsia="zh-CN"/>
              </w:rPr>
              <w:t>为颗粒物</w:t>
            </w:r>
            <w:r>
              <w:rPr>
                <w:rFonts w:hint="eastAsia" w:cs="Times New Roman"/>
                <w:i w:val="0"/>
                <w:iCs w:val="0"/>
                <w:color w:val="auto"/>
                <w:szCs w:val="21"/>
                <w:highlight w:val="none"/>
                <w:lang w:val="en-US" w:eastAsia="zh-CN"/>
              </w:rPr>
              <w:t>0.2112</w:t>
            </w:r>
            <w:r>
              <w:rPr>
                <w:rFonts w:hint="default" w:ascii="Times New Roman" w:hAnsi="Times New Roman" w:cs="Times New Roman"/>
                <w:i w:val="0"/>
                <w:iCs w:val="0"/>
                <w:color w:val="auto"/>
                <w:szCs w:val="21"/>
                <w:highlight w:val="none"/>
                <w:lang w:val="en-US" w:eastAsia="zh-CN"/>
              </w:rPr>
              <w:t>t/a、SO</w:t>
            </w:r>
            <w:r>
              <w:rPr>
                <w:rFonts w:hint="default" w:ascii="Times New Roman" w:hAnsi="Times New Roman" w:cs="Times New Roman"/>
                <w:i w:val="0"/>
                <w:iCs w:val="0"/>
                <w:color w:val="auto"/>
                <w:szCs w:val="21"/>
                <w:highlight w:val="none"/>
                <w:vertAlign w:val="subscript"/>
                <w:lang w:val="en-US" w:eastAsia="zh-CN"/>
              </w:rPr>
              <w:t>2</w:t>
            </w:r>
            <w:r>
              <w:rPr>
                <w:rFonts w:hint="eastAsia" w:cs="Times New Roman"/>
                <w:i w:val="0"/>
                <w:iCs w:val="0"/>
                <w:color w:val="auto"/>
                <w:szCs w:val="21"/>
                <w:highlight w:val="none"/>
                <w:lang w:val="en-US" w:eastAsia="zh-CN"/>
              </w:rPr>
              <w:t>0.2544</w:t>
            </w:r>
            <w:r>
              <w:rPr>
                <w:rFonts w:hint="default" w:ascii="Times New Roman" w:hAnsi="Times New Roman" w:cs="Times New Roman"/>
                <w:i w:val="0"/>
                <w:iCs w:val="0"/>
                <w:color w:val="auto"/>
                <w:szCs w:val="21"/>
                <w:highlight w:val="none"/>
                <w:lang w:val="en-US" w:eastAsia="zh-CN"/>
              </w:rPr>
              <w:t>t/a、NOx</w:t>
            </w:r>
            <w:r>
              <w:rPr>
                <w:rFonts w:hint="eastAsia" w:cs="Times New Roman"/>
                <w:i w:val="0"/>
                <w:iCs w:val="0"/>
                <w:color w:val="auto"/>
                <w:szCs w:val="21"/>
                <w:highlight w:val="none"/>
                <w:lang w:val="en-US" w:eastAsia="zh-CN"/>
              </w:rPr>
              <w:t>1.728</w:t>
            </w:r>
            <w:r>
              <w:rPr>
                <w:rFonts w:hint="default" w:ascii="Times New Roman" w:hAnsi="Times New Roman" w:cs="Times New Roman"/>
                <w:i w:val="0"/>
                <w:iCs w:val="0"/>
                <w:color w:val="auto"/>
                <w:szCs w:val="21"/>
                <w:highlight w:val="none"/>
                <w:lang w:val="en-US" w:eastAsia="zh-CN"/>
              </w:rPr>
              <w:t>t/a，VOCs</w:t>
            </w:r>
            <w:r>
              <w:rPr>
                <w:rFonts w:hint="eastAsia" w:cs="Times New Roman"/>
                <w:i w:val="0"/>
                <w:iCs w:val="0"/>
                <w:color w:val="auto"/>
                <w:szCs w:val="21"/>
                <w:highlight w:val="none"/>
                <w:lang w:val="en-US" w:eastAsia="zh-CN"/>
              </w:rPr>
              <w:t>0.205t/a</w:t>
            </w:r>
            <w:r>
              <w:rPr>
                <w:rFonts w:hint="default" w:ascii="Times New Roman" w:hAnsi="Times New Roman" w:cs="Times New Roman"/>
                <w:i w:val="0"/>
                <w:iCs w:val="0"/>
                <w:color w:val="auto"/>
                <w:szCs w:val="21"/>
                <w:highlight w:val="none"/>
                <w:lang w:val="en-US" w:eastAsia="zh-CN"/>
              </w:rPr>
              <w:t>，根据上面监测数据计算，颗粒物排放量为</w:t>
            </w:r>
            <w:r>
              <w:rPr>
                <w:rFonts w:hint="eastAsia" w:cs="Times New Roman"/>
                <w:i w:val="0"/>
                <w:iCs w:val="0"/>
                <w:color w:val="auto"/>
                <w:szCs w:val="21"/>
                <w:highlight w:val="none"/>
                <w:lang w:val="en-US" w:eastAsia="zh-CN"/>
              </w:rPr>
              <w:t>0.086</w:t>
            </w:r>
            <w:r>
              <w:rPr>
                <w:rFonts w:hint="default" w:ascii="Times New Roman" w:hAnsi="Times New Roman" w:cs="Times New Roman"/>
                <w:i w:val="0"/>
                <w:iCs w:val="0"/>
                <w:color w:val="auto"/>
                <w:szCs w:val="21"/>
                <w:highlight w:val="none"/>
                <w:lang w:val="en-US" w:eastAsia="zh-CN"/>
              </w:rPr>
              <w:t>t/a，SO</w:t>
            </w:r>
            <w:r>
              <w:rPr>
                <w:rFonts w:hint="default" w:ascii="Times New Roman" w:hAnsi="Times New Roman" w:cs="Times New Roman"/>
                <w:i w:val="0"/>
                <w:iCs w:val="0"/>
                <w:color w:val="auto"/>
                <w:szCs w:val="21"/>
                <w:highlight w:val="none"/>
                <w:vertAlign w:val="subscript"/>
                <w:lang w:val="en-US" w:eastAsia="zh-CN"/>
              </w:rPr>
              <w:t>2</w:t>
            </w:r>
            <w:r>
              <w:rPr>
                <w:rFonts w:hint="default" w:ascii="Times New Roman" w:hAnsi="Times New Roman" w:cs="Times New Roman"/>
                <w:i w:val="0"/>
                <w:iCs w:val="0"/>
                <w:color w:val="auto"/>
                <w:szCs w:val="21"/>
                <w:highlight w:val="none"/>
                <w:lang w:val="en-US" w:eastAsia="zh-CN"/>
              </w:rPr>
              <w:t>排放量为0.076t/a，NOx排放量为0.493t/a，</w:t>
            </w:r>
            <w:r>
              <w:rPr>
                <w:rFonts w:hint="eastAsia" w:cs="Times New Roman"/>
                <w:i w:val="0"/>
                <w:iCs w:val="0"/>
                <w:color w:val="auto"/>
                <w:szCs w:val="21"/>
                <w:highlight w:val="none"/>
                <w:lang w:val="en-US" w:eastAsia="zh-CN"/>
              </w:rPr>
              <w:t>非甲烷总烃排放量为0.096t/a，</w:t>
            </w:r>
            <w:r>
              <w:rPr>
                <w:rFonts w:hint="default" w:ascii="Times New Roman" w:hAnsi="Times New Roman" w:cs="Times New Roman"/>
                <w:i w:val="0"/>
                <w:iCs w:val="0"/>
                <w:color w:val="auto"/>
                <w:szCs w:val="21"/>
                <w:highlight w:val="none"/>
                <w:lang w:val="en-US" w:eastAsia="zh-CN"/>
              </w:rPr>
              <w:t>SO</w:t>
            </w:r>
            <w:r>
              <w:rPr>
                <w:rFonts w:hint="default" w:ascii="Times New Roman" w:hAnsi="Times New Roman" w:cs="Times New Roman"/>
                <w:i w:val="0"/>
                <w:iCs w:val="0"/>
                <w:color w:val="auto"/>
                <w:szCs w:val="21"/>
                <w:highlight w:val="none"/>
                <w:vertAlign w:val="subscript"/>
                <w:lang w:val="en-US" w:eastAsia="zh-CN"/>
              </w:rPr>
              <w:t>2</w:t>
            </w:r>
            <w:r>
              <w:rPr>
                <w:rFonts w:hint="default" w:ascii="Times New Roman" w:hAnsi="Times New Roman" w:cs="Times New Roman"/>
                <w:i w:val="0"/>
                <w:iCs w:val="0"/>
                <w:color w:val="auto"/>
                <w:szCs w:val="21"/>
                <w:highlight w:val="none"/>
                <w:lang w:val="en-US" w:eastAsia="zh-CN"/>
              </w:rPr>
              <w:t>、NOx、颗粒物</w:t>
            </w:r>
            <w:r>
              <w:rPr>
                <w:rFonts w:hint="eastAsia" w:cs="Times New Roman"/>
                <w:i w:val="0"/>
                <w:iCs w:val="0"/>
                <w:color w:val="auto"/>
                <w:szCs w:val="21"/>
                <w:highlight w:val="none"/>
                <w:lang w:val="en-US" w:eastAsia="zh-CN"/>
              </w:rPr>
              <w:t>、非甲烷总烃</w:t>
            </w:r>
            <w:r>
              <w:rPr>
                <w:rFonts w:hint="default" w:ascii="Times New Roman" w:hAnsi="Times New Roman" w:cs="Times New Roman"/>
                <w:i w:val="0"/>
                <w:iCs w:val="0"/>
                <w:color w:val="auto"/>
                <w:szCs w:val="21"/>
                <w:highlight w:val="none"/>
                <w:lang w:val="en-US" w:eastAsia="zh-CN"/>
              </w:rPr>
              <w:t>未超现有项目</w:t>
            </w:r>
            <w:r>
              <w:rPr>
                <w:rFonts w:hint="eastAsia" w:cs="Times New Roman"/>
                <w:i w:val="0"/>
                <w:iCs w:val="0"/>
                <w:color w:val="auto"/>
                <w:szCs w:val="21"/>
                <w:highlight w:val="none"/>
                <w:lang w:val="en-US" w:eastAsia="zh-CN"/>
              </w:rPr>
              <w:t>排放量</w:t>
            </w:r>
            <w:r>
              <w:rPr>
                <w:rFonts w:hint="default" w:ascii="Times New Roman" w:hAnsi="Times New Roman" w:cs="Times New Roman"/>
                <w:i w:val="0"/>
                <w:iCs w:val="0"/>
                <w:color w:val="auto"/>
                <w:szCs w:val="21"/>
                <w:highlight w:val="none"/>
                <w:lang w:val="en-US" w:eastAsia="zh-CN"/>
              </w:rPr>
              <w:t>。</w:t>
            </w:r>
          </w:p>
          <w:p>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lang w:val="en-US" w:eastAsia="zh-CN"/>
              </w:rPr>
              <w:t>8、</w:t>
            </w:r>
            <w:r>
              <w:rPr>
                <w:rFonts w:hint="default" w:ascii="Times New Roman" w:hAnsi="Times New Roman" w:cs="Times New Roman"/>
                <w:b/>
                <w:bCs/>
                <w:color w:val="auto"/>
                <w:szCs w:val="21"/>
                <w:highlight w:val="none"/>
              </w:rPr>
              <w:t>排污许可证执行情况</w:t>
            </w:r>
          </w:p>
          <w:p>
            <w:pPr>
              <w:spacing w:line="360" w:lineRule="auto"/>
              <w:ind w:firstLine="480"/>
              <w:rPr>
                <w:rFonts w:hint="default" w:ascii="Times New Roman" w:hAnsi="Times New Roman" w:cs="Times New Roman"/>
                <w:color w:val="auto"/>
                <w:highlight w:val="none"/>
              </w:rPr>
            </w:pPr>
            <w:r>
              <w:rPr>
                <w:rFonts w:hint="default" w:ascii="Times New Roman" w:hAnsi="Times New Roman" w:cs="Times New Roman"/>
                <w:color w:val="auto"/>
                <w:szCs w:val="21"/>
                <w:highlight w:val="none"/>
                <w:lang w:val="en-US" w:eastAsia="zh-CN"/>
              </w:rPr>
              <w:t>淄博市周村雅曼印染厂已申领排污许可证，排污许可证</w:t>
            </w:r>
            <w:r>
              <w:rPr>
                <w:rFonts w:hint="default" w:ascii="Times New Roman" w:hAnsi="Times New Roman" w:cs="Times New Roman"/>
                <w:bCs/>
                <w:color w:val="auto"/>
                <w:szCs w:val="21"/>
                <w:highlight w:val="none"/>
              </w:rPr>
              <w:t>编号为91370306737243058K001P</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有效期为2024-03-28至2029-03-27</w:t>
            </w:r>
            <w:r>
              <w:rPr>
                <w:rFonts w:hint="default" w:ascii="Times New Roman" w:hAnsi="Times New Roman" w:cs="Times New Roman"/>
                <w:color w:val="auto"/>
                <w:highlight w:val="none"/>
              </w:rPr>
              <w:t>。</w:t>
            </w:r>
          </w:p>
          <w:p>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lang w:val="en-US" w:eastAsia="zh-CN"/>
              </w:rPr>
              <w:t>9</w:t>
            </w:r>
            <w:r>
              <w:rPr>
                <w:rFonts w:hint="default" w:ascii="Times New Roman" w:hAnsi="Times New Roman" w:cs="Times New Roman"/>
                <w:b/>
                <w:bCs/>
                <w:color w:val="auto"/>
                <w:szCs w:val="21"/>
                <w:highlight w:val="none"/>
              </w:rPr>
              <w:t>、现有项目运行存在的环保问题及整改措施</w:t>
            </w:r>
          </w:p>
          <w:p>
            <w:pPr>
              <w:pStyle w:val="14"/>
              <w:spacing w:line="360" w:lineRule="auto"/>
              <w:ind w:firstLine="367" w:firstLineChars="175"/>
              <w:rPr>
                <w:rFonts w:hint="default" w:ascii="Times New Roman" w:hAnsi="Times New Roman" w:cs="Times New Roman"/>
                <w:color w:val="auto"/>
                <w:highlight w:val="none"/>
              </w:rPr>
            </w:pPr>
            <w:r>
              <w:rPr>
                <w:rFonts w:hint="default" w:ascii="Times New Roman" w:hAnsi="Times New Roman" w:cs="Times New Roman"/>
                <w:color w:val="auto"/>
                <w:highlight w:val="none"/>
              </w:rPr>
              <w:t>（1）现有项目存在的问题</w:t>
            </w:r>
          </w:p>
          <w:p>
            <w:pPr>
              <w:pStyle w:val="14"/>
              <w:spacing w:line="360" w:lineRule="auto"/>
              <w:ind w:firstLine="367" w:firstLineChars="175"/>
              <w:rPr>
                <w:rFonts w:hint="default" w:ascii="Times New Roman" w:hAnsi="Times New Roman" w:cs="Times New Roman"/>
                <w:color w:val="auto"/>
                <w:highlight w:val="none"/>
                <w:lang w:val="en-US" w:eastAsia="zh-CN"/>
              </w:rPr>
            </w:pPr>
            <w:bookmarkStart w:id="23" w:name="OLE_LINK26"/>
            <w:r>
              <w:rPr>
                <w:rFonts w:hint="default" w:ascii="Times New Roman" w:hAnsi="Times New Roman" w:cs="Times New Roman"/>
                <w:color w:val="auto"/>
                <w:highlight w:val="none"/>
                <w:lang w:val="en-US" w:eastAsia="zh-CN"/>
              </w:rPr>
              <w:t>污泥房未封闭；污水站池体有破损；现有项目</w:t>
            </w:r>
            <w:r>
              <w:rPr>
                <w:rFonts w:hint="eastAsia" w:hAnsi="Times New Roman" w:cs="Times New Roman"/>
                <w:color w:val="auto"/>
                <w:highlight w:val="none"/>
                <w:lang w:val="en-US" w:eastAsia="zh-CN"/>
              </w:rPr>
              <w:t>后评价报告未分析VOCs产生情况，《淄博市周村雅曼印染厂锅炉清洁能源项目环境影响报告表》里对烧毛、定型非甲烷总烃产生情况进行了补充分析，但未申请VOCs总量指标</w:t>
            </w:r>
            <w:r>
              <w:rPr>
                <w:rFonts w:hint="default" w:ascii="Times New Roman" w:hAnsi="Times New Roman" w:cs="Times New Roman"/>
                <w:color w:val="auto"/>
                <w:highlight w:val="none"/>
                <w:lang w:val="en-US" w:eastAsia="zh-CN"/>
              </w:rPr>
              <w:t>。</w:t>
            </w:r>
          </w:p>
          <w:p>
            <w:pPr>
              <w:pStyle w:val="14"/>
              <w:spacing w:line="360" w:lineRule="auto"/>
              <w:ind w:firstLine="367" w:firstLineChars="175"/>
              <w:rPr>
                <w:rFonts w:hint="default" w:ascii="Times New Roman" w:hAnsi="Times New Roman" w:cs="Times New Roman"/>
                <w:color w:val="auto"/>
                <w:highlight w:val="none"/>
              </w:rPr>
            </w:pPr>
            <w:r>
              <w:rPr>
                <w:rFonts w:hint="default" w:ascii="Times New Roman" w:hAnsi="Times New Roman" w:cs="Times New Roman"/>
                <w:color w:val="auto"/>
                <w:highlight w:val="none"/>
              </w:rPr>
              <w:t>（2）改进措施</w:t>
            </w:r>
          </w:p>
          <w:p>
            <w:pPr>
              <w:pStyle w:val="14"/>
              <w:spacing w:line="360" w:lineRule="auto"/>
              <w:ind w:firstLine="367" w:firstLineChars="175"/>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封闭污泥房；维护污水站池体；随技改</w:t>
            </w:r>
            <w:r>
              <w:rPr>
                <w:rFonts w:hint="eastAsia" w:hAnsi="Times New Roman" w:cs="Times New Roman"/>
                <w:color w:val="auto"/>
                <w:highlight w:val="none"/>
                <w:lang w:val="en-US" w:eastAsia="zh-CN"/>
              </w:rPr>
              <w:t>一并</w:t>
            </w:r>
            <w:r>
              <w:rPr>
                <w:rFonts w:hint="default" w:ascii="Times New Roman" w:hAnsi="Times New Roman" w:cs="Times New Roman"/>
                <w:color w:val="auto"/>
                <w:highlight w:val="none"/>
                <w:lang w:val="en-US" w:eastAsia="zh-CN"/>
              </w:rPr>
              <w:t>申请VOCs总量指标。</w:t>
            </w:r>
          </w:p>
          <w:p>
            <w:pPr>
              <w:pStyle w:val="14"/>
              <w:spacing w:line="360" w:lineRule="auto"/>
              <w:ind w:firstLine="367" w:firstLineChars="175"/>
              <w:rPr>
                <w:rFonts w:hint="default" w:ascii="Times New Roman" w:hAnsi="Times New Roman" w:cs="Times New Roman"/>
                <w:color w:val="auto"/>
                <w:highlight w:val="none"/>
              </w:rPr>
            </w:pPr>
            <w:r>
              <w:rPr>
                <w:rFonts w:hint="default" w:ascii="Times New Roman" w:hAnsi="Times New Roman" w:cs="Times New Roman"/>
                <w:color w:val="auto"/>
                <w:highlight w:val="none"/>
              </w:rPr>
              <w:t>（3）整改完成时间</w:t>
            </w:r>
          </w:p>
          <w:bookmarkEnd w:id="23"/>
          <w:p>
            <w:pPr>
              <w:ind w:firstLine="420" w:firstLineChars="20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随技改项目建设完成整改</w:t>
            </w:r>
            <w:r>
              <w:rPr>
                <w:rFonts w:hint="default" w:ascii="Times New Roman" w:hAnsi="Times New Roman" w:cs="Times New Roman"/>
                <w:color w:val="auto"/>
                <w:highlight w:val="none"/>
                <w:lang w:eastAsia="zh-CN"/>
              </w:rPr>
              <w:t>。</w:t>
            </w:r>
          </w:p>
          <w:p>
            <w:pPr>
              <w:ind w:firstLine="420" w:firstLineChars="200"/>
              <w:rPr>
                <w:rFonts w:hint="default" w:ascii="Times New Roman" w:hAnsi="Times New Roman" w:cs="Times New Roman"/>
                <w:color w:val="auto"/>
                <w:highlight w:val="none"/>
                <w:lang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color w:val="auto"/>
                <w:spacing w:val="0"/>
                <w:kern w:val="0"/>
                <w:sz w:val="21"/>
                <w:szCs w:val="21"/>
                <w:highlight w:val="none"/>
                <w:lang w:val="en-US" w:eastAsia="zh-CN"/>
              </w:rPr>
            </w:pPr>
          </w:p>
        </w:tc>
      </w:tr>
    </w:tbl>
    <w:p>
      <w:pPr>
        <w:pStyle w:val="3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宋体" w:cs="Times New Roman"/>
          <w:b/>
          <w:bCs/>
          <w:color w:val="auto"/>
          <w:spacing w:val="0"/>
          <w:highlight w:val="none"/>
        </w:rPr>
        <w:br w:type="page"/>
      </w:r>
      <w:bookmarkStart w:id="24" w:name="_Toc11116"/>
      <w:r>
        <w:rPr>
          <w:rFonts w:hint="default" w:ascii="Times New Roman" w:hAnsi="Times New Roman" w:eastAsia="黑体" w:cs="Times New Roman"/>
          <w:snapToGrid w:val="0"/>
          <w:color w:val="auto"/>
          <w:sz w:val="30"/>
          <w:szCs w:val="30"/>
          <w:highlight w:val="none"/>
        </w:rPr>
        <w:t>三、区域环境质量现状、环境保护目标及评价标准</w:t>
      </w:r>
      <w:bookmarkEnd w:id="24"/>
    </w:p>
    <w:tbl>
      <w:tblPr>
        <w:tblStyle w:val="36"/>
        <w:tblW w:w="512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6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358" w:type="pct"/>
            <w:noWrap w:val="0"/>
            <w:vAlign w:val="center"/>
          </w:tcPr>
          <w:p>
            <w:pPr>
              <w:adjustRightInd w:val="0"/>
              <w:snapToGrid w:val="0"/>
              <w:jc w:val="center"/>
              <w:rPr>
                <w:rFonts w:hint="default" w:ascii="Times New Roman" w:hAnsi="Times New Roman" w:eastAsia="宋体" w:cs="Times New Roman"/>
                <w:color w:val="auto"/>
                <w:spacing w:val="0"/>
                <w:kern w:val="0"/>
                <w:szCs w:val="21"/>
                <w:highlight w:val="none"/>
                <w:lang w:eastAsia="zh-CN"/>
              </w:rPr>
            </w:pPr>
            <w:r>
              <w:rPr>
                <w:rFonts w:hint="default" w:ascii="Times New Roman" w:hAnsi="Times New Roman" w:eastAsia="宋体" w:cs="Times New Roman"/>
                <w:color w:val="auto"/>
                <w:spacing w:val="0"/>
                <w:kern w:val="0"/>
                <w:szCs w:val="21"/>
                <w:highlight w:val="none"/>
                <w:lang w:eastAsia="zh-CN"/>
              </w:rPr>
              <w:t>区域环境质量现状</w:t>
            </w:r>
          </w:p>
        </w:tc>
        <w:tc>
          <w:tcPr>
            <w:tcW w:w="4641"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1、大气环境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textAlignment w:val="auto"/>
              <w:rPr>
                <w:rFonts w:hint="default" w:ascii="Times New Roman" w:hAnsi="Times New Roman" w:eastAsia="宋体" w:cs="Times New Roman"/>
                <w:color w:val="auto"/>
                <w:sz w:val="21"/>
                <w:szCs w:val="21"/>
                <w:highlight w:val="none"/>
                <w:lang w:val="zh-CN" w:eastAsia="zh-CN"/>
              </w:rPr>
            </w:pPr>
            <w:r>
              <w:rPr>
                <w:rFonts w:hint="default" w:ascii="Times New Roman" w:hAnsi="Times New Roman" w:cs="Times New Roman"/>
                <w:color w:val="auto"/>
                <w:sz w:val="21"/>
                <w:szCs w:val="21"/>
                <w:highlight w:val="none"/>
              </w:rPr>
              <w:t>根据淄博市生态环境局</w:t>
            </w:r>
            <w:r>
              <w:rPr>
                <w:rFonts w:hint="default" w:ascii="Times New Roman" w:hAnsi="Times New Roman" w:cs="Times New Roman"/>
                <w:color w:val="auto"/>
                <w:sz w:val="21"/>
                <w:szCs w:val="21"/>
                <w:highlight w:val="none"/>
                <w:lang w:val="en-US" w:eastAsia="zh-CN"/>
              </w:rPr>
              <w:t>2025</w:t>
            </w:r>
            <w:r>
              <w:rPr>
                <w:rFonts w:hint="default" w:ascii="Times New Roman" w:hAnsi="Times New Roman" w:cs="Times New Roman"/>
                <w:color w:val="auto"/>
                <w:sz w:val="21"/>
                <w:szCs w:val="21"/>
                <w:highlight w:val="none"/>
              </w:rPr>
              <w:t>年</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月</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7日发布的《2024年12月份及全年环境空气质量情况通报》，</w:t>
            </w:r>
            <w:r>
              <w:rPr>
                <w:rFonts w:hint="default" w:ascii="Times New Roman" w:hAnsi="Times New Roman" w:cs="Times New Roman"/>
                <w:color w:val="auto"/>
                <w:sz w:val="21"/>
                <w:szCs w:val="21"/>
                <w:highlight w:val="none"/>
                <w:lang w:val="en-US" w:eastAsia="zh-CN"/>
              </w:rPr>
              <w:t>2024</w:t>
            </w:r>
            <w:r>
              <w:rPr>
                <w:rFonts w:hint="default" w:ascii="Times New Roman" w:hAnsi="Times New Roman" w:cs="Times New Roman"/>
                <w:color w:val="auto"/>
                <w:sz w:val="21"/>
                <w:szCs w:val="21"/>
                <w:highlight w:val="none"/>
              </w:rPr>
              <w:t>年度，</w:t>
            </w:r>
            <w:r>
              <w:rPr>
                <w:rFonts w:hint="default" w:ascii="Times New Roman" w:hAnsi="Times New Roman" w:cs="Times New Roman"/>
                <w:color w:val="auto"/>
                <w:sz w:val="21"/>
                <w:szCs w:val="21"/>
                <w:highlight w:val="none"/>
                <w:lang w:val="en-US" w:eastAsia="zh-CN"/>
              </w:rPr>
              <w:t>文昌湖省级旅游度假区</w:t>
            </w:r>
            <w:r>
              <w:rPr>
                <w:rFonts w:hint="default" w:ascii="Times New Roman" w:hAnsi="Times New Roman" w:cs="Times New Roman"/>
                <w:color w:val="auto"/>
                <w:sz w:val="21"/>
                <w:szCs w:val="21"/>
                <w:highlight w:val="none"/>
              </w:rPr>
              <w:t>范围内环境空气中污染物SO</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、NO</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30</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PM</w:t>
            </w:r>
            <w:r>
              <w:rPr>
                <w:rFonts w:hint="default" w:ascii="Times New Roman" w:hAnsi="Times New Roman" w:cs="Times New Roman"/>
                <w:color w:val="auto"/>
                <w:sz w:val="21"/>
                <w:szCs w:val="21"/>
                <w:highlight w:val="none"/>
                <w:vertAlign w:val="subscript"/>
              </w:rPr>
              <w:t>10</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68</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、PM</w:t>
            </w:r>
            <w:r>
              <w:rPr>
                <w:rFonts w:hint="default" w:ascii="Times New Roman" w:hAnsi="Times New Roman" w:cs="Times New Roman"/>
                <w:color w:val="auto"/>
                <w:sz w:val="21"/>
                <w:szCs w:val="21"/>
                <w:highlight w:val="none"/>
                <w:vertAlign w:val="subscript"/>
              </w:rPr>
              <w:t>2.5</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39</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CO</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1100</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O</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190</w:t>
            </w: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eastAsia="宋体" w:cs="Times New Roman"/>
                <w:color w:val="auto"/>
                <w:sz w:val="21"/>
                <w:szCs w:val="21"/>
                <w:highlight w:val="none"/>
                <w:lang w:val="zh-CN" w:eastAsia="zh-CN"/>
              </w:rPr>
              <w:t>项目区域</w:t>
            </w:r>
            <w:r>
              <w:rPr>
                <w:rFonts w:hint="default" w:ascii="Times New Roman" w:hAnsi="Times New Roman" w:cs="Times New Roman"/>
                <w:color w:val="auto"/>
                <w:sz w:val="21"/>
                <w:szCs w:val="21"/>
                <w:highlight w:val="none"/>
                <w:lang w:val="en-US" w:eastAsia="zh-CN"/>
              </w:rPr>
              <w:t>大气</w:t>
            </w:r>
            <w:r>
              <w:rPr>
                <w:rFonts w:hint="default" w:ascii="Times New Roman" w:hAnsi="Times New Roman" w:eastAsia="宋体" w:cs="Times New Roman"/>
                <w:color w:val="auto"/>
                <w:sz w:val="21"/>
                <w:szCs w:val="21"/>
                <w:highlight w:val="none"/>
                <w:lang w:val="zh-CN" w:eastAsia="zh-CN"/>
              </w:rPr>
              <w:t>环境质量及判定情况如下</w:t>
            </w:r>
            <w:r>
              <w:rPr>
                <w:rFonts w:hint="default" w:ascii="Times New Roman" w:hAnsi="Times New Roman" w:cs="Times New Roman"/>
                <w:color w:val="auto"/>
                <w:sz w:val="21"/>
                <w:szCs w:val="21"/>
                <w:highlight w:val="none"/>
                <w:lang w:val="en-US" w:eastAsia="zh-CN"/>
              </w:rPr>
              <w:t>表所示</w:t>
            </w:r>
            <w:r>
              <w:rPr>
                <w:rFonts w:hint="default" w:ascii="Times New Roman" w:hAnsi="Times New Roman" w:eastAsia="宋体" w:cs="Times New Roman"/>
                <w:color w:val="auto"/>
                <w:sz w:val="21"/>
                <w:szCs w:val="21"/>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 xml:space="preserve">表3-1 </w:t>
            </w:r>
            <w:r>
              <w:rPr>
                <w:rFonts w:hint="default" w:ascii="Times New Roman" w:hAnsi="Times New Roman" w:cs="Times New Roman"/>
                <w:b/>
                <w:bCs/>
                <w:color w:val="auto"/>
                <w:highlight w:val="none"/>
                <w:lang w:val="en-US" w:eastAsia="zh-CN"/>
              </w:rPr>
              <w:t xml:space="preserve"> </w:t>
            </w:r>
            <w:r>
              <w:rPr>
                <w:rFonts w:hint="default" w:ascii="Times New Roman" w:hAnsi="Times New Roman" w:cs="Times New Roman"/>
                <w:b/>
                <w:bCs/>
                <w:color w:val="auto"/>
                <w:highlight w:val="none"/>
              </w:rPr>
              <w:t>环境空气质量状况一览表（</w:t>
            </w:r>
            <w:r>
              <w:rPr>
                <w:rFonts w:hint="default" w:ascii="Times New Roman" w:hAnsi="Times New Roman" w:cs="Times New Roman"/>
                <w:b/>
                <w:bCs/>
                <w:color w:val="auto"/>
                <w:highlight w:val="none"/>
                <w:lang w:eastAsia="zh-CN"/>
              </w:rPr>
              <w:t>μ</w:t>
            </w:r>
            <w:r>
              <w:rPr>
                <w:rFonts w:hint="default" w:ascii="Times New Roman" w:hAnsi="Times New Roman" w:cs="Times New Roman"/>
                <w:b/>
                <w:bCs/>
                <w:color w:val="auto"/>
                <w:highlight w:val="none"/>
              </w:rPr>
              <w:t>g/m</w:t>
            </w:r>
            <w:r>
              <w:rPr>
                <w:rFonts w:hint="default" w:ascii="Times New Roman" w:hAnsi="Times New Roman" w:cs="Times New Roman"/>
                <w:b/>
                <w:bCs/>
                <w:color w:val="auto"/>
                <w:highlight w:val="none"/>
                <w:vertAlign w:val="superscript"/>
              </w:rPr>
              <w:t>3</w:t>
            </w:r>
            <w:r>
              <w:rPr>
                <w:rFonts w:hint="default" w:ascii="Times New Roman" w:hAnsi="Times New Roman" w:cs="Times New Roman"/>
                <w:b/>
                <w:bCs/>
                <w:color w:val="auto"/>
                <w:highlight w:val="none"/>
              </w:rPr>
              <w:t>）</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2680"/>
              <w:gridCol w:w="1183"/>
              <w:gridCol w:w="1144"/>
              <w:gridCol w:w="1104"/>
              <w:gridCol w:w="10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5" w:type="dxa"/>
                  <w:tcBorders>
                    <w:tl2br w:val="nil"/>
                    <w:tr2bl w:val="nil"/>
                  </w:tcBorders>
                  <w:noWrap w:val="0"/>
                  <w:vAlign w:val="center"/>
                </w:tcPr>
                <w:p>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污染物</w:t>
                  </w:r>
                </w:p>
              </w:tc>
              <w:tc>
                <w:tcPr>
                  <w:tcW w:w="2680" w:type="dxa"/>
                  <w:tcBorders>
                    <w:tl2br w:val="nil"/>
                    <w:tr2bl w:val="nil"/>
                  </w:tcBorders>
                  <w:noWrap w:val="0"/>
                  <w:vAlign w:val="center"/>
                </w:tcPr>
                <w:p>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年评价指标</w:t>
                  </w:r>
                </w:p>
              </w:tc>
              <w:tc>
                <w:tcPr>
                  <w:tcW w:w="1183" w:type="dxa"/>
                  <w:tcBorders>
                    <w:tl2br w:val="nil"/>
                    <w:tr2bl w:val="nil"/>
                  </w:tcBorders>
                  <w:noWrap w:val="0"/>
                  <w:vAlign w:val="center"/>
                </w:tcPr>
                <w:p>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现状浓度</w:t>
                  </w:r>
                </w:p>
              </w:tc>
              <w:tc>
                <w:tcPr>
                  <w:tcW w:w="1144" w:type="dxa"/>
                  <w:tcBorders>
                    <w:tl2br w:val="nil"/>
                    <w:tr2bl w:val="nil"/>
                  </w:tcBorders>
                  <w:noWrap w:val="0"/>
                  <w:vAlign w:val="center"/>
                </w:tcPr>
                <w:p>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评价标准</w:t>
                  </w:r>
                </w:p>
              </w:tc>
              <w:tc>
                <w:tcPr>
                  <w:tcW w:w="1104" w:type="dxa"/>
                  <w:tcBorders>
                    <w:tl2br w:val="nil"/>
                    <w:tr2bl w:val="nil"/>
                  </w:tcBorders>
                  <w:noWrap w:val="0"/>
                  <w:vAlign w:val="center"/>
                </w:tcPr>
                <w:p>
                  <w:pPr>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占标率%</w:t>
                  </w:r>
                </w:p>
              </w:tc>
              <w:tc>
                <w:tcPr>
                  <w:tcW w:w="1073" w:type="dxa"/>
                  <w:tcBorders>
                    <w:tl2br w:val="nil"/>
                    <w:tr2bl w:val="nil"/>
                  </w:tcBorders>
                  <w:noWrap w:val="0"/>
                  <w:vAlign w:val="center"/>
                </w:tcPr>
                <w:p>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5"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SO</w:t>
                  </w:r>
                  <w:r>
                    <w:rPr>
                      <w:rFonts w:hint="default" w:ascii="Times New Roman" w:hAnsi="Times New Roman" w:cs="Times New Roman"/>
                      <w:color w:val="auto"/>
                      <w:szCs w:val="21"/>
                      <w:highlight w:val="none"/>
                      <w:vertAlign w:val="subscript"/>
                    </w:rPr>
                    <w:t>2</w:t>
                  </w:r>
                </w:p>
              </w:tc>
              <w:tc>
                <w:tcPr>
                  <w:tcW w:w="2680"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年平均质量标准</w:t>
                  </w:r>
                </w:p>
              </w:tc>
              <w:tc>
                <w:tcPr>
                  <w:tcW w:w="1183"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10</w:t>
                  </w:r>
                </w:p>
              </w:tc>
              <w:tc>
                <w:tcPr>
                  <w:tcW w:w="1144"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w:t>
                  </w:r>
                </w:p>
              </w:tc>
              <w:tc>
                <w:tcPr>
                  <w:tcW w:w="1104"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16.67</w:t>
                  </w:r>
                </w:p>
              </w:tc>
              <w:tc>
                <w:tcPr>
                  <w:tcW w:w="1073"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5"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NO</w:t>
                  </w:r>
                  <w:r>
                    <w:rPr>
                      <w:rFonts w:hint="default" w:ascii="Times New Roman" w:hAnsi="Times New Roman" w:cs="Times New Roman"/>
                      <w:color w:val="auto"/>
                      <w:szCs w:val="21"/>
                      <w:highlight w:val="none"/>
                      <w:vertAlign w:val="subscript"/>
                    </w:rPr>
                    <w:t>2</w:t>
                  </w:r>
                </w:p>
              </w:tc>
              <w:tc>
                <w:tcPr>
                  <w:tcW w:w="2680"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年平均质量标准</w:t>
                  </w:r>
                </w:p>
              </w:tc>
              <w:tc>
                <w:tcPr>
                  <w:tcW w:w="1183"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30</w:t>
                  </w:r>
                </w:p>
              </w:tc>
              <w:tc>
                <w:tcPr>
                  <w:tcW w:w="1144"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w:t>
                  </w:r>
                </w:p>
              </w:tc>
              <w:tc>
                <w:tcPr>
                  <w:tcW w:w="1104"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50.00</w:t>
                  </w:r>
                </w:p>
              </w:tc>
              <w:tc>
                <w:tcPr>
                  <w:tcW w:w="1073"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5"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PM</w:t>
                  </w:r>
                  <w:r>
                    <w:rPr>
                      <w:rFonts w:hint="default" w:ascii="Times New Roman" w:hAnsi="Times New Roman" w:cs="Times New Roman"/>
                      <w:color w:val="auto"/>
                      <w:szCs w:val="21"/>
                      <w:highlight w:val="none"/>
                      <w:vertAlign w:val="subscript"/>
                    </w:rPr>
                    <w:t>10</w:t>
                  </w:r>
                </w:p>
              </w:tc>
              <w:tc>
                <w:tcPr>
                  <w:tcW w:w="2680"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年平均质量标准</w:t>
                  </w:r>
                </w:p>
              </w:tc>
              <w:tc>
                <w:tcPr>
                  <w:tcW w:w="1183"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68</w:t>
                  </w:r>
                </w:p>
              </w:tc>
              <w:tc>
                <w:tcPr>
                  <w:tcW w:w="1144"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w:t>
                  </w:r>
                </w:p>
              </w:tc>
              <w:tc>
                <w:tcPr>
                  <w:tcW w:w="1104"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97.14</w:t>
                  </w:r>
                </w:p>
              </w:tc>
              <w:tc>
                <w:tcPr>
                  <w:tcW w:w="1073"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5"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PM</w:t>
                  </w:r>
                  <w:r>
                    <w:rPr>
                      <w:rFonts w:hint="default" w:ascii="Times New Roman" w:hAnsi="Times New Roman" w:cs="Times New Roman"/>
                      <w:color w:val="auto"/>
                      <w:szCs w:val="21"/>
                      <w:highlight w:val="none"/>
                      <w:vertAlign w:val="subscript"/>
                    </w:rPr>
                    <w:t>2.5</w:t>
                  </w:r>
                </w:p>
              </w:tc>
              <w:tc>
                <w:tcPr>
                  <w:tcW w:w="2680"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年平均质量标准</w:t>
                  </w:r>
                </w:p>
              </w:tc>
              <w:tc>
                <w:tcPr>
                  <w:tcW w:w="1183"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39</w:t>
                  </w:r>
                </w:p>
              </w:tc>
              <w:tc>
                <w:tcPr>
                  <w:tcW w:w="1144"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35</w:t>
                  </w:r>
                </w:p>
              </w:tc>
              <w:tc>
                <w:tcPr>
                  <w:tcW w:w="1104"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111.43</w:t>
                  </w:r>
                </w:p>
              </w:tc>
              <w:tc>
                <w:tcPr>
                  <w:tcW w:w="1073"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不达标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5"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w:t>
                  </w:r>
                </w:p>
              </w:tc>
              <w:tc>
                <w:tcPr>
                  <w:tcW w:w="2680" w:type="dxa"/>
                  <w:tcBorders>
                    <w:tl2br w:val="nil"/>
                    <w:tr2bl w:val="nil"/>
                  </w:tcBorders>
                  <w:noWrap w:val="0"/>
                  <w:vAlign w:val="center"/>
                </w:tcPr>
                <w:p>
                  <w:pPr>
                    <w:adjustRightInd w:val="0"/>
                    <w:snapToGrid w:val="0"/>
                    <w:jc w:val="center"/>
                    <w:textAlignment w:val="bottom"/>
                    <w:rPr>
                      <w:rFonts w:hint="default" w:ascii="Times New Roman" w:hAnsi="Times New Roman" w:eastAsia="宋体" w:cs="Times New Roman"/>
                      <w:bCs/>
                      <w:color w:val="auto"/>
                      <w:kern w:val="21"/>
                      <w:sz w:val="21"/>
                      <w:szCs w:val="21"/>
                      <w:highlight w:val="none"/>
                      <w:lang w:val="en-US" w:eastAsia="zh-CN" w:bidi="ar-SA"/>
                    </w:rPr>
                  </w:pPr>
                  <w:r>
                    <w:rPr>
                      <w:rFonts w:hint="default" w:ascii="Times New Roman" w:hAnsi="Times New Roman" w:cs="Times New Roman"/>
                      <w:bCs/>
                      <w:color w:val="auto"/>
                      <w:kern w:val="21"/>
                      <w:szCs w:val="21"/>
                      <w:highlight w:val="none"/>
                    </w:rPr>
                    <w:t>日均值第95百分位浓度值</w:t>
                  </w:r>
                </w:p>
              </w:tc>
              <w:tc>
                <w:tcPr>
                  <w:tcW w:w="1183"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1100</w:t>
                  </w:r>
                </w:p>
              </w:tc>
              <w:tc>
                <w:tcPr>
                  <w:tcW w:w="1144"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4000</w:t>
                  </w:r>
                </w:p>
              </w:tc>
              <w:tc>
                <w:tcPr>
                  <w:tcW w:w="1104"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27.50</w:t>
                  </w:r>
                </w:p>
              </w:tc>
              <w:tc>
                <w:tcPr>
                  <w:tcW w:w="1073"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5"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O</w:t>
                  </w:r>
                  <w:r>
                    <w:rPr>
                      <w:rFonts w:hint="default" w:ascii="Times New Roman" w:hAnsi="Times New Roman" w:cs="Times New Roman"/>
                      <w:color w:val="auto"/>
                      <w:szCs w:val="21"/>
                      <w:highlight w:val="none"/>
                      <w:vertAlign w:val="subscript"/>
                    </w:rPr>
                    <w:t>3</w:t>
                  </w:r>
                </w:p>
              </w:tc>
              <w:tc>
                <w:tcPr>
                  <w:tcW w:w="2680" w:type="dxa"/>
                  <w:tcBorders>
                    <w:tl2br w:val="nil"/>
                    <w:tr2bl w:val="nil"/>
                  </w:tcBorders>
                  <w:noWrap w:val="0"/>
                  <w:vAlign w:val="center"/>
                </w:tcPr>
                <w:p>
                  <w:pPr>
                    <w:adjustRightInd w:val="0"/>
                    <w:snapToGrid w:val="0"/>
                    <w:jc w:val="center"/>
                    <w:textAlignment w:val="bottom"/>
                    <w:rPr>
                      <w:rFonts w:hint="default" w:ascii="Times New Roman" w:hAnsi="Times New Roman" w:eastAsia="宋体" w:cs="Times New Roman"/>
                      <w:bCs/>
                      <w:color w:val="auto"/>
                      <w:kern w:val="21"/>
                      <w:sz w:val="21"/>
                      <w:szCs w:val="21"/>
                      <w:highlight w:val="none"/>
                      <w:lang w:val="en-US" w:eastAsia="zh-CN" w:bidi="ar-SA"/>
                    </w:rPr>
                  </w:pPr>
                  <w:r>
                    <w:rPr>
                      <w:rFonts w:hint="default" w:ascii="Times New Roman" w:hAnsi="Times New Roman" w:cs="Times New Roman"/>
                      <w:bCs/>
                      <w:color w:val="auto"/>
                      <w:kern w:val="21"/>
                      <w:szCs w:val="21"/>
                      <w:highlight w:val="none"/>
                    </w:rPr>
                    <w:t>日最大8小时均值的第90百分位浓度值</w:t>
                  </w:r>
                </w:p>
              </w:tc>
              <w:tc>
                <w:tcPr>
                  <w:tcW w:w="1183"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190</w:t>
                  </w:r>
                </w:p>
              </w:tc>
              <w:tc>
                <w:tcPr>
                  <w:tcW w:w="1144"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160</w:t>
                  </w:r>
                </w:p>
              </w:tc>
              <w:tc>
                <w:tcPr>
                  <w:tcW w:w="1104" w:type="dxa"/>
                  <w:tcBorders>
                    <w:tl2br w:val="nil"/>
                    <w:tr2bl w:val="nil"/>
                  </w:tcBorders>
                  <w:noWrap w:val="0"/>
                  <w:vAlign w:val="center"/>
                </w:tcPr>
                <w:p>
                  <w:pPr>
                    <w:adjustRightInd w:val="0"/>
                    <w:snapToGrid w:val="0"/>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118.75</w:t>
                  </w:r>
                </w:p>
              </w:tc>
              <w:tc>
                <w:tcPr>
                  <w:tcW w:w="1073" w:type="dxa"/>
                  <w:tcBorders>
                    <w:tl2br w:val="nil"/>
                    <w:tr2bl w:val="nil"/>
                  </w:tcBorders>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不达标</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textAlignment w:val="auto"/>
              <w:rPr>
                <w:rFonts w:hint="default" w:ascii="Times New Roman" w:hAnsi="Times New Roman" w:eastAsia="宋体" w:cs="Times New Roman"/>
                <w:color w:val="auto"/>
                <w:sz w:val="21"/>
                <w:szCs w:val="21"/>
                <w:highlight w:val="none"/>
                <w:lang w:val="zh-CN" w:eastAsia="zh-CN"/>
              </w:rPr>
            </w:pPr>
            <w:r>
              <w:rPr>
                <w:rFonts w:hint="default" w:ascii="Times New Roman" w:hAnsi="Times New Roman" w:eastAsia="宋体" w:cs="Times New Roman"/>
                <w:color w:val="auto"/>
                <w:sz w:val="21"/>
                <w:szCs w:val="21"/>
                <w:highlight w:val="none"/>
                <w:lang w:val="zh-CN" w:eastAsia="zh-CN"/>
              </w:rPr>
              <w:t>根据以上数据，</w:t>
            </w:r>
            <w:r>
              <w:rPr>
                <w:rFonts w:hint="default" w:ascii="Times New Roman" w:hAnsi="Times New Roman" w:cs="Times New Roman"/>
                <w:color w:val="auto"/>
                <w:sz w:val="21"/>
                <w:szCs w:val="21"/>
                <w:highlight w:val="none"/>
                <w:lang w:val="en-US" w:eastAsia="zh-CN"/>
              </w:rPr>
              <w:t>文昌湖省级旅游度假区</w:t>
            </w:r>
            <w:r>
              <w:rPr>
                <w:rFonts w:hint="default" w:ascii="Times New Roman" w:hAnsi="Times New Roman" w:eastAsia="宋体" w:cs="Times New Roman"/>
                <w:color w:val="auto"/>
                <w:sz w:val="21"/>
                <w:szCs w:val="21"/>
                <w:highlight w:val="none"/>
                <w:lang w:val="zh-CN" w:eastAsia="zh-CN"/>
              </w:rPr>
              <w:t>202</w:t>
            </w:r>
            <w:r>
              <w:rPr>
                <w:rFonts w:hint="default"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zh-CN" w:eastAsia="zh-CN"/>
              </w:rPr>
              <w:t>年度PM</w:t>
            </w:r>
            <w:r>
              <w:rPr>
                <w:rFonts w:hint="default" w:ascii="Times New Roman" w:hAnsi="Times New Roman" w:eastAsia="宋体" w:cs="Times New Roman"/>
                <w:color w:val="auto"/>
                <w:sz w:val="21"/>
                <w:szCs w:val="21"/>
                <w:highlight w:val="none"/>
                <w:vertAlign w:val="subscript"/>
                <w:lang w:val="zh-CN" w:eastAsia="zh-CN"/>
              </w:rPr>
              <w:t>2.5</w:t>
            </w:r>
            <w:r>
              <w:rPr>
                <w:rFonts w:hint="default" w:ascii="Times New Roman" w:hAnsi="Times New Roman" w:eastAsia="宋体" w:cs="Times New Roman"/>
                <w:color w:val="auto"/>
                <w:sz w:val="21"/>
                <w:szCs w:val="21"/>
                <w:highlight w:val="none"/>
                <w:lang w:val="zh-CN" w:eastAsia="zh-CN"/>
              </w:rPr>
              <w:t>年平均浓度、O</w:t>
            </w:r>
            <w:r>
              <w:rPr>
                <w:rFonts w:hint="default" w:ascii="Times New Roman" w:hAnsi="Times New Roman" w:cs="Times New Roman"/>
                <w:color w:val="auto"/>
                <w:sz w:val="21"/>
                <w:szCs w:val="21"/>
                <w:highlight w:val="none"/>
                <w:vertAlign w:val="subscript"/>
                <w:lang w:val="en-US" w:eastAsia="zh-CN"/>
              </w:rPr>
              <w:t>3</w:t>
            </w:r>
            <w:r>
              <w:rPr>
                <w:rFonts w:hint="default" w:ascii="Times New Roman" w:hAnsi="Times New Roman"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lang w:val="zh-CN" w:eastAsia="zh-CN"/>
              </w:rPr>
              <w:t>90%保证率日最大8h平均浓度</w:t>
            </w:r>
            <w:r>
              <w:rPr>
                <w:rFonts w:hint="default" w:ascii="Times New Roman" w:hAnsi="Times New Roman" w:cs="Times New Roman"/>
                <w:color w:val="auto"/>
                <w:sz w:val="21"/>
                <w:szCs w:val="21"/>
                <w:highlight w:val="none"/>
                <w:lang w:val="en-US" w:eastAsia="zh-CN"/>
              </w:rPr>
              <w:t>不达标</w:t>
            </w:r>
            <w:r>
              <w:rPr>
                <w:rFonts w:hint="default" w:ascii="Times New Roman" w:hAnsi="Times New Roman" w:eastAsia="宋体" w:cs="Times New Roman"/>
                <w:color w:val="auto"/>
                <w:sz w:val="21"/>
                <w:szCs w:val="21"/>
                <w:highlight w:val="none"/>
                <w:lang w:val="zh-CN" w:eastAsia="zh-CN"/>
              </w:rPr>
              <w:t>，项目所在地环境空气质量不满足《环境空气质量标准》（GB3095-2012）中的二级标准要求。项目所在区域的环境空气质量属于不达标区。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eastAsiaTheme="minorEastAsia"/>
                <w:color w:val="auto"/>
                <w:kern w:val="0"/>
                <w:sz w:val="21"/>
                <w:szCs w:val="21"/>
                <w:highlight w:val="none"/>
              </w:rPr>
              <w:t>根据《淄博市</w:t>
            </w:r>
            <w:r>
              <w:rPr>
                <w:rFonts w:hint="default" w:ascii="Times New Roman" w:hAnsi="Times New Roman" w:cs="Times New Roman" w:eastAsiaTheme="minorEastAsia"/>
                <w:color w:val="auto"/>
                <w:kern w:val="0"/>
                <w:sz w:val="21"/>
                <w:szCs w:val="21"/>
                <w:highlight w:val="none"/>
                <w:lang w:eastAsia="zh-CN"/>
              </w:rPr>
              <w:t>“</w:t>
            </w:r>
            <w:r>
              <w:rPr>
                <w:rFonts w:hint="default" w:ascii="Times New Roman" w:hAnsi="Times New Roman" w:cs="Times New Roman" w:eastAsiaTheme="minorEastAsia"/>
                <w:color w:val="auto"/>
                <w:kern w:val="0"/>
                <w:sz w:val="21"/>
                <w:szCs w:val="21"/>
                <w:highlight w:val="none"/>
              </w:rPr>
              <w:t>十四五</w:t>
            </w:r>
            <w:r>
              <w:rPr>
                <w:rFonts w:hint="default" w:ascii="Times New Roman" w:hAnsi="Times New Roman" w:cs="Times New Roman" w:eastAsiaTheme="minorEastAsia"/>
                <w:color w:val="auto"/>
                <w:kern w:val="0"/>
                <w:sz w:val="21"/>
                <w:szCs w:val="21"/>
                <w:highlight w:val="none"/>
                <w:lang w:eastAsia="zh-CN"/>
              </w:rPr>
              <w:t>”</w:t>
            </w:r>
            <w:r>
              <w:rPr>
                <w:rFonts w:hint="default" w:ascii="Times New Roman" w:hAnsi="Times New Roman" w:cs="Times New Roman" w:eastAsiaTheme="minorEastAsia"/>
                <w:color w:val="auto"/>
                <w:kern w:val="0"/>
                <w:sz w:val="21"/>
                <w:szCs w:val="21"/>
                <w:highlight w:val="none"/>
              </w:rPr>
              <w:t>生态环境保护规划》要求，</w:t>
            </w:r>
            <w:r>
              <w:rPr>
                <w:rFonts w:hint="default" w:ascii="Times New Roman" w:hAnsi="Times New Roman" w:eastAsia="宋体" w:cs="Times New Roman"/>
                <w:color w:val="auto"/>
                <w:kern w:val="0"/>
                <w:sz w:val="21"/>
                <w:szCs w:val="21"/>
                <w:highlight w:val="none"/>
              </w:rPr>
              <w:t>以持续降低PM</w:t>
            </w:r>
            <w:r>
              <w:rPr>
                <w:rFonts w:hint="default" w:ascii="Times New Roman" w:hAnsi="Times New Roman" w:eastAsia="宋体" w:cs="Times New Roman"/>
                <w:color w:val="auto"/>
                <w:kern w:val="0"/>
                <w:sz w:val="21"/>
                <w:szCs w:val="21"/>
                <w:highlight w:val="none"/>
                <w:vertAlign w:val="subscript"/>
              </w:rPr>
              <w:t>2.5</w:t>
            </w:r>
            <w:r>
              <w:rPr>
                <w:rFonts w:hint="default" w:ascii="Times New Roman" w:hAnsi="Times New Roman" w:eastAsia="宋体" w:cs="Times New Roman"/>
                <w:color w:val="auto"/>
                <w:kern w:val="0"/>
                <w:sz w:val="21"/>
                <w:szCs w:val="21"/>
                <w:highlight w:val="none"/>
              </w:rPr>
              <w:t>浓度，不断提高空气质量优良天数比例，逐步消除重污染天气为目标任务，实施产业结构升级、清洁能源替代、运输结构优化、扬尘精细管控、VOCs深度治理、氮氧化物深度治理</w:t>
            </w:r>
            <w:r>
              <w:rPr>
                <w:rFonts w:hint="default" w:ascii="Times New Roman" w:hAnsi="Times New Roman"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六大减排工程</w:t>
            </w:r>
            <w:r>
              <w:rPr>
                <w:rFonts w:hint="default" w:ascii="Times New Roman" w:hAnsi="Times New Roman"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，全面推进重点行业、重点领域的全流程污染治理，治理后环境空气质量将得到改善</w:t>
            </w:r>
            <w:r>
              <w:rPr>
                <w:rFonts w:hint="default" w:ascii="Times New Roman" w:hAnsi="Times New Roman" w:eastAsia="宋体"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2、地表水</w:t>
            </w:r>
          </w:p>
          <w:p>
            <w:pPr>
              <w:snapToGrid w:val="0"/>
              <w:spacing w:line="360" w:lineRule="auto"/>
              <w:ind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zh-CN" w:eastAsia="zh-CN"/>
              </w:rPr>
              <w:t>本项目</w:t>
            </w:r>
            <w:r>
              <w:rPr>
                <w:rFonts w:hint="default" w:ascii="Times New Roman" w:hAnsi="Times New Roman" w:cs="Times New Roman"/>
                <w:color w:val="auto"/>
                <w:sz w:val="21"/>
                <w:szCs w:val="21"/>
                <w:highlight w:val="none"/>
                <w:lang w:val="en-US" w:eastAsia="zh-CN"/>
              </w:rPr>
              <w:t>距离最近的区域</w:t>
            </w:r>
            <w:r>
              <w:rPr>
                <w:rFonts w:hint="default" w:ascii="Times New Roman" w:hAnsi="Times New Roman" w:eastAsia="宋体" w:cs="Times New Roman"/>
                <w:color w:val="auto"/>
                <w:sz w:val="21"/>
                <w:szCs w:val="21"/>
                <w:highlight w:val="none"/>
                <w:lang w:val="zh-CN" w:eastAsia="zh-CN"/>
              </w:rPr>
              <w:t>地表水为</w:t>
            </w:r>
            <w:r>
              <w:rPr>
                <w:rFonts w:hint="default" w:ascii="Times New Roman" w:hAnsi="Times New Roman" w:cs="Times New Roman"/>
                <w:color w:val="auto"/>
                <w:sz w:val="21"/>
                <w:szCs w:val="21"/>
                <w:highlight w:val="none"/>
                <w:lang w:val="en-US" w:eastAsia="zh-CN"/>
              </w:rPr>
              <w:t>东南240m处的范</w:t>
            </w:r>
            <w:r>
              <w:rPr>
                <w:rFonts w:hint="default" w:ascii="Times New Roman" w:hAnsi="Times New Roman" w:eastAsia="宋体" w:cs="Times New Roman"/>
                <w:color w:val="auto"/>
                <w:sz w:val="21"/>
                <w:szCs w:val="21"/>
                <w:highlight w:val="none"/>
                <w:lang w:val="en-US" w:eastAsia="zh-CN"/>
              </w:rPr>
              <w:t>阳河，根据</w:t>
            </w:r>
            <w:r>
              <w:rPr>
                <w:rFonts w:hint="default" w:ascii="Times New Roman" w:hAnsi="Times New Roman" w:cs="Times New Roman"/>
                <w:color w:val="auto"/>
                <w:sz w:val="21"/>
                <w:szCs w:val="21"/>
                <w:highlight w:val="none"/>
                <w:lang w:val="en-US" w:eastAsia="zh-CN"/>
              </w:rPr>
              <w:t>2025</w:t>
            </w:r>
            <w:r>
              <w:rPr>
                <w:rFonts w:hint="default" w:ascii="Times New Roman" w:hAnsi="Times New Roman" w:eastAsia="宋体" w:cs="Times New Roman"/>
                <w:color w:val="auto"/>
                <w:sz w:val="21"/>
                <w:szCs w:val="21"/>
                <w:highlight w:val="none"/>
                <w:lang w:val="en-US" w:eastAsia="zh-CN"/>
              </w:rPr>
              <w:t>年</w:t>
            </w: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月</w:t>
            </w:r>
            <w:r>
              <w:rPr>
                <w:rFonts w:hint="default" w:ascii="Times New Roman" w:hAnsi="Times New Roman" w:cs="Times New Roman"/>
                <w:color w:val="auto"/>
                <w:sz w:val="21"/>
                <w:szCs w:val="21"/>
                <w:highlight w:val="none"/>
                <w:lang w:val="en-US" w:eastAsia="zh-CN"/>
              </w:rPr>
              <w:t>25</w:t>
            </w:r>
            <w:r>
              <w:rPr>
                <w:rFonts w:hint="default" w:ascii="Times New Roman" w:hAnsi="Times New Roman" w:eastAsia="宋体" w:cs="Times New Roman"/>
                <w:color w:val="auto"/>
                <w:sz w:val="21"/>
                <w:szCs w:val="21"/>
                <w:highlight w:val="none"/>
                <w:lang w:val="en-US" w:eastAsia="zh-CN"/>
              </w:rPr>
              <w:t>日淄博市生态环境局发布的</w:t>
            </w:r>
            <w:r>
              <w:rPr>
                <w:rFonts w:hint="default" w:ascii="Times New Roman" w:hAnsi="Times New Roman" w:eastAsia="宋体" w:cs="Times New Roman"/>
                <w:color w:val="auto"/>
                <w:sz w:val="21"/>
                <w:szCs w:val="21"/>
                <w:highlight w:val="none"/>
                <w:lang w:val="zh-CN" w:eastAsia="zh-CN"/>
              </w:rPr>
              <w:t>《2024年1-12月全市地表水环境质量状况》</w:t>
            </w:r>
            <w:r>
              <w:rPr>
                <w:rFonts w:hint="default" w:ascii="Times New Roman" w:hAnsi="Times New Roman" w:eastAsia="宋体" w:cs="Times New Roman"/>
                <w:color w:val="auto"/>
                <w:sz w:val="21"/>
                <w:szCs w:val="21"/>
                <w:highlight w:val="none"/>
                <w:lang w:val="en-US" w:eastAsia="zh-CN"/>
              </w:rPr>
              <w:t>，距离本项目最近的</w:t>
            </w:r>
            <w:r>
              <w:rPr>
                <w:rFonts w:hint="default" w:ascii="Times New Roman" w:hAnsi="Times New Roman" w:cs="Times New Roman"/>
                <w:color w:val="auto"/>
                <w:sz w:val="21"/>
                <w:szCs w:val="21"/>
                <w:highlight w:val="none"/>
                <w:lang w:val="en-US" w:eastAsia="zh-CN"/>
              </w:rPr>
              <w:t>文昌湖省级旅游度假区</w:t>
            </w:r>
            <w:r>
              <w:rPr>
                <w:rFonts w:hint="default" w:ascii="Times New Roman" w:hAnsi="Times New Roman" w:eastAsia="宋体" w:cs="Times New Roman"/>
                <w:color w:val="auto"/>
                <w:sz w:val="21"/>
                <w:szCs w:val="21"/>
                <w:highlight w:val="none"/>
                <w:lang w:val="en-US" w:eastAsia="zh-CN"/>
              </w:rPr>
              <w:t>范阳河张博路附线站点水质类别为II类，水质符合《地表水环境质量标准》（GB3838-2002）III类水质要求。说明项目所在地地表水质量良好</w:t>
            </w:r>
            <w:r>
              <w:rPr>
                <w:rFonts w:hint="default" w:ascii="Times New Roman" w:hAnsi="Times New Roman" w:eastAsia="宋体" w:cs="Times New Roman"/>
                <w:color w:val="auto"/>
                <w:sz w:val="21"/>
                <w:szCs w:val="21"/>
                <w:highlight w:val="none"/>
                <w:lang w:val="zh-CN"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3、声环境</w:t>
            </w:r>
          </w:p>
          <w:p>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项目所在区域噪声执行《声环境质量标准》（GB3096-2008）2类标准。</w:t>
            </w:r>
            <w:r>
              <w:rPr>
                <w:rFonts w:hint="default" w:ascii="Times New Roman" w:hAnsi="Times New Roman" w:cs="Times New Roman"/>
                <w:color w:val="auto"/>
                <w:szCs w:val="21"/>
                <w:highlight w:val="none"/>
                <w:lang w:val="en-US" w:eastAsia="zh-CN"/>
              </w:rPr>
              <w:t>厂界50m范围内敏感点为东侧5m处的水磨村，</w:t>
            </w:r>
            <w:r>
              <w:rPr>
                <w:rFonts w:hint="default" w:ascii="Times New Roman" w:hAnsi="Times New Roman" w:cs="Times New Roman"/>
                <w:color w:val="auto"/>
                <w:szCs w:val="21"/>
                <w:highlight w:val="none"/>
              </w:rPr>
              <w:t>根据</w:t>
            </w:r>
            <w:r>
              <w:rPr>
                <w:rFonts w:hint="default" w:ascii="Times New Roman" w:hAnsi="Times New Roman" w:eastAsia="宋体" w:cs="Times New Roman"/>
                <w:bCs/>
                <w:color w:val="auto"/>
                <w:kern w:val="2"/>
                <w:sz w:val="21"/>
                <w:szCs w:val="21"/>
                <w:highlight w:val="none"/>
                <w:lang w:val="en-US" w:eastAsia="zh-CN" w:bidi="ar-SA"/>
              </w:rPr>
              <w:t>山东信质环保科技有限公司</w:t>
            </w:r>
            <w:r>
              <w:rPr>
                <w:rFonts w:hint="default" w:ascii="Times New Roman" w:hAnsi="Times New Roman" w:cs="Times New Roman"/>
                <w:bCs/>
                <w:color w:val="auto"/>
                <w:kern w:val="2"/>
                <w:sz w:val="21"/>
                <w:szCs w:val="21"/>
                <w:highlight w:val="none"/>
                <w:lang w:val="en-US" w:eastAsia="zh-CN" w:bidi="ar-SA"/>
              </w:rPr>
              <w:t>2025年10月13日敏感点检测报</w:t>
            </w:r>
            <w:r>
              <w:rPr>
                <w:rFonts w:hint="default" w:ascii="Times New Roman" w:hAnsi="Times New Roman" w:eastAsia="宋体" w:cs="Times New Roman"/>
                <w:bCs/>
                <w:color w:val="auto"/>
                <w:kern w:val="2"/>
                <w:sz w:val="21"/>
                <w:szCs w:val="21"/>
                <w:highlight w:val="none"/>
                <w:lang w:val="en-US" w:eastAsia="zh-CN" w:bidi="ar-SA"/>
              </w:rPr>
              <w:t>告</w:t>
            </w:r>
            <w:r>
              <w:rPr>
                <w:rFonts w:hint="default" w:ascii="Times New Roman" w:hAnsi="Times New Roman" w:cs="Times New Roman"/>
                <w:color w:val="auto"/>
                <w:highlight w:val="none"/>
                <w:lang w:val="en-US" w:eastAsia="zh-CN"/>
              </w:rPr>
              <w:t>，厂区东侧敏感点水磨村</w:t>
            </w:r>
            <w:r>
              <w:rPr>
                <w:rFonts w:hint="default" w:ascii="Times New Roman" w:hAnsi="Times New Roman" w:cs="Times New Roman"/>
                <w:color w:val="auto"/>
                <w:szCs w:val="21"/>
                <w:highlight w:val="none"/>
              </w:rPr>
              <w:t>昼间最大噪声值为</w:t>
            </w:r>
            <w:r>
              <w:rPr>
                <w:rFonts w:hint="default" w:ascii="Times New Roman" w:hAnsi="Times New Roman" w:cs="Times New Roman"/>
                <w:color w:val="auto"/>
                <w:szCs w:val="21"/>
                <w:highlight w:val="none"/>
                <w:lang w:val="en-US" w:eastAsia="zh-CN"/>
              </w:rPr>
              <w:t>50.4d</w:t>
            </w:r>
            <w:r>
              <w:rPr>
                <w:rFonts w:hint="default" w:ascii="Times New Roman" w:hAnsi="Times New Roman" w:cs="Times New Roman"/>
                <w:color w:val="auto"/>
                <w:szCs w:val="21"/>
                <w:highlight w:val="none"/>
              </w:rPr>
              <w:t>B(A)，满足《声环境质量标准》（GB3096-2008）2类标准要求。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4、生态环境</w:t>
            </w:r>
          </w:p>
          <w:p>
            <w:pPr>
              <w:adjustRightInd w:val="0"/>
              <w:snapToGrid w:val="0"/>
              <w:spacing w:line="360" w:lineRule="auto"/>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default" w:ascii="Times New Roman" w:hAnsi="Times New Roman" w:cs="Times New Roman"/>
                <w:color w:val="auto"/>
                <w:highlight w:val="none"/>
              </w:rPr>
              <w:t>不新增</w:t>
            </w:r>
            <w:r>
              <w:rPr>
                <w:rFonts w:hint="default" w:ascii="Times New Roman" w:hAnsi="Times New Roman" w:cs="Times New Roman"/>
                <w:color w:val="auto"/>
                <w:highlight w:val="none"/>
                <w:lang w:val="en-US" w:eastAsia="zh-CN"/>
              </w:rPr>
              <w:t>建设用地</w:t>
            </w:r>
            <w:r>
              <w:rPr>
                <w:rFonts w:hint="default" w:ascii="Times New Roman" w:hAnsi="Times New Roman" w:cs="Times New Roman"/>
                <w:color w:val="auto"/>
                <w:highlight w:val="none"/>
              </w:rPr>
              <w:t>，且用地范围内无生态环境保护目标，无需进行生态现状调查</w:t>
            </w:r>
            <w:r>
              <w:rPr>
                <w:rFonts w:hint="default" w:ascii="Times New Roman" w:hAnsi="Times New Roman" w:eastAsia="宋体" w:cs="Times New Roman"/>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5、电磁辐射</w:t>
            </w:r>
          </w:p>
          <w:p>
            <w:pPr>
              <w:adjustRightInd w:val="0"/>
              <w:snapToGrid w:val="0"/>
              <w:spacing w:line="360" w:lineRule="auto"/>
              <w:ind w:firstLine="420" w:firstLineChars="200"/>
              <w:jc w:val="left"/>
              <w:rPr>
                <w:rFonts w:hint="default" w:ascii="Times New Roman" w:hAnsi="Times New Roman" w:eastAsia="宋体" w:cs="Times New Roman"/>
                <w:color w:val="auto"/>
                <w:spacing w:val="0"/>
                <w:kern w:val="0"/>
                <w:szCs w:val="21"/>
                <w:highlight w:val="none"/>
                <w:lang w:eastAsia="zh-CN"/>
              </w:rPr>
            </w:pPr>
            <w:r>
              <w:rPr>
                <w:rFonts w:hint="default" w:ascii="Times New Roman" w:hAnsi="Times New Roman" w:eastAsia="宋体" w:cs="Times New Roman"/>
                <w:color w:val="auto"/>
                <w:sz w:val="21"/>
                <w:szCs w:val="21"/>
                <w:highlight w:val="none"/>
              </w:rPr>
              <w:t>本项目不属于广播电台、差转台、电视塔台、卫星地球上行站、雷达等电磁辐射类项目，本评价不再开展电磁环境影响分析</w:t>
            </w:r>
            <w:r>
              <w:rPr>
                <w:rFonts w:hint="default" w:ascii="Times New Roman" w:hAnsi="Times New Roman" w:cs="Times New Roman"/>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6、地下水、土壤环境</w:t>
            </w:r>
          </w:p>
          <w:p>
            <w:pPr>
              <w:pStyle w:val="2"/>
              <w:keepNext w:val="0"/>
              <w:keepLines w:val="0"/>
              <w:pageBreakBefore w:val="0"/>
              <w:numPr>
                <w:ilvl w:val="0"/>
                <w:numId w:val="0"/>
              </w:numPr>
              <w:kinsoku/>
              <w:wordWrap/>
              <w:overflowPunct/>
              <w:topLinePunct w:val="0"/>
              <w:autoSpaceDE/>
              <w:autoSpaceDN/>
              <w:bidi w:val="0"/>
              <w:spacing w:after="0" w:line="360" w:lineRule="auto"/>
              <w:ind w:left="0" w:leftChars="0" w:firstLine="420" w:firstLineChars="20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kern w:val="44"/>
                <w:szCs w:val="21"/>
                <w:highlight w:val="none"/>
                <w:lang w:eastAsia="zh-CN"/>
              </w:rPr>
              <w:t>根据指南要求，地下水、土壤环境原则上不开展环境质量现状调查，本项目</w:t>
            </w:r>
            <w:r>
              <w:rPr>
                <w:rFonts w:hint="default" w:ascii="Times New Roman" w:hAnsi="Times New Roman" w:cs="Times New Roman"/>
                <w:bCs/>
                <w:color w:val="auto"/>
                <w:kern w:val="44"/>
                <w:szCs w:val="21"/>
                <w:highlight w:val="none"/>
                <w:lang w:val="en-US" w:eastAsia="zh-CN"/>
              </w:rPr>
              <w:t>严格落实</w:t>
            </w:r>
            <w:r>
              <w:rPr>
                <w:rFonts w:hint="default" w:ascii="Times New Roman" w:hAnsi="Times New Roman" w:eastAsia="宋体" w:cs="Times New Roman"/>
                <w:bCs/>
                <w:color w:val="auto"/>
                <w:kern w:val="44"/>
                <w:szCs w:val="21"/>
                <w:highlight w:val="none"/>
                <w:lang w:eastAsia="zh-CN"/>
              </w:rPr>
              <w:t>分区防渗的前提下，对地下水、土壤的环境污染影响较小，本项目不再开展环境质量现状调查。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8" w:type="pct"/>
            <w:noWrap w:val="0"/>
            <w:vAlign w:val="center"/>
          </w:tcPr>
          <w:p>
            <w:pPr>
              <w:keepNext w:val="0"/>
              <w:keepLines w:val="0"/>
              <w:widowControl/>
              <w:suppressLineNumbers w:val="0"/>
              <w:jc w:val="center"/>
              <w:rPr>
                <w:rFonts w:hint="default" w:ascii="Times New Roman" w:hAnsi="Times New Roman" w:eastAsia="宋体" w:cs="Times New Roman"/>
                <w:color w:val="auto"/>
                <w:spacing w:val="0"/>
                <w:kern w:val="0"/>
                <w:szCs w:val="21"/>
                <w:highlight w:val="none"/>
              </w:rPr>
            </w:pPr>
            <w:r>
              <w:rPr>
                <w:rFonts w:hint="default" w:ascii="Times New Roman" w:hAnsi="Times New Roman" w:eastAsia="宋体" w:cs="Times New Roman"/>
                <w:color w:val="auto"/>
                <w:spacing w:val="0"/>
                <w:kern w:val="0"/>
                <w:sz w:val="21"/>
                <w:szCs w:val="21"/>
                <w:highlight w:val="none"/>
                <w:lang w:val="en-US" w:eastAsia="zh-CN" w:bidi="ar"/>
              </w:rPr>
              <w:t>环境保护目标</w:t>
            </w:r>
          </w:p>
        </w:tc>
        <w:tc>
          <w:tcPr>
            <w:tcW w:w="4641" w:type="pct"/>
            <w:noWrap w:val="0"/>
            <w:vAlign w:val="center"/>
          </w:tcPr>
          <w:p>
            <w:pPr>
              <w:pStyle w:val="2"/>
              <w:keepNext w:val="0"/>
              <w:keepLines w:val="0"/>
              <w:pageBreakBefore w:val="0"/>
              <w:numPr>
                <w:ilvl w:val="0"/>
                <w:numId w:val="0"/>
              </w:numPr>
              <w:kinsoku/>
              <w:wordWrap/>
              <w:overflowPunct/>
              <w:topLinePunct w:val="0"/>
              <w:autoSpaceDE/>
              <w:autoSpaceDN/>
              <w:bidi w:val="0"/>
              <w:spacing w:after="0" w:line="360" w:lineRule="auto"/>
              <w:ind w:left="0" w:leftChars="0" w:firstLine="420" w:firstLineChars="200"/>
              <w:textAlignment w:val="auto"/>
              <w:rPr>
                <w:rFonts w:hint="default" w:ascii="Times New Roman" w:hAnsi="Times New Roman" w:eastAsia="宋体" w:cs="Times New Roman"/>
                <w:bCs/>
                <w:color w:val="auto"/>
                <w:kern w:val="44"/>
                <w:szCs w:val="21"/>
                <w:highlight w:val="none"/>
                <w:lang w:eastAsia="zh-CN"/>
              </w:rPr>
            </w:pPr>
            <w:r>
              <w:rPr>
                <w:rFonts w:hint="default" w:ascii="Times New Roman" w:hAnsi="Times New Roman" w:eastAsia="宋体" w:cs="Times New Roman"/>
                <w:bCs/>
                <w:color w:val="auto"/>
                <w:kern w:val="44"/>
                <w:szCs w:val="21"/>
                <w:highlight w:val="none"/>
                <w:lang w:eastAsia="zh-CN"/>
              </w:rPr>
              <w:t>本项目所在区域内无自然保护区、保护文物及风景名胜区等特殊环境敏感目标。主要环境保护目标见</w:t>
            </w:r>
            <w:r>
              <w:rPr>
                <w:rFonts w:hint="default" w:ascii="Times New Roman" w:hAnsi="Times New Roman" w:cs="Times New Roman"/>
                <w:bCs/>
                <w:color w:val="auto"/>
                <w:kern w:val="44"/>
                <w:szCs w:val="21"/>
                <w:highlight w:val="none"/>
                <w:lang w:val="en-US" w:eastAsia="zh-CN"/>
              </w:rPr>
              <w:t>下表和</w:t>
            </w:r>
            <w:r>
              <w:rPr>
                <w:rFonts w:hint="default" w:ascii="Times New Roman" w:hAnsi="Times New Roman" w:eastAsia="宋体" w:cs="Times New Roman"/>
                <w:bCs/>
                <w:color w:val="auto"/>
                <w:kern w:val="44"/>
                <w:szCs w:val="21"/>
                <w:highlight w:val="none"/>
                <w:lang w:eastAsia="zh-CN"/>
              </w:rPr>
              <w:t>附图</w:t>
            </w:r>
            <w:r>
              <w:rPr>
                <w:rFonts w:hint="default" w:ascii="Times New Roman" w:hAnsi="Times New Roman" w:cs="Times New Roman"/>
                <w:bCs/>
                <w:color w:val="auto"/>
                <w:kern w:val="44"/>
                <w:szCs w:val="21"/>
                <w:highlight w:val="none"/>
                <w:lang w:val="en-US" w:eastAsia="zh-CN"/>
              </w:rPr>
              <w:t>2</w:t>
            </w:r>
            <w:r>
              <w:rPr>
                <w:rFonts w:hint="default" w:ascii="Times New Roman" w:hAnsi="Times New Roman" w:eastAsia="宋体" w:cs="Times New Roman"/>
                <w:bCs/>
                <w:color w:val="auto"/>
                <w:kern w:val="44"/>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rPr>
              <w:t>表</w:t>
            </w:r>
            <w:r>
              <w:rPr>
                <w:rFonts w:hint="default" w:ascii="Times New Roman" w:hAnsi="Times New Roman" w:cs="Times New Roman"/>
                <w:b/>
                <w:bCs/>
                <w:color w:val="auto"/>
                <w:highlight w:val="none"/>
                <w:lang w:val="en-US" w:eastAsia="zh-CN"/>
              </w:rPr>
              <w:t>3-2  主要</w:t>
            </w:r>
            <w:r>
              <w:rPr>
                <w:rFonts w:hint="default" w:ascii="Times New Roman" w:hAnsi="Times New Roman" w:cs="Times New Roman"/>
                <w:b/>
                <w:bCs/>
                <w:color w:val="auto"/>
                <w:highlight w:val="none"/>
              </w:rPr>
              <w:t>环境保护目标</w:t>
            </w:r>
            <w:r>
              <w:rPr>
                <w:rFonts w:hint="default" w:ascii="Times New Roman" w:hAnsi="Times New Roman" w:cs="Times New Roman"/>
                <w:b/>
                <w:bCs/>
                <w:color w:val="auto"/>
                <w:highlight w:val="none"/>
                <w:lang w:eastAsia="zh-CN"/>
              </w:rPr>
              <w:t>及</w:t>
            </w:r>
            <w:r>
              <w:rPr>
                <w:rFonts w:hint="default" w:ascii="Times New Roman" w:hAnsi="Times New Roman" w:cs="Times New Roman"/>
                <w:b/>
                <w:bCs/>
                <w:color w:val="auto"/>
                <w:highlight w:val="none"/>
                <w:lang w:val="en-US" w:eastAsia="zh-CN"/>
              </w:rPr>
              <w:t>保护</w:t>
            </w:r>
            <w:r>
              <w:rPr>
                <w:rFonts w:hint="default" w:ascii="Times New Roman" w:hAnsi="Times New Roman" w:cs="Times New Roman"/>
                <w:b/>
                <w:bCs/>
                <w:color w:val="auto"/>
                <w:highlight w:val="none"/>
                <w:lang w:eastAsia="zh-CN"/>
              </w:rPr>
              <w:t>级别一览表</w:t>
            </w:r>
          </w:p>
          <w:tbl>
            <w:tblPr>
              <w:tblStyle w:val="36"/>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306"/>
              <w:gridCol w:w="960"/>
              <w:gridCol w:w="1154"/>
              <w:gridCol w:w="1126"/>
              <w:gridCol w:w="27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环境要素</w:t>
                  </w:r>
                </w:p>
              </w:tc>
              <w:tc>
                <w:tcPr>
                  <w:tcW w:w="780" w:type="pct"/>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名称</w:t>
                  </w:r>
                </w:p>
              </w:tc>
              <w:tc>
                <w:tcPr>
                  <w:tcW w:w="573" w:type="pct"/>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环境功能区</w:t>
                  </w:r>
                </w:p>
              </w:tc>
              <w:tc>
                <w:tcPr>
                  <w:tcW w:w="689" w:type="pct"/>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相对厂址方位</w:t>
                  </w:r>
                </w:p>
              </w:tc>
              <w:tc>
                <w:tcPr>
                  <w:tcW w:w="672" w:type="pct"/>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相对厂界距离（m）</w:t>
                  </w:r>
                </w:p>
              </w:tc>
              <w:tc>
                <w:tcPr>
                  <w:tcW w:w="1633" w:type="pct"/>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保护级别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vMerge w:val="restart"/>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环境空气</w:t>
                  </w:r>
                </w:p>
              </w:tc>
              <w:tc>
                <w:tcPr>
                  <w:tcW w:w="780" w:type="pct"/>
                  <w:noWrap w:val="0"/>
                  <w:vAlign w:val="center"/>
                </w:tcPr>
                <w:p>
                  <w:pPr>
                    <w:pStyle w:val="87"/>
                    <w:bidi w:val="0"/>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仁和村</w:t>
                  </w:r>
                </w:p>
              </w:tc>
              <w:tc>
                <w:tcPr>
                  <w:tcW w:w="573" w:type="pct"/>
                  <w:vMerge w:val="restart"/>
                  <w:noWrap w:val="0"/>
                  <w:vAlign w:val="center"/>
                </w:tcPr>
                <w:p>
                  <w:pPr>
                    <w:bidi w:val="0"/>
                    <w:spacing w:line="240" w:lineRule="auto"/>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二类区</w:t>
                  </w:r>
                </w:p>
              </w:tc>
              <w:tc>
                <w:tcPr>
                  <w:tcW w:w="689" w:type="pct"/>
                  <w:noWrap w:val="0"/>
                  <w:vAlign w:val="center"/>
                </w:tcPr>
                <w:p>
                  <w:pPr>
                    <w:pStyle w:val="87"/>
                    <w:bidi w:val="0"/>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W</w:t>
                  </w:r>
                </w:p>
              </w:tc>
              <w:tc>
                <w:tcPr>
                  <w:tcW w:w="672" w:type="pct"/>
                  <w:noWrap w:val="0"/>
                  <w:vAlign w:val="center"/>
                </w:tcPr>
                <w:p>
                  <w:pPr>
                    <w:ind w:left="420" w:leftChars="0" w:right="42" w:rightChars="20" w:hanging="42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170</w:t>
                  </w:r>
                </w:p>
              </w:tc>
              <w:tc>
                <w:tcPr>
                  <w:tcW w:w="1633" w:type="pct"/>
                  <w:vMerge w:val="restart"/>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《环境空气质量标准》（GB3095-2012）及修改单中的二级标准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vMerge w:val="continue"/>
                  <w:noWrap w:val="0"/>
                  <w:vAlign w:val="center"/>
                </w:tcPr>
                <w:p>
                  <w:pPr>
                    <w:jc w:val="center"/>
                    <w:rPr>
                      <w:rFonts w:hint="default" w:ascii="Times New Roman" w:hAnsi="Times New Roman" w:cs="Times New Roman"/>
                      <w:color w:val="auto"/>
                      <w:sz w:val="18"/>
                      <w:szCs w:val="18"/>
                      <w:highlight w:val="none"/>
                    </w:rPr>
                  </w:pPr>
                </w:p>
              </w:tc>
              <w:tc>
                <w:tcPr>
                  <w:tcW w:w="780" w:type="pct"/>
                  <w:noWrap w:val="0"/>
                  <w:vAlign w:val="center"/>
                </w:tcPr>
                <w:p>
                  <w:pPr>
                    <w:pStyle w:val="87"/>
                    <w:bidi w:val="0"/>
                    <w:ind w:firstLine="0" w:firstLineChars="0"/>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水磨村</w:t>
                  </w:r>
                </w:p>
              </w:tc>
              <w:tc>
                <w:tcPr>
                  <w:tcW w:w="573" w:type="pct"/>
                  <w:vMerge w:val="continue"/>
                  <w:noWrap w:val="0"/>
                  <w:vAlign w:val="center"/>
                </w:tcPr>
                <w:p>
                  <w:pPr>
                    <w:bidi w:val="0"/>
                    <w:spacing w:line="240" w:lineRule="auto"/>
                    <w:jc w:val="center"/>
                    <w:rPr>
                      <w:rFonts w:hint="default" w:ascii="Times New Roman" w:hAnsi="Times New Roman" w:cs="Times New Roman"/>
                      <w:color w:val="auto"/>
                      <w:sz w:val="18"/>
                      <w:szCs w:val="18"/>
                      <w:highlight w:val="none"/>
                    </w:rPr>
                  </w:pPr>
                </w:p>
              </w:tc>
              <w:tc>
                <w:tcPr>
                  <w:tcW w:w="689" w:type="pct"/>
                  <w:shd w:val="clear" w:color="auto" w:fill="auto"/>
                  <w:noWrap w:val="0"/>
                  <w:vAlign w:val="center"/>
                </w:tcPr>
                <w:p>
                  <w:pPr>
                    <w:pStyle w:val="87"/>
                    <w:bidi w:val="0"/>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E</w:t>
                  </w:r>
                </w:p>
              </w:tc>
              <w:tc>
                <w:tcPr>
                  <w:tcW w:w="672" w:type="pct"/>
                  <w:shd w:val="clear" w:color="auto" w:fill="auto"/>
                  <w:noWrap w:val="0"/>
                  <w:vAlign w:val="center"/>
                </w:tcPr>
                <w:p>
                  <w:pPr>
                    <w:ind w:left="420" w:leftChars="0" w:right="42" w:rightChars="20" w:hanging="42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5</w:t>
                  </w:r>
                </w:p>
              </w:tc>
              <w:tc>
                <w:tcPr>
                  <w:tcW w:w="1633" w:type="pct"/>
                  <w:vMerge w:val="continue"/>
                  <w:noWrap w:val="0"/>
                  <w:vAlign w:val="center"/>
                </w:tcPr>
                <w:p>
                  <w:pPr>
                    <w:jc w:val="center"/>
                    <w:rPr>
                      <w:rFonts w:hint="default" w:ascii="Times New Roman" w:hAnsi="Times New Roman" w:cs="Times New Roman"/>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声环境</w:t>
                  </w:r>
                </w:p>
              </w:tc>
              <w:tc>
                <w:tcPr>
                  <w:tcW w:w="2716" w:type="pct"/>
                  <w:gridSpan w:val="4"/>
                  <w:shd w:val="clear" w:color="auto" w:fill="auto"/>
                  <w:noWrap w:val="0"/>
                  <w:vAlign w:val="center"/>
                </w:tcPr>
                <w:p>
                  <w:pPr>
                    <w:ind w:left="420" w:leftChars="0" w:right="42" w:rightChars="20" w:hanging="42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厂界外50米范围内无声环境保护目标</w:t>
                  </w:r>
                </w:p>
              </w:tc>
              <w:tc>
                <w:tcPr>
                  <w:tcW w:w="1633" w:type="pct"/>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《声环境质量标准》</w:t>
                  </w:r>
                </w:p>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（GB3096-2008）</w:t>
                  </w: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地表水</w:t>
                  </w:r>
                </w:p>
              </w:tc>
              <w:tc>
                <w:tcPr>
                  <w:tcW w:w="1353" w:type="pct"/>
                  <w:gridSpan w:val="2"/>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范阳河</w:t>
                  </w:r>
                </w:p>
              </w:tc>
              <w:tc>
                <w:tcPr>
                  <w:tcW w:w="689" w:type="pct"/>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NE</w:t>
                  </w:r>
                </w:p>
              </w:tc>
              <w:tc>
                <w:tcPr>
                  <w:tcW w:w="672" w:type="pct"/>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240</w:t>
                  </w:r>
                </w:p>
              </w:tc>
              <w:tc>
                <w:tcPr>
                  <w:tcW w:w="1633" w:type="pct"/>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《地表水环境质量标准》</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rPr>
                    <w:t>GB3838-2002</w:t>
                  </w:r>
                  <w:r>
                    <w:rPr>
                      <w:rFonts w:hint="default" w:ascii="Times New Roman" w:hAnsi="Times New Roman" w:cs="Times New Roman"/>
                      <w:color w:val="auto"/>
                      <w:spacing w:val="-6"/>
                      <w:sz w:val="18"/>
                      <w:szCs w:val="18"/>
                      <w:highlight w:val="none"/>
                      <w:lang w:val="en-US" w:eastAsia="zh-CN"/>
                    </w:rPr>
                    <w:t>）</w:t>
                  </w:r>
                  <w:r>
                    <w:rPr>
                      <w:rFonts w:hint="default" w:ascii="Times New Roman" w:hAnsi="Times New Roman" w:cs="Times New Roman"/>
                      <w:color w:val="auto"/>
                      <w:spacing w:val="-6"/>
                      <w:sz w:val="18"/>
                      <w:szCs w:val="18"/>
                      <w:highlight w:val="none"/>
                    </w:rPr>
                    <w:t>Ⅲ</w:t>
                  </w:r>
                  <w:r>
                    <w:rPr>
                      <w:rFonts w:hint="default" w:ascii="Times New Roman" w:hAnsi="Times New Roman" w:cs="Times New Roman"/>
                      <w:color w:val="auto"/>
                      <w:sz w:val="18"/>
                      <w:szCs w:val="18"/>
                      <w:highlight w:val="none"/>
                    </w:rPr>
                    <w:t>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noWrap w:val="0"/>
                  <w:vAlign w:val="center"/>
                </w:tcPr>
                <w:p>
                  <w:pPr>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地下水</w:t>
                  </w:r>
                </w:p>
              </w:tc>
              <w:tc>
                <w:tcPr>
                  <w:tcW w:w="2716" w:type="pct"/>
                  <w:gridSpan w:val="4"/>
                  <w:noWrap w:val="0"/>
                  <w:vAlign w:val="center"/>
                </w:tcPr>
                <w:p>
                  <w:pPr>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eastAsia="zh-CN"/>
                    </w:rPr>
                    <w:t>项目周边</w:t>
                  </w:r>
                  <w:r>
                    <w:rPr>
                      <w:rFonts w:hint="default" w:ascii="Times New Roman" w:hAnsi="Times New Roman" w:eastAsia="宋体" w:cs="Times New Roman"/>
                      <w:color w:val="auto"/>
                      <w:sz w:val="18"/>
                      <w:szCs w:val="18"/>
                      <w:highlight w:val="none"/>
                      <w:lang w:val="en-US" w:eastAsia="zh-CN"/>
                    </w:rPr>
                    <w:t>500m范围内无饮用水源地和热水、矿泉水、温泉等特殊地下水资源</w:t>
                  </w:r>
                </w:p>
              </w:tc>
              <w:tc>
                <w:tcPr>
                  <w:tcW w:w="1633" w:type="pct"/>
                  <w:noWrap w:val="0"/>
                  <w:vAlign w:val="center"/>
                </w:tcPr>
                <w:p>
                  <w:pPr>
                    <w:jc w:val="center"/>
                    <w:rPr>
                      <w:rFonts w:hint="default" w:ascii="Times New Roman" w:hAnsi="Times New Roman" w:cs="Times New Roman"/>
                      <w:color w:val="auto"/>
                      <w:spacing w:val="-6"/>
                      <w:kern w:val="2"/>
                      <w:sz w:val="18"/>
                      <w:szCs w:val="18"/>
                      <w:highlight w:val="none"/>
                      <w:lang w:val="en-US" w:eastAsia="zh-CN" w:bidi="ar-SA"/>
                    </w:rPr>
                  </w:pPr>
                  <w:r>
                    <w:rPr>
                      <w:rFonts w:hint="default" w:ascii="Times New Roman" w:hAnsi="Times New Roman" w:cs="Times New Roman"/>
                      <w:color w:val="auto"/>
                      <w:spacing w:val="-6"/>
                      <w:sz w:val="18"/>
                      <w:szCs w:val="18"/>
                      <w:highlight w:val="none"/>
                    </w:rPr>
                    <w:t>《地下水质量标准》</w:t>
                  </w:r>
                  <w:r>
                    <w:rPr>
                      <w:rFonts w:hint="default" w:ascii="Times New Roman" w:hAnsi="Times New Roman" w:cs="Times New Roman"/>
                      <w:color w:val="auto"/>
                      <w:spacing w:val="-6"/>
                      <w:sz w:val="18"/>
                      <w:szCs w:val="18"/>
                      <w:highlight w:val="none"/>
                      <w:lang w:val="en-US" w:eastAsia="zh-CN"/>
                    </w:rPr>
                    <w:t>（</w:t>
                  </w:r>
                  <w:r>
                    <w:rPr>
                      <w:rFonts w:hint="default" w:ascii="Times New Roman" w:hAnsi="Times New Roman" w:cs="Times New Roman"/>
                      <w:color w:val="auto"/>
                      <w:spacing w:val="-6"/>
                      <w:sz w:val="18"/>
                      <w:szCs w:val="18"/>
                      <w:highlight w:val="none"/>
                    </w:rPr>
                    <w:t>GB/T14848-2017</w:t>
                  </w:r>
                  <w:r>
                    <w:rPr>
                      <w:rFonts w:hint="default" w:ascii="Times New Roman" w:hAnsi="Times New Roman" w:cs="Times New Roman"/>
                      <w:color w:val="auto"/>
                      <w:spacing w:val="-6"/>
                      <w:sz w:val="18"/>
                      <w:szCs w:val="18"/>
                      <w:highlight w:val="none"/>
                      <w:lang w:val="en-US" w:eastAsia="zh-CN"/>
                    </w:rPr>
                    <w:t>）</w:t>
                  </w:r>
                  <w:r>
                    <w:rPr>
                      <w:rFonts w:hint="default" w:ascii="Times New Roman" w:hAnsi="Times New Roman" w:cs="Times New Roman"/>
                      <w:color w:val="auto"/>
                      <w:spacing w:val="-6"/>
                      <w:sz w:val="18"/>
                      <w:szCs w:val="18"/>
                      <w:highlight w:val="none"/>
                    </w:rPr>
                    <w:t>Ⅲ类区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noWrap w:val="0"/>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生态环境</w:t>
                  </w:r>
                </w:p>
              </w:tc>
              <w:tc>
                <w:tcPr>
                  <w:tcW w:w="4349" w:type="pct"/>
                  <w:gridSpan w:val="5"/>
                  <w:noWrap w:val="0"/>
                  <w:vAlign w:val="center"/>
                </w:tcPr>
                <w:p>
                  <w:pPr>
                    <w:tabs>
                      <w:tab w:val="left" w:pos="1680"/>
                    </w:tabs>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项目区</w:t>
                  </w:r>
                  <w:r>
                    <w:rPr>
                      <w:rFonts w:hint="default" w:ascii="Times New Roman" w:hAnsi="Times New Roman" w:eastAsia="宋体" w:cs="Times New Roman"/>
                      <w:color w:val="auto"/>
                      <w:sz w:val="18"/>
                      <w:szCs w:val="18"/>
                      <w:highlight w:val="none"/>
                      <w:lang w:eastAsia="zh-CN"/>
                    </w:rPr>
                    <w:t>不新增用地且</w:t>
                  </w:r>
                  <w:r>
                    <w:rPr>
                      <w:rFonts w:hint="default" w:ascii="Times New Roman" w:hAnsi="Times New Roman" w:eastAsia="宋体" w:cs="Times New Roman"/>
                      <w:color w:val="auto"/>
                      <w:sz w:val="18"/>
                      <w:szCs w:val="18"/>
                      <w:highlight w:val="none"/>
                    </w:rPr>
                    <w:t>用地范围内不含有生态保护目标</w:t>
                  </w:r>
                </w:p>
              </w:tc>
            </w:tr>
          </w:tbl>
          <w:p>
            <w:pPr>
              <w:rPr>
                <w:rFonts w:hint="default" w:ascii="Times New Roman" w:hAnsi="Times New Roman" w:cs="Times New Roman"/>
                <w:color w:val="auto"/>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8" w:type="pct"/>
            <w:shd w:val="clear" w:color="auto" w:fill="auto"/>
            <w:noWrap w:val="0"/>
            <w:vAlign w:val="center"/>
          </w:tcPr>
          <w:p>
            <w:pPr>
              <w:keepNext w:val="0"/>
              <w:keepLines w:val="0"/>
              <w:widowControl/>
              <w:suppressLineNumbers w:val="0"/>
              <w:jc w:val="center"/>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pacing w:val="0"/>
                <w:kern w:val="0"/>
                <w:sz w:val="21"/>
                <w:szCs w:val="21"/>
                <w:highlight w:val="none"/>
                <w:lang w:val="en-US" w:eastAsia="zh-CN" w:bidi="ar"/>
              </w:rPr>
              <w:t>污染物排放控制标准</w:t>
            </w:r>
          </w:p>
        </w:tc>
        <w:tc>
          <w:tcPr>
            <w:tcW w:w="4641"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1、废气</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Cs w:val="21"/>
                <w:highlight w:val="none"/>
                <w:lang w:val="en-US" w:eastAsia="zh-CN"/>
              </w:rPr>
              <w:t>技改</w:t>
            </w:r>
            <w:r>
              <w:rPr>
                <w:rFonts w:hint="default" w:ascii="Times New Roman" w:hAnsi="Times New Roman" w:cs="Times New Roman"/>
                <w:color w:val="auto"/>
                <w:szCs w:val="21"/>
                <w:highlight w:val="none"/>
              </w:rPr>
              <w:t>项目</w:t>
            </w:r>
            <w:r>
              <w:rPr>
                <w:rFonts w:hint="default" w:ascii="Times New Roman" w:hAnsi="Times New Roman" w:cs="Times New Roman"/>
                <w:color w:val="auto"/>
                <w:highlight w:val="none"/>
              </w:rPr>
              <w:t>有组织VOCs</w:t>
            </w:r>
            <w:r>
              <w:rPr>
                <w:rFonts w:hint="default" w:ascii="Times New Roman" w:hAnsi="Times New Roman" w:cs="Times New Roman"/>
                <w:color w:val="auto"/>
                <w:highlight w:val="none"/>
                <w:lang w:eastAsia="zh-CN"/>
              </w:rPr>
              <w:t>排放</w:t>
            </w:r>
            <w:r>
              <w:rPr>
                <w:rFonts w:hint="default" w:ascii="Times New Roman" w:hAnsi="Times New Roman" w:cs="Times New Roman"/>
                <w:color w:val="auto"/>
                <w:highlight w:val="none"/>
              </w:rPr>
              <w:t>执行</w:t>
            </w:r>
            <w:r>
              <w:rPr>
                <w:rFonts w:hint="default" w:ascii="Times New Roman" w:hAnsi="Times New Roman" w:cs="Times New Roman"/>
                <w:color w:val="auto"/>
                <w:szCs w:val="21"/>
                <w:highlight w:val="none"/>
              </w:rPr>
              <w:t>《挥发性有机物排放标准 第</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部分：</w:t>
            </w:r>
            <w:r>
              <w:rPr>
                <w:rFonts w:hint="default" w:ascii="Times New Roman" w:hAnsi="Times New Roman" w:cs="Times New Roman"/>
                <w:color w:val="auto"/>
                <w:szCs w:val="21"/>
                <w:highlight w:val="none"/>
                <w:lang w:eastAsia="zh-CN"/>
              </w:rPr>
              <w:t>其他</w:t>
            </w:r>
            <w:r>
              <w:rPr>
                <w:rFonts w:hint="default" w:ascii="Times New Roman" w:hAnsi="Times New Roman" w:cs="Times New Roman"/>
                <w:color w:val="auto"/>
                <w:szCs w:val="21"/>
                <w:highlight w:val="none"/>
              </w:rPr>
              <w:t>行业》（DB37/2801.</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-201</w:t>
            </w:r>
            <w:r>
              <w:rPr>
                <w:rFonts w:hint="default" w:ascii="Times New Roman" w:hAnsi="Times New Roman" w:cs="Times New Roman"/>
                <w:color w:val="auto"/>
                <w:szCs w:val="21"/>
                <w:highlight w:val="none"/>
                <w:lang w:val="en-US" w:eastAsia="zh-CN"/>
              </w:rPr>
              <w:t>9</w:t>
            </w:r>
            <w:r>
              <w:rPr>
                <w:rFonts w:hint="default" w:ascii="Times New Roman" w:hAnsi="Times New Roman" w:cs="Times New Roman"/>
                <w:color w:val="auto"/>
                <w:szCs w:val="21"/>
                <w:highlight w:val="none"/>
              </w:rPr>
              <w:t>）表</w:t>
            </w:r>
            <w:r>
              <w:rPr>
                <w:rFonts w:hint="default" w:ascii="Times New Roman" w:hAnsi="Times New Roman" w:cs="Times New Roman"/>
                <w:color w:val="auto"/>
                <w:szCs w:val="21"/>
                <w:highlight w:val="none"/>
                <w:lang w:val="en-US" w:eastAsia="zh-CN"/>
              </w:rPr>
              <w:t>1 其他行业企业或生产设施VOCs排放限值中纺织业排放限值</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VOCs</w:t>
            </w:r>
            <w:r>
              <w:rPr>
                <w:rFonts w:hint="default" w:ascii="Times New Roman" w:hAnsi="Times New Roman" w:cs="Times New Roman"/>
                <w:bCs/>
                <w:color w:val="auto"/>
                <w:highlight w:val="none"/>
                <w:lang w:eastAsia="zh-CN"/>
              </w:rPr>
              <w:t>：</w:t>
            </w:r>
            <w:r>
              <w:rPr>
                <w:rFonts w:hint="default" w:ascii="Times New Roman" w:hAnsi="Times New Roman" w:cs="Times New Roman"/>
                <w:bCs/>
                <w:color w:val="auto"/>
                <w:highlight w:val="none"/>
                <w:lang w:val="en-US" w:eastAsia="zh-CN"/>
              </w:rPr>
              <w:t>40</w:t>
            </w:r>
            <w:r>
              <w:rPr>
                <w:rFonts w:hint="default" w:ascii="Times New Roman" w:hAnsi="Times New Roman" w:cs="Times New Roman"/>
                <w:bCs/>
                <w:color w:val="auto"/>
                <w:highlight w:val="none"/>
              </w:rPr>
              <w:t>mg/m</w:t>
            </w:r>
            <w:r>
              <w:rPr>
                <w:rFonts w:hint="default" w:ascii="Times New Roman" w:hAnsi="Times New Roman" w:cs="Times New Roman"/>
                <w:bCs/>
                <w:color w:val="auto"/>
                <w:highlight w:val="none"/>
                <w:vertAlign w:val="superscript"/>
              </w:rPr>
              <w:t>3</w:t>
            </w:r>
            <w:r>
              <w:rPr>
                <w:rFonts w:hint="default" w:ascii="Times New Roman" w:hAnsi="Times New Roman" w:cs="Times New Roman"/>
                <w:bCs/>
                <w:color w:val="auto"/>
                <w:highlight w:val="none"/>
                <w:vertAlign w:val="baseline"/>
                <w:lang w:val="en-US" w:eastAsia="zh-CN"/>
              </w:rPr>
              <w:t>、3kg/h）；有组织二氧化硫、氮氧化物、颗粒物执行《区域性大气污染物综合排放标准》（DB37/2376—2019）表1 大气污染物排放浓度限值中重点控制区标准（颗粒物：</w:t>
            </w:r>
            <w:r>
              <w:rPr>
                <w:rFonts w:hint="default" w:ascii="Times New Roman" w:hAnsi="Times New Roman" w:cs="Times New Roman"/>
                <w:bCs/>
                <w:color w:val="auto"/>
                <w:highlight w:val="none"/>
                <w:lang w:val="en-US" w:eastAsia="zh-CN"/>
              </w:rPr>
              <w:t>10</w:t>
            </w:r>
            <w:r>
              <w:rPr>
                <w:rFonts w:hint="default" w:ascii="Times New Roman" w:hAnsi="Times New Roman" w:cs="Times New Roman"/>
                <w:bCs/>
                <w:color w:val="auto"/>
                <w:highlight w:val="none"/>
              </w:rPr>
              <w:t>mg/m</w:t>
            </w:r>
            <w:r>
              <w:rPr>
                <w:rFonts w:hint="default" w:ascii="Times New Roman" w:hAnsi="Times New Roman" w:cs="Times New Roman"/>
                <w:bCs/>
                <w:color w:val="auto"/>
                <w:highlight w:val="none"/>
                <w:vertAlign w:val="superscript"/>
              </w:rPr>
              <w:t>3</w:t>
            </w:r>
            <w:r>
              <w:rPr>
                <w:rFonts w:hint="default" w:ascii="Times New Roman" w:hAnsi="Times New Roman" w:cs="Times New Roman"/>
                <w:bCs/>
                <w:color w:val="auto"/>
                <w:highlight w:val="none"/>
                <w:vertAlign w:val="baseline"/>
                <w:lang w:val="en-US" w:eastAsia="zh-CN"/>
              </w:rPr>
              <w:t>、二氧化硫：</w:t>
            </w:r>
            <w:r>
              <w:rPr>
                <w:rFonts w:hint="default" w:ascii="Times New Roman" w:hAnsi="Times New Roman" w:cs="Times New Roman"/>
                <w:bCs/>
                <w:color w:val="auto"/>
                <w:highlight w:val="none"/>
                <w:lang w:val="en-US" w:eastAsia="zh-CN"/>
              </w:rPr>
              <w:t>50</w:t>
            </w:r>
            <w:r>
              <w:rPr>
                <w:rFonts w:hint="default" w:ascii="Times New Roman" w:hAnsi="Times New Roman" w:cs="Times New Roman"/>
                <w:bCs/>
                <w:color w:val="auto"/>
                <w:highlight w:val="none"/>
              </w:rPr>
              <w:t>mg/m</w:t>
            </w:r>
            <w:r>
              <w:rPr>
                <w:rFonts w:hint="default" w:ascii="Times New Roman" w:hAnsi="Times New Roman" w:cs="Times New Roman"/>
                <w:bCs/>
                <w:color w:val="auto"/>
                <w:highlight w:val="none"/>
                <w:vertAlign w:val="superscript"/>
              </w:rPr>
              <w:t>3</w:t>
            </w:r>
            <w:r>
              <w:rPr>
                <w:rFonts w:hint="default" w:ascii="Times New Roman" w:hAnsi="Times New Roman" w:cs="Times New Roman"/>
                <w:bCs/>
                <w:color w:val="auto"/>
                <w:highlight w:val="none"/>
                <w:vertAlign w:val="baseline"/>
                <w:lang w:val="en-US" w:eastAsia="zh-CN"/>
              </w:rPr>
              <w:t>、氮氧化物：</w:t>
            </w:r>
            <w:r>
              <w:rPr>
                <w:rFonts w:hint="default" w:ascii="Times New Roman" w:hAnsi="Times New Roman" w:cs="Times New Roman"/>
                <w:bCs/>
                <w:color w:val="auto"/>
                <w:highlight w:val="none"/>
                <w:lang w:val="en-US" w:eastAsia="zh-CN"/>
              </w:rPr>
              <w:t>100</w:t>
            </w:r>
            <w:r>
              <w:rPr>
                <w:rFonts w:hint="default" w:ascii="Times New Roman" w:hAnsi="Times New Roman" w:cs="Times New Roman"/>
                <w:bCs/>
                <w:color w:val="auto"/>
                <w:highlight w:val="none"/>
              </w:rPr>
              <w:t>mg/m</w:t>
            </w:r>
            <w:r>
              <w:rPr>
                <w:rFonts w:hint="default" w:ascii="Times New Roman" w:hAnsi="Times New Roman" w:cs="Times New Roman"/>
                <w:bCs/>
                <w:color w:val="auto"/>
                <w:highlight w:val="none"/>
                <w:vertAlign w:val="superscript"/>
              </w:rPr>
              <w:t>3</w:t>
            </w:r>
            <w:r>
              <w:rPr>
                <w:rFonts w:hint="default" w:ascii="Times New Roman" w:hAnsi="Times New Roman" w:cs="Times New Roman"/>
                <w:bCs/>
                <w:color w:val="auto"/>
                <w:highlight w:val="none"/>
                <w:vertAlign w:val="baseline"/>
                <w:lang w:val="en-US" w:eastAsia="zh-CN"/>
              </w:rPr>
              <w: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厂界无组织</w:t>
            </w:r>
            <w:r>
              <w:rPr>
                <w:rFonts w:hint="default" w:ascii="Times New Roman" w:hAnsi="Times New Roman" w:cs="Times New Roman"/>
                <w:color w:val="auto"/>
                <w:highlight w:val="none"/>
              </w:rPr>
              <w:t>VOCs无组织排放执行《挥发性有机物排放标准 第7部分：其他行业》（DB37/2801.6-2018）表2厂界监控点浓度限值</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rPr>
              <w:t>VOCs</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2.0</w:t>
            </w:r>
            <w:r>
              <w:rPr>
                <w:rFonts w:hint="default" w:ascii="Times New Roman" w:hAnsi="Times New Roman" w:cs="Times New Roman"/>
                <w:bCs/>
                <w:color w:val="auto"/>
                <w:highlight w:val="none"/>
              </w:rPr>
              <w:t>mg/m</w:t>
            </w:r>
            <w:r>
              <w:rPr>
                <w:rFonts w:hint="default" w:ascii="Times New Roman" w:hAnsi="Times New Roman" w:cs="Times New Roman"/>
                <w:bCs/>
                <w:color w:val="auto"/>
                <w:highlight w:val="none"/>
                <w:vertAlign w:val="superscript"/>
              </w:rPr>
              <w:t>3</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rPr>
              <w:t>、《挥发性有机物无组织排放控制标准》（GB37822-2019）A.1 厂区内VOCs无组织排放限值（VOCs：监控点处1h平均浓度限值6.0mg/m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，任意一次浓度值20mg/m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r>
              <w:rPr>
                <w:rFonts w:hint="default" w:ascii="Times New Roman" w:hAnsi="Times New Roman" w:cs="Times New Roman"/>
                <w:color w:val="auto"/>
                <w:szCs w:val="21"/>
                <w:highlight w:val="none"/>
                <w:lang w:eastAsia="zh-CN"/>
              </w:rPr>
              <w:t>。</w:t>
            </w:r>
          </w:p>
          <w:p>
            <w:pPr>
              <w:pStyle w:val="34"/>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w:t>
            </w:r>
            <w:r>
              <w:rPr>
                <w:rFonts w:hint="default" w:ascii="Times New Roman" w:hAnsi="Times New Roman" w:cs="Times New Roman"/>
                <w:b/>
                <w:bCs/>
                <w:color w:val="auto"/>
                <w:kern w:val="2"/>
                <w:sz w:val="21"/>
                <w:szCs w:val="21"/>
                <w:highlight w:val="none"/>
                <w:lang w:val="en-US" w:eastAsia="zh-CN" w:bidi="ar-SA"/>
              </w:rPr>
              <w:t>3-3</w:t>
            </w:r>
            <w:r>
              <w:rPr>
                <w:rFonts w:hint="default" w:ascii="Times New Roman" w:hAnsi="Times New Roman" w:eastAsia="宋体" w:cs="Times New Roman"/>
                <w:b/>
                <w:bCs/>
                <w:color w:val="auto"/>
                <w:kern w:val="2"/>
                <w:sz w:val="21"/>
                <w:szCs w:val="21"/>
                <w:highlight w:val="none"/>
                <w:lang w:val="en-US" w:eastAsia="zh-CN" w:bidi="ar-SA"/>
              </w:rPr>
              <w:t xml:space="preserve"> </w:t>
            </w:r>
            <w:r>
              <w:rPr>
                <w:rFonts w:hint="default" w:ascii="Times New Roman" w:hAnsi="Times New Roman" w:cs="Times New Roman"/>
                <w:b/>
                <w:bCs/>
                <w:color w:val="auto"/>
                <w:kern w:val="2"/>
                <w:sz w:val="21"/>
                <w:szCs w:val="21"/>
                <w:highlight w:val="none"/>
                <w:lang w:val="en-US" w:eastAsia="zh-CN" w:bidi="ar-SA"/>
              </w:rPr>
              <w:t xml:space="preserve"> 废气</w:t>
            </w:r>
            <w:r>
              <w:rPr>
                <w:rFonts w:hint="default" w:ascii="Times New Roman" w:hAnsi="Times New Roman" w:eastAsia="宋体" w:cs="Times New Roman"/>
                <w:b/>
                <w:bCs/>
                <w:color w:val="auto"/>
                <w:kern w:val="2"/>
                <w:sz w:val="21"/>
                <w:szCs w:val="21"/>
                <w:highlight w:val="none"/>
                <w:lang w:val="en-US" w:eastAsia="zh-CN" w:bidi="ar-SA"/>
              </w:rPr>
              <w:t>污染物</w:t>
            </w:r>
            <w:r>
              <w:rPr>
                <w:rFonts w:hint="default" w:ascii="Times New Roman" w:hAnsi="Times New Roman" w:cs="Times New Roman"/>
                <w:b/>
                <w:bCs/>
                <w:color w:val="auto"/>
                <w:kern w:val="2"/>
                <w:sz w:val="21"/>
                <w:szCs w:val="21"/>
                <w:highlight w:val="none"/>
                <w:lang w:val="en-US" w:eastAsia="zh-CN" w:bidi="ar-SA"/>
              </w:rPr>
              <w:t>有组织</w:t>
            </w:r>
            <w:r>
              <w:rPr>
                <w:rFonts w:hint="default" w:ascii="Times New Roman" w:hAnsi="Times New Roman" w:eastAsia="宋体" w:cs="Times New Roman"/>
                <w:b/>
                <w:bCs/>
                <w:color w:val="auto"/>
                <w:kern w:val="2"/>
                <w:sz w:val="21"/>
                <w:szCs w:val="21"/>
                <w:highlight w:val="none"/>
                <w:lang w:val="en-US" w:eastAsia="zh-CN" w:bidi="ar-SA"/>
              </w:rPr>
              <w:t>排放标准</w:t>
            </w:r>
            <w:r>
              <w:rPr>
                <w:rFonts w:hint="default" w:ascii="Times New Roman" w:hAnsi="Times New Roman" w:cs="Times New Roman"/>
                <w:b/>
                <w:bCs/>
                <w:color w:val="auto"/>
                <w:kern w:val="2"/>
                <w:sz w:val="21"/>
                <w:szCs w:val="21"/>
                <w:highlight w:val="none"/>
                <w:lang w:val="en-US" w:eastAsia="zh-CN" w:bidi="ar-SA"/>
              </w:rPr>
              <w:t>一览表</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477"/>
              <w:gridCol w:w="2050"/>
              <w:gridCol w:w="35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8" w:type="dxa"/>
                  <w:tcBorders>
                    <w:tl2br w:val="nil"/>
                    <w:tr2bl w:val="nil"/>
                  </w:tcBorders>
                  <w:shd w:val="clear" w:color="auto" w:fill="auto"/>
                  <w:vAlign w:val="center"/>
                </w:tcPr>
                <w:p>
                  <w:pPr>
                    <w:jc w:val="center"/>
                    <w:rPr>
                      <w:rFonts w:hint="default" w:ascii="Times New Roman" w:hAnsi="Times New Roman" w:eastAsia="宋体" w:cs="Times New Roman"/>
                      <w:b/>
                      <w:bCs/>
                      <w:color w:val="auto"/>
                      <w:kern w:val="2"/>
                      <w:sz w:val="18"/>
                      <w:szCs w:val="21"/>
                      <w:highlight w:val="none"/>
                      <w:vertAlign w:val="baseline"/>
                      <w:lang w:val="en-US" w:eastAsia="zh-CN" w:bidi="ar-SA"/>
                    </w:rPr>
                  </w:pPr>
                  <w:r>
                    <w:rPr>
                      <w:rFonts w:hint="default" w:ascii="Times New Roman" w:hAnsi="Times New Roman" w:cs="Times New Roman"/>
                      <w:b/>
                      <w:bCs/>
                      <w:color w:val="auto"/>
                      <w:sz w:val="18"/>
                      <w:szCs w:val="21"/>
                      <w:highlight w:val="none"/>
                      <w:vertAlign w:val="baseline"/>
                      <w:lang w:val="en-US" w:eastAsia="zh-CN"/>
                    </w:rPr>
                    <w:t>污染物名称</w:t>
                  </w:r>
                </w:p>
              </w:tc>
              <w:tc>
                <w:tcPr>
                  <w:tcW w:w="1477" w:type="dxa"/>
                  <w:tcBorders>
                    <w:tl2br w:val="nil"/>
                    <w:tr2bl w:val="nil"/>
                  </w:tcBorders>
                  <w:vAlign w:val="center"/>
                </w:tcPr>
                <w:p>
                  <w:pPr>
                    <w:jc w:val="center"/>
                    <w:rPr>
                      <w:rFonts w:hint="default" w:ascii="Times New Roman" w:hAnsi="Times New Roman" w:cs="Times New Roman"/>
                      <w:b/>
                      <w:bCs/>
                      <w:color w:val="auto"/>
                      <w:sz w:val="18"/>
                      <w:szCs w:val="21"/>
                      <w:highlight w:val="none"/>
                      <w:vertAlign w:val="baseline"/>
                      <w:lang w:val="en-US" w:eastAsia="zh-CN"/>
                    </w:rPr>
                  </w:pPr>
                  <w:r>
                    <w:rPr>
                      <w:rFonts w:hint="default" w:ascii="Times New Roman" w:hAnsi="Times New Roman" w:cs="Times New Roman"/>
                      <w:b/>
                      <w:bCs/>
                      <w:color w:val="auto"/>
                      <w:sz w:val="18"/>
                      <w:szCs w:val="21"/>
                      <w:highlight w:val="none"/>
                      <w:vertAlign w:val="baseline"/>
                      <w:lang w:val="en-US" w:eastAsia="zh-CN"/>
                    </w:rPr>
                    <w:t>浓度限值（</w:t>
                  </w:r>
                  <w:r>
                    <w:rPr>
                      <w:rFonts w:hint="default" w:ascii="Times New Roman" w:hAnsi="Times New Roman" w:cs="Times New Roman"/>
                      <w:b/>
                      <w:bCs/>
                      <w:color w:val="auto"/>
                      <w:spacing w:val="0"/>
                      <w:kern w:val="0"/>
                      <w:sz w:val="18"/>
                      <w:szCs w:val="18"/>
                      <w:highlight w:val="none"/>
                      <w:lang w:val="en-US" w:eastAsia="zh-CN"/>
                    </w:rPr>
                    <w:t>mg/m</w:t>
                  </w:r>
                  <w:r>
                    <w:rPr>
                      <w:rFonts w:hint="default" w:ascii="Times New Roman" w:hAnsi="Times New Roman" w:cs="Times New Roman"/>
                      <w:b/>
                      <w:bCs/>
                      <w:color w:val="auto"/>
                      <w:spacing w:val="0"/>
                      <w:kern w:val="0"/>
                      <w:sz w:val="18"/>
                      <w:szCs w:val="18"/>
                      <w:highlight w:val="none"/>
                      <w:vertAlign w:val="superscript"/>
                      <w:lang w:val="en-US" w:eastAsia="zh-CN"/>
                    </w:rPr>
                    <w:t>3</w:t>
                  </w:r>
                  <w:r>
                    <w:rPr>
                      <w:rFonts w:hint="default" w:ascii="Times New Roman" w:hAnsi="Times New Roman" w:cs="Times New Roman"/>
                      <w:b/>
                      <w:bCs/>
                      <w:color w:val="auto"/>
                      <w:sz w:val="18"/>
                      <w:szCs w:val="21"/>
                      <w:highlight w:val="none"/>
                      <w:vertAlign w:val="baseline"/>
                      <w:lang w:val="en-US" w:eastAsia="zh-CN"/>
                    </w:rPr>
                    <w:t>）</w:t>
                  </w:r>
                </w:p>
              </w:tc>
              <w:tc>
                <w:tcPr>
                  <w:tcW w:w="2050" w:type="dxa"/>
                  <w:tcBorders>
                    <w:tl2br w:val="nil"/>
                    <w:tr2bl w:val="nil"/>
                  </w:tcBorders>
                  <w:vAlign w:val="center"/>
                </w:tcPr>
                <w:p>
                  <w:pPr>
                    <w:jc w:val="center"/>
                    <w:rPr>
                      <w:rFonts w:hint="default" w:ascii="Times New Roman" w:hAnsi="Times New Roman" w:cs="Times New Roman"/>
                      <w:b/>
                      <w:bCs/>
                      <w:color w:val="auto"/>
                      <w:sz w:val="18"/>
                      <w:szCs w:val="21"/>
                      <w:highlight w:val="none"/>
                      <w:vertAlign w:val="baseline"/>
                      <w:lang w:val="en-US" w:eastAsia="zh-CN"/>
                    </w:rPr>
                  </w:pPr>
                  <w:r>
                    <w:rPr>
                      <w:rFonts w:hint="default" w:ascii="Times New Roman" w:hAnsi="Times New Roman" w:cs="Times New Roman"/>
                      <w:b/>
                      <w:bCs/>
                      <w:color w:val="auto"/>
                      <w:sz w:val="18"/>
                      <w:szCs w:val="21"/>
                      <w:highlight w:val="none"/>
                      <w:vertAlign w:val="baseline"/>
                      <w:lang w:val="en-US" w:eastAsia="zh-CN"/>
                    </w:rPr>
                    <w:t>速率限值（kg/h）</w:t>
                  </w:r>
                </w:p>
              </w:tc>
              <w:tc>
                <w:tcPr>
                  <w:tcW w:w="3554" w:type="dxa"/>
                  <w:tcBorders>
                    <w:tl2br w:val="nil"/>
                    <w:tr2bl w:val="nil"/>
                  </w:tcBorders>
                  <w:vAlign w:val="center"/>
                </w:tcPr>
                <w:p>
                  <w:pPr>
                    <w:jc w:val="center"/>
                    <w:rPr>
                      <w:rFonts w:hint="default" w:ascii="Times New Roman" w:hAnsi="Times New Roman" w:cs="Times New Roman"/>
                      <w:b/>
                      <w:bCs/>
                      <w:color w:val="auto"/>
                      <w:sz w:val="18"/>
                      <w:szCs w:val="21"/>
                      <w:highlight w:val="none"/>
                      <w:vertAlign w:val="baseline"/>
                      <w:lang w:val="en-US" w:eastAsia="zh-CN"/>
                    </w:rPr>
                  </w:pPr>
                  <w:r>
                    <w:rPr>
                      <w:rFonts w:hint="default" w:ascii="Times New Roman" w:hAnsi="Times New Roman" w:cs="Times New Roman"/>
                      <w:b/>
                      <w:bCs/>
                      <w:color w:val="auto"/>
                      <w:sz w:val="18"/>
                      <w:szCs w:val="21"/>
                      <w:highlight w:val="none"/>
                      <w:vertAlign w:val="baseline"/>
                      <w:lang w:val="en-US" w:eastAsia="zh-CN"/>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8" w:type="dxa"/>
                  <w:tcBorders>
                    <w:tl2br w:val="nil"/>
                    <w:tr2bl w:val="nil"/>
                  </w:tcBorders>
                  <w:shd w:val="clear" w:color="auto" w:fill="auto"/>
                  <w:vAlign w:val="center"/>
                </w:tcPr>
                <w:p>
                  <w:pPr>
                    <w:jc w:val="center"/>
                    <w:rPr>
                      <w:rFonts w:hint="default" w:ascii="Times New Roman" w:hAnsi="Times New Roman" w:cs="Times New Roman"/>
                      <w:color w:val="auto"/>
                      <w:sz w:val="18"/>
                      <w:szCs w:val="21"/>
                      <w:highlight w:val="none"/>
                      <w:lang w:val="en-US" w:eastAsia="zh-CN"/>
                    </w:rPr>
                  </w:pPr>
                  <w:r>
                    <w:rPr>
                      <w:rFonts w:hint="default" w:ascii="Times New Roman" w:hAnsi="Times New Roman" w:cs="Times New Roman"/>
                      <w:color w:val="auto"/>
                      <w:sz w:val="18"/>
                      <w:szCs w:val="21"/>
                      <w:highlight w:val="none"/>
                      <w:lang w:val="en-US" w:eastAsia="zh-CN"/>
                    </w:rPr>
                    <w:t>VOCs</w:t>
                  </w:r>
                </w:p>
              </w:tc>
              <w:tc>
                <w:tcPr>
                  <w:tcW w:w="1477" w:type="dxa"/>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40</w:t>
                  </w:r>
                </w:p>
              </w:tc>
              <w:tc>
                <w:tcPr>
                  <w:tcW w:w="2050" w:type="dxa"/>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3（15m高排气筒）</w:t>
                  </w:r>
                </w:p>
              </w:tc>
              <w:tc>
                <w:tcPr>
                  <w:tcW w:w="3554" w:type="dxa"/>
                  <w:tcBorders>
                    <w:tl2br w:val="nil"/>
                    <w:tr2bl w:val="nil"/>
                  </w:tcBorders>
                  <w:vAlign w:val="center"/>
                </w:tcPr>
                <w:p>
                  <w:pPr>
                    <w:jc w:val="center"/>
                    <w:rPr>
                      <w:rFonts w:hint="default" w:ascii="Times New Roman" w:hAnsi="Times New Roman" w:cs="Times New Roman"/>
                      <w:bCs/>
                      <w:color w:val="auto"/>
                      <w:sz w:val="18"/>
                      <w:szCs w:val="21"/>
                      <w:highlight w:val="none"/>
                    </w:rPr>
                  </w:pPr>
                  <w:r>
                    <w:rPr>
                      <w:rFonts w:hint="default" w:ascii="Times New Roman" w:hAnsi="Times New Roman" w:cs="Times New Roman"/>
                      <w:bCs/>
                      <w:color w:val="auto"/>
                      <w:sz w:val="18"/>
                      <w:szCs w:val="21"/>
                      <w:highlight w:val="none"/>
                    </w:rPr>
                    <w:t>《挥发性有机物排放标准 第7部分：其他行业》（DB37/2801.7-2019）表1 其他行业企业或生产设施VOCs排放限值中纺织业排放限值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8" w:type="dxa"/>
                  <w:tcBorders>
                    <w:tl2br w:val="nil"/>
                    <w:tr2bl w:val="nil"/>
                  </w:tcBorders>
                  <w:shd w:val="clear" w:color="auto" w:fill="auto"/>
                  <w:vAlign w:val="center"/>
                </w:tcPr>
                <w:p>
                  <w:pPr>
                    <w:jc w:val="center"/>
                    <w:rPr>
                      <w:rFonts w:hint="default" w:ascii="Times New Roman" w:hAnsi="Times New Roman" w:eastAsia="宋体" w:cs="Times New Roman"/>
                      <w:color w:val="auto"/>
                      <w:kern w:val="2"/>
                      <w:sz w:val="18"/>
                      <w:szCs w:val="21"/>
                      <w:highlight w:val="none"/>
                      <w:lang w:val="en-US" w:eastAsia="zh-CN" w:bidi="ar-SA"/>
                    </w:rPr>
                  </w:pPr>
                  <w:r>
                    <w:rPr>
                      <w:rFonts w:hint="default" w:ascii="Times New Roman" w:hAnsi="Times New Roman" w:eastAsia="宋体" w:cs="Times New Roman"/>
                      <w:color w:val="auto"/>
                      <w:kern w:val="2"/>
                      <w:sz w:val="18"/>
                      <w:szCs w:val="21"/>
                      <w:highlight w:val="none"/>
                      <w:lang w:val="en-US" w:eastAsia="zh-CN" w:bidi="ar-SA"/>
                    </w:rPr>
                    <w:t>颗粒物</w:t>
                  </w:r>
                </w:p>
              </w:tc>
              <w:tc>
                <w:tcPr>
                  <w:tcW w:w="1477" w:type="dxa"/>
                  <w:tcBorders>
                    <w:tl2br w:val="nil"/>
                    <w:tr2bl w:val="nil"/>
                  </w:tcBorders>
                  <w:vAlign w:val="center"/>
                </w:tcPr>
                <w:p>
                  <w:pPr>
                    <w:jc w:val="center"/>
                    <w:rPr>
                      <w:rFonts w:hint="default" w:ascii="Times New Roman" w:hAnsi="Times New Roman" w:eastAsia="宋体" w:cs="Times New Roman"/>
                      <w:color w:val="auto"/>
                      <w:kern w:val="2"/>
                      <w:sz w:val="18"/>
                      <w:szCs w:val="21"/>
                      <w:highlight w:val="none"/>
                      <w:vertAlign w:val="baseline"/>
                      <w:lang w:val="en-US" w:eastAsia="zh-CN" w:bidi="ar-SA"/>
                    </w:rPr>
                  </w:pPr>
                  <w:r>
                    <w:rPr>
                      <w:rFonts w:hint="default" w:ascii="Times New Roman" w:hAnsi="Times New Roman" w:eastAsia="宋体" w:cs="Times New Roman"/>
                      <w:color w:val="auto"/>
                      <w:kern w:val="2"/>
                      <w:sz w:val="18"/>
                      <w:szCs w:val="21"/>
                      <w:highlight w:val="none"/>
                      <w:vertAlign w:val="baseline"/>
                      <w:lang w:val="en-US" w:eastAsia="zh-CN" w:bidi="ar-SA"/>
                    </w:rPr>
                    <w:t>10</w:t>
                  </w:r>
                </w:p>
              </w:tc>
              <w:tc>
                <w:tcPr>
                  <w:tcW w:w="2050" w:type="dxa"/>
                  <w:tcBorders>
                    <w:tl2br w:val="nil"/>
                    <w:tr2bl w:val="nil"/>
                  </w:tcBorders>
                  <w:vAlign w:val="center"/>
                </w:tcPr>
                <w:p>
                  <w:pPr>
                    <w:jc w:val="center"/>
                    <w:rPr>
                      <w:rFonts w:hint="default" w:ascii="Times New Roman" w:hAnsi="Times New Roman" w:eastAsia="宋体" w:cs="Times New Roman"/>
                      <w:color w:val="auto"/>
                      <w:kern w:val="2"/>
                      <w:sz w:val="18"/>
                      <w:szCs w:val="21"/>
                      <w:highlight w:val="none"/>
                      <w:lang w:val="en-US" w:eastAsia="zh-CN" w:bidi="ar-SA"/>
                    </w:rPr>
                  </w:pPr>
                  <w:r>
                    <w:rPr>
                      <w:rFonts w:hint="default" w:ascii="Times New Roman" w:hAnsi="Times New Roman" w:eastAsia="宋体" w:cs="Times New Roman"/>
                      <w:color w:val="auto"/>
                      <w:kern w:val="2"/>
                      <w:sz w:val="18"/>
                      <w:szCs w:val="21"/>
                      <w:highlight w:val="none"/>
                      <w:lang w:val="en-US" w:eastAsia="zh-CN" w:bidi="ar-SA"/>
                    </w:rPr>
                    <w:t>/</w:t>
                  </w:r>
                </w:p>
              </w:tc>
              <w:tc>
                <w:tcPr>
                  <w:tcW w:w="3554" w:type="dxa"/>
                  <w:vMerge w:val="restart"/>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《区域性大气污染物综合排放标准》（DB37/2376—2019）表1 大气污染物排放浓度限值中重点控制区标准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8" w:type="dxa"/>
                  <w:tcBorders>
                    <w:tl2br w:val="nil"/>
                    <w:tr2bl w:val="nil"/>
                  </w:tcBorders>
                  <w:shd w:val="clear" w:color="auto" w:fill="auto"/>
                  <w:vAlign w:val="center"/>
                </w:tcPr>
                <w:p>
                  <w:pPr>
                    <w:jc w:val="center"/>
                    <w:rPr>
                      <w:rFonts w:hint="default" w:ascii="Times New Roman" w:hAnsi="Times New Roman" w:eastAsia="宋体" w:cs="Times New Roman"/>
                      <w:color w:val="auto"/>
                      <w:kern w:val="2"/>
                      <w:sz w:val="18"/>
                      <w:szCs w:val="21"/>
                      <w:highlight w:val="none"/>
                      <w:lang w:val="en-US" w:eastAsia="zh-CN" w:bidi="ar-SA"/>
                    </w:rPr>
                  </w:pPr>
                  <w:r>
                    <w:rPr>
                      <w:rFonts w:hint="default" w:ascii="Times New Roman" w:hAnsi="Times New Roman" w:eastAsia="宋体" w:cs="Times New Roman"/>
                      <w:color w:val="auto"/>
                      <w:kern w:val="2"/>
                      <w:sz w:val="18"/>
                      <w:szCs w:val="21"/>
                      <w:highlight w:val="none"/>
                      <w:lang w:val="en-US" w:eastAsia="zh-CN" w:bidi="ar-SA"/>
                    </w:rPr>
                    <w:t>二氧化硫</w:t>
                  </w:r>
                </w:p>
              </w:tc>
              <w:tc>
                <w:tcPr>
                  <w:tcW w:w="1477" w:type="dxa"/>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50</w:t>
                  </w:r>
                </w:p>
              </w:tc>
              <w:tc>
                <w:tcPr>
                  <w:tcW w:w="2050" w:type="dxa"/>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eastAsia="宋体" w:cs="Times New Roman"/>
                      <w:color w:val="auto"/>
                      <w:kern w:val="2"/>
                      <w:sz w:val="18"/>
                      <w:szCs w:val="21"/>
                      <w:highlight w:val="none"/>
                      <w:lang w:val="en-US" w:eastAsia="zh-CN" w:bidi="ar-SA"/>
                    </w:rPr>
                    <w:t>/</w:t>
                  </w:r>
                </w:p>
              </w:tc>
              <w:tc>
                <w:tcPr>
                  <w:tcW w:w="3554" w:type="dxa"/>
                  <w:vMerge w:val="continue"/>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8" w:type="dxa"/>
                  <w:tcBorders>
                    <w:tl2br w:val="nil"/>
                    <w:tr2bl w:val="nil"/>
                  </w:tcBorders>
                  <w:shd w:val="clear" w:color="auto" w:fill="auto"/>
                  <w:vAlign w:val="center"/>
                </w:tcPr>
                <w:p>
                  <w:pPr>
                    <w:jc w:val="center"/>
                    <w:rPr>
                      <w:rFonts w:hint="default" w:ascii="Times New Roman" w:hAnsi="Times New Roman" w:eastAsia="宋体" w:cs="Times New Roman"/>
                      <w:color w:val="auto"/>
                      <w:kern w:val="2"/>
                      <w:sz w:val="18"/>
                      <w:szCs w:val="21"/>
                      <w:highlight w:val="none"/>
                      <w:lang w:val="en-US" w:eastAsia="zh-CN" w:bidi="ar-SA"/>
                    </w:rPr>
                  </w:pPr>
                  <w:r>
                    <w:rPr>
                      <w:rFonts w:hint="default" w:ascii="Times New Roman" w:hAnsi="Times New Roman" w:eastAsia="宋体" w:cs="Times New Roman"/>
                      <w:color w:val="auto"/>
                      <w:kern w:val="2"/>
                      <w:sz w:val="18"/>
                      <w:szCs w:val="21"/>
                      <w:highlight w:val="none"/>
                      <w:lang w:val="en-US" w:eastAsia="zh-CN" w:bidi="ar-SA"/>
                    </w:rPr>
                    <w:t>氮氧化物</w:t>
                  </w:r>
                </w:p>
              </w:tc>
              <w:tc>
                <w:tcPr>
                  <w:tcW w:w="1477" w:type="dxa"/>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100</w:t>
                  </w:r>
                </w:p>
              </w:tc>
              <w:tc>
                <w:tcPr>
                  <w:tcW w:w="2050" w:type="dxa"/>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eastAsia="宋体" w:cs="Times New Roman"/>
                      <w:color w:val="auto"/>
                      <w:kern w:val="2"/>
                      <w:sz w:val="18"/>
                      <w:szCs w:val="21"/>
                      <w:highlight w:val="none"/>
                      <w:lang w:val="en-US" w:eastAsia="zh-CN" w:bidi="ar-SA"/>
                    </w:rPr>
                    <w:t>/</w:t>
                  </w:r>
                </w:p>
              </w:tc>
              <w:tc>
                <w:tcPr>
                  <w:tcW w:w="3554" w:type="dxa"/>
                  <w:vMerge w:val="continue"/>
                  <w:tcBorders>
                    <w:tl2br w:val="nil"/>
                    <w:tr2bl w:val="nil"/>
                  </w:tcBorders>
                  <w:vAlign w:val="center"/>
                </w:tcPr>
                <w:p>
                  <w:pPr>
                    <w:jc w:val="center"/>
                    <w:rPr>
                      <w:rFonts w:hint="default" w:ascii="Times New Roman" w:hAnsi="Times New Roman" w:cs="Times New Roman"/>
                      <w:color w:val="auto"/>
                      <w:sz w:val="18"/>
                      <w:szCs w:val="21"/>
                      <w:highlight w:val="none"/>
                      <w:vertAlign w:val="baseline"/>
                      <w:lang w:val="en-US" w:eastAsia="zh-CN"/>
                    </w:rPr>
                  </w:pPr>
                </w:p>
              </w:tc>
            </w:tr>
          </w:tbl>
          <w:p>
            <w:pPr>
              <w:autoSpaceDE w:val="0"/>
              <w:autoSpaceDN w:val="0"/>
              <w:adjustRightInd w:val="0"/>
              <w:snapToGrid w:val="0"/>
              <w:jc w:val="center"/>
              <w:rPr>
                <w:rFonts w:hint="default" w:ascii="Times New Roman" w:hAnsi="Times New Roman" w:eastAsia="宋体" w:cs="Times New Roman"/>
                <w:b/>
                <w:bCs/>
                <w:color w:val="auto"/>
                <w:spacing w:val="0"/>
                <w:w w:val="100"/>
                <w:position w:val="0"/>
                <w:sz w:val="21"/>
                <w:szCs w:val="21"/>
                <w:highlight w:val="none"/>
                <w:lang w:val="en-US" w:eastAsia="zh-CN"/>
              </w:rPr>
            </w:pPr>
            <w:r>
              <w:rPr>
                <w:rFonts w:hint="default" w:ascii="Times New Roman" w:hAnsi="Times New Roman" w:eastAsia="宋体" w:cs="Times New Roman"/>
                <w:b/>
                <w:bCs/>
                <w:color w:val="auto"/>
                <w:spacing w:val="0"/>
                <w:w w:val="100"/>
                <w:position w:val="0"/>
                <w:sz w:val="21"/>
                <w:szCs w:val="21"/>
                <w:highlight w:val="none"/>
                <w:lang w:val="en-US" w:eastAsia="zh-CN"/>
              </w:rPr>
              <w:t>表3-</w:t>
            </w:r>
            <w:r>
              <w:rPr>
                <w:rFonts w:hint="default" w:ascii="Times New Roman" w:hAnsi="Times New Roman" w:cs="Times New Roman"/>
                <w:b/>
                <w:bCs/>
                <w:color w:val="auto"/>
                <w:spacing w:val="0"/>
                <w:w w:val="100"/>
                <w:position w:val="0"/>
                <w:sz w:val="21"/>
                <w:szCs w:val="21"/>
                <w:highlight w:val="none"/>
                <w:lang w:val="en-US" w:eastAsia="zh-CN"/>
              </w:rPr>
              <w:t>4</w:t>
            </w:r>
            <w:r>
              <w:rPr>
                <w:rFonts w:hint="default" w:ascii="Times New Roman" w:hAnsi="Times New Roman" w:eastAsia="宋体" w:cs="Times New Roman"/>
                <w:b/>
                <w:bCs/>
                <w:color w:val="auto"/>
                <w:spacing w:val="0"/>
                <w:w w:val="100"/>
                <w:position w:val="0"/>
                <w:sz w:val="21"/>
                <w:szCs w:val="21"/>
                <w:highlight w:val="none"/>
                <w:lang w:val="en-US" w:eastAsia="zh-CN"/>
              </w:rPr>
              <w:t xml:space="preserve">  厂界监控点浓度限值</w:t>
            </w:r>
            <w:r>
              <w:rPr>
                <w:rFonts w:hint="default" w:ascii="Times New Roman" w:hAnsi="Times New Roman" w:cs="Times New Roman"/>
                <w:b/>
                <w:bCs/>
                <w:color w:val="auto"/>
                <w:spacing w:val="0"/>
                <w:w w:val="100"/>
                <w:position w:val="0"/>
                <w:sz w:val="21"/>
                <w:szCs w:val="21"/>
                <w:highlight w:val="none"/>
                <w:lang w:val="en-US" w:eastAsia="zh-CN"/>
              </w:rPr>
              <w:t>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92"/>
              <w:gridCol w:w="1713"/>
              <w:gridCol w:w="44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0" w:type="pct"/>
                  <w:tcBorders>
                    <w:tl2br w:val="nil"/>
                    <w:tr2bl w:val="nil"/>
                  </w:tcBorders>
                  <w:noWrap w:val="0"/>
                  <w:vAlign w:val="center"/>
                </w:tcPr>
                <w:p>
                  <w:pPr>
                    <w:adjustRightInd w:val="0"/>
                    <w:snapToGrid w:val="0"/>
                    <w:jc w:val="center"/>
                    <w:rPr>
                      <w:rFonts w:hint="default" w:ascii="Times New Roman" w:hAnsi="Times New Roman" w:eastAsia="宋体" w:cs="Times New Roman"/>
                      <w:b/>
                      <w:bCs/>
                      <w:color w:val="auto"/>
                      <w:sz w:val="18"/>
                      <w:szCs w:val="21"/>
                      <w:highlight w:val="none"/>
                      <w:lang w:val="en-US" w:eastAsia="zh-CN"/>
                    </w:rPr>
                  </w:pPr>
                  <w:r>
                    <w:rPr>
                      <w:rFonts w:hint="default" w:ascii="Times New Roman" w:hAnsi="Times New Roman" w:cs="Times New Roman"/>
                      <w:b/>
                      <w:bCs/>
                      <w:color w:val="auto"/>
                      <w:sz w:val="18"/>
                      <w:szCs w:val="21"/>
                      <w:highlight w:val="none"/>
                      <w:lang w:val="en-US" w:eastAsia="zh-CN"/>
                    </w:rPr>
                    <w:t>位置</w:t>
                  </w:r>
                </w:p>
              </w:tc>
              <w:tc>
                <w:tcPr>
                  <w:tcW w:w="532" w:type="pct"/>
                  <w:tcBorders>
                    <w:tl2br w:val="nil"/>
                    <w:tr2bl w:val="nil"/>
                  </w:tcBorders>
                  <w:noWrap w:val="0"/>
                  <w:vAlign w:val="center"/>
                </w:tcPr>
                <w:p>
                  <w:pPr>
                    <w:adjustRightInd w:val="0"/>
                    <w:snapToGrid w:val="0"/>
                    <w:jc w:val="center"/>
                    <w:rPr>
                      <w:rFonts w:hint="default" w:ascii="Times New Roman" w:hAnsi="Times New Roman" w:eastAsia="宋体" w:cs="Times New Roman"/>
                      <w:b/>
                      <w:bCs/>
                      <w:color w:val="auto"/>
                      <w:kern w:val="2"/>
                      <w:sz w:val="18"/>
                      <w:szCs w:val="21"/>
                      <w:highlight w:val="none"/>
                      <w:lang w:val="en-US" w:eastAsia="zh-CN" w:bidi="ar-SA"/>
                    </w:rPr>
                  </w:pPr>
                  <w:r>
                    <w:rPr>
                      <w:rFonts w:hint="default" w:ascii="Times New Roman" w:hAnsi="Times New Roman" w:cs="Times New Roman"/>
                      <w:b/>
                      <w:bCs/>
                      <w:color w:val="auto"/>
                      <w:sz w:val="18"/>
                      <w:szCs w:val="21"/>
                      <w:highlight w:val="none"/>
                    </w:rPr>
                    <w:t>污染物名称</w:t>
                  </w:r>
                </w:p>
              </w:tc>
              <w:tc>
                <w:tcPr>
                  <w:tcW w:w="1023" w:type="pct"/>
                  <w:tcBorders>
                    <w:tl2br w:val="nil"/>
                    <w:tr2bl w:val="nil"/>
                  </w:tcBorders>
                  <w:noWrap w:val="0"/>
                  <w:vAlign w:val="center"/>
                </w:tcPr>
                <w:p>
                  <w:pPr>
                    <w:adjustRightInd w:val="0"/>
                    <w:snapToGrid w:val="0"/>
                    <w:jc w:val="center"/>
                    <w:rPr>
                      <w:rFonts w:hint="default" w:ascii="Times New Roman" w:hAnsi="Times New Roman" w:cs="Times New Roman"/>
                      <w:b/>
                      <w:bCs/>
                      <w:color w:val="auto"/>
                      <w:sz w:val="18"/>
                      <w:szCs w:val="21"/>
                      <w:highlight w:val="none"/>
                    </w:rPr>
                  </w:pPr>
                  <w:r>
                    <w:rPr>
                      <w:rFonts w:hint="default" w:ascii="Times New Roman" w:hAnsi="Times New Roman" w:cs="Times New Roman"/>
                      <w:b/>
                      <w:bCs/>
                      <w:color w:val="auto"/>
                      <w:sz w:val="18"/>
                      <w:szCs w:val="21"/>
                      <w:highlight w:val="none"/>
                    </w:rPr>
                    <w:t>浓度</w:t>
                  </w:r>
                  <w:r>
                    <w:rPr>
                      <w:rFonts w:hint="default" w:ascii="Times New Roman" w:hAnsi="Times New Roman" w:cs="Times New Roman"/>
                      <w:b/>
                      <w:bCs/>
                      <w:color w:val="auto"/>
                      <w:sz w:val="18"/>
                      <w:szCs w:val="21"/>
                      <w:highlight w:val="none"/>
                      <w:lang w:eastAsia="zh-CN"/>
                    </w:rPr>
                    <w:t>限值</w:t>
                  </w:r>
                  <w:r>
                    <w:rPr>
                      <w:rFonts w:hint="default" w:ascii="Times New Roman" w:hAnsi="Times New Roman" w:cs="Times New Roman"/>
                      <w:b/>
                      <w:bCs/>
                      <w:color w:val="auto"/>
                      <w:sz w:val="18"/>
                      <w:szCs w:val="21"/>
                      <w:highlight w:val="none"/>
                    </w:rPr>
                    <w:t>（mg/m</w:t>
                  </w:r>
                  <w:r>
                    <w:rPr>
                      <w:rFonts w:hint="default" w:ascii="Times New Roman" w:hAnsi="Times New Roman" w:cs="Times New Roman"/>
                      <w:b/>
                      <w:bCs/>
                      <w:color w:val="auto"/>
                      <w:sz w:val="18"/>
                      <w:szCs w:val="21"/>
                      <w:highlight w:val="none"/>
                      <w:vertAlign w:val="superscript"/>
                      <w:lang w:val="en-US" w:eastAsia="zh-CN"/>
                    </w:rPr>
                    <w:t>3</w:t>
                  </w:r>
                  <w:r>
                    <w:rPr>
                      <w:rFonts w:hint="default" w:ascii="Times New Roman" w:hAnsi="Times New Roman" w:cs="Times New Roman"/>
                      <w:b/>
                      <w:bCs/>
                      <w:color w:val="auto"/>
                      <w:sz w:val="18"/>
                      <w:szCs w:val="21"/>
                      <w:highlight w:val="none"/>
                    </w:rPr>
                    <w:t>）</w:t>
                  </w:r>
                </w:p>
              </w:tc>
              <w:tc>
                <w:tcPr>
                  <w:tcW w:w="2643" w:type="pct"/>
                  <w:tcBorders>
                    <w:tl2br w:val="nil"/>
                    <w:tr2bl w:val="nil"/>
                  </w:tcBorders>
                  <w:noWrap w:val="0"/>
                  <w:vAlign w:val="center"/>
                </w:tcPr>
                <w:p>
                  <w:pPr>
                    <w:adjustRightInd w:val="0"/>
                    <w:snapToGrid w:val="0"/>
                    <w:jc w:val="center"/>
                    <w:rPr>
                      <w:rFonts w:hint="default" w:ascii="Times New Roman" w:hAnsi="Times New Roman" w:cs="Times New Roman"/>
                      <w:b/>
                      <w:bCs/>
                      <w:color w:val="auto"/>
                      <w:sz w:val="18"/>
                      <w:szCs w:val="21"/>
                      <w:highlight w:val="none"/>
                    </w:rPr>
                  </w:pPr>
                  <w:r>
                    <w:rPr>
                      <w:rFonts w:hint="default" w:ascii="Times New Roman" w:hAnsi="Times New Roman" w:cs="Times New Roman"/>
                      <w:b/>
                      <w:bCs/>
                      <w:color w:val="auto"/>
                      <w:sz w:val="18"/>
                      <w:szCs w:val="21"/>
                      <w:highlight w:val="none"/>
                      <w:vertAlign w:val="baseline"/>
                      <w:lang w:val="en-US" w:eastAsia="zh-CN"/>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0" w:type="pct"/>
                  <w:tcBorders>
                    <w:tl2br w:val="nil"/>
                    <w:tr2bl w:val="nil"/>
                  </w:tcBorders>
                  <w:noWrap w:val="0"/>
                  <w:vAlign w:val="center"/>
                </w:tcPr>
                <w:p>
                  <w:pPr>
                    <w:adjustRightInd w:val="0"/>
                    <w:snapToGrid w:val="0"/>
                    <w:jc w:val="center"/>
                    <w:rPr>
                      <w:rFonts w:hint="default" w:ascii="Times New Roman" w:hAnsi="Times New Roman" w:cs="Times New Roman"/>
                      <w:color w:val="auto"/>
                      <w:sz w:val="18"/>
                      <w:szCs w:val="21"/>
                      <w:highlight w:val="none"/>
                      <w:lang w:val="en-US" w:eastAsia="zh-CN"/>
                    </w:rPr>
                  </w:pPr>
                  <w:r>
                    <w:rPr>
                      <w:rFonts w:hint="default" w:ascii="Times New Roman" w:hAnsi="Times New Roman" w:cs="Times New Roman"/>
                      <w:color w:val="auto"/>
                      <w:sz w:val="18"/>
                      <w:szCs w:val="21"/>
                      <w:highlight w:val="none"/>
                      <w:lang w:val="en-US" w:eastAsia="zh-CN"/>
                    </w:rPr>
                    <w:t>厂界</w:t>
                  </w:r>
                </w:p>
              </w:tc>
              <w:tc>
                <w:tcPr>
                  <w:tcW w:w="532" w:type="pct"/>
                  <w:tcBorders>
                    <w:tl2br w:val="nil"/>
                    <w:tr2bl w:val="nil"/>
                  </w:tcBorders>
                  <w:noWrap w:val="0"/>
                  <w:vAlign w:val="center"/>
                </w:tcPr>
                <w:p>
                  <w:pPr>
                    <w:adjustRightInd w:val="0"/>
                    <w:snapToGrid w:val="0"/>
                    <w:jc w:val="center"/>
                    <w:rPr>
                      <w:rFonts w:hint="default" w:ascii="Times New Roman" w:hAnsi="Times New Roman" w:eastAsia="宋体" w:cs="Times New Roman"/>
                      <w:color w:val="auto"/>
                      <w:kern w:val="2"/>
                      <w:sz w:val="18"/>
                      <w:szCs w:val="21"/>
                      <w:highlight w:val="none"/>
                      <w:lang w:val="en-US" w:eastAsia="zh-CN" w:bidi="ar-SA"/>
                    </w:rPr>
                  </w:pPr>
                  <w:r>
                    <w:rPr>
                      <w:rFonts w:hint="default" w:ascii="Times New Roman" w:hAnsi="Times New Roman" w:cs="Times New Roman"/>
                      <w:color w:val="auto"/>
                      <w:sz w:val="18"/>
                      <w:szCs w:val="21"/>
                      <w:highlight w:val="none"/>
                      <w:lang w:val="en-US" w:eastAsia="zh-CN"/>
                    </w:rPr>
                    <w:t>VOCs</w:t>
                  </w:r>
                </w:p>
              </w:tc>
              <w:tc>
                <w:tcPr>
                  <w:tcW w:w="1023" w:type="pct"/>
                  <w:tcBorders>
                    <w:tl2br w:val="nil"/>
                    <w:tr2bl w:val="nil"/>
                  </w:tcBorders>
                  <w:noWrap w:val="0"/>
                  <w:vAlign w:val="center"/>
                </w:tcPr>
                <w:p>
                  <w:pPr>
                    <w:adjustRightInd w:val="0"/>
                    <w:snapToGrid w:val="0"/>
                    <w:jc w:val="center"/>
                    <w:rPr>
                      <w:rFonts w:hint="default" w:ascii="Times New Roman" w:hAnsi="Times New Roman" w:cs="Times New Roman"/>
                      <w:color w:val="auto"/>
                      <w:sz w:val="18"/>
                      <w:szCs w:val="21"/>
                      <w:highlight w:val="none"/>
                      <w:lang w:val="en-US" w:eastAsia="zh-CN"/>
                    </w:rPr>
                  </w:pPr>
                  <w:r>
                    <w:rPr>
                      <w:rFonts w:hint="default" w:ascii="Times New Roman" w:hAnsi="Times New Roman" w:cs="Times New Roman"/>
                      <w:color w:val="auto"/>
                      <w:sz w:val="18"/>
                      <w:szCs w:val="21"/>
                      <w:highlight w:val="none"/>
                      <w:lang w:val="en-US" w:eastAsia="zh-CN"/>
                    </w:rPr>
                    <w:t>2.0</w:t>
                  </w:r>
                </w:p>
              </w:tc>
              <w:tc>
                <w:tcPr>
                  <w:tcW w:w="2643" w:type="pct"/>
                  <w:tcBorders>
                    <w:tl2br w:val="nil"/>
                    <w:tr2bl w:val="nil"/>
                  </w:tcBorders>
                  <w:noWrap w:val="0"/>
                  <w:vAlign w:val="center"/>
                </w:tcPr>
                <w:p>
                  <w:pPr>
                    <w:adjustRightInd w:val="0"/>
                    <w:snapToGrid w:val="0"/>
                    <w:jc w:val="center"/>
                    <w:rPr>
                      <w:rFonts w:hint="default" w:ascii="Times New Roman" w:hAnsi="Times New Roman" w:cs="Times New Roman"/>
                      <w:color w:val="auto"/>
                      <w:sz w:val="18"/>
                      <w:szCs w:val="21"/>
                      <w:highlight w:val="none"/>
                      <w:lang w:val="en-US" w:eastAsia="zh-CN"/>
                    </w:rPr>
                  </w:pPr>
                  <w:r>
                    <w:rPr>
                      <w:rFonts w:hint="default" w:ascii="Times New Roman" w:hAnsi="Times New Roman" w:cs="Times New Roman"/>
                      <w:bCs/>
                      <w:color w:val="auto"/>
                      <w:sz w:val="18"/>
                      <w:szCs w:val="21"/>
                      <w:highlight w:val="none"/>
                    </w:rPr>
                    <w:t>《挥发性有机物排放标准 第7部分：其他行业》（DB37/2801.7-2019）表2 厂界监控点浓度限值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800" w:type="pct"/>
                  <w:vMerge w:val="restart"/>
                  <w:tcBorders>
                    <w:tl2br w:val="nil"/>
                    <w:tr2bl w:val="nil"/>
                  </w:tcBorders>
                  <w:noWrap w:val="0"/>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厂区内</w:t>
                  </w:r>
                </w:p>
              </w:tc>
              <w:tc>
                <w:tcPr>
                  <w:tcW w:w="532" w:type="pct"/>
                  <w:vMerge w:val="restart"/>
                  <w:tcBorders>
                    <w:tl2br w:val="nil"/>
                    <w:tr2bl w:val="nil"/>
                  </w:tcBorders>
                  <w:noWrap w:val="0"/>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VOCs</w:t>
                  </w:r>
                </w:p>
              </w:tc>
              <w:tc>
                <w:tcPr>
                  <w:tcW w:w="1023" w:type="pct"/>
                  <w:tcBorders>
                    <w:tl2br w:val="nil"/>
                    <w:tr2bl w:val="nil"/>
                  </w:tcBorders>
                  <w:noWrap w:val="0"/>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6.0（监控点处1h平均浓度限值）</w:t>
                  </w:r>
                </w:p>
              </w:tc>
              <w:tc>
                <w:tcPr>
                  <w:tcW w:w="2643" w:type="pct"/>
                  <w:vMerge w:val="restart"/>
                  <w:tcBorders>
                    <w:tl2br w:val="nil"/>
                    <w:tr2bl w:val="nil"/>
                  </w:tcBorders>
                  <w:noWrap w:val="0"/>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《挥发性有机物无组织排放控制标准》（GB37822-2019）A.1 厂区内VOCs无组织排放限值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0" w:type="pct"/>
                  <w:vMerge w:val="continue"/>
                  <w:tcBorders>
                    <w:tl2br w:val="nil"/>
                    <w:tr2bl w:val="nil"/>
                  </w:tcBorders>
                  <w:noWrap w:val="0"/>
                  <w:vAlign w:val="center"/>
                </w:tcPr>
                <w:p>
                  <w:pPr>
                    <w:adjustRightInd w:val="0"/>
                    <w:snapToGrid w:val="0"/>
                    <w:jc w:val="center"/>
                    <w:rPr>
                      <w:rFonts w:hint="default" w:ascii="Times New Roman" w:hAnsi="Times New Roman" w:cs="Times New Roman"/>
                      <w:color w:val="auto"/>
                      <w:sz w:val="18"/>
                      <w:szCs w:val="21"/>
                      <w:highlight w:val="none"/>
                      <w:lang w:val="en-US" w:eastAsia="zh-CN"/>
                    </w:rPr>
                  </w:pPr>
                </w:p>
              </w:tc>
              <w:tc>
                <w:tcPr>
                  <w:tcW w:w="532" w:type="pct"/>
                  <w:vMerge w:val="continue"/>
                  <w:tcBorders>
                    <w:tl2br w:val="nil"/>
                    <w:tr2bl w:val="nil"/>
                  </w:tcBorders>
                  <w:noWrap w:val="0"/>
                  <w:vAlign w:val="center"/>
                </w:tcPr>
                <w:p>
                  <w:pPr>
                    <w:jc w:val="center"/>
                    <w:rPr>
                      <w:rFonts w:hint="default" w:ascii="Times New Roman" w:hAnsi="Times New Roman" w:cs="Times New Roman"/>
                      <w:color w:val="auto"/>
                      <w:sz w:val="18"/>
                      <w:szCs w:val="21"/>
                      <w:highlight w:val="none"/>
                      <w:vertAlign w:val="baseline"/>
                      <w:lang w:val="en-US" w:eastAsia="zh-CN"/>
                    </w:rPr>
                  </w:pPr>
                </w:p>
              </w:tc>
              <w:tc>
                <w:tcPr>
                  <w:tcW w:w="1023" w:type="pct"/>
                  <w:tcBorders>
                    <w:tl2br w:val="nil"/>
                    <w:tr2bl w:val="nil"/>
                  </w:tcBorders>
                  <w:noWrap w:val="0"/>
                  <w:vAlign w:val="center"/>
                </w:tcPr>
                <w:p>
                  <w:pPr>
                    <w:jc w:val="center"/>
                    <w:rPr>
                      <w:rFonts w:hint="default" w:ascii="Times New Roman" w:hAnsi="Times New Roman" w:cs="Times New Roman"/>
                      <w:color w:val="auto"/>
                      <w:sz w:val="18"/>
                      <w:szCs w:val="21"/>
                      <w:highlight w:val="none"/>
                      <w:vertAlign w:val="baseline"/>
                      <w:lang w:val="en-US" w:eastAsia="zh-CN"/>
                    </w:rPr>
                  </w:pPr>
                  <w:r>
                    <w:rPr>
                      <w:rFonts w:hint="default" w:ascii="Times New Roman" w:hAnsi="Times New Roman" w:cs="Times New Roman"/>
                      <w:color w:val="auto"/>
                      <w:sz w:val="18"/>
                      <w:szCs w:val="21"/>
                      <w:highlight w:val="none"/>
                      <w:vertAlign w:val="baseline"/>
                      <w:lang w:val="en-US" w:eastAsia="zh-CN"/>
                    </w:rPr>
                    <w:t>20（监控点处任意一次浓度值）</w:t>
                  </w:r>
                </w:p>
              </w:tc>
              <w:tc>
                <w:tcPr>
                  <w:tcW w:w="2643" w:type="pct"/>
                  <w:vMerge w:val="continue"/>
                  <w:tcBorders>
                    <w:tl2br w:val="nil"/>
                    <w:tr2bl w:val="nil"/>
                  </w:tcBorders>
                  <w:noWrap w:val="0"/>
                  <w:vAlign w:val="center"/>
                </w:tcPr>
                <w:p>
                  <w:pPr>
                    <w:adjustRightInd w:val="0"/>
                    <w:snapToGrid w:val="0"/>
                    <w:jc w:val="center"/>
                    <w:rPr>
                      <w:rFonts w:hint="default" w:ascii="Times New Roman" w:hAnsi="Times New Roman" w:cs="Times New Roman"/>
                      <w:bCs/>
                      <w:color w:val="auto"/>
                      <w:sz w:val="18"/>
                      <w:szCs w:val="21"/>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2、废水</w:t>
            </w:r>
          </w:p>
          <w:p>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技改</w:t>
            </w:r>
            <w:r>
              <w:rPr>
                <w:rFonts w:hint="default" w:ascii="Times New Roman" w:hAnsi="Times New Roman" w:eastAsia="宋体" w:cs="Times New Roman"/>
                <w:color w:val="auto"/>
                <w:szCs w:val="21"/>
                <w:highlight w:val="none"/>
                <w:lang w:val="en-US" w:eastAsia="zh-CN"/>
              </w:rPr>
              <w:t>项目</w:t>
            </w:r>
            <w:r>
              <w:rPr>
                <w:rFonts w:hint="default" w:ascii="Times New Roman" w:hAnsi="Times New Roman" w:cs="Times New Roman"/>
                <w:color w:val="auto"/>
                <w:szCs w:val="21"/>
                <w:highlight w:val="none"/>
                <w:lang w:val="en-US" w:eastAsia="zh-CN"/>
              </w:rPr>
              <w:t>不新增污水排放种类和排放量，现有项目污染水排放标准执行《纺织染整工业水污染物排放标准》（GB 4287-2012）及修改单表2限值。</w:t>
            </w:r>
          </w:p>
          <w:p>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表3-</w:t>
            </w:r>
            <w:r>
              <w:rPr>
                <w:rFonts w:hint="default" w:ascii="Times New Roman" w:hAnsi="Times New Roman" w:cs="Times New Roman"/>
                <w:b/>
                <w:color w:val="auto"/>
                <w:szCs w:val="21"/>
                <w:highlight w:val="none"/>
                <w:lang w:val="en-US" w:eastAsia="zh-CN"/>
              </w:rPr>
              <w:t>5厂区</w:t>
            </w:r>
            <w:r>
              <w:rPr>
                <w:rFonts w:hint="default" w:ascii="Times New Roman" w:hAnsi="Times New Roman" w:cs="Times New Roman"/>
                <w:b/>
                <w:color w:val="auto"/>
                <w:szCs w:val="21"/>
                <w:highlight w:val="none"/>
              </w:rPr>
              <w:t>污水排放标准</w:t>
            </w:r>
            <w:r>
              <w:rPr>
                <w:rFonts w:hint="default" w:ascii="Times New Roman" w:hAnsi="Times New Roman" w:cs="Times New Roman"/>
                <w:b/>
                <w:color w:val="auto"/>
                <w:szCs w:val="21"/>
                <w:highlight w:val="none"/>
                <w:lang w:val="en-US" w:eastAsia="zh-CN"/>
              </w:rPr>
              <w:t xml:space="preserve">  </w:t>
            </w:r>
            <w:r>
              <w:rPr>
                <w:rFonts w:hint="default" w:ascii="Times New Roman" w:hAnsi="Times New Roman" w:cs="Times New Roman"/>
                <w:b/>
                <w:color w:val="auto"/>
                <w:szCs w:val="21"/>
                <w:highlight w:val="none"/>
              </w:rPr>
              <w:t>单位：mg/L</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049"/>
              <w:gridCol w:w="53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项目</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《纺织染整工业水污染物排放标准》（GB 4287-2012）及修改单表2限值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COD</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BOD</w:t>
                  </w:r>
                  <w:r>
                    <w:rPr>
                      <w:rFonts w:hint="default" w:ascii="Times New Roman" w:hAnsi="Times New Roman" w:cs="Times New Roman"/>
                      <w:color w:val="auto"/>
                      <w:sz w:val="18"/>
                      <w:szCs w:val="18"/>
                      <w:highlight w:val="none"/>
                      <w:vertAlign w:val="subscript"/>
                    </w:rPr>
                    <w:t>5</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氨氮</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pH</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总磷</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总氮</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苯胺类</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821"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硫化物</w:t>
                  </w:r>
                </w:p>
              </w:tc>
              <w:tc>
                <w:tcPr>
                  <w:tcW w:w="3178" w:type="pct"/>
                  <w:tcBorders>
                    <w:tl2br w:val="nil"/>
                    <w:tr2bl w:val="nil"/>
                  </w:tcBorders>
                  <w:noWrap w:val="0"/>
                  <w:vAlign w:val="center"/>
                </w:tcPr>
                <w:p>
                  <w:pPr>
                    <w:autoSpaceDE w:val="0"/>
                    <w:autoSpaceDN w:val="0"/>
                    <w:adjustRightInd w:val="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0.5</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3、噪声</w:t>
            </w:r>
          </w:p>
          <w:p>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营运期噪声执行《工业企业厂界环境噪声排放标准》（GB12348-2008）2类标准。</w:t>
            </w:r>
          </w:p>
          <w:p>
            <w:pPr>
              <w:pStyle w:val="34"/>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表3-</w:t>
            </w:r>
            <w:r>
              <w:rPr>
                <w:rFonts w:hint="default" w:ascii="Times New Roman" w:hAnsi="Times New Roman" w:cs="Times New Roman"/>
                <w:b/>
                <w:bCs/>
                <w:color w:val="auto"/>
                <w:kern w:val="2"/>
                <w:sz w:val="21"/>
                <w:szCs w:val="21"/>
                <w:highlight w:val="none"/>
                <w:lang w:val="en-US" w:eastAsia="zh-CN" w:bidi="ar-SA"/>
              </w:rPr>
              <w:t>6</w:t>
            </w:r>
            <w:r>
              <w:rPr>
                <w:rFonts w:hint="default" w:ascii="Times New Roman" w:hAnsi="Times New Roman" w:eastAsia="宋体" w:cs="Times New Roman"/>
                <w:b/>
                <w:bCs/>
                <w:color w:val="auto"/>
                <w:kern w:val="2"/>
                <w:sz w:val="21"/>
                <w:szCs w:val="21"/>
                <w:highlight w:val="none"/>
                <w:lang w:val="en-US" w:eastAsia="zh-CN" w:bidi="ar-SA"/>
              </w:rPr>
              <w:t xml:space="preserve"> 工业企业厂界环境噪声排放标准</w:t>
            </w:r>
            <w:r>
              <w:rPr>
                <w:rFonts w:hint="default" w:ascii="Times New Roman" w:hAnsi="Times New Roman" w:cs="Times New Roman"/>
                <w:b/>
                <w:bCs/>
                <w:color w:val="auto"/>
                <w:kern w:val="2"/>
                <w:sz w:val="21"/>
                <w:szCs w:val="21"/>
                <w:highlight w:val="none"/>
                <w:lang w:val="en-US" w:eastAsia="zh-CN" w:bidi="ar-SA"/>
              </w:rPr>
              <w:t>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839"/>
              <w:gridCol w:w="2681"/>
              <w:gridCol w:w="28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62" w:type="dxa"/>
                  <w:tcBorders>
                    <w:tl2br w:val="nil"/>
                    <w:tr2bl w:val="nil"/>
                  </w:tcBorders>
                  <w:vAlign w:val="center"/>
                </w:tcPr>
                <w:p>
                  <w:pPr>
                    <w:autoSpaceDE w:val="0"/>
                    <w:autoSpaceDN w:val="0"/>
                    <w:adjustRightInd w:val="0"/>
                    <w:jc w:val="center"/>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lang w:val="en-US" w:eastAsia="zh-CN"/>
                    </w:rPr>
                    <w:t>类别</w:t>
                  </w:r>
                </w:p>
              </w:tc>
              <w:tc>
                <w:tcPr>
                  <w:tcW w:w="1286" w:type="dxa"/>
                  <w:tcBorders>
                    <w:tl2br w:val="nil"/>
                    <w:tr2bl w:val="nil"/>
                  </w:tcBorders>
                  <w:vAlign w:val="center"/>
                </w:tcPr>
                <w:p>
                  <w:pPr>
                    <w:autoSpaceDE w:val="0"/>
                    <w:autoSpaceDN w:val="0"/>
                    <w:adjustRightInd w:val="0"/>
                    <w:jc w:val="center"/>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lang w:val="en-US" w:eastAsia="zh-CN"/>
                    </w:rPr>
                    <w:t xml:space="preserve">昼间 </w:t>
                  </w:r>
                  <w:r>
                    <w:rPr>
                      <w:rFonts w:hint="default" w:ascii="Times New Roman" w:hAnsi="Times New Roman" w:eastAsia="宋体" w:cs="Times New Roman"/>
                      <w:b/>
                      <w:bCs/>
                      <w:color w:val="auto"/>
                      <w:kern w:val="2"/>
                      <w:sz w:val="18"/>
                      <w:szCs w:val="18"/>
                      <w:highlight w:val="none"/>
                      <w:lang w:val="en-US" w:eastAsia="zh-CN" w:bidi="ar-SA"/>
                    </w:rPr>
                    <w:t>dB</w:t>
                  </w:r>
                  <w:r>
                    <w:rPr>
                      <w:rFonts w:hint="default" w:ascii="Times New Roman" w:hAnsi="Times New Roman" w:cs="Times New Roman"/>
                      <w:b/>
                      <w:bCs/>
                      <w:color w:val="auto"/>
                      <w:kern w:val="2"/>
                      <w:sz w:val="18"/>
                      <w:szCs w:val="18"/>
                      <w:highlight w:val="none"/>
                      <w:lang w:val="en-US" w:eastAsia="zh-CN" w:bidi="ar-SA"/>
                    </w:rPr>
                    <w:t>（</w:t>
                  </w:r>
                  <w:r>
                    <w:rPr>
                      <w:rFonts w:hint="default" w:ascii="Times New Roman" w:hAnsi="Times New Roman" w:eastAsia="宋体" w:cs="Times New Roman"/>
                      <w:b/>
                      <w:bCs/>
                      <w:color w:val="auto"/>
                      <w:kern w:val="2"/>
                      <w:sz w:val="18"/>
                      <w:szCs w:val="18"/>
                      <w:highlight w:val="none"/>
                      <w:lang w:val="en-US" w:eastAsia="zh-CN" w:bidi="ar-SA"/>
                    </w:rPr>
                    <w:t>A</w:t>
                  </w:r>
                  <w:r>
                    <w:rPr>
                      <w:rFonts w:hint="default" w:ascii="Times New Roman" w:hAnsi="Times New Roman" w:cs="Times New Roman"/>
                      <w:b/>
                      <w:bCs/>
                      <w:color w:val="auto"/>
                      <w:kern w:val="2"/>
                      <w:sz w:val="18"/>
                      <w:szCs w:val="18"/>
                      <w:highlight w:val="none"/>
                      <w:lang w:val="en-US" w:eastAsia="zh-CN" w:bidi="ar-SA"/>
                    </w:rPr>
                    <w:t>）</w:t>
                  </w:r>
                </w:p>
              </w:tc>
              <w:tc>
                <w:tcPr>
                  <w:tcW w:w="1367" w:type="dxa"/>
                  <w:tcBorders>
                    <w:tl2br w:val="nil"/>
                    <w:tr2bl w:val="nil"/>
                  </w:tcBorders>
                  <w:vAlign w:val="center"/>
                </w:tcPr>
                <w:p>
                  <w:pPr>
                    <w:autoSpaceDE w:val="0"/>
                    <w:autoSpaceDN w:val="0"/>
                    <w:adjustRightInd w:val="0"/>
                    <w:jc w:val="center"/>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lang w:val="en-US" w:eastAsia="zh-CN"/>
                    </w:rPr>
                    <w:t xml:space="preserve">夜间 </w:t>
                  </w:r>
                  <w:r>
                    <w:rPr>
                      <w:rFonts w:hint="default" w:ascii="Times New Roman" w:hAnsi="Times New Roman" w:eastAsia="宋体" w:cs="Times New Roman"/>
                      <w:b/>
                      <w:bCs/>
                      <w:color w:val="auto"/>
                      <w:kern w:val="2"/>
                      <w:sz w:val="18"/>
                      <w:szCs w:val="18"/>
                      <w:highlight w:val="none"/>
                      <w:lang w:val="en-US" w:eastAsia="zh-CN" w:bidi="ar-SA"/>
                    </w:rPr>
                    <w:t>dB</w:t>
                  </w:r>
                  <w:r>
                    <w:rPr>
                      <w:rFonts w:hint="default" w:ascii="Times New Roman" w:hAnsi="Times New Roman" w:cs="Times New Roman"/>
                      <w:b/>
                      <w:bCs/>
                      <w:color w:val="auto"/>
                      <w:kern w:val="2"/>
                      <w:sz w:val="18"/>
                      <w:szCs w:val="18"/>
                      <w:highlight w:val="none"/>
                      <w:lang w:val="en-US" w:eastAsia="zh-CN" w:bidi="ar-SA"/>
                    </w:rPr>
                    <w:t>（</w:t>
                  </w:r>
                  <w:r>
                    <w:rPr>
                      <w:rFonts w:hint="default" w:ascii="Times New Roman" w:hAnsi="Times New Roman" w:eastAsia="宋体" w:cs="Times New Roman"/>
                      <w:b/>
                      <w:bCs/>
                      <w:color w:val="auto"/>
                      <w:kern w:val="2"/>
                      <w:sz w:val="18"/>
                      <w:szCs w:val="18"/>
                      <w:highlight w:val="none"/>
                      <w:lang w:val="en-US" w:eastAsia="zh-CN" w:bidi="ar-SA"/>
                    </w:rPr>
                    <w:t>A</w:t>
                  </w:r>
                  <w:r>
                    <w:rPr>
                      <w:rFonts w:hint="default" w:ascii="Times New Roman" w:hAnsi="Times New Roman" w:cs="Times New Roman"/>
                      <w:b/>
                      <w:bCs/>
                      <w:color w:val="auto"/>
                      <w:kern w:val="2"/>
                      <w:sz w:val="18"/>
                      <w:szCs w:val="18"/>
                      <w:highlight w:val="none"/>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62" w:type="dxa"/>
                  <w:tcBorders>
                    <w:tl2br w:val="nil"/>
                    <w:tr2bl w:val="nil"/>
                  </w:tcBorders>
                  <w:vAlign w:val="center"/>
                </w:tcPr>
                <w:p>
                  <w:pPr>
                    <w:autoSpaceDE w:val="0"/>
                    <w:autoSpaceDN w:val="0"/>
                    <w:adjustRightIn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2类</w:t>
                  </w:r>
                </w:p>
              </w:tc>
              <w:tc>
                <w:tcPr>
                  <w:tcW w:w="1286" w:type="dxa"/>
                  <w:tcBorders>
                    <w:tl2br w:val="nil"/>
                    <w:tr2bl w:val="nil"/>
                  </w:tcBorders>
                  <w:vAlign w:val="center"/>
                </w:tcPr>
                <w:p>
                  <w:pPr>
                    <w:autoSpaceDE w:val="0"/>
                    <w:autoSpaceDN w:val="0"/>
                    <w:adjustRightIn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60</w:t>
                  </w:r>
                </w:p>
              </w:tc>
              <w:tc>
                <w:tcPr>
                  <w:tcW w:w="1367" w:type="dxa"/>
                  <w:tcBorders>
                    <w:tl2br w:val="nil"/>
                    <w:tr2bl w:val="nil"/>
                  </w:tcBorders>
                  <w:vAlign w:val="center"/>
                </w:tcPr>
                <w:p>
                  <w:pPr>
                    <w:autoSpaceDE w:val="0"/>
                    <w:autoSpaceDN w:val="0"/>
                    <w:adjustRightIn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50</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4、固体废物</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一般固体废物暂存应符合《中华人民共和国固体废物污染环境防治法》相关要求，采取防扬散、防流失、防渗漏或者其他防止污染环境的措施，不得擅自倾倒、堆放、丢弃、遗撒，一般工业固体废物管理过程中还执行《一般工业固体废物管理台账制定指南（试行）》（公告2021年第82号）要求。危险废物执行《危险废物贮存污染控制标准》（GB18597-2023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18" w:hRule="atLeast"/>
          <w:jc w:val="center"/>
        </w:trPr>
        <w:tc>
          <w:tcPr>
            <w:tcW w:w="358" w:type="pct"/>
            <w:shd w:val="clear" w:color="auto" w:fill="auto"/>
            <w:noWrap w:val="0"/>
            <w:vAlign w:val="center"/>
          </w:tcPr>
          <w:p>
            <w:pPr>
              <w:adjustRightInd w:val="0"/>
              <w:snapToGrid w:val="0"/>
              <w:jc w:val="center"/>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pacing w:val="0"/>
                <w:kern w:val="0"/>
                <w:szCs w:val="21"/>
                <w:highlight w:val="none"/>
                <w:lang w:eastAsia="zh-CN"/>
              </w:rPr>
              <w:t>总量控制标准</w:t>
            </w:r>
          </w:p>
        </w:tc>
        <w:tc>
          <w:tcPr>
            <w:tcW w:w="4641" w:type="pct"/>
            <w:shd w:val="clear" w:color="auto" w:fill="auto"/>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根据山东省生态环境厅《山东省建设项目主要大气污染物排放总量替代指标核算及管理办法的通知》（鲁环发</w:t>
            </w:r>
            <w:r>
              <w:rPr>
                <w:rFonts w:hint="default" w:ascii="Times New Roman" w:hAnsi="Times New Roman" w:cs="Times New Roman"/>
                <w:color w:val="auto"/>
                <w:spacing w:val="0"/>
                <w:position w:val="0"/>
                <w:sz w:val="21"/>
                <w:szCs w:val="21"/>
                <w:highlight w:val="none"/>
                <w:lang w:val="en-US" w:eastAsia="zh-CN"/>
              </w:rPr>
              <w:t>〔2019〕132号</w:t>
            </w:r>
            <w:r>
              <w:rPr>
                <w:rFonts w:hint="default" w:ascii="Times New Roman" w:hAnsi="Times New Roman" w:eastAsia="宋体" w:cs="Times New Roman"/>
                <w:color w:val="auto"/>
                <w:spacing w:val="0"/>
                <w:position w:val="0"/>
                <w:sz w:val="21"/>
                <w:szCs w:val="21"/>
                <w:highlight w:val="none"/>
                <w:lang w:val="en-US" w:eastAsia="zh-CN"/>
              </w:rPr>
              <w:t>）以及淄博市生态环境局《关于统筹使用</w:t>
            </w:r>
            <w:r>
              <w:rPr>
                <w:rFonts w:hint="default" w:ascii="Times New Roman" w:hAnsi="Times New Roman" w:cs="Times New Roman"/>
                <w:color w:val="auto"/>
                <w:spacing w:val="0"/>
                <w:position w:val="0"/>
                <w:sz w:val="21"/>
                <w:szCs w:val="21"/>
                <w:highlight w:val="none"/>
                <w:lang w:val="en-US" w:eastAsia="zh-CN"/>
              </w:rPr>
              <w:t>“</w:t>
            </w:r>
            <w:r>
              <w:rPr>
                <w:rFonts w:hint="default" w:ascii="Times New Roman" w:hAnsi="Times New Roman" w:eastAsia="宋体" w:cs="Times New Roman"/>
                <w:color w:val="auto"/>
                <w:spacing w:val="0"/>
                <w:position w:val="0"/>
                <w:sz w:val="21"/>
                <w:szCs w:val="21"/>
                <w:highlight w:val="none"/>
                <w:lang w:val="en-US" w:eastAsia="zh-CN"/>
              </w:rPr>
              <w:t>十四五</w:t>
            </w:r>
            <w:r>
              <w:rPr>
                <w:rFonts w:hint="default" w:ascii="Times New Roman" w:hAnsi="Times New Roman" w:cs="Times New Roman"/>
                <w:color w:val="auto"/>
                <w:spacing w:val="0"/>
                <w:position w:val="0"/>
                <w:sz w:val="21"/>
                <w:szCs w:val="21"/>
                <w:highlight w:val="none"/>
                <w:lang w:val="en-US" w:eastAsia="zh-CN"/>
              </w:rPr>
              <w:t>”</w:t>
            </w:r>
            <w:r>
              <w:rPr>
                <w:rFonts w:hint="default" w:ascii="Times New Roman" w:hAnsi="Times New Roman" w:eastAsia="宋体" w:cs="Times New Roman"/>
                <w:color w:val="auto"/>
                <w:spacing w:val="0"/>
                <w:position w:val="0"/>
                <w:sz w:val="21"/>
                <w:szCs w:val="21"/>
                <w:highlight w:val="none"/>
                <w:lang w:val="en-US" w:eastAsia="zh-CN"/>
              </w:rPr>
              <w:t>主要大气污染物总量指标的通知》（淄环函</w:t>
            </w:r>
            <w:r>
              <w:rPr>
                <w:rFonts w:hint="default" w:ascii="Times New Roman" w:hAnsi="Times New Roman" w:cs="Times New Roman"/>
                <w:color w:val="auto"/>
                <w:spacing w:val="0"/>
                <w:position w:val="0"/>
                <w:sz w:val="21"/>
                <w:szCs w:val="21"/>
                <w:highlight w:val="none"/>
                <w:lang w:val="en-US" w:eastAsia="zh-CN"/>
              </w:rPr>
              <w:t>〔2021〕55号</w:t>
            </w:r>
            <w:r>
              <w:rPr>
                <w:rFonts w:hint="default" w:ascii="Times New Roman" w:hAnsi="Times New Roman" w:eastAsia="宋体" w:cs="Times New Roman"/>
                <w:color w:val="auto"/>
                <w:spacing w:val="0"/>
                <w:position w:val="0"/>
                <w:sz w:val="21"/>
                <w:szCs w:val="21"/>
                <w:highlight w:val="none"/>
                <w:lang w:val="en-US" w:eastAsia="zh-CN"/>
              </w:rPr>
              <w:t>），上一年度环境空气质量年平均浓度不达标的城市，相关污染物应按照建设项目所需替代的污染物排放总量指标的2倍进行削减替代（燃煤发电机组大气污染物排放浓度达到超低排放标准的进行等量替代）。上一年度细颗粒物年平均浓度超标的设区的市，实行二氧化硫、氮氧化物、烟粉尘、挥发性有机物四项污染物排放总量指标2倍削减替代。本项目所在区</w:t>
            </w:r>
            <w:r>
              <w:rPr>
                <w:rFonts w:hint="default" w:ascii="Times New Roman" w:hAnsi="Times New Roman" w:cs="Times New Roman"/>
                <w:color w:val="auto"/>
                <w:spacing w:val="0"/>
                <w:position w:val="0"/>
                <w:sz w:val="21"/>
                <w:szCs w:val="21"/>
                <w:highlight w:val="none"/>
                <w:lang w:val="en-US" w:eastAsia="zh-CN"/>
              </w:rPr>
              <w:t>2024</w:t>
            </w:r>
            <w:r>
              <w:rPr>
                <w:rFonts w:hint="default" w:ascii="Times New Roman" w:hAnsi="Times New Roman" w:eastAsia="宋体" w:cs="Times New Roman"/>
                <w:color w:val="auto"/>
                <w:spacing w:val="0"/>
                <w:position w:val="0"/>
                <w:sz w:val="21"/>
                <w:szCs w:val="21"/>
                <w:highlight w:val="none"/>
                <w:lang w:val="en-US" w:eastAsia="zh-CN"/>
              </w:rPr>
              <w:t>年</w:t>
            </w:r>
            <w:r>
              <w:rPr>
                <w:rFonts w:hint="default" w:ascii="Times New Roman" w:hAnsi="Times New Roman" w:cs="Times New Roman"/>
                <w:color w:val="auto"/>
                <w:spacing w:val="0"/>
                <w:position w:val="0"/>
                <w:sz w:val="21"/>
                <w:szCs w:val="21"/>
                <w:highlight w:val="none"/>
                <w:lang w:val="en-US" w:eastAsia="zh-CN"/>
              </w:rPr>
              <w:t>细</w:t>
            </w:r>
            <w:r>
              <w:rPr>
                <w:rFonts w:hint="default" w:ascii="Times New Roman" w:hAnsi="Times New Roman" w:eastAsia="宋体" w:cs="Times New Roman"/>
                <w:color w:val="auto"/>
                <w:spacing w:val="0"/>
                <w:position w:val="0"/>
                <w:sz w:val="21"/>
                <w:szCs w:val="21"/>
                <w:highlight w:val="none"/>
                <w:lang w:val="en-US" w:eastAsia="zh-CN"/>
              </w:rPr>
              <w:t>颗粒物年平均浓度超标，本项目需实行二氧化硫、氮氧化物、烟粉尘、挥发性有机物四项污染物排放总量指标2倍削减替代。</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1</w:t>
            </w:r>
            <w:r>
              <w:rPr>
                <w:rFonts w:hint="default" w:ascii="Times New Roman" w:hAnsi="Times New Roman" w:cs="Times New Roman"/>
                <w:color w:val="auto"/>
                <w:spacing w:val="0"/>
                <w:position w:val="0"/>
                <w:sz w:val="21"/>
                <w:szCs w:val="21"/>
                <w:highlight w:val="none"/>
                <w:lang w:val="en-US" w:eastAsia="zh-CN"/>
              </w:rPr>
              <w:t>、大气污染物</w:t>
            </w:r>
            <w:r>
              <w:rPr>
                <w:rFonts w:hint="default" w:ascii="Times New Roman" w:hAnsi="Times New Roman" w:eastAsia="宋体" w:cs="Times New Roman"/>
                <w:color w:val="auto"/>
                <w:spacing w:val="0"/>
                <w:position w:val="0"/>
                <w:sz w:val="21"/>
                <w:szCs w:val="21"/>
                <w:highlight w:val="none"/>
                <w:lang w:val="en-US" w:eastAsia="zh-CN"/>
              </w:rPr>
              <w:t>总量</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kern w:val="0"/>
                <w:sz w:val="21"/>
                <w:szCs w:val="21"/>
                <w:highlight w:val="none"/>
                <w:lang w:val="en-US" w:eastAsia="zh-CN" w:bidi="ar"/>
              </w:rPr>
              <w:t>根据工程分析，技改</w:t>
            </w:r>
            <w:r>
              <w:rPr>
                <w:rFonts w:hint="default" w:ascii="Times New Roman" w:hAnsi="Times New Roman" w:eastAsia="宋体" w:cs="Times New Roman"/>
                <w:color w:val="auto"/>
                <w:kern w:val="0"/>
                <w:sz w:val="21"/>
                <w:szCs w:val="21"/>
                <w:highlight w:val="none"/>
                <w:lang w:val="en-US" w:eastAsia="zh-CN" w:bidi="ar"/>
              </w:rPr>
              <w:t>项目</w:t>
            </w:r>
            <w:r>
              <w:rPr>
                <w:rFonts w:hint="default" w:ascii="Times New Roman" w:hAnsi="Times New Roman" w:cs="Times New Roman"/>
                <w:color w:val="auto"/>
                <w:kern w:val="0"/>
                <w:sz w:val="21"/>
                <w:szCs w:val="21"/>
                <w:highlight w:val="none"/>
                <w:lang w:val="en-US" w:eastAsia="zh-CN" w:bidi="ar"/>
              </w:rPr>
              <w:t>污染物</w:t>
            </w:r>
            <w:r>
              <w:rPr>
                <w:rFonts w:hint="default" w:ascii="Times New Roman" w:hAnsi="Times New Roman" w:cs="Times New Roman"/>
                <w:color w:val="auto"/>
                <w:highlight w:val="none"/>
                <w:lang w:val="en-US" w:eastAsia="zh-CN"/>
              </w:rPr>
              <w:t>排放量为颗粒</w:t>
            </w:r>
            <w:r>
              <w:rPr>
                <w:rFonts w:hint="default" w:ascii="Times New Roman" w:hAnsi="Times New Roman" w:cs="Times New Roman"/>
                <w:color w:val="auto"/>
                <w:highlight w:val="red"/>
                <w:lang w:val="en-US" w:eastAsia="zh-CN"/>
              </w:rPr>
              <w:t>物</w:t>
            </w:r>
            <w:r>
              <w:rPr>
                <w:rFonts w:hint="eastAsia" w:cs="Times New Roman"/>
                <w:color w:val="auto"/>
                <w:highlight w:val="red"/>
                <w:lang w:val="en-US" w:eastAsia="zh-CN"/>
              </w:rPr>
              <w:t>0.021</w:t>
            </w:r>
            <w:r>
              <w:rPr>
                <w:rFonts w:hint="default" w:ascii="Times New Roman" w:hAnsi="Times New Roman" w:cs="Times New Roman"/>
                <w:color w:val="auto"/>
                <w:highlight w:val="red"/>
                <w:lang w:val="en-US" w:eastAsia="zh-CN"/>
              </w:rPr>
              <w:t>t/a</w:t>
            </w:r>
            <w:r>
              <w:rPr>
                <w:rFonts w:hint="default" w:ascii="Times New Roman" w:hAnsi="Times New Roman" w:cs="Times New Roman"/>
                <w:color w:val="auto"/>
                <w:highlight w:val="none"/>
                <w:lang w:eastAsia="zh-CN"/>
              </w:rPr>
              <w:t>、二氧化硫</w:t>
            </w:r>
            <w:r>
              <w:rPr>
                <w:rFonts w:hint="default" w:ascii="Times New Roman" w:hAnsi="Times New Roman" w:cs="Times New Roman"/>
                <w:color w:val="auto"/>
                <w:highlight w:val="none"/>
                <w:lang w:val="en-US" w:eastAsia="zh-CN"/>
              </w:rPr>
              <w:t>0.04t/a</w:t>
            </w:r>
            <w:r>
              <w:rPr>
                <w:rFonts w:hint="default" w:ascii="Times New Roman" w:hAnsi="Times New Roman" w:cs="Times New Roman"/>
                <w:color w:val="auto"/>
                <w:highlight w:val="none"/>
                <w:lang w:eastAsia="zh-CN"/>
              </w:rPr>
              <w:t>、氮氧化物</w:t>
            </w:r>
            <w:r>
              <w:rPr>
                <w:rFonts w:hint="default" w:ascii="Times New Roman" w:hAnsi="Times New Roman" w:cs="Times New Roman"/>
                <w:color w:val="auto"/>
                <w:highlight w:val="none"/>
                <w:lang w:val="en-US" w:eastAsia="zh-CN"/>
              </w:rPr>
              <w:t>0.139t/a，现有项目污染物排放量为：</w:t>
            </w:r>
            <w:r>
              <w:rPr>
                <w:rFonts w:hint="default" w:ascii="Times New Roman" w:hAnsi="Times New Roman" w:cs="Times New Roman"/>
                <w:color w:val="auto"/>
                <w:szCs w:val="21"/>
                <w:highlight w:val="none"/>
                <w:lang w:val="en-US" w:eastAsia="zh-CN"/>
              </w:rPr>
              <w:t>颗粒物</w:t>
            </w:r>
            <w:r>
              <w:rPr>
                <w:rFonts w:hint="eastAsia" w:cs="Times New Roman"/>
                <w:color w:val="auto"/>
                <w:szCs w:val="21"/>
                <w:highlight w:val="none"/>
                <w:lang w:val="en-US" w:eastAsia="zh-CN"/>
              </w:rPr>
              <w:t>0.086</w:t>
            </w:r>
            <w:r>
              <w:rPr>
                <w:rFonts w:hint="default" w:ascii="Times New Roman" w:hAnsi="Times New Roman" w:cs="Times New Roman"/>
                <w:color w:val="auto"/>
                <w:szCs w:val="21"/>
                <w:highlight w:val="none"/>
                <w:lang w:val="en-US" w:eastAsia="zh-CN"/>
              </w:rPr>
              <w:t>t/a，SO</w:t>
            </w:r>
            <w:r>
              <w:rPr>
                <w:rFonts w:hint="default" w:ascii="Times New Roman" w:hAnsi="Times New Roman" w:cs="Times New Roman"/>
                <w:color w:val="auto"/>
                <w:szCs w:val="21"/>
                <w:highlight w:val="none"/>
                <w:vertAlign w:val="subscript"/>
                <w:lang w:val="en-US" w:eastAsia="zh-CN"/>
              </w:rPr>
              <w:t>2</w:t>
            </w:r>
            <w:r>
              <w:rPr>
                <w:rFonts w:hint="default" w:ascii="Times New Roman" w:hAnsi="Times New Roman" w:cs="Times New Roman"/>
                <w:color w:val="auto"/>
                <w:szCs w:val="21"/>
                <w:highlight w:val="none"/>
                <w:lang w:val="en-US" w:eastAsia="zh-CN"/>
              </w:rPr>
              <w:t>0.076t/a，NOx0.493t/a，技改完成后全厂颗粒物排放量为</w:t>
            </w:r>
            <w:r>
              <w:rPr>
                <w:rFonts w:hint="eastAsia" w:cs="Times New Roman"/>
                <w:color w:val="auto"/>
                <w:szCs w:val="21"/>
                <w:highlight w:val="red"/>
                <w:lang w:val="en-US" w:eastAsia="zh-CN"/>
              </w:rPr>
              <w:t>0.107</w:t>
            </w:r>
            <w:r>
              <w:rPr>
                <w:rFonts w:hint="default" w:ascii="Times New Roman" w:hAnsi="Times New Roman" w:cs="Times New Roman"/>
                <w:color w:val="auto"/>
                <w:szCs w:val="21"/>
                <w:highlight w:val="red"/>
                <w:lang w:val="en-US" w:eastAsia="zh-CN"/>
              </w:rPr>
              <w:t>t/a</w:t>
            </w:r>
            <w:r>
              <w:rPr>
                <w:rFonts w:hint="default" w:ascii="Times New Roman" w:hAnsi="Times New Roman" w:cs="Times New Roman"/>
                <w:color w:val="auto"/>
                <w:szCs w:val="21"/>
                <w:highlight w:val="none"/>
                <w:lang w:val="en-US" w:eastAsia="zh-CN"/>
              </w:rPr>
              <w:t>，SO</w:t>
            </w:r>
            <w:r>
              <w:rPr>
                <w:rFonts w:hint="default" w:ascii="Times New Roman" w:hAnsi="Times New Roman" w:cs="Times New Roman"/>
                <w:color w:val="auto"/>
                <w:szCs w:val="21"/>
                <w:highlight w:val="none"/>
                <w:vertAlign w:val="subscript"/>
                <w:lang w:val="en-US" w:eastAsia="zh-CN"/>
              </w:rPr>
              <w:t>2</w:t>
            </w:r>
            <w:r>
              <w:rPr>
                <w:rFonts w:hint="default" w:ascii="Times New Roman" w:hAnsi="Times New Roman" w:cs="Times New Roman"/>
                <w:color w:val="auto"/>
                <w:szCs w:val="21"/>
                <w:highlight w:val="none"/>
                <w:lang w:val="en-US" w:eastAsia="zh-CN"/>
              </w:rPr>
              <w:t>排放量为0.116t/a，NOx排放量为0.632t/a</w:t>
            </w:r>
            <w:r>
              <w:rPr>
                <w:rFonts w:hint="default" w:ascii="Times New Roman" w:hAnsi="Times New Roman" w:cs="Times New Roman"/>
                <w:color w:val="auto"/>
                <w:szCs w:val="21"/>
                <w:highlight w:val="none"/>
                <w:u w:val="none"/>
                <w:lang w:val="en-US" w:eastAsia="zh-CN"/>
              </w:rPr>
              <w:t>，</w:t>
            </w:r>
            <w:r>
              <w:rPr>
                <w:rFonts w:hint="default" w:ascii="Times New Roman" w:hAnsi="Times New Roman" w:cs="Times New Roman"/>
                <w:color w:val="auto"/>
                <w:highlight w:val="none"/>
                <w:u w:val="none"/>
                <w:lang w:val="en-US" w:eastAsia="zh-CN"/>
              </w:rPr>
              <w:t>现有总量指标为</w:t>
            </w:r>
            <w:r>
              <w:rPr>
                <w:rFonts w:hint="default" w:ascii="Times New Roman" w:hAnsi="Times New Roman" w:cs="Times New Roman"/>
                <w:color w:val="auto"/>
                <w:szCs w:val="21"/>
                <w:highlight w:val="none"/>
                <w:u w:val="none"/>
                <w:lang w:val="en-US" w:eastAsia="zh-CN"/>
              </w:rPr>
              <w:t>颗粒物</w:t>
            </w:r>
            <w:r>
              <w:rPr>
                <w:rFonts w:hint="eastAsia" w:cs="Times New Roman"/>
                <w:color w:val="auto"/>
                <w:szCs w:val="21"/>
                <w:highlight w:val="none"/>
                <w:u w:val="none"/>
                <w:lang w:val="en-US" w:eastAsia="zh-CN"/>
              </w:rPr>
              <w:t>0.12</w:t>
            </w:r>
            <w:r>
              <w:rPr>
                <w:rFonts w:hint="default" w:ascii="Times New Roman" w:hAnsi="Times New Roman" w:cs="Times New Roman"/>
                <w:color w:val="auto"/>
                <w:szCs w:val="21"/>
                <w:highlight w:val="none"/>
                <w:u w:val="none"/>
                <w:lang w:val="en-US" w:eastAsia="zh-CN"/>
              </w:rPr>
              <w:t>t/a、SO</w:t>
            </w:r>
            <w:r>
              <w:rPr>
                <w:rFonts w:hint="default" w:ascii="Times New Roman" w:hAnsi="Times New Roman" w:cs="Times New Roman"/>
                <w:color w:val="auto"/>
                <w:szCs w:val="21"/>
                <w:highlight w:val="none"/>
                <w:u w:val="none"/>
                <w:vertAlign w:val="subscript"/>
                <w:lang w:val="en-US" w:eastAsia="zh-CN"/>
              </w:rPr>
              <w:t>2</w:t>
            </w:r>
            <w:r>
              <w:rPr>
                <w:rFonts w:hint="default" w:ascii="Times New Roman" w:hAnsi="Times New Roman" w:cs="Times New Roman"/>
                <w:color w:val="auto"/>
                <w:szCs w:val="21"/>
                <w:highlight w:val="none"/>
                <w:u w:val="none"/>
                <w:lang w:val="en-US" w:eastAsia="zh-CN"/>
              </w:rPr>
              <w:t>0.</w:t>
            </w:r>
            <w:r>
              <w:rPr>
                <w:rFonts w:hint="eastAsia" w:cs="Times New Roman"/>
                <w:color w:val="auto"/>
                <w:szCs w:val="21"/>
                <w:highlight w:val="none"/>
                <w:u w:val="none"/>
                <w:lang w:val="en-US" w:eastAsia="zh-CN"/>
              </w:rPr>
              <w:t>2544</w:t>
            </w:r>
            <w:r>
              <w:rPr>
                <w:rFonts w:hint="default" w:ascii="Times New Roman" w:hAnsi="Times New Roman" w:cs="Times New Roman"/>
                <w:color w:val="auto"/>
                <w:szCs w:val="21"/>
                <w:highlight w:val="none"/>
                <w:u w:val="none"/>
                <w:lang w:val="en-US" w:eastAsia="zh-CN"/>
              </w:rPr>
              <w:t>t/a、NOx</w:t>
            </w:r>
            <w:r>
              <w:rPr>
                <w:rFonts w:hint="eastAsia" w:cs="Times New Roman"/>
                <w:color w:val="auto"/>
                <w:szCs w:val="21"/>
                <w:highlight w:val="none"/>
                <w:u w:val="none"/>
                <w:lang w:val="en-US" w:eastAsia="zh-CN"/>
              </w:rPr>
              <w:t>1.728</w:t>
            </w:r>
            <w:r>
              <w:rPr>
                <w:rFonts w:hint="default" w:ascii="Times New Roman" w:hAnsi="Times New Roman" w:cs="Times New Roman"/>
                <w:color w:val="auto"/>
                <w:szCs w:val="21"/>
                <w:highlight w:val="none"/>
                <w:u w:val="none"/>
                <w:lang w:val="en-US" w:eastAsia="zh-CN"/>
              </w:rPr>
              <w:t>t/a，</w:t>
            </w:r>
            <w:r>
              <w:rPr>
                <w:rFonts w:hint="default" w:ascii="Times New Roman" w:hAnsi="Times New Roman" w:cs="Times New Roman"/>
                <w:color w:val="auto"/>
                <w:szCs w:val="21"/>
                <w:highlight w:val="none"/>
                <w:lang w:val="en-US" w:eastAsia="zh-CN"/>
              </w:rPr>
              <w:t>技改完成后全厂颗粒物</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二氧化硫、氮氧化物排放量未超现有总量指标，不需要申请</w:t>
            </w:r>
            <w:r>
              <w:rPr>
                <w:rFonts w:hint="eastAsia" w:cs="Times New Roman"/>
                <w:color w:val="auto"/>
                <w:szCs w:val="21"/>
                <w:highlight w:val="none"/>
                <w:lang w:val="en-US" w:eastAsia="zh-CN"/>
              </w:rPr>
              <w:t>颗粒物、</w:t>
            </w:r>
            <w:r>
              <w:rPr>
                <w:rFonts w:hint="default" w:ascii="Times New Roman" w:hAnsi="Times New Roman" w:cs="Times New Roman"/>
                <w:color w:val="auto"/>
                <w:szCs w:val="21"/>
                <w:highlight w:val="none"/>
                <w:lang w:val="en-US" w:eastAsia="zh-CN"/>
              </w:rPr>
              <w:t>氮氧化物、二氧化硫总量。</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cs="Times New Roman"/>
                <w:color w:val="auto"/>
                <w:highlight w:val="none"/>
                <w:lang w:val="en-US" w:eastAsia="zh-CN"/>
              </w:rPr>
            </w:pPr>
            <w:r>
              <w:rPr>
                <w:rFonts w:hint="eastAsia" w:cs="Times New Roman"/>
                <w:color w:val="auto"/>
                <w:kern w:val="0"/>
                <w:sz w:val="21"/>
                <w:szCs w:val="21"/>
                <w:highlight w:val="none"/>
                <w:lang w:val="en-US" w:eastAsia="zh-CN" w:bidi="ar"/>
              </w:rPr>
              <w:t>根据现有项目监测数据，</w:t>
            </w:r>
            <w:r>
              <w:rPr>
                <w:rFonts w:hint="default" w:ascii="Times New Roman" w:hAnsi="Times New Roman" w:cs="Times New Roman"/>
                <w:color w:val="auto"/>
                <w:kern w:val="0"/>
                <w:sz w:val="21"/>
                <w:szCs w:val="21"/>
                <w:highlight w:val="none"/>
                <w:lang w:val="en-US" w:eastAsia="zh-CN" w:bidi="ar"/>
              </w:rPr>
              <w:t>现有项目</w:t>
            </w:r>
            <w:r>
              <w:rPr>
                <w:rFonts w:hint="default" w:ascii="Times New Roman" w:hAnsi="Times New Roman" w:cs="Times New Roman"/>
                <w:color w:val="auto"/>
                <w:highlight w:val="none"/>
                <w:lang w:val="en-US" w:eastAsia="zh-CN"/>
              </w:rPr>
              <w:t>VOCs（非甲烷总烃）排放量</w:t>
            </w:r>
            <w:r>
              <w:rPr>
                <w:rFonts w:hint="default" w:ascii="Times New Roman" w:hAnsi="Times New Roman" w:cs="Times New Roman"/>
                <w:color w:val="auto"/>
                <w:kern w:val="0"/>
                <w:sz w:val="21"/>
                <w:szCs w:val="21"/>
                <w:highlight w:val="none"/>
                <w:lang w:val="en-US" w:eastAsia="zh-CN" w:bidi="ar"/>
              </w:rPr>
              <w:t>为</w:t>
            </w:r>
            <w:r>
              <w:rPr>
                <w:rFonts w:hint="eastAsia" w:cs="Times New Roman"/>
                <w:color w:val="auto"/>
                <w:kern w:val="0"/>
                <w:sz w:val="21"/>
                <w:szCs w:val="21"/>
                <w:highlight w:val="none"/>
                <w:lang w:val="en-US" w:eastAsia="zh-CN" w:bidi="ar"/>
              </w:rPr>
              <w:t>0.096</w:t>
            </w:r>
            <w:r>
              <w:rPr>
                <w:rFonts w:hint="default" w:ascii="Times New Roman" w:hAnsi="Times New Roman" w:cs="Times New Roman"/>
                <w:color w:val="auto"/>
                <w:kern w:val="0"/>
                <w:sz w:val="21"/>
                <w:szCs w:val="21"/>
                <w:highlight w:val="none"/>
                <w:lang w:val="en-US" w:eastAsia="zh-CN" w:bidi="ar"/>
              </w:rPr>
              <w:t>t/a，技改项目新增</w:t>
            </w:r>
            <w:r>
              <w:rPr>
                <w:rFonts w:hint="default" w:ascii="Times New Roman" w:hAnsi="Times New Roman" w:cs="Times New Roman"/>
                <w:color w:val="auto"/>
                <w:highlight w:val="none"/>
                <w:lang w:val="en-US" w:eastAsia="zh-CN"/>
              </w:rPr>
              <w:t>VOCs（非甲烷总烃）排放量为</w:t>
            </w:r>
            <w:r>
              <w:rPr>
                <w:rFonts w:hint="eastAsia" w:cs="Times New Roman"/>
                <w:color w:val="auto"/>
                <w:highlight w:val="none"/>
                <w:lang w:val="en-US" w:eastAsia="zh-CN"/>
              </w:rPr>
              <w:t>1.696</w:t>
            </w:r>
            <w:r>
              <w:rPr>
                <w:rFonts w:hint="default" w:ascii="Times New Roman" w:hAnsi="Times New Roman" w:cs="Times New Roman"/>
                <w:color w:val="auto"/>
                <w:highlight w:val="none"/>
                <w:lang w:val="en-US" w:eastAsia="zh-CN"/>
              </w:rPr>
              <w:t>t/a，技改后全厂VOCs（非甲烷总烃）</w:t>
            </w:r>
            <w:r>
              <w:rPr>
                <w:rFonts w:hint="eastAsia" w:cs="Times New Roman"/>
                <w:color w:val="auto"/>
                <w:highlight w:val="none"/>
                <w:lang w:val="en-US" w:eastAsia="zh-CN"/>
              </w:rPr>
              <w:t>排放量</w:t>
            </w:r>
            <w:r>
              <w:rPr>
                <w:rFonts w:hint="default" w:ascii="Times New Roman" w:hAnsi="Times New Roman" w:cs="Times New Roman"/>
                <w:color w:val="auto"/>
                <w:highlight w:val="none"/>
                <w:lang w:val="en-US" w:eastAsia="zh-CN"/>
              </w:rPr>
              <w:t>为</w:t>
            </w:r>
            <w:r>
              <w:rPr>
                <w:rFonts w:hint="eastAsia" w:cs="Times New Roman"/>
                <w:color w:val="auto"/>
                <w:highlight w:val="none"/>
                <w:lang w:val="en-US" w:eastAsia="zh-CN"/>
              </w:rPr>
              <w:t>1.792</w:t>
            </w:r>
            <w:r>
              <w:rPr>
                <w:rFonts w:hint="default" w:ascii="Times New Roman" w:hAnsi="Times New Roman" w:cs="Times New Roman"/>
                <w:color w:val="auto"/>
                <w:highlight w:val="none"/>
                <w:lang w:val="en-US" w:eastAsia="zh-CN"/>
              </w:rPr>
              <w:t>t/a，</w:t>
            </w:r>
            <w:r>
              <w:rPr>
                <w:rFonts w:hint="eastAsia" w:cs="Times New Roman"/>
                <w:color w:val="auto"/>
                <w:highlight w:val="none"/>
                <w:lang w:val="en-US" w:eastAsia="zh-CN"/>
              </w:rPr>
              <w:t>现有项目未申请VOCs总量指标，</w:t>
            </w:r>
            <w:r>
              <w:rPr>
                <w:rFonts w:hint="eastAsia" w:cs="Times New Roman"/>
                <w:color w:val="auto"/>
                <w:kern w:val="0"/>
                <w:sz w:val="21"/>
                <w:szCs w:val="21"/>
                <w:highlight w:val="none"/>
                <w:lang w:val="en-US" w:eastAsia="zh-CN" w:bidi="ar"/>
              </w:rPr>
              <w:t>本次技改需要重新申请全厂</w:t>
            </w:r>
            <w:r>
              <w:rPr>
                <w:rFonts w:hint="default" w:ascii="Times New Roman" w:hAnsi="Times New Roman" w:cs="Times New Roman"/>
                <w:color w:val="auto"/>
                <w:highlight w:val="none"/>
                <w:lang w:val="en-US" w:eastAsia="zh-CN"/>
              </w:rPr>
              <w:t>VOCs（非甲烷总烃）</w:t>
            </w:r>
            <w:r>
              <w:rPr>
                <w:rFonts w:hint="default" w:ascii="Times New Roman" w:hAnsi="Times New Roman" w:cs="Times New Roman"/>
                <w:color w:val="auto"/>
                <w:kern w:val="0"/>
                <w:sz w:val="21"/>
                <w:szCs w:val="21"/>
                <w:highlight w:val="none"/>
                <w:lang w:val="en-US" w:eastAsia="zh-CN" w:bidi="ar"/>
              </w:rPr>
              <w:t>总量指标</w:t>
            </w:r>
            <w:r>
              <w:rPr>
                <w:rFonts w:hint="eastAsia" w:cs="Times New Roman"/>
                <w:color w:val="auto"/>
                <w:kern w:val="0"/>
                <w:sz w:val="21"/>
                <w:szCs w:val="21"/>
                <w:highlight w:val="none"/>
                <w:lang w:val="en-US" w:eastAsia="zh-CN" w:bidi="ar"/>
              </w:rPr>
              <w:t>1.792t/a</w:t>
            </w:r>
            <w:r>
              <w:rPr>
                <w:rFonts w:hint="default" w:ascii="Times New Roman" w:hAnsi="Times New Roman" w:cs="Times New Roman"/>
                <w:color w:val="auto"/>
                <w:kern w:val="0"/>
                <w:sz w:val="21"/>
                <w:szCs w:val="21"/>
                <w:highlight w:val="none"/>
                <w:lang w:val="en-US" w:eastAsia="zh-CN" w:bidi="ar"/>
              </w:rPr>
              <w:t>，</w:t>
            </w:r>
            <w:r>
              <w:rPr>
                <w:rFonts w:hint="default" w:ascii="Times New Roman" w:hAnsi="Times New Roman" w:cs="Times New Roman"/>
                <w:color w:val="auto"/>
                <w:highlight w:val="none"/>
                <w:lang w:val="en-US" w:eastAsia="zh-CN"/>
              </w:rPr>
              <w:t>考虑倍量替代后，需申请VOCs（非甲烷总烃）</w:t>
            </w:r>
            <w:r>
              <w:rPr>
                <w:rFonts w:hint="eastAsia" w:cs="Times New Roman"/>
                <w:color w:val="auto"/>
                <w:highlight w:val="none"/>
                <w:lang w:val="en-US" w:eastAsia="zh-CN"/>
              </w:rPr>
              <w:t>3.584</w:t>
            </w:r>
            <w:r>
              <w:rPr>
                <w:rFonts w:hint="default" w:ascii="Times New Roman" w:hAnsi="Times New Roman" w:cs="Times New Roman"/>
                <w:color w:val="auto"/>
                <w:highlight w:val="none"/>
                <w:lang w:val="en-US" w:eastAsia="zh-CN"/>
              </w:rPr>
              <w:t>t/a。</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2</w:t>
            </w:r>
            <w:r>
              <w:rPr>
                <w:rFonts w:hint="default" w:ascii="Times New Roman" w:hAnsi="Times New Roman" w:cs="Times New Roman"/>
                <w:color w:val="auto"/>
                <w:kern w:val="0"/>
                <w:sz w:val="21"/>
                <w:szCs w:val="21"/>
                <w:highlight w:val="none"/>
                <w:lang w:val="en-US" w:eastAsia="zh-CN" w:bidi="ar"/>
              </w:rPr>
              <w:t>、水污染物</w:t>
            </w:r>
            <w:r>
              <w:rPr>
                <w:rFonts w:hint="default" w:ascii="Times New Roman" w:hAnsi="Times New Roman" w:eastAsia="宋体" w:cs="Times New Roman"/>
                <w:color w:val="auto"/>
                <w:kern w:val="0"/>
                <w:sz w:val="21"/>
                <w:szCs w:val="21"/>
                <w:highlight w:val="none"/>
                <w:lang w:val="en-US" w:eastAsia="zh-CN" w:bidi="ar"/>
              </w:rPr>
              <w:t>总量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本项目技改后不新增污水排放。</w:t>
            </w:r>
            <w:r>
              <w:rPr>
                <w:rFonts w:hint="default" w:ascii="Times New Roman" w:hAnsi="Times New Roman" w:eastAsia="宋体" w:cs="Times New Roman"/>
                <w:color w:val="auto"/>
                <w:sz w:val="21"/>
                <w:szCs w:val="21"/>
                <w:highlight w:val="none"/>
                <w:vertAlign w:val="baseline"/>
              </w:rPr>
              <w:t>无需申请总量</w:t>
            </w:r>
            <w:r>
              <w:rPr>
                <w:rFonts w:hint="default" w:ascii="Times New Roman" w:hAnsi="Times New Roman" w:cs="Times New Roman"/>
                <w:color w:val="auto"/>
                <w:sz w:val="21"/>
                <w:szCs w:val="21"/>
                <w:highlight w:val="none"/>
                <w:lang w:eastAsia="zh-CN"/>
              </w:rPr>
              <w:t>。</w:t>
            </w:r>
          </w:p>
        </w:tc>
      </w:tr>
    </w:tbl>
    <w:p>
      <w:pPr>
        <w:pStyle w:val="33"/>
        <w:adjustRightInd w:val="0"/>
        <w:snapToGrid w:val="0"/>
        <w:spacing w:before="0" w:beforeAutospacing="0" w:after="0" w:afterAutospacing="0" w:line="14" w:lineRule="auto"/>
        <w:jc w:val="center"/>
        <w:outlineLvl w:val="9"/>
        <w:rPr>
          <w:rFonts w:hint="default" w:ascii="Times New Roman" w:hAnsi="Times New Roman" w:eastAsia="宋体" w:cs="Times New Roman"/>
          <w:snapToGrid w:val="0"/>
          <w:color w:val="auto"/>
          <w:spacing w:val="0"/>
          <w:kern w:val="2"/>
          <w:sz w:val="36"/>
          <w:szCs w:val="36"/>
          <w:highlight w:val="none"/>
        </w:rPr>
      </w:pPr>
    </w:p>
    <w:p>
      <w:pPr>
        <w:pStyle w:val="3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宋体" w:cs="Times New Roman"/>
          <w:snapToGrid w:val="0"/>
          <w:color w:val="auto"/>
          <w:spacing w:val="0"/>
          <w:kern w:val="2"/>
          <w:sz w:val="36"/>
          <w:szCs w:val="36"/>
          <w:highlight w:val="none"/>
        </w:rPr>
        <w:br w:type="page"/>
      </w:r>
      <w:bookmarkStart w:id="25" w:name="_Toc22927"/>
      <w:r>
        <w:rPr>
          <w:rFonts w:hint="default" w:ascii="Times New Roman" w:hAnsi="Times New Roman" w:eastAsia="黑体" w:cs="Times New Roman"/>
          <w:snapToGrid w:val="0"/>
          <w:color w:val="auto"/>
          <w:sz w:val="30"/>
          <w:szCs w:val="30"/>
          <w:highlight w:val="none"/>
        </w:rPr>
        <w:t>四、主要环境影响和保护措施</w:t>
      </w:r>
      <w:bookmarkEnd w:id="25"/>
    </w:p>
    <w:tbl>
      <w:tblPr>
        <w:tblStyle w:val="36"/>
        <w:tblW w:w="523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87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94" w:hRule="atLeast"/>
          <w:jc w:val="center"/>
        </w:trPr>
        <w:tc>
          <w:tcPr>
            <w:tcW w:w="355" w:type="pct"/>
            <w:noWrap w:val="0"/>
            <w:tcMar>
              <w:left w:w="28" w:type="dxa"/>
              <w:right w:w="28" w:type="dxa"/>
            </w:tcMar>
            <w:vAlign w:val="center"/>
          </w:tcPr>
          <w:p>
            <w:pPr>
              <w:pStyle w:val="33"/>
              <w:adjustRightInd w:val="0"/>
              <w:snapToGrid w:val="0"/>
              <w:spacing w:before="0" w:beforeAutospacing="0" w:after="0" w:afterAutospacing="0"/>
              <w:jc w:val="center"/>
              <w:rPr>
                <w:rFonts w:hint="default" w:ascii="Times New Roman" w:hAnsi="Times New Roman" w:eastAsia="宋体" w:cs="Times New Roman"/>
                <w:bCs/>
                <w:color w:val="auto"/>
                <w:spacing w:val="0"/>
                <w:kern w:val="2"/>
                <w:sz w:val="21"/>
                <w:szCs w:val="21"/>
                <w:highlight w:val="none"/>
              </w:rPr>
            </w:pPr>
            <w:bookmarkStart w:id="26" w:name="_Hlk49796138"/>
            <w:r>
              <w:rPr>
                <w:rFonts w:hint="default" w:ascii="Times New Roman" w:hAnsi="Times New Roman" w:eastAsia="宋体" w:cs="Times New Roman"/>
                <w:bCs/>
                <w:color w:val="auto"/>
                <w:spacing w:val="0"/>
                <w:kern w:val="2"/>
                <w:sz w:val="21"/>
                <w:szCs w:val="21"/>
                <w:highlight w:val="none"/>
              </w:rPr>
              <w:t>施工期</w:t>
            </w:r>
            <w:r>
              <w:rPr>
                <w:rFonts w:hint="default" w:ascii="Times New Roman" w:hAnsi="Times New Roman" w:eastAsia="宋体" w:cs="Times New Roman"/>
                <w:color w:val="auto"/>
                <w:kern w:val="2"/>
                <w:sz w:val="21"/>
                <w:szCs w:val="21"/>
                <w:highlight w:val="none"/>
              </w:rPr>
              <w:t>环境保护措施</w:t>
            </w:r>
            <w:bookmarkEnd w:id="26"/>
          </w:p>
        </w:tc>
        <w:tc>
          <w:tcPr>
            <w:tcW w:w="464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宋体" w:cs="Times New Roman"/>
                <w:bCs/>
                <w:color w:val="auto"/>
                <w:spacing w:val="0"/>
                <w:sz w:val="21"/>
                <w:szCs w:val="21"/>
                <w:highlight w:val="none"/>
                <w:lang w:eastAsia="zh-CN"/>
              </w:rPr>
            </w:pPr>
            <w:r>
              <w:rPr>
                <w:rFonts w:hint="default" w:ascii="Times New Roman" w:hAnsi="Times New Roman" w:cs="Times New Roman"/>
                <w:b w:val="0"/>
                <w:bCs w:val="0"/>
                <w:color w:val="auto"/>
                <w:kern w:val="2"/>
                <w:sz w:val="21"/>
                <w:szCs w:val="24"/>
                <w:highlight w:val="none"/>
                <w:lang w:val="en-US" w:eastAsia="zh-CN" w:bidi="ar-SA"/>
              </w:rPr>
              <w:t>本项目为技改项目，利用厂房现有闲置区域进行设备安装及生产，施工期主要进行生产设备的安装与调试，且施工期较短，施工期环境影响随施工期的结束而消失，对环境影响较小，本次环评不再具体分析。</w:t>
            </w:r>
          </w:p>
        </w:tc>
      </w:tr>
    </w:tbl>
    <w:p>
      <w:pPr>
        <w:rPr>
          <w:rFonts w:hint="default" w:ascii="Times New Roman" w:hAnsi="Times New Roman" w:cs="Times New Roman"/>
          <w:color w:val="auto"/>
          <w:highlight w:val="none"/>
        </w:rPr>
      </w:pPr>
    </w:p>
    <w:p>
      <w:pPr>
        <w:pStyle w:val="67"/>
        <w:rPr>
          <w:rFonts w:hint="default" w:ascii="Times New Roman" w:hAnsi="Times New Roman" w:cs="Times New Roman"/>
          <w:color w:val="auto"/>
          <w:highlight w:val="none"/>
        </w:rPr>
        <w:sectPr>
          <w:pgSz w:w="11907" w:h="16840"/>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p>
    <w:tbl>
      <w:tblPr>
        <w:tblStyle w:val="36"/>
        <w:tblW w:w="516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34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09" w:hRule="atLeast"/>
          <w:jc w:val="center"/>
        </w:trPr>
        <w:tc>
          <w:tcPr>
            <w:tcW w:w="212" w:type="pct"/>
            <w:noWrap w:val="0"/>
            <w:tcMar>
              <w:left w:w="28" w:type="dxa"/>
              <w:right w:w="28" w:type="dxa"/>
            </w:tcMar>
            <w:vAlign w:val="center"/>
          </w:tcPr>
          <w:p>
            <w:pPr>
              <w:pStyle w:val="33"/>
              <w:adjustRightInd w:val="0"/>
              <w:snapToGrid w:val="0"/>
              <w:spacing w:before="0" w:beforeAutospacing="0" w:after="0" w:afterAutospacing="0"/>
              <w:jc w:val="center"/>
              <w:rPr>
                <w:rFonts w:hint="default" w:ascii="Times New Roman" w:hAnsi="Times New Roman" w:eastAsia="宋体" w:cs="Times New Roman"/>
                <w:bCs/>
                <w:color w:val="auto"/>
                <w:spacing w:val="0"/>
                <w:kern w:val="2"/>
                <w:sz w:val="21"/>
                <w:szCs w:val="21"/>
                <w:highlight w:val="none"/>
              </w:rPr>
            </w:pPr>
            <w:r>
              <w:rPr>
                <w:rFonts w:hint="default" w:ascii="Times New Roman" w:hAnsi="Times New Roman" w:eastAsia="宋体" w:cs="Times New Roman"/>
                <w:bCs/>
                <w:color w:val="auto"/>
                <w:spacing w:val="0"/>
                <w:kern w:val="2"/>
                <w:sz w:val="21"/>
                <w:szCs w:val="21"/>
                <w:highlight w:val="none"/>
              </w:rPr>
              <w:t>运营期</w:t>
            </w:r>
            <w:r>
              <w:rPr>
                <w:rFonts w:hint="default" w:ascii="Times New Roman" w:hAnsi="Times New Roman" w:eastAsia="宋体" w:cs="Times New Roman"/>
                <w:color w:val="auto"/>
                <w:kern w:val="2"/>
                <w:sz w:val="21"/>
                <w:szCs w:val="21"/>
                <w:highlight w:val="none"/>
              </w:rPr>
              <w:t>环境保护措施</w:t>
            </w:r>
          </w:p>
        </w:tc>
        <w:tc>
          <w:tcPr>
            <w:tcW w:w="4787"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cs="Times New Roman"/>
                <w:b/>
                <w:bCs w:val="0"/>
                <w:color w:val="auto"/>
                <w:kern w:val="0"/>
                <w:highlight w:val="none"/>
              </w:rPr>
            </w:pPr>
            <w:r>
              <w:rPr>
                <w:rFonts w:hint="default" w:ascii="Times New Roman" w:hAnsi="Times New Roman" w:cs="Times New Roman"/>
                <w:b/>
                <w:bCs w:val="0"/>
                <w:color w:val="auto"/>
                <w:kern w:val="0"/>
                <w:highlight w:val="none"/>
                <w:lang w:val="en-US" w:eastAsia="zh-CN"/>
              </w:rPr>
              <w:t>1、废气</w:t>
            </w:r>
          </w:p>
          <w:p>
            <w:pPr>
              <w:adjustRightInd w:val="0"/>
              <w:snapToGrid w:val="0"/>
              <w:spacing w:line="360" w:lineRule="auto"/>
              <w:ind w:firstLine="420" w:firstLineChars="200"/>
              <w:jc w:val="both"/>
              <w:textAlignment w:val="baseline"/>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eastAsiaTheme="minorEastAsia"/>
                <w:color w:val="auto"/>
                <w:highlight w:val="none"/>
                <w:lang w:val="en-US" w:eastAsia="zh-CN"/>
              </w:rPr>
              <w:t>项目技改后新增水性油墨，印花、干燥工序会挥发产生VOCs</w:t>
            </w:r>
            <w:r>
              <w:rPr>
                <w:rFonts w:hint="default" w:ascii="Times New Roman" w:hAnsi="Times New Roman" w:cs="Times New Roman"/>
                <w:color w:val="auto"/>
                <w:szCs w:val="21"/>
                <w:highlight w:val="none"/>
                <w:lang w:val="en-US" w:eastAsia="zh-CN"/>
              </w:rPr>
              <w:t>（以非甲烷总烃计）</w:t>
            </w:r>
            <w:r>
              <w:rPr>
                <w:rFonts w:hint="default" w:ascii="Times New Roman" w:hAnsi="Times New Roman" w:cs="Times New Roman" w:eastAsiaTheme="minorEastAsia"/>
                <w:color w:val="auto"/>
                <w:highlight w:val="none"/>
                <w:lang w:val="en-US" w:eastAsia="zh-CN"/>
              </w:rPr>
              <w:t>，数码印花机干燥使用天然气作为热源燃料。天然气燃烧产生颗粒物、SO</w:t>
            </w:r>
            <w:r>
              <w:rPr>
                <w:rFonts w:hint="default" w:ascii="Times New Roman" w:hAnsi="Times New Roman" w:cs="Times New Roman" w:eastAsiaTheme="minorEastAsia"/>
                <w:color w:val="auto"/>
                <w:highlight w:val="none"/>
                <w:vertAlign w:val="subscript"/>
                <w:lang w:val="en-US" w:eastAsia="zh-CN"/>
              </w:rPr>
              <w:t>2</w:t>
            </w:r>
            <w:r>
              <w:rPr>
                <w:rFonts w:hint="default" w:ascii="Times New Roman" w:hAnsi="Times New Roman" w:cs="Times New Roman" w:eastAsiaTheme="minorEastAsia"/>
                <w:color w:val="auto"/>
                <w:highlight w:val="none"/>
                <w:lang w:val="en-US" w:eastAsia="zh-CN"/>
              </w:rPr>
              <w:t>、NOx，本次评价针对技改新增印花工序污染物分析排放情况</w:t>
            </w:r>
            <w:r>
              <w:rPr>
                <w:rFonts w:hint="default" w:ascii="Times New Roman" w:hAnsi="Times New Roman" w:cs="Times New Roman" w:eastAsiaTheme="minorEastAsia"/>
                <w:color w:val="auto"/>
                <w:sz w:val="21"/>
                <w:szCs w:val="21"/>
                <w:highlight w:val="none"/>
                <w:lang w:eastAsia="zh-CN"/>
              </w:rPr>
              <w:t>。</w:t>
            </w:r>
          </w:p>
          <w:p>
            <w:pPr>
              <w:pStyle w:val="19"/>
              <w:jc w:val="center"/>
              <w:rPr>
                <w:rFonts w:hint="default" w:ascii="Times New Roman" w:hAnsi="Times New Roman" w:cs="Times New Roman"/>
                <w:b/>
                <w:snapToGrid w:val="0"/>
                <w:color w:val="auto"/>
                <w:sz w:val="21"/>
                <w:szCs w:val="21"/>
                <w:highlight w:val="none"/>
              </w:rPr>
            </w:pPr>
            <w:r>
              <w:rPr>
                <w:rFonts w:hint="default" w:ascii="Times New Roman" w:hAnsi="Times New Roman" w:cs="Times New Roman"/>
                <w:b/>
                <w:snapToGrid w:val="0"/>
                <w:color w:val="auto"/>
                <w:sz w:val="21"/>
                <w:szCs w:val="21"/>
                <w:highlight w:val="none"/>
              </w:rPr>
              <w:t>表4-</w:t>
            </w:r>
            <w:r>
              <w:rPr>
                <w:rFonts w:hint="default" w:ascii="Times New Roman" w:hAnsi="Times New Roman" w:cs="Times New Roman"/>
                <w:b/>
                <w:snapToGrid w:val="0"/>
                <w:color w:val="auto"/>
                <w:sz w:val="21"/>
                <w:szCs w:val="21"/>
                <w:highlight w:val="none"/>
                <w:lang w:val="en-US" w:eastAsia="zh-CN"/>
              </w:rPr>
              <w:t>1</w:t>
            </w:r>
            <w:r>
              <w:rPr>
                <w:rFonts w:hint="default" w:ascii="Times New Roman" w:hAnsi="Times New Roman" w:cs="Times New Roman"/>
                <w:b/>
                <w:snapToGrid w:val="0"/>
                <w:color w:val="auto"/>
                <w:sz w:val="21"/>
                <w:szCs w:val="21"/>
                <w:highlight w:val="none"/>
              </w:rPr>
              <w:t xml:space="preserve">  </w:t>
            </w:r>
            <w:r>
              <w:rPr>
                <w:rFonts w:hint="default" w:ascii="Times New Roman" w:hAnsi="Times New Roman" w:cs="Times New Roman"/>
                <w:b/>
                <w:snapToGrid w:val="0"/>
                <w:color w:val="auto"/>
                <w:sz w:val="21"/>
                <w:szCs w:val="21"/>
                <w:highlight w:val="none"/>
                <w:lang w:val="en-US" w:eastAsia="zh-CN"/>
              </w:rPr>
              <w:t>技改后DA002</w:t>
            </w:r>
            <w:r>
              <w:rPr>
                <w:rFonts w:hint="default" w:ascii="Times New Roman" w:hAnsi="Times New Roman" w:cs="Times New Roman"/>
                <w:b/>
                <w:snapToGrid w:val="0"/>
                <w:color w:val="auto"/>
                <w:sz w:val="21"/>
                <w:szCs w:val="21"/>
                <w:highlight w:val="none"/>
              </w:rPr>
              <w:t>污染物排放源信息及排放口基本情况表</w:t>
            </w:r>
          </w:p>
          <w:tbl>
            <w:tblPr>
              <w:tblStyle w:val="36"/>
              <w:tblW w:w="4998"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928"/>
              <w:gridCol w:w="865"/>
              <w:gridCol w:w="865"/>
              <w:gridCol w:w="1163"/>
              <w:gridCol w:w="905"/>
              <w:gridCol w:w="997"/>
              <w:gridCol w:w="812"/>
              <w:gridCol w:w="617"/>
              <w:gridCol w:w="1005"/>
              <w:gridCol w:w="868"/>
              <w:gridCol w:w="1031"/>
              <w:gridCol w:w="1005"/>
              <w:gridCol w:w="789"/>
              <w:gridCol w:w="5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 w:type="pct"/>
                  <w:vMerge w:val="restar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产污环节</w:t>
                  </w:r>
                </w:p>
              </w:tc>
              <w:tc>
                <w:tcPr>
                  <w:tcW w:w="352" w:type="pct"/>
                  <w:vMerge w:val="restar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污染物种类</w:t>
                  </w:r>
                </w:p>
              </w:tc>
              <w:tc>
                <w:tcPr>
                  <w:tcW w:w="1097" w:type="pct"/>
                  <w:gridSpan w:val="3"/>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污染物产生情况</w:t>
                  </w:r>
                </w:p>
              </w:tc>
              <w:tc>
                <w:tcPr>
                  <w:tcW w:w="1263" w:type="pct"/>
                  <w:gridSpan w:val="4"/>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治理设施</w:t>
                  </w:r>
                </w:p>
              </w:tc>
              <w:tc>
                <w:tcPr>
                  <w:tcW w:w="1101" w:type="pct"/>
                  <w:gridSpan w:val="3"/>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污染物排放情况</w:t>
                  </w:r>
                </w:p>
              </w:tc>
              <w:tc>
                <w:tcPr>
                  <w:tcW w:w="680" w:type="pct"/>
                  <w:gridSpan w:val="2"/>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排放标准</w:t>
                  </w:r>
                </w:p>
              </w:tc>
              <w:tc>
                <w:tcPr>
                  <w:tcW w:w="207" w:type="pct"/>
                  <w:vMerge w:val="restar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是否达标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 w:type="pct"/>
                  <w:vMerge w:val="continue"/>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p>
              </w:tc>
              <w:tc>
                <w:tcPr>
                  <w:tcW w:w="352" w:type="pct"/>
                  <w:vMerge w:val="continue"/>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p>
              </w:tc>
              <w:tc>
                <w:tcPr>
                  <w:tcW w:w="328"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产生量t/a</w:t>
                  </w:r>
                </w:p>
              </w:tc>
              <w:tc>
                <w:tcPr>
                  <w:tcW w:w="328"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产生速率kg/h</w:t>
                  </w:r>
                </w:p>
              </w:tc>
              <w:tc>
                <w:tcPr>
                  <w:tcW w:w="441"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产生浓度mg/m</w:t>
                  </w:r>
                  <w:r>
                    <w:rPr>
                      <w:rFonts w:hint="default" w:ascii="Times New Roman" w:hAnsi="Times New Roman" w:cs="Times New Roman"/>
                      <w:b/>
                      <w:bCs/>
                      <w:color w:val="auto"/>
                      <w:kern w:val="0"/>
                      <w:sz w:val="18"/>
                      <w:szCs w:val="18"/>
                      <w:highlight w:val="none"/>
                      <w:vertAlign w:val="superscript"/>
                    </w:rPr>
                    <w:t>3</w:t>
                  </w:r>
                </w:p>
              </w:tc>
              <w:tc>
                <w:tcPr>
                  <w:tcW w:w="343"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收集效率%</w:t>
                  </w:r>
                </w:p>
              </w:tc>
              <w:tc>
                <w:tcPr>
                  <w:tcW w:w="378"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治理设施</w:t>
                  </w:r>
                </w:p>
              </w:tc>
              <w:tc>
                <w:tcPr>
                  <w:tcW w:w="30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cs="Times New Roman"/>
                      <w:b/>
                      <w:bCs/>
                      <w:color w:val="auto"/>
                      <w:kern w:val="0"/>
                      <w:sz w:val="18"/>
                      <w:szCs w:val="18"/>
                      <w:highlight w:val="none"/>
                    </w:rPr>
                    <w:t>处理效率</w:t>
                  </w:r>
                  <w:r>
                    <w:rPr>
                      <w:rFonts w:hint="default" w:ascii="Times New Roman" w:hAnsi="Times New Roman" w:cs="Times New Roman"/>
                      <w:b/>
                      <w:bCs/>
                      <w:color w:val="auto"/>
                      <w:kern w:val="0"/>
                      <w:sz w:val="18"/>
                      <w:szCs w:val="18"/>
                      <w:highlight w:val="none"/>
                      <w:lang w:val="en-US" w:eastAsia="zh-CN"/>
                    </w:rPr>
                    <w:t>%</w:t>
                  </w:r>
                </w:p>
              </w:tc>
              <w:tc>
                <w:tcPr>
                  <w:tcW w:w="234"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可行技术</w:t>
                  </w:r>
                </w:p>
              </w:tc>
              <w:tc>
                <w:tcPr>
                  <w:tcW w:w="381"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排放量</w:t>
                  </w:r>
                </w:p>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t/a</w:t>
                  </w:r>
                </w:p>
              </w:tc>
              <w:tc>
                <w:tcPr>
                  <w:tcW w:w="329"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排放速率kg/h</w:t>
                  </w:r>
                </w:p>
              </w:tc>
              <w:tc>
                <w:tcPr>
                  <w:tcW w:w="391"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排放浓度mg/m</w:t>
                  </w:r>
                  <w:r>
                    <w:rPr>
                      <w:rFonts w:hint="default" w:ascii="Times New Roman" w:hAnsi="Times New Roman" w:cs="Times New Roman"/>
                      <w:b/>
                      <w:bCs/>
                      <w:color w:val="auto"/>
                      <w:kern w:val="0"/>
                      <w:sz w:val="18"/>
                      <w:szCs w:val="18"/>
                      <w:highlight w:val="none"/>
                      <w:vertAlign w:val="superscript"/>
                    </w:rPr>
                    <w:t>3</w:t>
                  </w:r>
                </w:p>
              </w:tc>
              <w:tc>
                <w:tcPr>
                  <w:tcW w:w="381"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浓度限值mg/m</w:t>
                  </w:r>
                  <w:r>
                    <w:rPr>
                      <w:rFonts w:hint="default" w:ascii="Times New Roman" w:hAnsi="Times New Roman" w:cs="Times New Roman"/>
                      <w:b/>
                      <w:bCs/>
                      <w:color w:val="auto"/>
                      <w:kern w:val="0"/>
                      <w:sz w:val="18"/>
                      <w:szCs w:val="18"/>
                      <w:highlight w:val="none"/>
                      <w:vertAlign w:val="superscript"/>
                    </w:rPr>
                    <w:t>3</w:t>
                  </w:r>
                </w:p>
              </w:tc>
              <w:tc>
                <w:tcPr>
                  <w:tcW w:w="299"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速率限值kg/h</w:t>
                  </w:r>
                </w:p>
              </w:tc>
              <w:tc>
                <w:tcPr>
                  <w:tcW w:w="207" w:type="pct"/>
                  <w:vMerge w:val="continue"/>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 w:type="pct"/>
                  <w:vMerge w:val="restar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bookmarkStart w:id="58" w:name="_GoBack" w:colFirst="4" w:colLast="4"/>
                  <w:bookmarkStart w:id="27" w:name="OLE_LINK10" w:colFirst="4" w:colLast="5"/>
                  <w:r>
                    <w:rPr>
                      <w:rFonts w:hint="default" w:ascii="Times New Roman" w:hAnsi="Times New Roman" w:cs="Times New Roman"/>
                      <w:color w:val="auto"/>
                      <w:kern w:val="0"/>
                      <w:sz w:val="18"/>
                      <w:szCs w:val="18"/>
                      <w:highlight w:val="none"/>
                      <w:lang w:val="en-US" w:eastAsia="zh-CN"/>
                    </w:rPr>
                    <w:t>烧毛、定型、</w:t>
                  </w:r>
                  <w:r>
                    <w:rPr>
                      <w:rFonts w:hint="default" w:ascii="Times New Roman" w:hAnsi="Times New Roman" w:eastAsia="宋体" w:cs="Times New Roman"/>
                      <w:color w:val="auto"/>
                      <w:kern w:val="0"/>
                      <w:sz w:val="18"/>
                      <w:szCs w:val="18"/>
                      <w:highlight w:val="none"/>
                      <w:lang w:val="en-US" w:eastAsia="zh-CN"/>
                    </w:rPr>
                    <w:t>印花</w:t>
                  </w:r>
                </w:p>
              </w:tc>
              <w:tc>
                <w:tcPr>
                  <w:tcW w:w="352"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颗粒物</w:t>
                  </w:r>
                </w:p>
              </w:tc>
              <w:tc>
                <w:tcPr>
                  <w:tcW w:w="86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 xml:space="preserve">0.085 </w:t>
                  </w:r>
                </w:p>
              </w:tc>
              <w:tc>
                <w:tcPr>
                  <w:tcW w:w="86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 xml:space="preserve">0.018 </w:t>
                  </w:r>
                </w:p>
              </w:tc>
              <w:tc>
                <w:tcPr>
                  <w:tcW w:w="1163"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yellow"/>
                      <w:lang w:val="en-US" w:eastAsia="zh-CN"/>
                    </w:rPr>
                  </w:pPr>
                  <w:r>
                    <w:rPr>
                      <w:rFonts w:hint="eastAsia" w:ascii="Times New Roman" w:hAnsi="Times New Roman" w:eastAsia="宋体" w:cs="Times New Roman"/>
                      <w:color w:val="auto"/>
                      <w:kern w:val="0"/>
                      <w:sz w:val="18"/>
                      <w:szCs w:val="18"/>
                      <w:highlight w:val="yellow"/>
                      <w:lang w:val="en-US" w:eastAsia="zh-CN"/>
                    </w:rPr>
                    <w:t xml:space="preserve">1.591 </w:t>
                  </w:r>
                </w:p>
              </w:tc>
              <w:tc>
                <w:tcPr>
                  <w:tcW w:w="343"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100</w:t>
                  </w:r>
                </w:p>
              </w:tc>
              <w:tc>
                <w:tcPr>
                  <w:tcW w:w="37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静电</w:t>
                  </w:r>
                </w:p>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除尘器</w:t>
                  </w:r>
                </w:p>
              </w:tc>
              <w:tc>
                <w:tcPr>
                  <w:tcW w:w="30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4</w:t>
                  </w:r>
                  <w:r>
                    <w:rPr>
                      <w:rFonts w:hint="default" w:ascii="Times New Roman" w:hAnsi="Times New Roman" w:eastAsia="宋体" w:cs="Times New Roman"/>
                      <w:color w:val="auto"/>
                      <w:kern w:val="0"/>
                      <w:sz w:val="18"/>
                      <w:szCs w:val="18"/>
                      <w:highlight w:val="none"/>
                      <w:lang w:val="en-US" w:eastAsia="zh-CN"/>
                    </w:rPr>
                    <w:t>0</w:t>
                  </w:r>
                </w:p>
              </w:tc>
              <w:tc>
                <w:tcPr>
                  <w:tcW w:w="23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是</w:t>
                  </w:r>
                </w:p>
              </w:tc>
              <w:tc>
                <w:tcPr>
                  <w:tcW w:w="38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 xml:space="preserve">0.045 </w:t>
                  </w:r>
                </w:p>
              </w:tc>
              <w:tc>
                <w:tcPr>
                  <w:tcW w:w="32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 xml:space="preserve">0.009 </w:t>
                  </w:r>
                </w:p>
              </w:tc>
              <w:tc>
                <w:tcPr>
                  <w:tcW w:w="1031"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yellow"/>
                      <w:lang w:val="en-US" w:eastAsia="zh-CN"/>
                    </w:rPr>
                  </w:pPr>
                  <w:r>
                    <w:rPr>
                      <w:rFonts w:hint="eastAsia" w:ascii="Times New Roman" w:hAnsi="Times New Roman" w:eastAsia="宋体" w:cs="Times New Roman"/>
                      <w:color w:val="auto"/>
                      <w:kern w:val="0"/>
                      <w:sz w:val="18"/>
                      <w:szCs w:val="18"/>
                      <w:highlight w:val="yellow"/>
                      <w:lang w:val="en-US" w:eastAsia="zh-CN"/>
                    </w:rPr>
                    <w:t xml:space="preserve">0.838 </w:t>
                  </w:r>
                </w:p>
              </w:tc>
              <w:tc>
                <w:tcPr>
                  <w:tcW w:w="38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10</w:t>
                  </w:r>
                </w:p>
              </w:tc>
              <w:tc>
                <w:tcPr>
                  <w:tcW w:w="299"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lang w:val="en-US" w:eastAsia="zh-CN"/>
                    </w:rPr>
                    <w:t>/</w:t>
                  </w:r>
                </w:p>
              </w:tc>
              <w:tc>
                <w:tcPr>
                  <w:tcW w:w="207"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 w:type="pct"/>
                  <w:vMerge w:val="continue"/>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p>
              </w:tc>
              <w:tc>
                <w:tcPr>
                  <w:tcW w:w="352"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SO</w:t>
                  </w:r>
                  <w:r>
                    <w:rPr>
                      <w:rFonts w:hint="default" w:ascii="Times New Roman" w:hAnsi="Times New Roman" w:eastAsia="宋体" w:cs="Times New Roman"/>
                      <w:color w:val="auto"/>
                      <w:kern w:val="0"/>
                      <w:sz w:val="18"/>
                      <w:szCs w:val="18"/>
                      <w:highlight w:val="none"/>
                      <w:vertAlign w:val="subscript"/>
                      <w:lang w:val="en-US" w:eastAsia="zh-CN"/>
                    </w:rPr>
                    <w:t>2</w:t>
                  </w:r>
                </w:p>
              </w:tc>
              <w:tc>
                <w:tcPr>
                  <w:tcW w:w="86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 xml:space="preserve">0.078 </w:t>
                  </w:r>
                </w:p>
              </w:tc>
              <w:tc>
                <w:tcPr>
                  <w:tcW w:w="86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 xml:space="preserve">0.016 </w:t>
                  </w:r>
                </w:p>
              </w:tc>
              <w:tc>
                <w:tcPr>
                  <w:tcW w:w="1163"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yellow"/>
                      <w:lang w:val="en-US" w:eastAsia="zh-CN"/>
                    </w:rPr>
                  </w:pPr>
                  <w:r>
                    <w:rPr>
                      <w:rFonts w:hint="eastAsia" w:ascii="Times New Roman" w:hAnsi="Times New Roman" w:eastAsia="宋体" w:cs="Times New Roman"/>
                      <w:color w:val="auto"/>
                      <w:kern w:val="0"/>
                      <w:sz w:val="18"/>
                      <w:szCs w:val="18"/>
                      <w:highlight w:val="yellow"/>
                      <w:lang w:val="en-US" w:eastAsia="zh-CN"/>
                    </w:rPr>
                    <w:t xml:space="preserve">1.471 </w:t>
                  </w:r>
                </w:p>
              </w:tc>
              <w:tc>
                <w:tcPr>
                  <w:tcW w:w="343"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100</w:t>
                  </w:r>
                </w:p>
              </w:tc>
              <w:tc>
                <w:tcPr>
                  <w:tcW w:w="37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30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23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是</w:t>
                  </w:r>
                </w:p>
              </w:tc>
              <w:tc>
                <w:tcPr>
                  <w:tcW w:w="38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 xml:space="preserve">0.078 </w:t>
                  </w:r>
                </w:p>
              </w:tc>
              <w:tc>
                <w:tcPr>
                  <w:tcW w:w="32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 xml:space="preserve">0.016 </w:t>
                  </w:r>
                </w:p>
              </w:tc>
              <w:tc>
                <w:tcPr>
                  <w:tcW w:w="1031"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yellow"/>
                      <w:lang w:val="en-US" w:eastAsia="zh-CN"/>
                    </w:rPr>
                  </w:pPr>
                  <w:r>
                    <w:rPr>
                      <w:rFonts w:hint="eastAsia" w:ascii="Times New Roman" w:hAnsi="Times New Roman" w:eastAsia="宋体" w:cs="Times New Roman"/>
                      <w:color w:val="auto"/>
                      <w:kern w:val="0"/>
                      <w:sz w:val="18"/>
                      <w:szCs w:val="18"/>
                      <w:highlight w:val="yellow"/>
                      <w:lang w:val="en-US" w:eastAsia="zh-CN"/>
                    </w:rPr>
                    <w:t xml:space="preserve">1.471 </w:t>
                  </w:r>
                </w:p>
              </w:tc>
              <w:tc>
                <w:tcPr>
                  <w:tcW w:w="381"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50</w:t>
                  </w:r>
                </w:p>
              </w:tc>
              <w:tc>
                <w:tcPr>
                  <w:tcW w:w="299"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w:t>
                  </w:r>
                </w:p>
              </w:tc>
              <w:tc>
                <w:tcPr>
                  <w:tcW w:w="207"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 w:type="pct"/>
                  <w:vMerge w:val="continue"/>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p>
              </w:tc>
              <w:tc>
                <w:tcPr>
                  <w:tcW w:w="352"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NOx</w:t>
                  </w:r>
                </w:p>
              </w:tc>
              <w:tc>
                <w:tcPr>
                  <w:tcW w:w="86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 xml:space="preserve">0.192 </w:t>
                  </w:r>
                </w:p>
              </w:tc>
              <w:tc>
                <w:tcPr>
                  <w:tcW w:w="86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 xml:space="preserve">0.04 </w:t>
                  </w:r>
                </w:p>
              </w:tc>
              <w:tc>
                <w:tcPr>
                  <w:tcW w:w="1163"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yellow"/>
                      <w:lang w:val="en-US" w:eastAsia="zh-CN"/>
                    </w:rPr>
                  </w:pPr>
                  <w:r>
                    <w:rPr>
                      <w:rFonts w:hint="eastAsia" w:ascii="Times New Roman" w:hAnsi="Times New Roman" w:eastAsia="宋体" w:cs="Times New Roman"/>
                      <w:color w:val="auto"/>
                      <w:kern w:val="0"/>
                      <w:sz w:val="18"/>
                      <w:szCs w:val="18"/>
                      <w:highlight w:val="yellow"/>
                      <w:lang w:val="en-US" w:eastAsia="zh-CN"/>
                    </w:rPr>
                    <w:t xml:space="preserve">3.607 </w:t>
                  </w:r>
                </w:p>
              </w:tc>
              <w:tc>
                <w:tcPr>
                  <w:tcW w:w="343"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100</w:t>
                  </w:r>
                </w:p>
              </w:tc>
              <w:tc>
                <w:tcPr>
                  <w:tcW w:w="37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低氮燃烧技术</w:t>
                  </w:r>
                </w:p>
              </w:tc>
              <w:tc>
                <w:tcPr>
                  <w:tcW w:w="30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23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是</w:t>
                  </w:r>
                </w:p>
              </w:tc>
              <w:tc>
                <w:tcPr>
                  <w:tcW w:w="38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 xml:space="preserve">0.192 </w:t>
                  </w:r>
                </w:p>
              </w:tc>
              <w:tc>
                <w:tcPr>
                  <w:tcW w:w="32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0.04</w:t>
                  </w:r>
                </w:p>
              </w:tc>
              <w:tc>
                <w:tcPr>
                  <w:tcW w:w="1031"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yellow"/>
                      <w:lang w:val="en-US" w:eastAsia="zh-CN"/>
                    </w:rPr>
                  </w:pPr>
                  <w:r>
                    <w:rPr>
                      <w:rFonts w:hint="eastAsia" w:ascii="Times New Roman" w:hAnsi="Times New Roman" w:eastAsia="宋体" w:cs="Times New Roman"/>
                      <w:color w:val="auto"/>
                      <w:kern w:val="0"/>
                      <w:sz w:val="18"/>
                      <w:szCs w:val="18"/>
                      <w:highlight w:val="yellow"/>
                      <w:lang w:val="en-US" w:eastAsia="zh-CN"/>
                    </w:rPr>
                    <w:t xml:space="preserve">3.607 </w:t>
                  </w:r>
                </w:p>
              </w:tc>
              <w:tc>
                <w:tcPr>
                  <w:tcW w:w="381"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100</w:t>
                  </w:r>
                </w:p>
              </w:tc>
              <w:tc>
                <w:tcPr>
                  <w:tcW w:w="299"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w:t>
                  </w:r>
                </w:p>
              </w:tc>
              <w:tc>
                <w:tcPr>
                  <w:tcW w:w="207"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是</w:t>
                  </w:r>
                </w:p>
              </w:tc>
            </w:tr>
            <w:bookmarkEnd w:id="27"/>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 w:type="pct"/>
                  <w:vMerge w:val="continue"/>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p>
              </w:tc>
              <w:tc>
                <w:tcPr>
                  <w:tcW w:w="352"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VOCs（以非甲烷总烃计）</w:t>
                  </w:r>
                </w:p>
              </w:tc>
              <w:tc>
                <w:tcPr>
                  <w:tcW w:w="86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rPr>
                    <w:t>8.36</w:t>
                  </w:r>
                </w:p>
              </w:tc>
              <w:tc>
                <w:tcPr>
                  <w:tcW w:w="86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rPr>
                    <w:t xml:space="preserve">1.742 </w:t>
                  </w:r>
                </w:p>
              </w:tc>
              <w:tc>
                <w:tcPr>
                  <w:tcW w:w="1163"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yellow"/>
                      <w:lang w:val="en-US" w:eastAsia="zh-CN"/>
                    </w:rPr>
                  </w:pPr>
                  <w:r>
                    <w:rPr>
                      <w:rFonts w:hint="eastAsia" w:ascii="Times New Roman" w:hAnsi="Times New Roman" w:eastAsia="宋体" w:cs="Times New Roman"/>
                      <w:color w:val="auto"/>
                      <w:kern w:val="0"/>
                      <w:sz w:val="18"/>
                      <w:szCs w:val="18"/>
                      <w:highlight w:val="yellow"/>
                      <w:lang w:val="en-US" w:eastAsia="zh-CN"/>
                    </w:rPr>
                    <w:t xml:space="preserve">156.907 </w:t>
                  </w:r>
                </w:p>
              </w:tc>
              <w:tc>
                <w:tcPr>
                  <w:tcW w:w="343"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印花95；干燥100</w:t>
                  </w:r>
                </w:p>
              </w:tc>
              <w:tc>
                <w:tcPr>
                  <w:tcW w:w="37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二级活性炭吸附装置</w:t>
                  </w:r>
                </w:p>
              </w:tc>
              <w:tc>
                <w:tcPr>
                  <w:tcW w:w="30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eastAsia" w:hAnsi="Times New Roman" w:cs="Times New Roman"/>
                      <w:color w:val="auto"/>
                      <w:kern w:val="0"/>
                      <w:sz w:val="18"/>
                      <w:szCs w:val="18"/>
                      <w:highlight w:val="none"/>
                      <w:lang w:val="en-US" w:eastAsia="zh-CN"/>
                    </w:rPr>
                    <w:t>8</w:t>
                  </w:r>
                  <w:r>
                    <w:rPr>
                      <w:rFonts w:hint="default" w:ascii="Times New Roman" w:hAnsi="Times New Roman" w:eastAsia="宋体" w:cs="Times New Roman"/>
                      <w:color w:val="auto"/>
                      <w:kern w:val="0"/>
                      <w:sz w:val="18"/>
                      <w:szCs w:val="18"/>
                      <w:highlight w:val="none"/>
                      <w:lang w:val="en-US" w:eastAsia="zh-CN"/>
                    </w:rPr>
                    <w:t>0</w:t>
                  </w:r>
                </w:p>
              </w:tc>
              <w:tc>
                <w:tcPr>
                  <w:tcW w:w="23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是</w:t>
                  </w:r>
                </w:p>
              </w:tc>
              <w:tc>
                <w:tcPr>
                  <w:tcW w:w="1005"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eastAsia" w:hAnsi="Times New Roman" w:cs="Times New Roman"/>
                      <w:color w:val="auto"/>
                      <w:kern w:val="0"/>
                      <w:sz w:val="18"/>
                      <w:szCs w:val="18"/>
                      <w:highlight w:val="none"/>
                      <w:lang w:val="en-US" w:eastAsia="zh-CN"/>
                    </w:rPr>
                    <w:t>1.672</w:t>
                  </w:r>
                  <w:r>
                    <w:rPr>
                      <w:rFonts w:hint="default" w:ascii="Times New Roman" w:hAnsi="Times New Roman" w:eastAsia="宋体" w:cs="Times New Roman"/>
                      <w:color w:val="auto"/>
                      <w:kern w:val="0"/>
                      <w:sz w:val="18"/>
                      <w:szCs w:val="18"/>
                      <w:highlight w:val="none"/>
                      <w:lang w:val="en-US" w:eastAsia="zh-CN"/>
                    </w:rPr>
                    <w:t xml:space="preserve"> </w:t>
                  </w:r>
                </w:p>
              </w:tc>
              <w:tc>
                <w:tcPr>
                  <w:tcW w:w="868"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eastAsia" w:hAnsi="Times New Roman" w:cs="Times New Roman"/>
                      <w:color w:val="auto"/>
                      <w:kern w:val="0"/>
                      <w:sz w:val="18"/>
                      <w:szCs w:val="18"/>
                      <w:highlight w:val="none"/>
                      <w:lang w:val="en-US" w:eastAsia="zh-CN"/>
                    </w:rPr>
                    <w:t>0.348</w:t>
                  </w:r>
                  <w:r>
                    <w:rPr>
                      <w:rFonts w:hint="default" w:ascii="Times New Roman" w:hAnsi="Times New Roman" w:eastAsia="宋体" w:cs="Times New Roman"/>
                      <w:color w:val="auto"/>
                      <w:kern w:val="0"/>
                      <w:sz w:val="18"/>
                      <w:szCs w:val="18"/>
                      <w:highlight w:val="none"/>
                      <w:lang w:val="en-US" w:eastAsia="zh-CN"/>
                    </w:rPr>
                    <w:t xml:space="preserve"> </w:t>
                  </w:r>
                </w:p>
              </w:tc>
              <w:tc>
                <w:tcPr>
                  <w:tcW w:w="1031" w:type="dxa"/>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yellow"/>
                      <w:lang w:val="en-US" w:eastAsia="zh-CN"/>
                    </w:rPr>
                  </w:pPr>
                  <w:r>
                    <w:rPr>
                      <w:rFonts w:hint="eastAsia" w:ascii="Times New Roman" w:hAnsi="Times New Roman" w:eastAsia="宋体" w:cs="Times New Roman"/>
                      <w:color w:val="auto"/>
                      <w:kern w:val="0"/>
                      <w:sz w:val="18"/>
                      <w:szCs w:val="18"/>
                      <w:highlight w:val="yellow"/>
                      <w:lang w:val="en-US" w:eastAsia="zh-CN"/>
                    </w:rPr>
                    <w:t xml:space="preserve">31.381 </w:t>
                  </w:r>
                </w:p>
              </w:tc>
              <w:tc>
                <w:tcPr>
                  <w:tcW w:w="38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bidi="ar-SA"/>
                    </w:rPr>
                    <w:t>40</w:t>
                  </w:r>
                </w:p>
              </w:tc>
              <w:tc>
                <w:tcPr>
                  <w:tcW w:w="29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bidi="ar-SA"/>
                    </w:rPr>
                    <w:t>3</w:t>
                  </w:r>
                </w:p>
              </w:tc>
              <w:tc>
                <w:tcPr>
                  <w:tcW w:w="207"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是</w:t>
                  </w:r>
                </w:p>
              </w:tc>
            </w:tr>
            <w:bookmarkEnd w:id="58"/>
          </w:tbl>
          <w:p>
            <w:pPr>
              <w:pStyle w:val="19"/>
              <w:jc w:val="center"/>
              <w:rPr>
                <w:rFonts w:hint="default" w:ascii="Times New Roman" w:hAnsi="Times New Roman" w:cs="Times New Roman"/>
                <w:b/>
                <w:snapToGrid w:val="0"/>
                <w:color w:val="auto"/>
                <w:sz w:val="21"/>
                <w:szCs w:val="21"/>
                <w:highlight w:val="none"/>
              </w:rPr>
            </w:pPr>
            <w:r>
              <w:rPr>
                <w:rFonts w:hint="default" w:ascii="Times New Roman" w:hAnsi="Times New Roman" w:cs="Times New Roman"/>
                <w:b/>
                <w:snapToGrid w:val="0"/>
                <w:color w:val="auto"/>
                <w:sz w:val="21"/>
                <w:szCs w:val="21"/>
                <w:highlight w:val="none"/>
              </w:rPr>
              <w:t>表4-</w:t>
            </w:r>
            <w:r>
              <w:rPr>
                <w:rFonts w:hint="default" w:ascii="Times New Roman" w:hAnsi="Times New Roman" w:cs="Times New Roman"/>
                <w:b/>
                <w:snapToGrid w:val="0"/>
                <w:color w:val="auto"/>
                <w:sz w:val="21"/>
                <w:szCs w:val="21"/>
                <w:highlight w:val="none"/>
                <w:lang w:val="en-US" w:eastAsia="zh-CN"/>
              </w:rPr>
              <w:t>2</w:t>
            </w:r>
            <w:r>
              <w:rPr>
                <w:rFonts w:hint="default" w:ascii="Times New Roman" w:hAnsi="Times New Roman" w:cs="Times New Roman"/>
                <w:b/>
                <w:snapToGrid w:val="0"/>
                <w:color w:val="auto"/>
                <w:sz w:val="21"/>
                <w:szCs w:val="21"/>
                <w:highlight w:val="none"/>
              </w:rPr>
              <w:t xml:space="preserve">  </w:t>
            </w:r>
            <w:r>
              <w:rPr>
                <w:rFonts w:hint="default" w:ascii="Times New Roman" w:hAnsi="Times New Roman" w:cs="Times New Roman"/>
                <w:b/>
                <w:snapToGrid w:val="0"/>
                <w:color w:val="auto"/>
                <w:sz w:val="21"/>
                <w:szCs w:val="21"/>
                <w:highlight w:val="none"/>
                <w:lang w:val="en-US" w:eastAsia="zh-CN"/>
              </w:rPr>
              <w:t>技改后</w:t>
            </w:r>
            <w:r>
              <w:rPr>
                <w:rFonts w:hint="default" w:ascii="Times New Roman" w:hAnsi="Times New Roman" w:cs="Times New Roman"/>
                <w:b/>
                <w:snapToGrid w:val="0"/>
                <w:color w:val="auto"/>
                <w:sz w:val="21"/>
                <w:szCs w:val="21"/>
                <w:highlight w:val="none"/>
              </w:rPr>
              <w:t>排放口基本情况表</w:t>
            </w:r>
          </w:p>
          <w:tbl>
            <w:tblPr>
              <w:tblStyle w:val="36"/>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206"/>
              <w:gridCol w:w="1148"/>
              <w:gridCol w:w="1084"/>
              <w:gridCol w:w="2490"/>
              <w:gridCol w:w="915"/>
              <w:gridCol w:w="1200"/>
              <w:gridCol w:w="1161"/>
              <w:gridCol w:w="1366"/>
              <w:gridCol w:w="14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55"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排放编号</w:t>
                  </w:r>
                </w:p>
              </w:tc>
              <w:tc>
                <w:tcPr>
                  <w:tcW w:w="457"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名称</w:t>
                  </w:r>
                </w:p>
              </w:tc>
              <w:tc>
                <w:tcPr>
                  <w:tcW w:w="435"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类型</w:t>
                  </w:r>
                </w:p>
              </w:tc>
              <w:tc>
                <w:tcPr>
                  <w:tcW w:w="411"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排放规律</w:t>
                  </w:r>
                </w:p>
              </w:tc>
              <w:tc>
                <w:tcPr>
                  <w:tcW w:w="944"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地理坐标</w:t>
                  </w:r>
                </w:p>
              </w:tc>
              <w:tc>
                <w:tcPr>
                  <w:tcW w:w="347"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高度m</w:t>
                  </w:r>
                </w:p>
              </w:tc>
              <w:tc>
                <w:tcPr>
                  <w:tcW w:w="455"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出口内径m</w:t>
                  </w:r>
                </w:p>
              </w:tc>
              <w:tc>
                <w:tcPr>
                  <w:tcW w:w="440"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风量m</w:t>
                  </w:r>
                  <w:r>
                    <w:rPr>
                      <w:rFonts w:hint="default" w:ascii="Times New Roman" w:hAnsi="Times New Roman" w:cs="Times New Roman"/>
                      <w:b/>
                      <w:bCs/>
                      <w:color w:val="auto"/>
                      <w:kern w:val="0"/>
                      <w:sz w:val="18"/>
                      <w:szCs w:val="18"/>
                      <w:highlight w:val="none"/>
                      <w:vertAlign w:val="superscript"/>
                    </w:rPr>
                    <w:t>3</w:t>
                  </w:r>
                  <w:r>
                    <w:rPr>
                      <w:rFonts w:hint="default" w:ascii="Times New Roman" w:hAnsi="Times New Roman" w:cs="Times New Roman"/>
                      <w:b/>
                      <w:bCs/>
                      <w:color w:val="auto"/>
                      <w:kern w:val="0"/>
                      <w:sz w:val="18"/>
                      <w:szCs w:val="18"/>
                      <w:highlight w:val="none"/>
                    </w:rPr>
                    <w:t>/h</w:t>
                  </w:r>
                </w:p>
              </w:tc>
              <w:tc>
                <w:tcPr>
                  <w:tcW w:w="518"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排气温度℃</w:t>
                  </w:r>
                </w:p>
              </w:tc>
              <w:tc>
                <w:tcPr>
                  <w:tcW w:w="535" w:type="pct"/>
                  <w:tcBorders>
                    <w:tl2br w:val="nil"/>
                    <w:tr2bl w:val="nil"/>
                  </w:tcBorders>
                  <w:noWrap w:val="0"/>
                  <w:vAlign w:val="center"/>
                </w:tcPr>
                <w:p>
                  <w:pPr>
                    <w:pStyle w:val="22"/>
                    <w:spacing w:line="240" w:lineRule="atLeas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年排放时数/h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55"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rPr>
                    <w:t>DA00</w:t>
                  </w:r>
                  <w:r>
                    <w:rPr>
                      <w:rFonts w:hint="default" w:ascii="Times New Roman" w:hAnsi="Times New Roman" w:cs="Times New Roman"/>
                      <w:color w:val="auto"/>
                      <w:kern w:val="0"/>
                      <w:sz w:val="18"/>
                      <w:szCs w:val="18"/>
                      <w:highlight w:val="none"/>
                      <w:lang w:val="en-US" w:eastAsia="zh-CN"/>
                    </w:rPr>
                    <w:t>2</w:t>
                  </w:r>
                </w:p>
              </w:tc>
              <w:tc>
                <w:tcPr>
                  <w:tcW w:w="457" w:type="pct"/>
                  <w:tcBorders>
                    <w:tl2br w:val="nil"/>
                    <w:tr2bl w:val="nil"/>
                  </w:tcBorders>
                  <w:noWrap w:val="0"/>
                  <w:vAlign w:val="center"/>
                </w:tcPr>
                <w:p>
                  <w:pPr>
                    <w:pStyle w:val="18"/>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号排气筒</w:t>
                  </w:r>
                </w:p>
              </w:tc>
              <w:tc>
                <w:tcPr>
                  <w:tcW w:w="435" w:type="pct"/>
                  <w:tcBorders>
                    <w:tl2br w:val="nil"/>
                    <w:tr2bl w:val="nil"/>
                  </w:tcBorders>
                  <w:noWrap w:val="0"/>
                  <w:vAlign w:val="center"/>
                </w:tcPr>
                <w:p>
                  <w:pPr>
                    <w:widowControl/>
                    <w:spacing w:line="240" w:lineRule="atLeas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rPr>
                    <w:t>一般排放口</w:t>
                  </w:r>
                </w:p>
              </w:tc>
              <w:tc>
                <w:tcPr>
                  <w:tcW w:w="411" w:type="pct"/>
                  <w:tcBorders>
                    <w:tl2br w:val="nil"/>
                    <w:tr2bl w:val="nil"/>
                  </w:tcBorders>
                  <w:noWrap w:val="0"/>
                  <w:vAlign w:val="center"/>
                </w:tcPr>
                <w:p>
                  <w:pPr>
                    <w:widowControl/>
                    <w:spacing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连续</w:t>
                  </w:r>
                </w:p>
              </w:tc>
              <w:tc>
                <w:tcPr>
                  <w:tcW w:w="944" w:type="pct"/>
                  <w:tcBorders>
                    <w:tl2br w:val="nil"/>
                    <w:tr2bl w:val="nil"/>
                  </w:tcBorders>
                  <w:noWrap w:val="0"/>
                  <w:vAlign w:val="center"/>
                </w:tcPr>
                <w:p>
                  <w:pPr>
                    <w:widowControl/>
                    <w:spacing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lang w:eastAsia="zh-CN"/>
                    </w:rPr>
                    <w:t>11</w:t>
                  </w:r>
                  <w:r>
                    <w:rPr>
                      <w:rFonts w:hint="default" w:ascii="Times New Roman" w:hAnsi="Times New Roman" w:cs="Times New Roman"/>
                      <w:color w:val="auto"/>
                      <w:kern w:val="0"/>
                      <w:sz w:val="18"/>
                      <w:szCs w:val="18"/>
                      <w:highlight w:val="none"/>
                      <w:lang w:val="en-US" w:eastAsia="zh-CN"/>
                    </w:rPr>
                    <w:t>7.915168</w:t>
                  </w:r>
                  <w:r>
                    <w:rPr>
                      <w:rFonts w:hint="default" w:ascii="Times New Roman" w:hAnsi="Times New Roman" w:eastAsia="宋体" w:cs="Times New Roman"/>
                      <w:color w:val="auto"/>
                      <w:kern w:val="0"/>
                      <w:sz w:val="18"/>
                      <w:szCs w:val="18"/>
                      <w:highlight w:val="none"/>
                      <w:lang w:val="en-US" w:eastAsia="zh-CN"/>
                    </w:rPr>
                    <w:t xml:space="preserve">°  </w:t>
                  </w:r>
                  <w:r>
                    <w:rPr>
                      <w:rFonts w:hint="default" w:ascii="Times New Roman" w:hAnsi="Times New Roman" w:cs="Times New Roman"/>
                      <w:color w:val="auto"/>
                      <w:kern w:val="0"/>
                      <w:sz w:val="18"/>
                      <w:szCs w:val="18"/>
                      <w:highlight w:val="none"/>
                    </w:rPr>
                    <w:t>3</w:t>
                  </w:r>
                  <w:r>
                    <w:rPr>
                      <w:rFonts w:hint="default" w:ascii="Times New Roman" w:hAnsi="Times New Roman" w:cs="Times New Roman"/>
                      <w:color w:val="auto"/>
                      <w:kern w:val="0"/>
                      <w:sz w:val="18"/>
                      <w:szCs w:val="18"/>
                      <w:highlight w:val="none"/>
                      <w:lang w:val="en-US" w:eastAsia="zh-CN"/>
                    </w:rPr>
                    <w:t>6.738889</w:t>
                  </w:r>
                  <w:r>
                    <w:rPr>
                      <w:rFonts w:hint="default" w:ascii="Times New Roman" w:hAnsi="Times New Roman" w:eastAsia="宋体" w:cs="Times New Roman"/>
                      <w:color w:val="auto"/>
                      <w:kern w:val="0"/>
                      <w:sz w:val="18"/>
                      <w:szCs w:val="18"/>
                      <w:highlight w:val="none"/>
                      <w:lang w:val="en-US" w:eastAsia="zh-CN"/>
                    </w:rPr>
                    <w:t>°</w:t>
                  </w:r>
                </w:p>
              </w:tc>
              <w:tc>
                <w:tcPr>
                  <w:tcW w:w="347" w:type="pct"/>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15</w:t>
                  </w:r>
                </w:p>
              </w:tc>
              <w:tc>
                <w:tcPr>
                  <w:tcW w:w="455"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0.8</w:t>
                  </w:r>
                </w:p>
              </w:tc>
              <w:tc>
                <w:tcPr>
                  <w:tcW w:w="440"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eastAsia" w:hAnsi="Times New Roman" w:cs="Times New Roman"/>
                      <w:color w:val="auto"/>
                      <w:kern w:val="0"/>
                      <w:sz w:val="18"/>
                      <w:szCs w:val="18"/>
                      <w:highlight w:val="none"/>
                      <w:lang w:val="en-US" w:eastAsia="zh-CN"/>
                    </w:rPr>
                    <w:t>11100</w:t>
                  </w:r>
                </w:p>
              </w:tc>
              <w:tc>
                <w:tcPr>
                  <w:tcW w:w="51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常温</w:t>
                  </w:r>
                </w:p>
              </w:tc>
              <w:tc>
                <w:tcPr>
                  <w:tcW w:w="535"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48</w:t>
                  </w:r>
                  <w:r>
                    <w:rPr>
                      <w:rFonts w:hint="default" w:ascii="Times New Roman" w:hAnsi="Times New Roman" w:cs="Times New Roman"/>
                      <w:color w:val="auto"/>
                      <w:kern w:val="0"/>
                      <w:sz w:val="18"/>
                      <w:szCs w:val="18"/>
                      <w:highlight w:val="none"/>
                      <w:lang w:eastAsia="zh-CN"/>
                    </w:rPr>
                    <w:t>00</w:t>
                  </w:r>
                </w:p>
              </w:tc>
            </w:tr>
          </w:tbl>
          <w:p>
            <w:pPr>
              <w:pStyle w:val="19"/>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4-3</w:t>
            </w:r>
            <w:r>
              <w:rPr>
                <w:rFonts w:hint="default" w:ascii="Times New Roman" w:hAnsi="Times New Roman" w:cs="Times New Roman"/>
                <w:b/>
                <w:bCs/>
                <w:color w:val="auto"/>
                <w:sz w:val="21"/>
                <w:szCs w:val="21"/>
                <w:highlight w:val="none"/>
              </w:rPr>
              <w:t xml:space="preserve"> </w:t>
            </w:r>
            <w:r>
              <w:rPr>
                <w:rFonts w:hint="default" w:ascii="Times New Roman" w:hAnsi="Times New Roman" w:cs="Times New Roman"/>
                <w:b/>
                <w:bCs/>
                <w:color w:val="auto"/>
                <w:sz w:val="21"/>
                <w:szCs w:val="21"/>
                <w:highlight w:val="none"/>
                <w:lang w:val="en-US" w:eastAsia="zh-CN"/>
              </w:rPr>
              <w:t>技改后新增</w:t>
            </w:r>
            <w:r>
              <w:rPr>
                <w:rFonts w:hint="default" w:ascii="Times New Roman" w:hAnsi="Times New Roman" w:cs="Times New Roman"/>
                <w:b/>
                <w:bCs/>
                <w:color w:val="auto"/>
                <w:sz w:val="21"/>
                <w:szCs w:val="21"/>
                <w:highlight w:val="none"/>
              </w:rPr>
              <w:t>无组织废气污染物排放情况一览表</w:t>
            </w:r>
          </w:p>
          <w:tbl>
            <w:tblPr>
              <w:tblStyle w:val="36"/>
              <w:tblW w:w="4993"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81"/>
              <w:gridCol w:w="1881"/>
              <w:gridCol w:w="1881"/>
              <w:gridCol w:w="1881"/>
              <w:gridCol w:w="1478"/>
              <w:gridCol w:w="951"/>
              <w:gridCol w:w="1209"/>
              <w:gridCol w:w="20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eastAsia="宋体" w:cs="Times New Roman"/>
                      <w:b/>
                      <w:bCs/>
                      <w:color w:val="auto"/>
                      <w:kern w:val="0"/>
                      <w:sz w:val="18"/>
                      <w:szCs w:val="18"/>
                      <w:highlight w:val="none"/>
                      <w:lang w:val="en-US" w:eastAsia="zh-CN"/>
                    </w:rPr>
                    <w:t>面源名称</w:t>
                  </w:r>
                </w:p>
              </w:tc>
              <w:tc>
                <w:tcPr>
                  <w:tcW w:w="71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eastAsia="宋体" w:cs="Times New Roman"/>
                      <w:b/>
                      <w:bCs/>
                      <w:color w:val="auto"/>
                      <w:kern w:val="0"/>
                      <w:sz w:val="18"/>
                      <w:szCs w:val="18"/>
                      <w:highlight w:val="none"/>
                      <w:lang w:val="en-US" w:eastAsia="zh-CN"/>
                    </w:rPr>
                    <w:t>面源中心坐标</w:t>
                  </w:r>
                </w:p>
              </w:tc>
              <w:tc>
                <w:tcPr>
                  <w:tcW w:w="71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eastAsia="宋体" w:cs="Times New Roman"/>
                      <w:b/>
                      <w:bCs/>
                      <w:color w:val="auto"/>
                      <w:kern w:val="0"/>
                      <w:sz w:val="18"/>
                      <w:szCs w:val="18"/>
                      <w:highlight w:val="none"/>
                      <w:lang w:val="en-US" w:eastAsia="zh-CN"/>
                    </w:rPr>
                    <w:t>面源海拔高度/m</w:t>
                  </w:r>
                </w:p>
              </w:tc>
              <w:tc>
                <w:tcPr>
                  <w:tcW w:w="71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eastAsia="宋体" w:cs="Times New Roman"/>
                      <w:b/>
                      <w:bCs/>
                      <w:color w:val="auto"/>
                      <w:kern w:val="0"/>
                      <w:sz w:val="18"/>
                      <w:szCs w:val="18"/>
                      <w:highlight w:val="none"/>
                      <w:lang w:val="en-US" w:eastAsia="zh-CN"/>
                    </w:rPr>
                    <w:t>面源有效排放高度/m</w:t>
                  </w:r>
                </w:p>
              </w:tc>
              <w:tc>
                <w:tcPr>
                  <w:tcW w:w="56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eastAsia="宋体" w:cs="Times New Roman"/>
                      <w:b/>
                      <w:bCs/>
                      <w:color w:val="auto"/>
                      <w:kern w:val="0"/>
                      <w:sz w:val="18"/>
                      <w:szCs w:val="18"/>
                      <w:highlight w:val="none"/>
                      <w:lang w:val="en-US" w:eastAsia="zh-CN"/>
                    </w:rPr>
                    <w:t>年排放小时数/h</w:t>
                  </w:r>
                </w:p>
              </w:tc>
              <w:tc>
                <w:tcPr>
                  <w:tcW w:w="36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eastAsia="宋体" w:cs="Times New Roman"/>
                      <w:b/>
                      <w:bCs/>
                      <w:color w:val="auto"/>
                      <w:kern w:val="0"/>
                      <w:sz w:val="18"/>
                      <w:szCs w:val="18"/>
                      <w:highlight w:val="none"/>
                      <w:lang w:val="en-US" w:eastAsia="zh-CN"/>
                    </w:rPr>
                    <w:t>排放工况</w:t>
                  </w:r>
                </w:p>
              </w:tc>
              <w:tc>
                <w:tcPr>
                  <w:tcW w:w="45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eastAsia="宋体" w:cs="Times New Roman"/>
                      <w:b/>
                      <w:bCs/>
                      <w:color w:val="auto"/>
                      <w:kern w:val="0"/>
                      <w:sz w:val="18"/>
                      <w:szCs w:val="18"/>
                      <w:highlight w:val="none"/>
                      <w:lang w:val="en-US" w:eastAsia="zh-CN"/>
                    </w:rPr>
                    <w:t>污染物类别</w:t>
                  </w:r>
                </w:p>
              </w:tc>
              <w:tc>
                <w:tcPr>
                  <w:tcW w:w="760"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b/>
                      <w:bCs/>
                      <w:color w:val="auto"/>
                      <w:kern w:val="0"/>
                      <w:sz w:val="18"/>
                      <w:szCs w:val="18"/>
                      <w:highlight w:val="none"/>
                      <w:lang w:val="en-US" w:eastAsia="zh-CN"/>
                    </w:rPr>
                  </w:pPr>
                  <w:r>
                    <w:rPr>
                      <w:rFonts w:hint="default" w:ascii="Times New Roman" w:hAnsi="Times New Roman" w:eastAsia="宋体" w:cs="Times New Roman"/>
                      <w:b/>
                      <w:bCs/>
                      <w:color w:val="auto"/>
                      <w:kern w:val="0"/>
                      <w:sz w:val="18"/>
                      <w:szCs w:val="18"/>
                      <w:highlight w:val="none"/>
                      <w:lang w:val="en-US" w:eastAsia="zh-CN"/>
                    </w:rPr>
                    <w:t>污染物排放量（t/a）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bookmarkStart w:id="28" w:name="OLE_LINK9" w:colFirst="7" w:colLast="7"/>
                  <w:r>
                    <w:rPr>
                      <w:rFonts w:hint="default" w:ascii="Times New Roman" w:hAnsi="Times New Roman" w:eastAsia="宋体" w:cs="Times New Roman"/>
                      <w:color w:val="auto"/>
                      <w:kern w:val="0"/>
                      <w:sz w:val="18"/>
                      <w:szCs w:val="18"/>
                      <w:highlight w:val="none"/>
                      <w:lang w:val="en-US" w:eastAsia="zh-CN"/>
                    </w:rPr>
                    <w:t>生产车间</w:t>
                  </w:r>
                </w:p>
              </w:tc>
              <w:tc>
                <w:tcPr>
                  <w:tcW w:w="71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E117.914315°</w:t>
                  </w:r>
                </w:p>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N36.738986°</w:t>
                  </w:r>
                </w:p>
              </w:tc>
              <w:tc>
                <w:tcPr>
                  <w:tcW w:w="71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59.45</w:t>
                  </w:r>
                </w:p>
              </w:tc>
              <w:tc>
                <w:tcPr>
                  <w:tcW w:w="714"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9.5</w:t>
                  </w:r>
                </w:p>
              </w:tc>
              <w:tc>
                <w:tcPr>
                  <w:tcW w:w="56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4800</w:t>
                  </w:r>
                </w:p>
              </w:tc>
              <w:tc>
                <w:tcPr>
                  <w:tcW w:w="361"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正常</w:t>
                  </w:r>
                </w:p>
              </w:tc>
              <w:tc>
                <w:tcPr>
                  <w:tcW w:w="45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VOCs（以非甲烷总烃计）</w:t>
                  </w:r>
                </w:p>
              </w:tc>
              <w:tc>
                <w:tcPr>
                  <w:tcW w:w="760"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lang w:val="en-US" w:eastAsia="zh-CN" w:bidi="ar-SA"/>
                    </w:rPr>
                    <w:t>0.12</w:t>
                  </w:r>
                </w:p>
              </w:tc>
            </w:tr>
            <w:bookmarkEnd w:id="28"/>
          </w:tbl>
          <w:p>
            <w:pPr>
              <w:snapToGrid w:val="0"/>
              <w:spacing w:line="36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风机风量选取依据：</w:t>
            </w:r>
          </w:p>
          <w:p>
            <w:pPr>
              <w:snapToGrid w:val="0"/>
              <w:spacing w:line="36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排气筒DA002：</w:t>
            </w:r>
          </w:p>
          <w:p>
            <w:pPr>
              <w:snapToGrid w:val="0"/>
              <w:spacing w:line="36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2台数码印花机设置于1间印花设备间内，设备间为全程密闭空间，仅预留设备运维检修专用通道（日常保持关闭状态），避免作业废气外溢至车间其他区域，印花机全程在该密闭设备间内完成作业；作业环节中，印花工段采用半封闭式操作模式，干燥段采用全封闭式操作模式。针对印花工段半封闭式操作区域，配套负压集气系统，集气口精准布设于印花喷头、面料印制传送区域等废气高逸散点位，通过管道负压引流，实时捕集印花过程中挥发的有机废气；同时设备间内同步布设负压收集管道，使设备间整体形成负压环境，确保设备间及印花工段产生的废气均通过负压系统集中收集，杜绝无组织逸散。</w:t>
            </w:r>
          </w:p>
          <w:p>
            <w:pPr>
              <w:snapToGrid w:val="0"/>
              <w:spacing w:line="36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结合《大气污染治理工程技术导则》（HJ2000-2010）中“密闭空间配套精准点位负压集气系统的废气收集效率宜≥95%”的技术要求，同时参考同区域数码印花行业采用“设备间密闭+高逸散点位精准集气+整体负压”措施的项目验收实测数据，本项目上述集气措施可实现印花废气收集效率95%。</w:t>
            </w:r>
          </w:p>
          <w:p>
            <w:pPr>
              <w:snapToGrid w:val="0"/>
              <w:spacing w:line="36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风量计算：设备间尺寸为长6m×宽4m×高2.5m，按每小时70次换气次数计算，设备间基础风量为=换气次数✕容积=70次/h✕6m✕4m✕2.5m=4200m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/h，印花机干燥段配套风机设计风量为</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000m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/h，考虑各弯管处压力损失，因此印花工序新增风量取</w:t>
            </w:r>
            <w:r>
              <w:rPr>
                <w:rFonts w:hint="eastAsia" w:cs="Times New Roman"/>
                <w:color w:val="auto"/>
                <w:highlight w:val="none"/>
                <w:lang w:val="en-US" w:eastAsia="zh-CN"/>
              </w:rPr>
              <w:t>9</w:t>
            </w:r>
            <w:r>
              <w:rPr>
                <w:rFonts w:hint="default" w:ascii="Times New Roman" w:hAnsi="Times New Roman" w:cs="Times New Roman"/>
                <w:color w:val="auto"/>
                <w:highlight w:val="none"/>
                <w:lang w:val="en-US" w:eastAsia="zh-CN"/>
              </w:rPr>
              <w:t>000m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/h，根据监测报告（山东信质环保科技有限公司2025年7月14日例行检测报告，报告编号：信质检字（2025）第 07099 号），DA002配套风机平均风量为2100</w:t>
            </w:r>
            <w:bookmarkStart w:id="29" w:name="OLE_LINK8"/>
            <w:r>
              <w:rPr>
                <w:rFonts w:hint="default" w:ascii="Times New Roman" w:hAnsi="Times New Roman" w:cs="Times New Roman"/>
                <w:color w:val="auto"/>
                <w:highlight w:val="none"/>
                <w:lang w:val="en-US" w:eastAsia="zh-CN"/>
              </w:rPr>
              <w:t>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/h</w:t>
            </w:r>
            <w:bookmarkEnd w:id="29"/>
            <w:r>
              <w:rPr>
                <w:rFonts w:hint="default" w:ascii="Times New Roman" w:hAnsi="Times New Roman" w:cs="Times New Roman"/>
                <w:color w:val="auto"/>
                <w:highlight w:val="none"/>
                <w:lang w:val="en-US" w:eastAsia="zh-CN"/>
              </w:rPr>
              <w:t>，则技改后DA002风量为</w:t>
            </w:r>
            <w:r>
              <w:rPr>
                <w:rFonts w:hint="eastAsia" w:cs="Times New Roman"/>
                <w:color w:val="auto"/>
                <w:highlight w:val="none"/>
                <w:lang w:val="en-US" w:eastAsia="zh-CN"/>
              </w:rPr>
              <w:t>11100</w:t>
            </w:r>
            <w:r>
              <w:rPr>
                <w:rFonts w:hint="default" w:ascii="Times New Roman" w:hAnsi="Times New Roman" w:cs="Times New Roman"/>
                <w:color w:val="auto"/>
                <w:highlight w:val="none"/>
                <w:lang w:val="en-US" w:eastAsia="zh-CN"/>
              </w:rPr>
              <w:t>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/h。</w:t>
            </w:r>
          </w:p>
          <w:p>
            <w:pPr>
              <w:snapToGrid w:val="0"/>
              <w:spacing w:line="360" w:lineRule="auto"/>
              <w:ind w:firstLine="420" w:firstLineChars="200"/>
              <w:rPr>
                <w:rFonts w:hint="default" w:ascii="Times New Roman" w:hAnsi="Times New Roman" w:cs="Times New Roman"/>
                <w:b/>
                <w:bCs/>
                <w:color w:val="auto"/>
                <w:spacing w:val="-10"/>
                <w:szCs w:val="21"/>
                <w:highlight w:val="none"/>
              </w:rPr>
            </w:pPr>
            <w:r>
              <w:rPr>
                <w:rFonts w:hint="default" w:ascii="Times New Roman" w:hAnsi="Times New Roman" w:cs="Times New Roman"/>
                <w:color w:val="auto"/>
                <w:highlight w:val="none"/>
              </w:rPr>
              <w:t>本次环评废气产生源强依据如下</w:t>
            </w:r>
          </w:p>
          <w:p>
            <w:pPr>
              <w:snapToGrid w:val="0"/>
              <w:spacing w:line="360" w:lineRule="auto"/>
              <w:jc w:val="center"/>
              <w:rPr>
                <w:rFonts w:hint="default" w:ascii="Times New Roman" w:hAnsi="Times New Roman" w:cs="Times New Roman"/>
                <w:b/>
                <w:snapToGrid w:val="0"/>
                <w:color w:val="auto"/>
                <w:szCs w:val="21"/>
                <w:highlight w:val="none"/>
              </w:rPr>
            </w:pPr>
            <w:r>
              <w:rPr>
                <w:rFonts w:hint="default" w:ascii="Times New Roman" w:hAnsi="Times New Roman" w:cs="Times New Roman"/>
                <w:b/>
                <w:snapToGrid w:val="0"/>
                <w:color w:val="auto"/>
                <w:szCs w:val="21"/>
                <w:highlight w:val="none"/>
              </w:rPr>
              <w:t>表4-</w:t>
            </w:r>
            <w:r>
              <w:rPr>
                <w:rFonts w:hint="default" w:ascii="Times New Roman" w:hAnsi="Times New Roman" w:cs="Times New Roman"/>
                <w:b/>
                <w:snapToGrid w:val="0"/>
                <w:color w:val="auto"/>
                <w:szCs w:val="21"/>
                <w:highlight w:val="none"/>
                <w:lang w:val="en-US" w:eastAsia="zh-CN"/>
              </w:rPr>
              <w:t>4</w:t>
            </w:r>
            <w:r>
              <w:rPr>
                <w:rFonts w:hint="default" w:ascii="Times New Roman" w:hAnsi="Times New Roman" w:cs="Times New Roman"/>
                <w:b/>
                <w:snapToGrid w:val="0"/>
                <w:color w:val="auto"/>
                <w:szCs w:val="21"/>
                <w:highlight w:val="none"/>
              </w:rPr>
              <w:t xml:space="preserve"> 废气产生源强计算依据</w:t>
            </w:r>
          </w:p>
          <w:tbl>
            <w:tblPr>
              <w:tblStyle w:val="36"/>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79"/>
              <w:gridCol w:w="2176"/>
              <w:gridCol w:w="2258"/>
              <w:gridCol w:w="1692"/>
              <w:gridCol w:w="446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79" w:type="pct"/>
                  <w:tcBorders>
                    <w:tl2br w:val="nil"/>
                    <w:tr2bl w:val="nil"/>
                  </w:tcBorders>
                  <w:noWrap w:val="0"/>
                  <w:vAlign w:val="center"/>
                </w:tcPr>
                <w:p>
                  <w:pPr>
                    <w:widowControl/>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工艺名称</w:t>
                  </w:r>
                </w:p>
              </w:tc>
              <w:tc>
                <w:tcPr>
                  <w:tcW w:w="826" w:type="pct"/>
                  <w:tcBorders>
                    <w:tl2br w:val="nil"/>
                    <w:tr2bl w:val="nil"/>
                  </w:tcBorders>
                  <w:noWrap w:val="0"/>
                  <w:vAlign w:val="center"/>
                </w:tcPr>
                <w:p>
                  <w:pPr>
                    <w:widowControl/>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污染物</w:t>
                  </w:r>
                </w:p>
              </w:tc>
              <w:tc>
                <w:tcPr>
                  <w:tcW w:w="857" w:type="pct"/>
                  <w:tcBorders>
                    <w:tl2br w:val="nil"/>
                    <w:tr2bl w:val="nil"/>
                  </w:tcBorders>
                  <w:noWrap w:val="0"/>
                  <w:vAlign w:val="center"/>
                </w:tcPr>
                <w:p>
                  <w:pPr>
                    <w:widowControl/>
                    <w:jc w:val="center"/>
                    <w:rPr>
                      <w:rFonts w:hint="default" w:ascii="Times New Roman" w:hAnsi="Times New Roman" w:cs="Times New Roman"/>
                      <w:b/>
                      <w:i w:val="0"/>
                      <w:iCs w:val="0"/>
                      <w:color w:val="auto"/>
                      <w:sz w:val="18"/>
                      <w:szCs w:val="18"/>
                      <w:highlight w:val="none"/>
                    </w:rPr>
                  </w:pPr>
                  <w:r>
                    <w:rPr>
                      <w:rFonts w:hint="default" w:ascii="Times New Roman" w:hAnsi="Times New Roman" w:cs="Times New Roman"/>
                      <w:b/>
                      <w:i w:val="0"/>
                      <w:iCs w:val="0"/>
                      <w:color w:val="auto"/>
                      <w:sz w:val="18"/>
                      <w:szCs w:val="18"/>
                      <w:highlight w:val="none"/>
                    </w:rPr>
                    <w:t>单位</w:t>
                  </w:r>
                </w:p>
              </w:tc>
              <w:tc>
                <w:tcPr>
                  <w:tcW w:w="642" w:type="pct"/>
                  <w:tcBorders>
                    <w:tl2br w:val="nil"/>
                    <w:tr2bl w:val="nil"/>
                  </w:tcBorders>
                  <w:noWrap w:val="0"/>
                  <w:vAlign w:val="center"/>
                </w:tcPr>
                <w:p>
                  <w:pPr>
                    <w:widowControl/>
                    <w:jc w:val="center"/>
                    <w:rPr>
                      <w:rFonts w:hint="default" w:ascii="Times New Roman" w:hAnsi="Times New Roman" w:cs="Times New Roman"/>
                      <w:b/>
                      <w:i w:val="0"/>
                      <w:iCs w:val="0"/>
                      <w:color w:val="auto"/>
                      <w:sz w:val="18"/>
                      <w:szCs w:val="18"/>
                      <w:highlight w:val="none"/>
                    </w:rPr>
                  </w:pPr>
                  <w:r>
                    <w:rPr>
                      <w:rFonts w:hint="default" w:ascii="Times New Roman" w:hAnsi="Times New Roman" w:cs="Times New Roman"/>
                      <w:b/>
                      <w:i w:val="0"/>
                      <w:iCs w:val="0"/>
                      <w:color w:val="auto"/>
                      <w:sz w:val="18"/>
                      <w:szCs w:val="18"/>
                      <w:highlight w:val="none"/>
                    </w:rPr>
                    <w:t>产污系数</w:t>
                  </w:r>
                </w:p>
              </w:tc>
              <w:tc>
                <w:tcPr>
                  <w:tcW w:w="1694" w:type="pct"/>
                  <w:tcBorders>
                    <w:tl2br w:val="nil"/>
                    <w:tr2bl w:val="nil"/>
                  </w:tcBorders>
                  <w:noWrap w:val="0"/>
                  <w:vAlign w:val="center"/>
                </w:tcPr>
                <w:p>
                  <w:pPr>
                    <w:widowControl/>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来源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9" w:type="pct"/>
                  <w:tcBorders>
                    <w:tl2br w:val="nil"/>
                    <w:tr2bl w:val="nil"/>
                  </w:tcBorders>
                  <w:noWrap w:val="0"/>
                  <w:vAlign w:val="center"/>
                </w:tcPr>
                <w:p>
                  <w:pPr>
                    <w:widowControl/>
                    <w:jc w:val="center"/>
                    <w:rPr>
                      <w:rFonts w:hint="default" w:ascii="Times New Roman" w:hAnsi="Times New Roman" w:eastAsia="宋体" w:cs="Times New Roman"/>
                      <w:b/>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印花</w:t>
                  </w:r>
                </w:p>
              </w:tc>
              <w:tc>
                <w:tcPr>
                  <w:tcW w:w="826" w:type="pct"/>
                  <w:tcBorders>
                    <w:tl2br w:val="nil"/>
                    <w:tr2bl w:val="nil"/>
                  </w:tcBorders>
                  <w:noWrap w:val="0"/>
                  <w:vAlign w:val="center"/>
                </w:tcPr>
                <w:p>
                  <w:pPr>
                    <w:widowControl/>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VOCs（以非甲烷总烃计）</w:t>
                  </w:r>
                </w:p>
              </w:tc>
              <w:tc>
                <w:tcPr>
                  <w:tcW w:w="857" w:type="pct"/>
                  <w:tcBorders>
                    <w:tl2br w:val="nil"/>
                    <w:tr2bl w:val="nil"/>
                  </w:tcBorders>
                  <w:noWrap w:val="0"/>
                  <w:vAlign w:val="center"/>
                </w:tcPr>
                <w:p>
                  <w:pPr>
                    <w:widowControl/>
                    <w:jc w:val="center"/>
                    <w:rPr>
                      <w:rFonts w:hint="default" w:ascii="Times New Roman" w:hAnsi="Times New Roman" w:cs="Times New Roman"/>
                      <w:i w:val="0"/>
                      <w:iCs w:val="0"/>
                      <w:color w:val="auto"/>
                      <w:kern w:val="2"/>
                      <w:sz w:val="18"/>
                      <w:szCs w:val="18"/>
                      <w:highlight w:val="none"/>
                      <w:lang w:val="en-US" w:eastAsia="zh-CN" w:bidi="ar-SA"/>
                    </w:rPr>
                  </w:pPr>
                  <w:r>
                    <w:rPr>
                      <w:rFonts w:hint="eastAsia" w:cs="Times New Roman"/>
                      <w:i w:val="0"/>
                      <w:iCs w:val="0"/>
                      <w:color w:val="auto"/>
                      <w:kern w:val="2"/>
                      <w:sz w:val="18"/>
                      <w:szCs w:val="18"/>
                      <w:highlight w:val="none"/>
                      <w:lang w:val="en-US" w:eastAsia="zh-CN" w:bidi="ar-SA"/>
                    </w:rPr>
                    <w:t>t/a</w:t>
                  </w:r>
                </w:p>
              </w:tc>
              <w:tc>
                <w:tcPr>
                  <w:tcW w:w="642" w:type="pct"/>
                  <w:tcBorders>
                    <w:tl2br w:val="nil"/>
                    <w:tr2bl w:val="nil"/>
                  </w:tcBorders>
                  <w:noWrap w:val="0"/>
                  <w:vAlign w:val="center"/>
                </w:tcPr>
                <w:p>
                  <w:pPr>
                    <w:widowControl/>
                    <w:jc w:val="center"/>
                    <w:rPr>
                      <w:rFonts w:hint="default" w:ascii="Times New Roman" w:hAnsi="Times New Roman" w:eastAsia="宋体" w:cs="Times New Roman"/>
                      <w:i w:val="0"/>
                      <w:iCs w:val="0"/>
                      <w:color w:val="auto"/>
                      <w:kern w:val="2"/>
                      <w:sz w:val="18"/>
                      <w:szCs w:val="18"/>
                      <w:highlight w:val="none"/>
                      <w:lang w:val="en-US" w:eastAsia="zh-CN" w:bidi="ar-SA"/>
                    </w:rPr>
                  </w:pPr>
                  <w:r>
                    <w:rPr>
                      <w:rFonts w:hint="default" w:ascii="Times New Roman" w:hAnsi="Times New Roman" w:eastAsia="宋体" w:cs="Times New Roman"/>
                      <w:i w:val="0"/>
                      <w:iCs w:val="0"/>
                      <w:color w:val="auto"/>
                      <w:kern w:val="2"/>
                      <w:sz w:val="18"/>
                      <w:szCs w:val="18"/>
                      <w:highlight w:val="none"/>
                      <w:lang w:val="en-US" w:eastAsia="zh-CN" w:bidi="ar-SA"/>
                    </w:rPr>
                    <w:t>水性油墨中挥发性有机物含量为20%</w:t>
                  </w:r>
                </w:p>
              </w:tc>
              <w:tc>
                <w:tcPr>
                  <w:tcW w:w="1694" w:type="pct"/>
                  <w:tcBorders>
                    <w:tl2br w:val="nil"/>
                    <w:tr2bl w:val="nil"/>
                  </w:tcBorders>
                  <w:noWrap w:val="0"/>
                  <w:vAlign w:val="center"/>
                </w:tcPr>
                <w:p>
                  <w:pPr>
                    <w:widowControl/>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项目水性油墨MSDS报告（附件15）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79"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干燥工序天然气燃烧</w:t>
                  </w:r>
                </w:p>
              </w:tc>
              <w:tc>
                <w:tcPr>
                  <w:tcW w:w="826" w:type="pct"/>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w:t>
                  </w:r>
                </w:p>
              </w:tc>
              <w:tc>
                <w:tcPr>
                  <w:tcW w:w="857" w:type="pct"/>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mg/m</w:t>
                  </w:r>
                  <w:r>
                    <w:rPr>
                      <w:rFonts w:hint="default" w:ascii="Times New Roman" w:hAnsi="Times New Roman" w:cs="Times New Roman"/>
                      <w:color w:val="auto"/>
                      <w:sz w:val="18"/>
                      <w:szCs w:val="18"/>
                      <w:highlight w:val="none"/>
                      <w:vertAlign w:val="superscript"/>
                    </w:rPr>
                    <w:t>3</w:t>
                  </w:r>
                </w:p>
              </w:tc>
              <w:tc>
                <w:tcPr>
                  <w:tcW w:w="642" w:type="pct"/>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103.9</w:t>
                  </w:r>
                </w:p>
              </w:tc>
              <w:tc>
                <w:tcPr>
                  <w:tcW w:w="1694" w:type="pct"/>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《排放源统计调查产排污核算方法和系数手册》4411火力发电、4412热电联产行业系数手册燃气锅炉烟尘产污系数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79" w:type="pct"/>
                  <w:vMerge w:val="continue"/>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p>
              </w:tc>
              <w:tc>
                <w:tcPr>
                  <w:tcW w:w="826" w:type="pct"/>
                  <w:tcBorders>
                    <w:tl2br w:val="nil"/>
                    <w:tr2bl w:val="nil"/>
                  </w:tcBorders>
                  <w:noWrap w:val="0"/>
                  <w:vAlign w:val="center"/>
                </w:tcPr>
                <w:p>
                  <w:pPr>
                    <w:widowControl/>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二氧化硫</w:t>
                  </w:r>
                </w:p>
              </w:tc>
              <w:tc>
                <w:tcPr>
                  <w:tcW w:w="857" w:type="pct"/>
                  <w:vMerge w:val="restart"/>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kg/万m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rPr>
                    <w:t>-燃料</w:t>
                  </w:r>
                </w:p>
              </w:tc>
              <w:tc>
                <w:tcPr>
                  <w:tcW w:w="642" w:type="pct"/>
                  <w:tcBorders>
                    <w:tl2br w:val="nil"/>
                    <w:tr2bl w:val="nil"/>
                  </w:tcBorders>
                  <w:noWrap w:val="0"/>
                  <w:vAlign w:val="center"/>
                </w:tcPr>
                <w:p>
                  <w:pPr>
                    <w:widowControl/>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0.02S</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100</w:t>
                  </w:r>
                  <w:r>
                    <w:rPr>
                      <w:rFonts w:hint="default" w:ascii="Times New Roman" w:hAnsi="Times New Roman" w:cs="Times New Roman"/>
                      <w:color w:val="auto"/>
                      <w:sz w:val="18"/>
                      <w:szCs w:val="18"/>
                      <w:highlight w:val="none"/>
                      <w:lang w:eastAsia="zh-CN"/>
                    </w:rPr>
                    <w:t>）</w:t>
                  </w:r>
                </w:p>
              </w:tc>
              <w:tc>
                <w:tcPr>
                  <w:tcW w:w="1694" w:type="pct"/>
                  <w:vMerge w:val="restart"/>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《第二次全国污染源普查工业源产排污系数手册》中的4430工业锅炉（热力生产和供应行业）行业系数手册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79" w:type="pct"/>
                  <w:vMerge w:val="continue"/>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p>
              </w:tc>
              <w:tc>
                <w:tcPr>
                  <w:tcW w:w="826" w:type="pct"/>
                  <w:tcBorders>
                    <w:tl2br w:val="nil"/>
                    <w:tr2bl w:val="nil"/>
                  </w:tcBorders>
                  <w:noWrap w:val="0"/>
                  <w:vAlign w:val="center"/>
                </w:tcPr>
                <w:p>
                  <w:pPr>
                    <w:widowControl/>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氮氧化物</w:t>
                  </w:r>
                </w:p>
              </w:tc>
              <w:tc>
                <w:tcPr>
                  <w:tcW w:w="857" w:type="pct"/>
                  <w:vMerge w:val="continue"/>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p>
              </w:tc>
              <w:tc>
                <w:tcPr>
                  <w:tcW w:w="642" w:type="pct"/>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6.97</w:t>
                  </w:r>
                </w:p>
              </w:tc>
              <w:tc>
                <w:tcPr>
                  <w:tcW w:w="1694" w:type="pct"/>
                  <w:vMerge w:val="continue"/>
                  <w:tcBorders>
                    <w:tl2br w:val="nil"/>
                    <w:tr2bl w:val="nil"/>
                  </w:tcBorders>
                  <w:noWrap w:val="0"/>
                  <w:vAlign w:val="center"/>
                </w:tcPr>
                <w:p>
                  <w:pPr>
                    <w:widowControl/>
                    <w:jc w:val="center"/>
                    <w:rPr>
                      <w:rFonts w:hint="default" w:ascii="Times New Roman" w:hAnsi="Times New Roman" w:cs="Times New Roman"/>
                      <w:color w:val="auto"/>
                      <w:sz w:val="18"/>
                      <w:szCs w:val="18"/>
                      <w:highlight w:val="none"/>
                    </w:rPr>
                  </w:pPr>
                </w:p>
              </w:tc>
            </w:tr>
          </w:tbl>
          <w:p>
            <w:pPr>
              <w:adjustRightInd w:val="0"/>
              <w:snapToGrid w:val="0"/>
              <w:spacing w:line="360" w:lineRule="auto"/>
              <w:ind w:firstLine="420" w:firstLineChars="200"/>
              <w:jc w:val="both"/>
              <w:textAlignment w:val="baseline"/>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（1）有组织废气</w:t>
            </w:r>
          </w:p>
          <w:p>
            <w:pPr>
              <w:adjustRightInd w:val="0"/>
              <w:snapToGrid w:val="0"/>
              <w:spacing w:line="360" w:lineRule="auto"/>
              <w:ind w:firstLine="420" w:firstLineChars="200"/>
              <w:jc w:val="both"/>
              <w:textAlignment w:val="baseline"/>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lang w:val="en-US" w:eastAsia="zh-CN"/>
              </w:rPr>
              <w:t>①</w:t>
            </w:r>
            <w:r>
              <w:rPr>
                <w:rFonts w:hint="default" w:ascii="Times New Roman" w:hAnsi="Times New Roman" w:cs="Times New Roman"/>
                <w:color w:val="auto"/>
                <w:highlight w:val="none"/>
                <w:lang w:val="en-US" w:eastAsia="zh-CN"/>
              </w:rPr>
              <w:t>印花干燥工序</w:t>
            </w:r>
            <w:r>
              <w:rPr>
                <w:rFonts w:hint="default" w:ascii="Times New Roman" w:hAnsi="Times New Roman" w:cs="Times New Roman"/>
                <w:color w:val="auto"/>
                <w:highlight w:val="none"/>
              </w:rPr>
              <w:t>产生的燃烧废气</w:t>
            </w:r>
          </w:p>
          <w:p>
            <w:pPr>
              <w:adjustRightInd w:val="0"/>
              <w:snapToGrid w:val="0"/>
              <w:spacing w:line="360" w:lineRule="auto"/>
              <w:ind w:firstLine="420" w:firstLineChars="200"/>
              <w:jc w:val="both"/>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eastAsiaTheme="minorEastAsia"/>
                <w:color w:val="auto"/>
                <w:highlight w:val="none"/>
              </w:rPr>
              <w:t>本项目</w:t>
            </w:r>
            <w:r>
              <w:rPr>
                <w:rFonts w:hint="default" w:ascii="Times New Roman" w:hAnsi="Times New Roman" w:cs="Times New Roman" w:eastAsiaTheme="minorEastAsia"/>
                <w:color w:val="auto"/>
                <w:highlight w:val="none"/>
                <w:lang w:val="en-US" w:eastAsia="zh-CN"/>
              </w:rPr>
              <w:t>印花干燥用气天然气</w:t>
            </w:r>
            <w:r>
              <w:rPr>
                <w:rFonts w:hint="default" w:ascii="Times New Roman" w:hAnsi="Times New Roman" w:eastAsia="宋体" w:cs="Times New Roman"/>
                <w:color w:val="auto"/>
                <w:highlight w:val="none"/>
                <w:lang w:val="en-US" w:eastAsia="zh-CN"/>
              </w:rPr>
              <w:t>燃烧会产生颗粒物、二氧化硫、氮氧化物。</w:t>
            </w:r>
            <w:r>
              <w:rPr>
                <w:rFonts w:hint="default" w:ascii="Times New Roman" w:hAnsi="Times New Roman" w:cs="Times New Roman"/>
                <w:color w:val="auto"/>
                <w:szCs w:val="21"/>
                <w:highlight w:val="none"/>
                <w:lang w:val="en-US" w:eastAsia="zh-CN"/>
              </w:rPr>
              <w:t>项目天然气燃烧产生的SO</w:t>
            </w:r>
            <w:r>
              <w:rPr>
                <w:rFonts w:hint="default" w:ascii="Times New Roman" w:hAnsi="Times New Roman" w:cs="Times New Roman"/>
                <w:color w:val="auto"/>
                <w:szCs w:val="21"/>
                <w:highlight w:val="none"/>
                <w:vertAlign w:val="subscript"/>
                <w:lang w:val="en-US" w:eastAsia="zh-CN"/>
              </w:rPr>
              <w:t>2</w:t>
            </w:r>
            <w:r>
              <w:rPr>
                <w:rFonts w:hint="default" w:ascii="Times New Roman" w:hAnsi="Times New Roman" w:cs="Times New Roman"/>
                <w:color w:val="auto"/>
                <w:szCs w:val="21"/>
                <w:highlight w:val="none"/>
                <w:lang w:val="en-US" w:eastAsia="zh-CN"/>
              </w:rPr>
              <w:t>的产生量参照《第二次全国污染源普查工业源产排污系数手册》中的4430</w:t>
            </w:r>
            <w:bookmarkStart w:id="30" w:name="OLE_LINK27"/>
            <w:r>
              <w:rPr>
                <w:rFonts w:hint="default" w:ascii="Times New Roman" w:hAnsi="Times New Roman" w:cs="Times New Roman"/>
                <w:color w:val="auto"/>
                <w:szCs w:val="21"/>
                <w:highlight w:val="none"/>
                <w:lang w:val="en-US" w:eastAsia="zh-CN"/>
              </w:rPr>
              <w:t>工业锅炉（热力生产和供应行业）行业系</w:t>
            </w:r>
            <w:bookmarkEnd w:id="30"/>
            <w:r>
              <w:rPr>
                <w:rFonts w:hint="default" w:ascii="Times New Roman" w:hAnsi="Times New Roman" w:cs="Times New Roman"/>
                <w:color w:val="auto"/>
                <w:szCs w:val="21"/>
                <w:highlight w:val="none"/>
                <w:lang w:val="en-US" w:eastAsia="zh-CN"/>
              </w:rPr>
              <w:t>数手册（S=100，根据天然气[GB17820-2018]表1二类），SO</w:t>
            </w:r>
            <w:r>
              <w:rPr>
                <w:rFonts w:hint="default" w:ascii="Times New Roman" w:hAnsi="Times New Roman" w:cs="Times New Roman"/>
                <w:color w:val="auto"/>
                <w:szCs w:val="21"/>
                <w:highlight w:val="none"/>
                <w:vertAlign w:val="subscript"/>
                <w:lang w:val="en-US" w:eastAsia="zh-CN"/>
              </w:rPr>
              <w:t>2</w:t>
            </w:r>
            <w:r>
              <w:rPr>
                <w:rFonts w:hint="default" w:ascii="Times New Roman" w:hAnsi="Times New Roman" w:cs="Times New Roman"/>
                <w:color w:val="auto"/>
                <w:szCs w:val="21"/>
                <w:highlight w:val="none"/>
                <w:lang w:val="en-US" w:eastAsia="zh-CN"/>
              </w:rPr>
              <w:t>产生系数为0.02Skg/万m</w:t>
            </w:r>
            <w:r>
              <w:rPr>
                <w:rFonts w:hint="default" w:ascii="Times New Roman" w:hAnsi="Times New Roman"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lang w:val="en-US" w:eastAsia="zh-CN"/>
              </w:rPr>
              <w:t>-燃料；本项目燃烧机安装国内领先低氮燃烧器，NOx产生系数为6.97kg/万m</w:t>
            </w:r>
            <w:r>
              <w:rPr>
                <w:rFonts w:hint="default" w:ascii="Times New Roman" w:hAnsi="Times New Roman"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lang w:val="en-US" w:eastAsia="zh-CN"/>
              </w:rPr>
              <w:t>-燃料；烟尘产生量参照《排放源统计调查产排污核算方法和系数手册》4411火力发电、4412热电联产行业系数手册燃气锅炉烟尘产污系数为103.9mg/m</w:t>
            </w:r>
            <w:r>
              <w:rPr>
                <w:rFonts w:hint="default" w:ascii="Times New Roman" w:hAnsi="Times New Roman"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lang w:val="en-US" w:eastAsia="zh-CN"/>
              </w:rPr>
              <w:t>原料，项目技改后印花机干燥工段使用天然气作为热源燃料，新增天然气用量20万m</w:t>
            </w:r>
            <w:r>
              <w:rPr>
                <w:rFonts w:hint="default" w:ascii="Times New Roman" w:hAnsi="Times New Roman"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lang w:val="en-US" w:eastAsia="zh-CN"/>
              </w:rPr>
              <w:t>/a，则印花干燥工序天然气燃烧颗粒物产生量为0.021t/a，SO</w:t>
            </w:r>
            <w:r>
              <w:rPr>
                <w:rFonts w:hint="default" w:ascii="Times New Roman" w:hAnsi="Times New Roman" w:cs="Times New Roman"/>
                <w:color w:val="auto"/>
                <w:szCs w:val="21"/>
                <w:highlight w:val="none"/>
                <w:vertAlign w:val="subscript"/>
                <w:lang w:val="en-US" w:eastAsia="zh-CN"/>
              </w:rPr>
              <w:t>2</w:t>
            </w:r>
            <w:r>
              <w:rPr>
                <w:rFonts w:hint="default" w:ascii="Times New Roman" w:hAnsi="Times New Roman" w:cs="Times New Roman"/>
                <w:color w:val="auto"/>
                <w:szCs w:val="21"/>
                <w:highlight w:val="none"/>
                <w:lang w:val="en-US" w:eastAsia="zh-CN"/>
              </w:rPr>
              <w:t>产生量为0.04t/a，氮氧化物产生量为0.139t/a，</w:t>
            </w:r>
            <w:r>
              <w:rPr>
                <w:rFonts w:hint="default" w:ascii="Times New Roman" w:hAnsi="Times New Roman" w:cs="Times New Roman"/>
                <w:color w:val="auto"/>
                <w:highlight w:val="none"/>
                <w:lang w:val="en-US" w:eastAsia="zh-CN"/>
              </w:rPr>
              <w:t>干燥工序封闭式操作，收集效率按100%，项目年运行时间为4800小时，产生速率为</w:t>
            </w:r>
            <w:r>
              <w:rPr>
                <w:rFonts w:hint="default" w:ascii="Times New Roman" w:hAnsi="Times New Roman" w:cs="Times New Roman"/>
                <w:color w:val="auto"/>
                <w:szCs w:val="21"/>
                <w:highlight w:val="none"/>
                <w:lang w:val="en-US" w:eastAsia="zh-CN"/>
              </w:rPr>
              <w:t>颗粒物0.004kg/h，SO</w:t>
            </w:r>
            <w:r>
              <w:rPr>
                <w:rFonts w:hint="default" w:ascii="Times New Roman" w:hAnsi="Times New Roman" w:cs="Times New Roman"/>
                <w:color w:val="auto"/>
                <w:szCs w:val="21"/>
                <w:highlight w:val="none"/>
                <w:vertAlign w:val="subscript"/>
                <w:lang w:val="en-US" w:eastAsia="zh-CN"/>
              </w:rPr>
              <w:t>2</w:t>
            </w:r>
            <w:r>
              <w:rPr>
                <w:rFonts w:hint="default" w:ascii="Times New Roman" w:hAnsi="Times New Roman" w:cs="Times New Roman"/>
                <w:color w:val="auto"/>
                <w:szCs w:val="21"/>
                <w:highlight w:val="none"/>
                <w:lang w:val="en-US" w:eastAsia="zh-CN"/>
              </w:rPr>
              <w:t>0.008kg/h，氮氧化物0.029kg/h。</w:t>
            </w:r>
          </w:p>
          <w:p>
            <w:pPr>
              <w:adjustRightInd w:val="0"/>
              <w:snapToGrid w:val="0"/>
              <w:spacing w:line="360" w:lineRule="auto"/>
              <w:ind w:firstLine="420" w:firstLineChars="200"/>
              <w:jc w:val="both"/>
              <w:textAlignment w:val="baseline"/>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②</w:t>
            </w:r>
            <w:r>
              <w:rPr>
                <w:rFonts w:hint="default" w:ascii="Times New Roman" w:hAnsi="Times New Roman" w:cs="Times New Roman"/>
                <w:color w:val="auto"/>
                <w:highlight w:val="none"/>
                <w:lang w:val="en-US" w:eastAsia="zh-CN"/>
              </w:rPr>
              <w:t>印花</w:t>
            </w:r>
            <w:r>
              <w:rPr>
                <w:rFonts w:hint="eastAsia" w:cs="Times New Roman"/>
                <w:color w:val="auto"/>
                <w:highlight w:val="none"/>
                <w:lang w:val="en-US" w:eastAsia="zh-CN"/>
              </w:rPr>
              <w:t>、干燥</w:t>
            </w:r>
          </w:p>
          <w:p>
            <w:pPr>
              <w:adjustRightInd w:val="0"/>
              <w:snapToGrid w:val="0"/>
              <w:spacing w:line="360" w:lineRule="auto"/>
              <w:ind w:firstLine="420" w:firstLineChars="200"/>
              <w:jc w:val="both"/>
              <w:textAlignment w:val="baseline"/>
              <w:rPr>
                <w:rFonts w:hint="default" w:ascii="Times New Roman" w:hAnsi="Times New Roman" w:cs="Times New Roman"/>
                <w:color w:val="auto"/>
                <w:highlight w:val="red"/>
                <w:lang w:val="en-US" w:eastAsia="zh-CN"/>
              </w:rPr>
            </w:pPr>
            <w:r>
              <w:rPr>
                <w:rFonts w:hint="default" w:ascii="Times New Roman" w:hAnsi="Times New Roman" w:cs="Times New Roman"/>
                <w:color w:val="auto"/>
                <w:highlight w:val="none"/>
                <w:lang w:val="en-US" w:eastAsia="zh-CN"/>
              </w:rPr>
              <w:t>项目使用水性油墨，根据企业提供的水性油墨检测报告，水性油墨中挥发性有机物含量为20%（二甘醇、甘油、聚乙二醇），项目按水性油墨中VOCs全部挥发考虑，项目年用水性油墨量为40t/a，则水性油墨中VOCs含量为8t/a，根据水性油墨挥发特性及印花、干燥工序工艺特点：印花阶段为常温施印，仅部分VOCs挥发（占比30%）；干燥阶段经加热强化，剩余VOCs充分挥发（占比70%），据此核算，印花工序VOCs</w:t>
            </w:r>
            <w:r>
              <w:rPr>
                <w:rFonts w:hint="default" w:ascii="Times New Roman" w:hAnsi="Times New Roman" w:cs="Times New Roman"/>
                <w:color w:val="auto"/>
                <w:szCs w:val="21"/>
                <w:highlight w:val="none"/>
                <w:lang w:val="en-US" w:eastAsia="zh-CN"/>
              </w:rPr>
              <w:t>（以非甲烷总烃计）</w:t>
            </w:r>
            <w:r>
              <w:rPr>
                <w:rFonts w:hint="default" w:ascii="Times New Roman" w:hAnsi="Times New Roman" w:cs="Times New Roman"/>
                <w:color w:val="auto"/>
                <w:highlight w:val="none"/>
                <w:lang w:val="en-US" w:eastAsia="zh-CN"/>
              </w:rPr>
              <w:t>挥发量为2.4t/a，干燥工序VOCs</w:t>
            </w:r>
            <w:r>
              <w:rPr>
                <w:rFonts w:hint="default" w:ascii="Times New Roman" w:hAnsi="Times New Roman" w:cs="Times New Roman"/>
                <w:color w:val="auto"/>
                <w:szCs w:val="21"/>
                <w:highlight w:val="none"/>
                <w:lang w:val="en-US" w:eastAsia="zh-CN"/>
              </w:rPr>
              <w:t>（以非甲烷总烃计）</w:t>
            </w:r>
            <w:r>
              <w:rPr>
                <w:rFonts w:hint="default" w:ascii="Times New Roman" w:hAnsi="Times New Roman" w:cs="Times New Roman"/>
                <w:color w:val="auto"/>
                <w:highlight w:val="none"/>
                <w:lang w:val="en-US" w:eastAsia="zh-CN"/>
              </w:rPr>
              <w:t>挥发量为5.6t/a，印花机连续生产，项目年运行时间为4800小时，印花</w:t>
            </w:r>
            <w:r>
              <w:rPr>
                <w:rFonts w:hint="eastAsia" w:cs="Times New Roman"/>
                <w:color w:val="auto"/>
                <w:highlight w:val="none"/>
                <w:lang w:val="en-US" w:eastAsia="zh-CN"/>
              </w:rPr>
              <w:t>、干燥</w:t>
            </w:r>
            <w:r>
              <w:rPr>
                <w:rFonts w:hint="default" w:ascii="Times New Roman" w:hAnsi="Times New Roman" w:cs="Times New Roman"/>
                <w:color w:val="auto"/>
                <w:highlight w:val="none"/>
                <w:lang w:val="en-US" w:eastAsia="zh-CN"/>
              </w:rPr>
              <w:t>工序新增风量</w:t>
            </w:r>
            <w:r>
              <w:rPr>
                <w:rFonts w:hint="eastAsia" w:cs="Times New Roman"/>
                <w:color w:val="auto"/>
                <w:highlight w:val="none"/>
                <w:lang w:val="en-US" w:eastAsia="zh-CN"/>
              </w:rPr>
              <w:t>为9</w:t>
            </w:r>
            <w:r>
              <w:rPr>
                <w:rFonts w:hint="default" w:ascii="Times New Roman" w:hAnsi="Times New Roman" w:cs="Times New Roman"/>
                <w:color w:val="auto"/>
                <w:highlight w:val="none"/>
                <w:lang w:val="en-US" w:eastAsia="zh-CN"/>
              </w:rPr>
              <w:t>000m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/h，印花工序废气收集效率为95%，干燥工序废气收集效率为100%，则VOCs</w:t>
            </w:r>
            <w:r>
              <w:rPr>
                <w:rFonts w:hint="default" w:ascii="Times New Roman" w:hAnsi="Times New Roman" w:cs="Times New Roman"/>
                <w:color w:val="auto"/>
                <w:szCs w:val="21"/>
                <w:highlight w:val="none"/>
                <w:lang w:val="en-US" w:eastAsia="zh-CN"/>
              </w:rPr>
              <w:t>（以非甲烷总烃计）印花工序收集量为2.28t/a，干燥工序收集量为5.6t/a，印花、干燥工序</w:t>
            </w:r>
            <w:bookmarkStart w:id="31" w:name="OLE_LINK28"/>
            <w:r>
              <w:rPr>
                <w:rFonts w:hint="default" w:ascii="Times New Roman" w:hAnsi="Times New Roman" w:cs="Times New Roman"/>
                <w:color w:val="auto"/>
                <w:highlight w:val="none"/>
                <w:lang w:val="en-US" w:eastAsia="zh-CN"/>
              </w:rPr>
              <w:t>VOCs</w:t>
            </w:r>
            <w:r>
              <w:rPr>
                <w:rFonts w:hint="default" w:ascii="Times New Roman" w:hAnsi="Times New Roman" w:cs="Times New Roman"/>
                <w:color w:val="auto"/>
                <w:szCs w:val="21"/>
                <w:highlight w:val="none"/>
                <w:lang w:val="en-US" w:eastAsia="zh-CN"/>
              </w:rPr>
              <w:t>（以非甲烷总烃计）</w:t>
            </w:r>
            <w:bookmarkEnd w:id="31"/>
            <w:r>
              <w:rPr>
                <w:rFonts w:hint="default" w:ascii="Times New Roman" w:hAnsi="Times New Roman" w:cs="Times New Roman"/>
                <w:color w:val="auto"/>
                <w:szCs w:val="21"/>
                <w:highlight w:val="none"/>
                <w:lang w:val="en-US" w:eastAsia="zh-CN"/>
              </w:rPr>
              <w:t>总</w:t>
            </w:r>
            <w:r>
              <w:rPr>
                <w:rFonts w:hint="default" w:ascii="Times New Roman" w:hAnsi="Times New Roman" w:cs="Times New Roman"/>
                <w:color w:val="auto"/>
                <w:highlight w:val="none"/>
                <w:lang w:val="en-US" w:eastAsia="zh-CN"/>
              </w:rPr>
              <w:t>收集量为7.88t/a，产生速率为1.642kg/h，</w:t>
            </w:r>
            <w:r>
              <w:rPr>
                <w:rFonts w:hint="eastAsia" w:cs="Times New Roman"/>
                <w:color w:val="auto"/>
                <w:highlight w:val="red"/>
                <w:lang w:val="en-US" w:eastAsia="zh-CN"/>
              </w:rPr>
              <w:t>产生浓度为205.208mg/m</w:t>
            </w:r>
            <w:r>
              <w:rPr>
                <w:rFonts w:hint="eastAsia" w:cs="Times New Roman"/>
                <w:color w:val="auto"/>
                <w:highlight w:val="red"/>
                <w:vertAlign w:val="superscript"/>
                <w:lang w:val="en-US" w:eastAsia="zh-CN"/>
              </w:rPr>
              <w:t>3</w:t>
            </w:r>
            <w:r>
              <w:rPr>
                <w:rFonts w:hint="eastAsia" w:cs="Times New Roman"/>
                <w:color w:val="auto"/>
                <w:highlight w:val="red"/>
                <w:lang w:val="en-US" w:eastAsia="zh-CN"/>
              </w:rPr>
              <w:t>，二级活性炭吸附装置处理效率为80%，则</w:t>
            </w:r>
            <w:r>
              <w:rPr>
                <w:rFonts w:hint="default" w:ascii="Times New Roman" w:hAnsi="Times New Roman" w:cs="Times New Roman"/>
                <w:color w:val="auto"/>
                <w:szCs w:val="21"/>
                <w:highlight w:val="red"/>
                <w:lang w:val="en-US" w:eastAsia="zh-CN"/>
              </w:rPr>
              <w:t>印花、干燥工序</w:t>
            </w:r>
            <w:r>
              <w:rPr>
                <w:rFonts w:hint="default" w:ascii="Times New Roman" w:hAnsi="Times New Roman" w:cs="Times New Roman"/>
                <w:color w:val="auto"/>
                <w:highlight w:val="red"/>
                <w:lang w:val="en-US" w:eastAsia="zh-CN"/>
              </w:rPr>
              <w:t>VOCs</w:t>
            </w:r>
            <w:r>
              <w:rPr>
                <w:rFonts w:hint="default" w:ascii="Times New Roman" w:hAnsi="Times New Roman" w:cs="Times New Roman"/>
                <w:color w:val="auto"/>
                <w:szCs w:val="21"/>
                <w:highlight w:val="red"/>
                <w:lang w:val="en-US" w:eastAsia="zh-CN"/>
              </w:rPr>
              <w:t>（以非甲烷总烃计）</w:t>
            </w:r>
            <w:r>
              <w:rPr>
                <w:rFonts w:hint="eastAsia" w:cs="Times New Roman"/>
                <w:color w:val="auto"/>
                <w:szCs w:val="21"/>
                <w:highlight w:val="red"/>
                <w:lang w:val="en-US" w:eastAsia="zh-CN"/>
              </w:rPr>
              <w:t>处理后排放</w:t>
            </w:r>
            <w:r>
              <w:rPr>
                <w:rFonts w:hint="default" w:ascii="Times New Roman" w:hAnsi="Times New Roman" w:cs="Times New Roman"/>
                <w:color w:val="auto"/>
                <w:highlight w:val="red"/>
                <w:lang w:val="en-US" w:eastAsia="zh-CN"/>
              </w:rPr>
              <w:t>量为</w:t>
            </w:r>
            <w:r>
              <w:rPr>
                <w:rFonts w:hint="eastAsia" w:cs="Times New Roman"/>
                <w:color w:val="auto"/>
                <w:highlight w:val="red"/>
                <w:lang w:val="en-US" w:eastAsia="zh-CN"/>
              </w:rPr>
              <w:t>1.576</w:t>
            </w:r>
            <w:r>
              <w:rPr>
                <w:rFonts w:hint="default" w:ascii="Times New Roman" w:hAnsi="Times New Roman" w:cs="Times New Roman"/>
                <w:color w:val="auto"/>
                <w:highlight w:val="red"/>
                <w:lang w:val="en-US" w:eastAsia="zh-CN"/>
              </w:rPr>
              <w:t>t/a，</w:t>
            </w:r>
            <w:r>
              <w:rPr>
                <w:rFonts w:hint="eastAsia" w:cs="Times New Roman"/>
                <w:color w:val="auto"/>
                <w:highlight w:val="red"/>
                <w:lang w:val="en-US" w:eastAsia="zh-CN"/>
              </w:rPr>
              <w:t>排放</w:t>
            </w:r>
            <w:r>
              <w:rPr>
                <w:rFonts w:hint="default" w:ascii="Times New Roman" w:hAnsi="Times New Roman" w:cs="Times New Roman"/>
                <w:color w:val="auto"/>
                <w:highlight w:val="red"/>
                <w:lang w:val="en-US" w:eastAsia="zh-CN"/>
              </w:rPr>
              <w:t>速率为</w:t>
            </w:r>
            <w:r>
              <w:rPr>
                <w:rFonts w:hint="eastAsia" w:cs="Times New Roman"/>
                <w:color w:val="auto"/>
                <w:highlight w:val="red"/>
                <w:lang w:val="en-US" w:eastAsia="zh-CN"/>
              </w:rPr>
              <w:t>0.328</w:t>
            </w:r>
            <w:r>
              <w:rPr>
                <w:rFonts w:hint="default" w:ascii="Times New Roman" w:hAnsi="Times New Roman" w:cs="Times New Roman"/>
                <w:color w:val="auto"/>
                <w:highlight w:val="red"/>
                <w:lang w:val="en-US" w:eastAsia="zh-CN"/>
              </w:rPr>
              <w:t>kg/h，</w:t>
            </w:r>
            <w:r>
              <w:rPr>
                <w:rFonts w:hint="eastAsia" w:cs="Times New Roman"/>
                <w:color w:val="auto"/>
                <w:highlight w:val="red"/>
                <w:lang w:val="en-US" w:eastAsia="zh-CN"/>
              </w:rPr>
              <w:t>排放浓度为36.481mg/m</w:t>
            </w:r>
            <w:r>
              <w:rPr>
                <w:rFonts w:hint="eastAsia" w:cs="Times New Roman"/>
                <w:color w:val="auto"/>
                <w:highlight w:val="red"/>
                <w:vertAlign w:val="superscript"/>
                <w:lang w:val="en-US" w:eastAsia="zh-CN"/>
              </w:rPr>
              <w:t>3</w:t>
            </w:r>
            <w:r>
              <w:rPr>
                <w:rFonts w:hint="eastAsia" w:cs="Times New Roman"/>
                <w:color w:val="auto"/>
                <w:highlight w:val="red"/>
                <w:lang w:val="en-US" w:eastAsia="zh-CN"/>
              </w:rPr>
              <w:t>，</w:t>
            </w:r>
            <w:r>
              <w:rPr>
                <w:rFonts w:hint="default" w:ascii="Times New Roman" w:hAnsi="Times New Roman" w:cs="Times New Roman"/>
                <w:color w:val="auto"/>
                <w:highlight w:val="red"/>
                <w:lang w:val="en-US" w:eastAsia="zh-CN"/>
              </w:rPr>
              <w:t>无组织排放量为0.12t/a。</w:t>
            </w:r>
          </w:p>
          <w:p>
            <w:pPr>
              <w:adjustRightInd w:val="0"/>
              <w:snapToGrid w:val="0"/>
              <w:spacing w:line="360" w:lineRule="auto"/>
              <w:ind w:firstLine="420" w:firstLineChars="200"/>
              <w:jc w:val="both"/>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印花产生的燃烧废气颗粒物、SO</w:t>
            </w:r>
            <w:r>
              <w:rPr>
                <w:rFonts w:hint="default" w:ascii="Times New Roman" w:hAnsi="Times New Roman" w:cs="Times New Roman"/>
                <w:color w:val="auto"/>
                <w:highlight w:val="none"/>
                <w:vertAlign w:val="subscript"/>
                <w:lang w:val="en-US" w:eastAsia="zh-CN"/>
              </w:rPr>
              <w:t>2</w:t>
            </w:r>
            <w:r>
              <w:rPr>
                <w:rFonts w:hint="default" w:ascii="Times New Roman" w:hAnsi="Times New Roman" w:cs="Times New Roman"/>
                <w:color w:val="auto"/>
                <w:highlight w:val="none"/>
                <w:lang w:val="en-US" w:eastAsia="zh-CN"/>
              </w:rPr>
              <w:t>、NOx经管道收集，印花产生的VOCs</w:t>
            </w:r>
            <w:r>
              <w:rPr>
                <w:rFonts w:hint="default" w:ascii="Times New Roman" w:hAnsi="Times New Roman" w:cs="Times New Roman"/>
                <w:color w:val="auto"/>
                <w:szCs w:val="21"/>
                <w:highlight w:val="none"/>
                <w:lang w:val="en-US" w:eastAsia="zh-CN"/>
              </w:rPr>
              <w:t>（以非甲烷总烃计）</w:t>
            </w:r>
            <w:r>
              <w:rPr>
                <w:rFonts w:hint="default" w:ascii="Times New Roman" w:hAnsi="Times New Roman" w:cs="Times New Roman"/>
                <w:color w:val="auto"/>
                <w:highlight w:val="none"/>
                <w:lang w:val="en-US" w:eastAsia="zh-CN"/>
              </w:rPr>
              <w:t>经负压收集后，均进入现有静电除尘器+二级活性炭吸附装置处理后经15m高排气筒DA002排放，根据《1723 毛染整精加工行业系数手册》，静电除尘器除尘效率取40%，二级活性炭吸附装置VOCs</w:t>
            </w:r>
            <w:r>
              <w:rPr>
                <w:rFonts w:hint="default" w:ascii="Times New Roman" w:hAnsi="Times New Roman" w:cs="Times New Roman"/>
                <w:color w:val="auto"/>
                <w:szCs w:val="21"/>
                <w:highlight w:val="none"/>
                <w:lang w:val="en-US" w:eastAsia="zh-CN"/>
              </w:rPr>
              <w:t>（以非甲烷总烃计）</w:t>
            </w:r>
            <w:r>
              <w:rPr>
                <w:rFonts w:hint="default" w:ascii="Times New Roman" w:hAnsi="Times New Roman" w:cs="Times New Roman"/>
                <w:color w:val="auto"/>
                <w:highlight w:val="none"/>
                <w:lang w:val="en-US" w:eastAsia="zh-CN"/>
              </w:rPr>
              <w:t>处理效率为</w:t>
            </w:r>
            <w:r>
              <w:rPr>
                <w:rFonts w:hint="eastAsia" w:cs="Times New Roman"/>
                <w:color w:val="auto"/>
                <w:highlight w:val="none"/>
                <w:lang w:val="en-US" w:eastAsia="zh-CN"/>
              </w:rPr>
              <w:t>8</w:t>
            </w:r>
            <w:r>
              <w:rPr>
                <w:rFonts w:hint="default" w:ascii="Times New Roman" w:hAnsi="Times New Roman" w:cs="Times New Roman"/>
                <w:color w:val="auto"/>
                <w:highlight w:val="none"/>
                <w:lang w:val="en-US" w:eastAsia="zh-CN"/>
              </w:rPr>
              <w:t>0%</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现有项目DA002污染物产生速率取</w:t>
            </w:r>
            <w:r>
              <w:rPr>
                <w:rFonts w:hint="eastAsia" w:cs="Times New Roman"/>
                <w:color w:val="auto"/>
                <w:highlight w:val="none"/>
                <w:lang w:val="en-US" w:eastAsia="zh-CN"/>
              </w:rPr>
              <w:t>现有污染物</w:t>
            </w:r>
            <w:r>
              <w:rPr>
                <w:rFonts w:hint="default" w:ascii="Times New Roman" w:hAnsi="Times New Roman" w:cs="Times New Roman"/>
                <w:color w:val="auto"/>
                <w:highlight w:val="none"/>
                <w:lang w:val="en-US" w:eastAsia="zh-CN"/>
              </w:rPr>
              <w:t>监测数据</w:t>
            </w:r>
            <w:r>
              <w:rPr>
                <w:rFonts w:hint="eastAsia" w:cs="Times New Roman"/>
                <w:color w:val="auto"/>
                <w:highlight w:val="none"/>
                <w:lang w:val="en-US" w:eastAsia="zh-CN"/>
              </w:rPr>
              <w:t>排放速率</w:t>
            </w:r>
            <w:r>
              <w:rPr>
                <w:rFonts w:hint="default" w:ascii="Times New Roman" w:hAnsi="Times New Roman" w:cs="Times New Roman"/>
                <w:color w:val="auto"/>
                <w:highlight w:val="none"/>
                <w:lang w:val="en-US" w:eastAsia="zh-CN"/>
              </w:rPr>
              <w:t>最大值（颗粒物0.008kg/h、SO</w:t>
            </w:r>
            <w:r>
              <w:rPr>
                <w:rFonts w:hint="default" w:ascii="Times New Roman" w:hAnsi="Times New Roman" w:cs="Times New Roman"/>
                <w:color w:val="auto"/>
                <w:highlight w:val="none"/>
                <w:vertAlign w:val="subscript"/>
                <w:lang w:val="en-US" w:eastAsia="zh-CN"/>
              </w:rPr>
              <w:t>2</w:t>
            </w:r>
            <w:r>
              <w:rPr>
                <w:rFonts w:hint="default" w:ascii="Times New Roman" w:hAnsi="Times New Roman" w:cs="Times New Roman"/>
                <w:color w:val="auto"/>
                <w:highlight w:val="none"/>
                <w:lang w:val="en-US" w:eastAsia="zh-CN"/>
              </w:rPr>
              <w:t>0.008kg/h、氮氧化物0.011kg/h、非甲烷总烃0.02kg/h）</w:t>
            </w:r>
            <w:r>
              <w:rPr>
                <w:rFonts w:hint="eastAsia" w:cs="Times New Roman"/>
                <w:color w:val="auto"/>
                <w:highlight w:val="none"/>
                <w:lang w:val="en-US" w:eastAsia="zh-CN"/>
              </w:rPr>
              <w:t>倒推计算</w:t>
            </w:r>
            <w:r>
              <w:rPr>
                <w:rFonts w:hint="default" w:ascii="Times New Roman" w:hAnsi="Times New Roman" w:cs="Times New Roman"/>
                <w:color w:val="auto"/>
                <w:highlight w:val="none"/>
                <w:lang w:val="en-US" w:eastAsia="zh-CN"/>
              </w:rPr>
              <w:t>，技改后DA002</w:t>
            </w:r>
            <w:r>
              <w:rPr>
                <w:rFonts w:hint="eastAsia" w:cs="Times New Roman"/>
                <w:color w:val="auto"/>
                <w:highlight w:val="none"/>
                <w:u w:val="none"/>
                <w:lang w:val="en-US" w:eastAsia="zh-CN"/>
              </w:rPr>
              <w:t>最不利情况下（烧毛、定型、印花同时运行）</w:t>
            </w:r>
            <w:r>
              <w:rPr>
                <w:rFonts w:hint="default" w:ascii="Times New Roman" w:hAnsi="Times New Roman" w:cs="Times New Roman"/>
                <w:color w:val="auto"/>
                <w:highlight w:val="none"/>
                <w:u w:val="none"/>
                <w:lang w:val="en-US" w:eastAsia="zh-CN"/>
              </w:rPr>
              <w:t>排</w:t>
            </w:r>
            <w:r>
              <w:rPr>
                <w:rFonts w:hint="default" w:ascii="Times New Roman" w:hAnsi="Times New Roman" w:cs="Times New Roman"/>
                <w:color w:val="auto"/>
                <w:highlight w:val="none"/>
                <w:lang w:val="en-US" w:eastAsia="zh-CN"/>
              </w:rPr>
              <w:t>放情况见下表。</w:t>
            </w:r>
          </w:p>
          <w:p>
            <w:pPr>
              <w:snapToGrid w:val="0"/>
              <w:spacing w:line="360" w:lineRule="auto"/>
              <w:jc w:val="center"/>
              <w:rPr>
                <w:rFonts w:hint="default"/>
                <w:color w:val="auto"/>
                <w:highlight w:val="none"/>
                <w:lang w:val="en-US"/>
              </w:rPr>
            </w:pPr>
            <w:r>
              <w:rPr>
                <w:rFonts w:hint="default" w:ascii="Times New Roman" w:hAnsi="Times New Roman" w:cs="Times New Roman"/>
                <w:b/>
                <w:bCs/>
                <w:color w:val="auto"/>
                <w:szCs w:val="21"/>
                <w:highlight w:val="none"/>
              </w:rPr>
              <w:t>表</w:t>
            </w:r>
            <w:r>
              <w:rPr>
                <w:rFonts w:hint="default" w:ascii="Times New Roman" w:hAnsi="Times New Roman" w:cs="Times New Roman"/>
                <w:b/>
                <w:bCs/>
                <w:color w:val="auto"/>
                <w:szCs w:val="21"/>
                <w:highlight w:val="none"/>
                <w:lang w:val="en-US" w:eastAsia="zh-CN"/>
              </w:rPr>
              <w:t>4-5 技改后DA002</w:t>
            </w:r>
            <w:r>
              <w:rPr>
                <w:rFonts w:hint="eastAsia" w:cs="Times New Roman"/>
                <w:b/>
                <w:bCs/>
                <w:color w:val="auto"/>
                <w:szCs w:val="21"/>
                <w:highlight w:val="none"/>
                <w:lang w:val="en-US" w:eastAsia="zh-CN"/>
              </w:rPr>
              <w:t>最不利情况下</w:t>
            </w:r>
            <w:r>
              <w:rPr>
                <w:rFonts w:hint="default" w:ascii="Times New Roman" w:hAnsi="Times New Roman" w:cs="Times New Roman"/>
                <w:b/>
                <w:bCs/>
                <w:color w:val="auto"/>
                <w:szCs w:val="21"/>
                <w:highlight w:val="none"/>
                <w:lang w:val="en-US" w:eastAsia="zh-CN"/>
              </w:rPr>
              <w:t>有组织排放情况一览表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395"/>
              <w:gridCol w:w="1796"/>
              <w:gridCol w:w="1796"/>
              <w:gridCol w:w="1801"/>
              <w:gridCol w:w="1796"/>
              <w:gridCol w:w="1796"/>
              <w:gridCol w:w="18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77" w:type="pct"/>
                  <w:vMerge w:val="restart"/>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rPr>
                  </w:pPr>
                  <w:bookmarkStart w:id="32" w:name="RANGE!C4"/>
                  <w:r>
                    <w:rPr>
                      <w:rFonts w:hint="default" w:ascii="Times New Roman" w:hAnsi="Times New Roman" w:eastAsia="宋体" w:cs="Times New Roman"/>
                      <w:b/>
                      <w:bCs/>
                      <w:color w:val="auto"/>
                      <w:sz w:val="18"/>
                      <w:szCs w:val="18"/>
                      <w:highlight w:val="none"/>
                    </w:rPr>
                    <w:t>污染物</w:t>
                  </w:r>
                  <w:bookmarkEnd w:id="32"/>
                </w:p>
              </w:tc>
              <w:tc>
                <w:tcPr>
                  <w:tcW w:w="529" w:type="pct"/>
                  <w:vMerge w:val="restart"/>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lang w:val="en-US" w:eastAsia="zh-CN"/>
                    </w:rPr>
                  </w:pPr>
                  <w:bookmarkStart w:id="33" w:name="RANGE!E4"/>
                  <w:bookmarkStart w:id="34" w:name="RANGE!H4"/>
                  <w:r>
                    <w:rPr>
                      <w:rFonts w:hint="default" w:ascii="Times New Roman" w:hAnsi="Times New Roman" w:eastAsia="宋体" w:cs="Times New Roman"/>
                      <w:b/>
                      <w:bCs/>
                      <w:color w:val="auto"/>
                      <w:sz w:val="18"/>
                      <w:szCs w:val="18"/>
                      <w:highlight w:val="none"/>
                      <w:lang w:val="en-US" w:eastAsia="zh-CN"/>
                    </w:rPr>
                    <w:t>运行情况</w:t>
                  </w:r>
                </w:p>
              </w:tc>
              <w:tc>
                <w:tcPr>
                  <w:tcW w:w="2045" w:type="pct"/>
                  <w:gridSpan w:val="3"/>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产生情况</w:t>
                  </w:r>
                  <w:bookmarkEnd w:id="33"/>
                </w:p>
              </w:tc>
              <w:tc>
                <w:tcPr>
                  <w:tcW w:w="2048" w:type="pct"/>
                  <w:gridSpan w:val="3"/>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排放情况</w:t>
                  </w:r>
                  <w:bookmarkEnd w:id="3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77" w:type="pct"/>
                  <w:vMerge w:val="continue"/>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rPr>
                  </w:pPr>
                </w:p>
              </w:tc>
              <w:tc>
                <w:tcPr>
                  <w:tcW w:w="529" w:type="pct"/>
                  <w:vMerge w:val="continue"/>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rPr>
                  </w:pPr>
                </w:p>
              </w:tc>
              <w:tc>
                <w:tcPr>
                  <w:tcW w:w="681" w:type="pct"/>
                  <w:tcBorders>
                    <w:tl2br w:val="nil"/>
                    <w:tr2bl w:val="nil"/>
                  </w:tcBorders>
                  <w:noWrap w:val="0"/>
                  <w:vAlign w:val="center"/>
                </w:tcPr>
                <w:p>
                  <w:pPr>
                    <w:jc w:val="center"/>
                    <w:rPr>
                      <w:rFonts w:hint="default"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eastAsia="宋体" w:cs="Times New Roman"/>
                      <w:b/>
                      <w:bCs/>
                      <w:color w:val="auto"/>
                      <w:sz w:val="18"/>
                      <w:szCs w:val="18"/>
                      <w:highlight w:val="none"/>
                    </w:rPr>
                    <w:t>产生量</w:t>
                  </w:r>
                  <w:r>
                    <w:rPr>
                      <w:rFonts w:hint="default" w:ascii="Times New Roman" w:hAnsi="Times New Roman" w:eastAsia="宋体" w:cs="Times New Roman"/>
                      <w:color w:val="auto"/>
                      <w:sz w:val="18"/>
                      <w:szCs w:val="18"/>
                      <w:highlight w:val="none"/>
                    </w:rPr>
                    <w:t>t/a</w:t>
                  </w:r>
                </w:p>
              </w:tc>
              <w:tc>
                <w:tcPr>
                  <w:tcW w:w="681" w:type="pct"/>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lang w:val="en-US" w:eastAsia="zh-CN"/>
                    </w:rPr>
                    <w:t>产生速率kg/h</w:t>
                  </w:r>
                </w:p>
              </w:tc>
              <w:tc>
                <w:tcPr>
                  <w:tcW w:w="683" w:type="pct"/>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产生浓度</w:t>
                  </w:r>
                  <w:bookmarkStart w:id="35" w:name="RANGE!E8"/>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bookmarkEnd w:id="35"/>
                </w:p>
              </w:tc>
              <w:tc>
                <w:tcPr>
                  <w:tcW w:w="681" w:type="pct"/>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lang w:val="en-US" w:eastAsia="zh-CN"/>
                    </w:rPr>
                    <w:t>排放</w:t>
                  </w:r>
                  <w:r>
                    <w:rPr>
                      <w:rFonts w:hint="default" w:ascii="Times New Roman" w:hAnsi="Times New Roman" w:eastAsia="宋体" w:cs="Times New Roman"/>
                      <w:b/>
                      <w:bCs/>
                      <w:color w:val="auto"/>
                      <w:sz w:val="18"/>
                      <w:szCs w:val="18"/>
                      <w:highlight w:val="none"/>
                    </w:rPr>
                    <w:t>量</w:t>
                  </w:r>
                  <w:r>
                    <w:rPr>
                      <w:rFonts w:hint="default" w:ascii="Times New Roman" w:hAnsi="Times New Roman" w:eastAsia="宋体" w:cs="Times New Roman"/>
                      <w:color w:val="auto"/>
                      <w:sz w:val="18"/>
                      <w:szCs w:val="18"/>
                      <w:highlight w:val="none"/>
                    </w:rPr>
                    <w:t>t/a</w:t>
                  </w:r>
                </w:p>
              </w:tc>
              <w:tc>
                <w:tcPr>
                  <w:tcW w:w="681" w:type="pct"/>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lang w:val="en-US" w:eastAsia="zh-CN"/>
                    </w:rPr>
                    <w:t>排放速率kg/h</w:t>
                  </w:r>
                </w:p>
              </w:tc>
              <w:tc>
                <w:tcPr>
                  <w:tcW w:w="685" w:type="pct"/>
                  <w:tcBorders>
                    <w:tl2br w:val="nil"/>
                    <w:tr2bl w:val="nil"/>
                  </w:tcBorders>
                  <w:noWrap w:val="0"/>
                  <w:vAlign w:val="center"/>
                </w:tcPr>
                <w:p>
                  <w:pPr>
                    <w:jc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lang w:val="en-US" w:eastAsia="zh-CN"/>
                    </w:rPr>
                    <w:t>排放</w:t>
                  </w:r>
                  <w:r>
                    <w:rPr>
                      <w:rFonts w:hint="default" w:ascii="Times New Roman" w:hAnsi="Times New Roman" w:eastAsia="宋体" w:cs="Times New Roman"/>
                      <w:b/>
                      <w:bCs/>
                      <w:color w:val="auto"/>
                      <w:sz w:val="18"/>
                      <w:szCs w:val="18"/>
                      <w:highlight w:val="none"/>
                    </w:rPr>
                    <w:t>浓度</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77"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rPr>
                  </w:pPr>
                  <w:bookmarkStart w:id="36" w:name="RANGE!C8"/>
                  <w:r>
                    <w:rPr>
                      <w:rFonts w:hint="default" w:ascii="Times New Roman" w:hAnsi="Times New Roman" w:eastAsia="宋体" w:cs="Times New Roman"/>
                      <w:color w:val="auto"/>
                      <w:sz w:val="18"/>
                      <w:szCs w:val="18"/>
                      <w:highlight w:val="none"/>
                      <w:lang w:val="en-US" w:eastAsia="zh-CN"/>
                    </w:rPr>
                    <w:t>颗粒物</w:t>
                  </w:r>
                  <w:bookmarkEnd w:id="36"/>
                </w:p>
              </w:tc>
              <w:tc>
                <w:tcPr>
                  <w:tcW w:w="529" w:type="pct"/>
                  <w:vMerge w:val="restar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技改新</w:t>
                  </w:r>
                </w:p>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增印花</w:t>
                  </w: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0.021 </w:t>
                  </w: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0.004 </w:t>
                  </w:r>
                </w:p>
              </w:tc>
              <w:tc>
                <w:tcPr>
                  <w:tcW w:w="18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0.481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0.045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0.009 </w:t>
                  </w:r>
                </w:p>
              </w:tc>
              <w:tc>
                <w:tcPr>
                  <w:tcW w:w="1809"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0.838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77"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rPr>
                  </w:pPr>
                  <w:bookmarkStart w:id="37" w:name="RANGE!C9"/>
                  <w:r>
                    <w:rPr>
                      <w:rFonts w:hint="default" w:ascii="Times New Roman" w:hAnsi="Times New Roman" w:eastAsia="宋体" w:cs="Times New Roman"/>
                      <w:color w:val="auto"/>
                      <w:sz w:val="18"/>
                      <w:szCs w:val="18"/>
                      <w:highlight w:val="none"/>
                    </w:rPr>
                    <w:t>SO</w:t>
                  </w:r>
                  <w:r>
                    <w:rPr>
                      <w:rFonts w:hint="default" w:ascii="Times New Roman" w:hAnsi="Times New Roman" w:eastAsia="宋体" w:cs="Times New Roman"/>
                      <w:color w:val="auto"/>
                      <w:sz w:val="18"/>
                      <w:szCs w:val="18"/>
                      <w:highlight w:val="none"/>
                      <w:vertAlign w:val="subscript"/>
                    </w:rPr>
                    <w:t>2</w:t>
                  </w:r>
                  <w:bookmarkEnd w:id="37"/>
                </w:p>
              </w:tc>
              <w:tc>
                <w:tcPr>
                  <w:tcW w:w="529" w:type="pct"/>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0.04</w:t>
                  </w: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0.008 </w:t>
                  </w:r>
                </w:p>
              </w:tc>
              <w:tc>
                <w:tcPr>
                  <w:tcW w:w="18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0.926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0.078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0.016 </w:t>
                  </w:r>
                </w:p>
              </w:tc>
              <w:tc>
                <w:tcPr>
                  <w:tcW w:w="1809"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1.471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77"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NOx</w:t>
                  </w:r>
                </w:p>
              </w:tc>
              <w:tc>
                <w:tcPr>
                  <w:tcW w:w="529" w:type="pct"/>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0.139 </w:t>
                  </w: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0.029 </w:t>
                  </w:r>
                </w:p>
              </w:tc>
              <w:tc>
                <w:tcPr>
                  <w:tcW w:w="18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3.227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0.192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0.040 </w:t>
                  </w:r>
                </w:p>
              </w:tc>
              <w:tc>
                <w:tcPr>
                  <w:tcW w:w="1809"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3.607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77"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VOCs（以非甲烷总烃计）</w:t>
                  </w:r>
                </w:p>
              </w:tc>
              <w:tc>
                <w:tcPr>
                  <w:tcW w:w="529" w:type="pct"/>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7.88</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1.642 </w:t>
                  </w:r>
                </w:p>
              </w:tc>
              <w:tc>
                <w:tcPr>
                  <w:tcW w:w="18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182.407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1.672</w:t>
                  </w:r>
                  <w:r>
                    <w:rPr>
                      <w:rFonts w:hint="default" w:ascii="Times New Roman" w:hAnsi="Times New Roman" w:eastAsia="宋体" w:cs="Times New Roman"/>
                      <w:i w:val="0"/>
                      <w:iCs w:val="0"/>
                      <w:color w:val="auto"/>
                      <w:kern w:val="0"/>
                      <w:sz w:val="18"/>
                      <w:szCs w:val="18"/>
                      <w:highlight w:val="none"/>
                      <w:u w:val="none"/>
                      <w:lang w:val="en-US" w:eastAsia="zh-CN" w:bidi="ar"/>
                    </w:rPr>
                    <w:t xml:space="preserve">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0.348</w:t>
                  </w:r>
                  <w:r>
                    <w:rPr>
                      <w:rFonts w:hint="default" w:ascii="Times New Roman" w:hAnsi="Times New Roman" w:eastAsia="宋体" w:cs="Times New Roman"/>
                      <w:i w:val="0"/>
                      <w:iCs w:val="0"/>
                      <w:color w:val="auto"/>
                      <w:kern w:val="0"/>
                      <w:sz w:val="18"/>
                      <w:szCs w:val="18"/>
                      <w:highlight w:val="none"/>
                      <w:u w:val="none"/>
                      <w:lang w:val="en-US" w:eastAsia="zh-CN" w:bidi="ar"/>
                    </w:rPr>
                    <w:t xml:space="preserve"> </w:t>
                  </w:r>
                </w:p>
              </w:tc>
              <w:tc>
                <w:tcPr>
                  <w:tcW w:w="1809"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31.381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77" w:type="pct"/>
                  <w:tcBorders>
                    <w:tl2br w:val="nil"/>
                    <w:tr2bl w:val="nil"/>
                  </w:tcBorders>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颗粒物</w:t>
                  </w:r>
                </w:p>
              </w:tc>
              <w:tc>
                <w:tcPr>
                  <w:tcW w:w="529" w:type="pct"/>
                  <w:vMerge w:val="restar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现有项目</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0.064 </w:t>
                  </w:r>
                </w:p>
              </w:tc>
              <w:tc>
                <w:tcPr>
                  <w:tcW w:w="17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0.013 </w:t>
                  </w:r>
                </w:p>
              </w:tc>
              <w:tc>
                <w:tcPr>
                  <w:tcW w:w="18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6.349 </w:t>
                  </w:r>
                </w:p>
              </w:tc>
              <w:tc>
                <w:tcPr>
                  <w:tcW w:w="2048" w:type="pct"/>
                  <w:gridSpan w:val="3"/>
                  <w:vMerge w:val="restar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77" w:type="pct"/>
                  <w:tcBorders>
                    <w:tl2br w:val="nil"/>
                    <w:tr2bl w:val="nil"/>
                  </w:tcBorders>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SO</w:t>
                  </w:r>
                  <w:r>
                    <w:rPr>
                      <w:rFonts w:hint="default" w:ascii="Times New Roman" w:hAnsi="Times New Roman" w:eastAsia="宋体" w:cs="Times New Roman"/>
                      <w:color w:val="auto"/>
                      <w:sz w:val="18"/>
                      <w:szCs w:val="18"/>
                      <w:highlight w:val="none"/>
                      <w:vertAlign w:val="subscript"/>
                    </w:rPr>
                    <w:t>2</w:t>
                  </w:r>
                </w:p>
              </w:tc>
              <w:tc>
                <w:tcPr>
                  <w:tcW w:w="529" w:type="pct"/>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0.038 </w:t>
                  </w: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0.008 </w:t>
                  </w:r>
                </w:p>
              </w:tc>
              <w:tc>
                <w:tcPr>
                  <w:tcW w:w="18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3.810 </w:t>
                  </w:r>
                </w:p>
              </w:tc>
              <w:tc>
                <w:tcPr>
                  <w:tcW w:w="2048" w:type="pct"/>
                  <w:gridSpan w:val="3"/>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77" w:type="pct"/>
                  <w:tcBorders>
                    <w:tl2br w:val="nil"/>
                    <w:tr2bl w:val="nil"/>
                  </w:tcBorders>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NOx</w:t>
                  </w:r>
                </w:p>
              </w:tc>
              <w:tc>
                <w:tcPr>
                  <w:tcW w:w="529" w:type="pct"/>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0.053 </w:t>
                  </w: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0.011 </w:t>
                  </w:r>
                </w:p>
              </w:tc>
              <w:tc>
                <w:tcPr>
                  <w:tcW w:w="18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5.238 </w:t>
                  </w:r>
                </w:p>
              </w:tc>
              <w:tc>
                <w:tcPr>
                  <w:tcW w:w="2048" w:type="pct"/>
                  <w:gridSpan w:val="3"/>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77" w:type="pct"/>
                  <w:tcBorders>
                    <w:tl2br w:val="nil"/>
                    <w:tr2bl w:val="nil"/>
                  </w:tcBorders>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VOCs（以非甲烷总烃计）</w:t>
                  </w:r>
                </w:p>
              </w:tc>
              <w:tc>
                <w:tcPr>
                  <w:tcW w:w="529" w:type="pct"/>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r>
                    <w:rPr>
                      <w:rFonts w:hint="eastAsia" w:cs="Times New Roman"/>
                      <w:i w:val="0"/>
                      <w:iCs w:val="0"/>
                      <w:color w:val="auto"/>
                      <w:kern w:val="0"/>
                      <w:sz w:val="18"/>
                      <w:szCs w:val="18"/>
                      <w:highlight w:val="none"/>
                      <w:u w:val="none"/>
                      <w:lang w:val="en-US" w:eastAsia="zh-CN" w:bidi="ar"/>
                    </w:rPr>
                    <w:t>48</w:t>
                  </w:r>
                </w:p>
              </w:tc>
              <w:tc>
                <w:tcPr>
                  <w:tcW w:w="68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w:t>
                  </w:r>
                  <w:r>
                    <w:rPr>
                      <w:rFonts w:hint="eastAsia" w:cs="Times New Roman"/>
                      <w:i w:val="0"/>
                      <w:iCs w:val="0"/>
                      <w:color w:val="auto"/>
                      <w:kern w:val="0"/>
                      <w:sz w:val="18"/>
                      <w:szCs w:val="18"/>
                      <w:highlight w:val="none"/>
                      <w:u w:val="none"/>
                      <w:lang w:val="en-US" w:eastAsia="zh-CN" w:bidi="ar"/>
                    </w:rPr>
                    <w:t>1</w:t>
                  </w:r>
                </w:p>
              </w:tc>
              <w:tc>
                <w:tcPr>
                  <w:tcW w:w="180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yellow"/>
                      <w:u w:val="none"/>
                      <w:lang w:val="en-US" w:eastAsia="zh-CN" w:bidi="ar"/>
                    </w:rPr>
                  </w:pPr>
                  <w:r>
                    <w:rPr>
                      <w:rFonts w:hint="eastAsia" w:ascii="Times New Roman" w:hAnsi="Times New Roman" w:eastAsia="宋体" w:cs="Times New Roman"/>
                      <w:i w:val="0"/>
                      <w:iCs w:val="0"/>
                      <w:color w:val="auto"/>
                      <w:kern w:val="0"/>
                      <w:sz w:val="18"/>
                      <w:szCs w:val="18"/>
                      <w:highlight w:val="yellow"/>
                      <w:u w:val="none"/>
                      <w:lang w:val="en-US" w:eastAsia="zh-CN" w:bidi="ar"/>
                    </w:rPr>
                    <w:t xml:space="preserve">47.619 </w:t>
                  </w:r>
                </w:p>
              </w:tc>
              <w:tc>
                <w:tcPr>
                  <w:tcW w:w="2048" w:type="pct"/>
                  <w:gridSpan w:val="3"/>
                  <w:vMerge w:val="continue"/>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p>
              </w:tc>
            </w:tr>
          </w:tbl>
          <w:p>
            <w:pPr>
              <w:snapToGrid w:val="0"/>
              <w:spacing w:line="360" w:lineRule="auto"/>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根据上述计算结果，</w:t>
            </w:r>
            <w:r>
              <w:rPr>
                <w:rFonts w:hint="default" w:ascii="Times New Roman" w:hAnsi="Times New Roman" w:cs="Times New Roman"/>
                <w:color w:val="auto"/>
                <w:highlight w:val="none"/>
              </w:rPr>
              <w:t>有组织颗粒物</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二氧化硫、氮氧化物</w:t>
            </w:r>
            <w:r>
              <w:rPr>
                <w:rFonts w:hint="eastAsia" w:cs="Times New Roman"/>
                <w:color w:val="auto"/>
                <w:highlight w:val="none"/>
                <w:lang w:val="en-US" w:eastAsia="zh-CN"/>
              </w:rPr>
              <w:t>最不利情况下</w:t>
            </w:r>
            <w:r>
              <w:rPr>
                <w:rFonts w:hint="default" w:ascii="Times New Roman" w:hAnsi="Times New Roman" w:cs="Times New Roman"/>
                <w:color w:val="auto"/>
                <w:highlight w:val="none"/>
                <w:lang w:val="en-US" w:eastAsia="zh-CN"/>
              </w:rPr>
              <w:t>排放浓度满足</w:t>
            </w:r>
            <w:r>
              <w:rPr>
                <w:rFonts w:hint="default" w:ascii="Times New Roman" w:hAnsi="Times New Roman" w:cs="Times New Roman"/>
                <w:color w:val="auto"/>
                <w:highlight w:val="none"/>
              </w:rPr>
              <w:t>《区域性大气污染物综合排放标准》（DB37/2376-2019）表1重点控制区排放限值要求</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颗粒物：10mg/m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；二氧化硫：50mg/m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；氮氧化物：100mg/m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有组织VOCs</w:t>
            </w:r>
            <w:r>
              <w:rPr>
                <w:rFonts w:hint="default" w:ascii="Times New Roman" w:hAnsi="Times New Roman" w:cs="Times New Roman"/>
                <w:color w:val="auto"/>
                <w:szCs w:val="21"/>
                <w:highlight w:val="none"/>
                <w:lang w:val="en-US" w:eastAsia="zh-CN"/>
              </w:rPr>
              <w:t>（以非甲烷总烃计）</w:t>
            </w:r>
            <w:r>
              <w:rPr>
                <w:rFonts w:hint="default" w:ascii="Times New Roman" w:hAnsi="Times New Roman" w:cs="Times New Roman"/>
                <w:color w:val="auto"/>
                <w:highlight w:val="none"/>
                <w:lang w:eastAsia="zh-CN"/>
              </w:rPr>
              <w:t>排放</w:t>
            </w:r>
            <w:r>
              <w:rPr>
                <w:rFonts w:hint="default" w:ascii="Times New Roman" w:hAnsi="Times New Roman" w:cs="Times New Roman"/>
                <w:color w:val="auto"/>
                <w:highlight w:val="none"/>
                <w:lang w:val="en-US" w:eastAsia="zh-CN"/>
              </w:rPr>
              <w:t>浓度满足</w:t>
            </w:r>
            <w:r>
              <w:rPr>
                <w:rFonts w:hint="default" w:ascii="Times New Roman" w:hAnsi="Times New Roman" w:cs="Times New Roman"/>
                <w:color w:val="auto"/>
                <w:szCs w:val="21"/>
                <w:highlight w:val="none"/>
              </w:rPr>
              <w:t>《挥发性有机物排放标准 第</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部分：</w:t>
            </w:r>
            <w:r>
              <w:rPr>
                <w:rFonts w:hint="default" w:ascii="Times New Roman" w:hAnsi="Times New Roman" w:cs="Times New Roman"/>
                <w:color w:val="auto"/>
                <w:szCs w:val="21"/>
                <w:highlight w:val="none"/>
                <w:lang w:eastAsia="zh-CN"/>
              </w:rPr>
              <w:t>其他</w:t>
            </w:r>
            <w:r>
              <w:rPr>
                <w:rFonts w:hint="default" w:ascii="Times New Roman" w:hAnsi="Times New Roman" w:cs="Times New Roman"/>
                <w:color w:val="auto"/>
                <w:szCs w:val="21"/>
                <w:highlight w:val="none"/>
              </w:rPr>
              <w:t>行业》（DB37/2801.</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-201</w:t>
            </w:r>
            <w:r>
              <w:rPr>
                <w:rFonts w:hint="default" w:ascii="Times New Roman" w:hAnsi="Times New Roman" w:cs="Times New Roman"/>
                <w:color w:val="auto"/>
                <w:szCs w:val="21"/>
                <w:highlight w:val="none"/>
                <w:lang w:val="en-US" w:eastAsia="zh-CN"/>
              </w:rPr>
              <w:t>9</w:t>
            </w:r>
            <w:r>
              <w:rPr>
                <w:rFonts w:hint="default" w:ascii="Times New Roman" w:hAnsi="Times New Roman" w:cs="Times New Roman"/>
                <w:color w:val="auto"/>
                <w:szCs w:val="21"/>
                <w:highlight w:val="none"/>
              </w:rPr>
              <w:t>）表</w:t>
            </w:r>
            <w:r>
              <w:rPr>
                <w:rFonts w:hint="default" w:ascii="Times New Roman" w:hAnsi="Times New Roman" w:cs="Times New Roman"/>
                <w:color w:val="auto"/>
                <w:szCs w:val="21"/>
                <w:highlight w:val="none"/>
                <w:lang w:val="en-US" w:eastAsia="zh-CN"/>
              </w:rPr>
              <w:t>1 其他行业企业或生产设施VOCs（以非甲烷总烃计）排放限值中纺织业排放限值</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VOCs</w:t>
            </w:r>
            <w:r>
              <w:rPr>
                <w:rFonts w:hint="default" w:ascii="Times New Roman" w:hAnsi="Times New Roman" w:cs="Times New Roman"/>
                <w:bCs/>
                <w:color w:val="auto"/>
                <w:highlight w:val="none"/>
                <w:lang w:eastAsia="zh-CN"/>
              </w:rPr>
              <w:t>：</w:t>
            </w:r>
            <w:r>
              <w:rPr>
                <w:rFonts w:hint="default" w:ascii="Times New Roman" w:hAnsi="Times New Roman" w:cs="Times New Roman"/>
                <w:bCs/>
                <w:color w:val="auto"/>
                <w:highlight w:val="none"/>
                <w:lang w:val="en-US" w:eastAsia="zh-CN"/>
              </w:rPr>
              <w:t>40</w:t>
            </w:r>
            <w:r>
              <w:rPr>
                <w:rFonts w:hint="default" w:ascii="Times New Roman" w:hAnsi="Times New Roman" w:cs="Times New Roman"/>
                <w:bCs/>
                <w:color w:val="auto"/>
                <w:highlight w:val="none"/>
              </w:rPr>
              <w:t>mg/m</w:t>
            </w:r>
            <w:r>
              <w:rPr>
                <w:rFonts w:hint="default" w:ascii="Times New Roman" w:hAnsi="Times New Roman" w:cs="Times New Roman"/>
                <w:bCs/>
                <w:color w:val="auto"/>
                <w:highlight w:val="none"/>
                <w:vertAlign w:val="superscript"/>
              </w:rPr>
              <w:t>3</w:t>
            </w:r>
            <w:r>
              <w:rPr>
                <w:rFonts w:hint="default" w:ascii="Times New Roman" w:hAnsi="Times New Roman" w:cs="Times New Roman"/>
                <w:bCs/>
                <w:color w:val="auto"/>
                <w:highlight w:val="none"/>
                <w:vertAlign w:val="baseline"/>
                <w:lang w:val="en-US" w:eastAsia="zh-CN"/>
              </w:rPr>
              <w:t>、3kg/h）</w:t>
            </w:r>
          </w:p>
          <w:p>
            <w:pPr>
              <w:adjustRightInd w:val="0"/>
              <w:snapToGrid w:val="0"/>
              <w:spacing w:line="360" w:lineRule="auto"/>
              <w:ind w:firstLine="420" w:firstLineChars="200"/>
              <w:jc w:val="both"/>
              <w:textAlignment w:val="baseline"/>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（2）无组织废气</w:t>
            </w:r>
          </w:p>
          <w:p>
            <w:pPr>
              <w:autoSpaceDE w:val="0"/>
              <w:autoSpaceDN w:val="0"/>
              <w:adjustRightInd w:val="0"/>
              <w:spacing w:line="36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技改项目印花未收集的VOCs</w:t>
            </w:r>
            <w:r>
              <w:rPr>
                <w:rFonts w:hint="default" w:ascii="Times New Roman" w:hAnsi="Times New Roman" w:cs="Times New Roman"/>
                <w:color w:val="auto"/>
                <w:szCs w:val="21"/>
                <w:highlight w:val="none"/>
                <w:lang w:val="en-US" w:eastAsia="zh-CN"/>
              </w:rPr>
              <w:t>（以非甲烷总烃计）</w:t>
            </w:r>
            <w:r>
              <w:rPr>
                <w:rFonts w:hint="default" w:ascii="Times New Roman" w:hAnsi="Times New Roman" w:cs="Times New Roman"/>
                <w:color w:val="auto"/>
                <w:highlight w:val="none"/>
                <w:lang w:val="en-US" w:eastAsia="zh-CN"/>
              </w:rPr>
              <w:t>量为0.12t/a。</w:t>
            </w:r>
          </w:p>
          <w:p>
            <w:pPr>
              <w:tabs>
                <w:tab w:val="left" w:pos="720"/>
              </w:tabs>
              <w:spacing w:line="360" w:lineRule="auto"/>
              <w:ind w:firstLine="420" w:firstLineChars="200"/>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（3）废气排放情况汇总</w:t>
            </w:r>
          </w:p>
          <w:p>
            <w:pPr>
              <w:autoSpaceDE w:val="0"/>
              <w:autoSpaceDN w:val="0"/>
              <w:adjustRightInd w:val="0"/>
              <w:jc w:val="center"/>
              <w:rPr>
                <w:rFonts w:hint="default" w:ascii="Times New Roman" w:hAnsi="Times New Roman" w:cs="Times New Roman"/>
                <w:b/>
                <w:snapToGrid w:val="0"/>
                <w:color w:val="auto"/>
                <w:kern w:val="0"/>
                <w:szCs w:val="21"/>
                <w:highlight w:val="none"/>
              </w:rPr>
            </w:pPr>
            <w:r>
              <w:rPr>
                <w:rFonts w:hint="default" w:ascii="Times New Roman" w:hAnsi="Times New Roman" w:cs="Times New Roman"/>
                <w:b/>
                <w:snapToGrid w:val="0"/>
                <w:color w:val="auto"/>
                <w:kern w:val="0"/>
                <w:szCs w:val="21"/>
                <w:highlight w:val="none"/>
              </w:rPr>
              <w:t>表4-</w:t>
            </w:r>
            <w:r>
              <w:rPr>
                <w:rFonts w:hint="default" w:ascii="Times New Roman" w:hAnsi="Times New Roman" w:cs="Times New Roman"/>
                <w:b/>
                <w:snapToGrid w:val="0"/>
                <w:color w:val="auto"/>
                <w:kern w:val="0"/>
                <w:szCs w:val="21"/>
                <w:highlight w:val="none"/>
                <w:lang w:val="en-US" w:eastAsia="zh-CN"/>
              </w:rPr>
              <w:t>6 技改项目DA002</w:t>
            </w:r>
            <w:r>
              <w:rPr>
                <w:rFonts w:hint="default" w:ascii="Times New Roman" w:hAnsi="Times New Roman" w:cs="Times New Roman"/>
                <w:b/>
                <w:snapToGrid w:val="0"/>
                <w:color w:val="auto"/>
                <w:kern w:val="0"/>
                <w:szCs w:val="21"/>
                <w:highlight w:val="none"/>
              </w:rPr>
              <w:t>大气污染物排放情况汇总</w:t>
            </w:r>
          </w:p>
          <w:tbl>
            <w:tblPr>
              <w:tblStyle w:val="36"/>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35"/>
              <w:gridCol w:w="3839"/>
              <w:gridCol w:w="66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3" w:type="pct"/>
                  <w:gridSpan w:val="2"/>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bookmarkStart w:id="38" w:name="OLE_LINK64"/>
                  <w:r>
                    <w:rPr>
                      <w:rFonts w:hint="default" w:ascii="Times New Roman" w:hAnsi="Times New Roman" w:cs="Times New Roman"/>
                      <w:b/>
                      <w:bCs/>
                      <w:color w:val="auto"/>
                      <w:sz w:val="18"/>
                      <w:szCs w:val="18"/>
                      <w:highlight w:val="none"/>
                    </w:rPr>
                    <w:t>污染物</w:t>
                  </w:r>
                </w:p>
              </w:tc>
              <w:tc>
                <w:tcPr>
                  <w:tcW w:w="2506"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7" w:type="pct"/>
                  <w:vMerge w:val="restart"/>
                  <w:tcBorders>
                    <w:tl2br w:val="nil"/>
                    <w:tr2bl w:val="nil"/>
                  </w:tcBorders>
                  <w:noWrap w:val="0"/>
                  <w:vAlign w:val="center"/>
                </w:tcPr>
                <w:p>
                  <w:pPr>
                    <w:jc w:val="center"/>
                    <w:rPr>
                      <w:rFonts w:hint="default" w:ascii="Times New Roman" w:hAnsi="Times New Roman" w:cs="Times New Roman"/>
                      <w:color w:val="auto"/>
                      <w:sz w:val="18"/>
                      <w:szCs w:val="18"/>
                      <w:highlight w:val="none"/>
                    </w:rPr>
                  </w:pPr>
                  <w:bookmarkStart w:id="39" w:name="OLE_LINK56" w:colFirst="0" w:colLast="1"/>
                  <w:r>
                    <w:rPr>
                      <w:rFonts w:hint="default" w:ascii="Times New Roman" w:hAnsi="Times New Roman" w:cs="Times New Roman"/>
                      <w:color w:val="auto"/>
                      <w:sz w:val="18"/>
                      <w:szCs w:val="18"/>
                      <w:highlight w:val="none"/>
                    </w:rPr>
                    <w:t>DA00</w:t>
                  </w: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排气筒</w:t>
                  </w:r>
                </w:p>
              </w:tc>
              <w:tc>
                <w:tcPr>
                  <w:tcW w:w="1456" w:type="pct"/>
                  <w:tcBorders>
                    <w:tl2br w:val="nil"/>
                    <w:tr2bl w:val="nil"/>
                  </w:tcBorders>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red"/>
                      <w:lang w:val="en-US" w:eastAsia="zh-CN"/>
                    </w:rPr>
                    <w:t>0.021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7" w:type="pct"/>
                  <w:vMerge w:val="continue"/>
                  <w:tcBorders>
                    <w:tl2br w:val="nil"/>
                    <w:tr2bl w:val="nil"/>
                  </w:tcBorders>
                  <w:noWrap w:val="0"/>
                  <w:vAlign w:val="center"/>
                </w:tcPr>
                <w:p>
                  <w:pPr>
                    <w:jc w:val="center"/>
                    <w:rPr>
                      <w:rFonts w:hint="default" w:ascii="Times New Roman" w:hAnsi="Times New Roman" w:cs="Times New Roman"/>
                      <w:color w:val="auto"/>
                      <w:sz w:val="18"/>
                      <w:szCs w:val="18"/>
                      <w:highlight w:val="none"/>
                    </w:rPr>
                  </w:pPr>
                </w:p>
              </w:tc>
              <w:tc>
                <w:tcPr>
                  <w:tcW w:w="145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二氧化硫</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0.04</w:t>
                  </w:r>
                </w:p>
              </w:tc>
            </w:tr>
            <w:bookmarkEnd w:id="39"/>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7" w:type="pct"/>
                  <w:vMerge w:val="continue"/>
                  <w:tcBorders>
                    <w:tl2br w:val="nil"/>
                    <w:tr2bl w:val="nil"/>
                  </w:tcBorders>
                  <w:noWrap w:val="0"/>
                  <w:vAlign w:val="center"/>
                </w:tcPr>
                <w:p>
                  <w:pPr>
                    <w:jc w:val="center"/>
                    <w:rPr>
                      <w:rFonts w:hint="default" w:ascii="Times New Roman" w:hAnsi="Times New Roman" w:cs="Times New Roman"/>
                      <w:color w:val="auto"/>
                      <w:sz w:val="18"/>
                      <w:szCs w:val="18"/>
                      <w:highlight w:val="none"/>
                    </w:rPr>
                  </w:pPr>
                </w:p>
              </w:tc>
              <w:tc>
                <w:tcPr>
                  <w:tcW w:w="145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氮氧化物</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0.139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7" w:type="pct"/>
                  <w:vMerge w:val="continue"/>
                  <w:tcBorders>
                    <w:tl2br w:val="nil"/>
                    <w:tr2bl w:val="nil"/>
                  </w:tcBorders>
                  <w:noWrap w:val="0"/>
                  <w:vAlign w:val="center"/>
                </w:tcPr>
                <w:p>
                  <w:pPr>
                    <w:jc w:val="center"/>
                    <w:rPr>
                      <w:rFonts w:hint="default" w:ascii="Times New Roman" w:hAnsi="Times New Roman" w:cs="Times New Roman"/>
                      <w:color w:val="auto"/>
                      <w:sz w:val="18"/>
                      <w:szCs w:val="18"/>
                      <w:highlight w:val="none"/>
                    </w:rPr>
                  </w:pPr>
                </w:p>
              </w:tc>
              <w:tc>
                <w:tcPr>
                  <w:tcW w:w="145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VOCs（以非甲烷总烃计）</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1.576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7" w:type="pct"/>
                  <w:tcBorders>
                    <w:tl2br w:val="nil"/>
                    <w:tr2bl w:val="nil"/>
                  </w:tcBorders>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无组织</w:t>
                  </w:r>
                </w:p>
              </w:tc>
              <w:tc>
                <w:tcPr>
                  <w:tcW w:w="1456" w:type="pct"/>
                  <w:tcBorders>
                    <w:tl2br w:val="nil"/>
                    <w:tr2bl w:val="nil"/>
                  </w:tcBorders>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VOCs（以非甲烷总烃计）</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7" w:type="pct"/>
                  <w:vMerge w:val="restart"/>
                  <w:tcBorders>
                    <w:tl2br w:val="nil"/>
                    <w:tr2bl w:val="nil"/>
                  </w:tcBorders>
                  <w:noWrap w:val="0"/>
                  <w:vAlign w:val="center"/>
                </w:tcPr>
                <w:p>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456" w:type="pct"/>
                  <w:tcBorders>
                    <w:tl2br w:val="nil"/>
                    <w:tr2bl w:val="nil"/>
                  </w:tcBorders>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颗粒物</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red"/>
                      <w:lang w:val="en-US" w:eastAsia="zh-CN"/>
                    </w:rPr>
                    <w:t>0.021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7" w:type="pct"/>
                  <w:vMerge w:val="continue"/>
                  <w:tcBorders>
                    <w:tl2br w:val="nil"/>
                    <w:tr2bl w:val="nil"/>
                  </w:tcBorders>
                  <w:noWrap w:val="0"/>
                  <w:vAlign w:val="center"/>
                </w:tcPr>
                <w:p>
                  <w:pPr>
                    <w:jc w:val="center"/>
                    <w:rPr>
                      <w:rFonts w:hint="default" w:ascii="Times New Roman" w:hAnsi="Times New Roman" w:cs="Times New Roman"/>
                      <w:color w:val="auto"/>
                      <w:sz w:val="18"/>
                      <w:szCs w:val="18"/>
                      <w:highlight w:val="none"/>
                    </w:rPr>
                  </w:pPr>
                </w:p>
              </w:tc>
              <w:tc>
                <w:tcPr>
                  <w:tcW w:w="1456" w:type="pct"/>
                  <w:tcBorders>
                    <w:tl2br w:val="nil"/>
                    <w:tr2bl w:val="nil"/>
                  </w:tcBorders>
                  <w:noWrap w:val="0"/>
                  <w:vAlign w:val="center"/>
                </w:tcPr>
                <w:p>
                  <w:pPr>
                    <w:jc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cs="Times New Roman"/>
                      <w:color w:val="auto"/>
                      <w:sz w:val="18"/>
                      <w:szCs w:val="18"/>
                      <w:highlight w:val="none"/>
                      <w:lang w:val="en-US" w:eastAsia="zh-CN"/>
                    </w:rPr>
                    <w:t>二氧化硫</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37" w:type="pct"/>
                  <w:vMerge w:val="continue"/>
                  <w:tcBorders>
                    <w:tl2br w:val="nil"/>
                    <w:tr2bl w:val="nil"/>
                  </w:tcBorders>
                  <w:noWrap w:val="0"/>
                  <w:vAlign w:val="center"/>
                </w:tcPr>
                <w:p>
                  <w:pPr>
                    <w:jc w:val="center"/>
                    <w:rPr>
                      <w:rFonts w:hint="default" w:ascii="Times New Roman" w:hAnsi="Times New Roman" w:cs="Times New Roman"/>
                      <w:color w:val="auto"/>
                      <w:sz w:val="18"/>
                      <w:szCs w:val="18"/>
                      <w:highlight w:val="none"/>
                    </w:rPr>
                  </w:pPr>
                </w:p>
              </w:tc>
              <w:tc>
                <w:tcPr>
                  <w:tcW w:w="1456" w:type="pct"/>
                  <w:tcBorders>
                    <w:tl2br w:val="nil"/>
                    <w:tr2bl w:val="nil"/>
                  </w:tcBorders>
                  <w:noWrap w:val="0"/>
                  <w:vAlign w:val="center"/>
                </w:tcPr>
                <w:p>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氮氧化物</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0.139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37" w:type="pct"/>
                  <w:vMerge w:val="continue"/>
                  <w:tcBorders>
                    <w:tl2br w:val="nil"/>
                    <w:tr2bl w:val="nil"/>
                  </w:tcBorders>
                  <w:noWrap w:val="0"/>
                  <w:vAlign w:val="center"/>
                </w:tcPr>
                <w:p>
                  <w:pPr>
                    <w:jc w:val="center"/>
                    <w:rPr>
                      <w:rFonts w:hint="default" w:ascii="Times New Roman" w:hAnsi="Times New Roman" w:cs="Times New Roman"/>
                      <w:color w:val="auto"/>
                      <w:sz w:val="18"/>
                      <w:szCs w:val="18"/>
                      <w:highlight w:val="none"/>
                    </w:rPr>
                  </w:pPr>
                </w:p>
              </w:tc>
              <w:tc>
                <w:tcPr>
                  <w:tcW w:w="145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VOCs（以非甲烷总烃计）</w:t>
                  </w:r>
                </w:p>
              </w:tc>
              <w:tc>
                <w:tcPr>
                  <w:tcW w:w="2506" w:type="pct"/>
                  <w:tcBorders>
                    <w:tl2br w:val="nil"/>
                    <w:tr2bl w:val="nil"/>
                  </w:tcBorders>
                  <w:noWrap w:val="0"/>
                  <w:vAlign w:val="center"/>
                </w:tcPr>
                <w:p>
                  <w:pPr>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1.696</w:t>
                  </w:r>
                </w:p>
              </w:tc>
            </w:tr>
            <w:bookmarkEnd w:id="38"/>
          </w:tbl>
          <w:p>
            <w:pPr>
              <w:pageBreakBefore/>
              <w:widowControl/>
              <w:spacing w:line="360" w:lineRule="auto"/>
              <w:rPr>
                <w:rFonts w:hint="default" w:ascii="Times New Roman" w:hAnsi="Times New Roman" w:cs="Times New Roman"/>
                <w:color w:val="auto"/>
                <w:szCs w:val="21"/>
                <w:highlight w:val="none"/>
              </w:rPr>
            </w:pPr>
            <w:r>
              <w:rPr>
                <w:rFonts w:hint="default" w:ascii="Times New Roman" w:hAnsi="Times New Roman" w:cs="Times New Roman"/>
                <w:b/>
                <w:bCs/>
                <w:color w:val="auto"/>
                <w:spacing w:val="-10"/>
                <w:szCs w:val="21"/>
                <w:highlight w:val="none"/>
              </w:rPr>
              <w:t>1.3废气防治措施有效性分析</w:t>
            </w:r>
          </w:p>
          <w:p>
            <w:pPr>
              <w:pageBreakBefore/>
              <w:widowControl/>
              <w:spacing w:line="360" w:lineRule="auto"/>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根据《排污许可证申请与核发技术规范 纺织印染工业》（HJ 861—2017），项目生产过程中的废气</w:t>
            </w:r>
            <w:r>
              <w:rPr>
                <w:rFonts w:hint="default" w:ascii="Times New Roman" w:hAnsi="Times New Roman" w:cs="Times New Roman"/>
                <w:color w:val="auto"/>
                <w:highlight w:val="none"/>
                <w:lang w:val="en-US" w:eastAsia="zh-CN"/>
              </w:rPr>
              <w:t>依托</w:t>
            </w:r>
            <w:r>
              <w:rPr>
                <w:rFonts w:hint="default" w:ascii="Times New Roman" w:hAnsi="Times New Roman" w:eastAsia="宋体" w:cs="Times New Roman"/>
                <w:color w:val="auto"/>
                <w:highlight w:val="none"/>
                <w:lang w:val="en-US" w:eastAsia="zh-CN"/>
              </w:rPr>
              <w:t>现</w:t>
            </w:r>
            <w:r>
              <w:rPr>
                <w:rFonts w:hint="default" w:ascii="Times New Roman" w:hAnsi="Times New Roman" w:cs="Times New Roman"/>
                <w:color w:val="auto"/>
                <w:highlight w:val="none"/>
                <w:lang w:val="en-US" w:eastAsia="zh-CN"/>
              </w:rPr>
              <w:t>有</w:t>
            </w:r>
            <w:r>
              <w:rPr>
                <w:rFonts w:hint="default" w:ascii="Times New Roman" w:hAnsi="Times New Roman" w:eastAsia="宋体" w:cs="Times New Roman"/>
                <w:color w:val="auto"/>
                <w:highlight w:val="none"/>
                <w:lang w:val="en-US" w:eastAsia="zh-CN"/>
              </w:rPr>
              <w:t>“静电除尘器、活性炭吸附装置”为推荐可行技术，符合规范要求，技术可行。废气经采取可行技术治理后，可以满足相应标准要求，污染物排放量较小，对周边环境空气影响较小。</w:t>
            </w:r>
          </w:p>
          <w:p>
            <w:pPr>
              <w:pageBreakBefore/>
              <w:widowControl/>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所用活性炭为煤质活性炭颗粒，是一种多孔性的含炭物质，具有高度发达的孔隙构造，活性炭的多孔结构为其提供了大量的表面积，能与气体充分接触，从而赋予了活性炭所特有的吸附性能，使其非常容易达到吸收收集的目的；活性炭孔壁上的大量的分子可以产生强大的引力，从而达到将气体吸引到孔径中的目的。本项目二级活性炭吸附装置进气温度约为40℃左右，项目用气工艺温度较低，该烟气温度符合《吸附法工业有机废气治理工程技术规范》（HJ2026-2013）中煤质颗粒活性炭吸附装置的进气温度要求（规范明确煤质活性炭适宜进气温度范围为25~60℃），同时匹配本项目所用煤质颗粒活性炭产品说明书中“进气温度不高于60℃”的技术参数，可有效保障活性炭的吸附容量与稳定运行性能。</w:t>
            </w:r>
          </w:p>
          <w:p>
            <w:pPr>
              <w:pageBreakBefore/>
              <w:widowControl/>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本项目</w:t>
            </w:r>
            <w:r>
              <w:rPr>
                <w:rFonts w:hint="default" w:ascii="Times New Roman" w:hAnsi="Times New Roman" w:cs="Times New Roman"/>
                <w:color w:val="auto"/>
                <w:szCs w:val="21"/>
                <w:highlight w:val="none"/>
              </w:rPr>
              <w:t>采用比表面积大于1200m²/g、微孔结构均匀（10~20埃）的活性炭作为吸附介质——该参数符合《工业用颗粒活性炭》（GB/T7701.2-2008）中VOCs吸附专用活性炭的性能指标要求，大比表面积可提供充足的吸附位点，而10~20埃的微孔结构与本项目</w:t>
            </w:r>
            <w:r>
              <w:rPr>
                <w:rFonts w:hint="default" w:ascii="Times New Roman" w:hAnsi="Times New Roman" w:cs="Times New Roman"/>
                <w:color w:val="auto"/>
                <w:szCs w:val="21"/>
                <w:highlight w:val="none"/>
                <w:lang w:eastAsia="zh-CN"/>
              </w:rPr>
              <w:t>水性油墨</w:t>
            </w:r>
            <w:r>
              <w:rPr>
                <w:rFonts w:hint="default" w:ascii="Times New Roman" w:hAnsi="Times New Roman" w:cs="Times New Roman"/>
                <w:color w:val="auto"/>
                <w:szCs w:val="21"/>
                <w:highlight w:val="none"/>
              </w:rPr>
              <w:t>VOCs（弱极性醇类、酯类）的分子直径（约5~15埃）匹配度高，能够显著加快有机溶剂的吸附速度、提升吸附饱和容量。</w:t>
            </w:r>
          </w:p>
          <w:p>
            <w:pPr>
              <w:pageBreakBefore/>
              <w:widowControl/>
              <w:spacing w:line="360" w:lineRule="auto"/>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eastAsia="zh-CN"/>
              </w:rPr>
              <w:t>现有二级活性炭吸附装置应用于技改后新增数码印花工序的VOCs（以非甲烷总烃计）治理具备充分可行性</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lang w:eastAsia="zh-CN"/>
              </w:rPr>
              <w:t>新增VOCs源自</w:t>
            </w:r>
            <w:r>
              <w:rPr>
                <w:rFonts w:hint="default" w:ascii="Times New Roman" w:hAnsi="Times New Roman" w:cs="Times New Roman"/>
                <w:color w:val="auto"/>
                <w:highlight w:val="none"/>
                <w:lang w:eastAsia="zh-CN"/>
              </w:rPr>
              <w:t>水性油墨</w:t>
            </w:r>
            <w:r>
              <w:rPr>
                <w:rFonts w:hint="default" w:ascii="Times New Roman" w:hAnsi="Times New Roman" w:eastAsia="宋体" w:cs="Times New Roman"/>
                <w:color w:val="auto"/>
                <w:highlight w:val="none"/>
                <w:lang w:eastAsia="zh-CN"/>
              </w:rPr>
              <w:t>，核心成分为弱极性醇类、酯类，无高沸点、强腐蚀性物质，其性质与现有煤质颗粒活性炭的物理吸附特性高度适配，不会损伤活性炭的多孔结构，且活性炭的疏水性可有效应对废气中裹挟的少量水汽；现有DA002风机平均风量为2100m³/h，技改后新增印花工序净风量</w:t>
            </w:r>
            <w:r>
              <w:rPr>
                <w:rFonts w:hint="eastAsia" w:cs="Times New Roman"/>
                <w:color w:val="auto"/>
                <w:highlight w:val="none"/>
                <w:lang w:val="en-US" w:eastAsia="zh-CN"/>
              </w:rPr>
              <w:t>90</w:t>
            </w:r>
            <w:r>
              <w:rPr>
                <w:rFonts w:hint="default" w:ascii="Times New Roman" w:hAnsi="Times New Roman" w:eastAsia="宋体" w:cs="Times New Roman"/>
                <w:color w:val="auto"/>
                <w:highlight w:val="none"/>
                <w:lang w:eastAsia="zh-CN"/>
              </w:rPr>
              <w:t>00m³/h，总风量达</w:t>
            </w:r>
            <w:r>
              <w:rPr>
                <w:rFonts w:hint="eastAsia" w:cs="Times New Roman"/>
                <w:color w:val="auto"/>
                <w:highlight w:val="none"/>
                <w:lang w:eastAsia="zh-CN"/>
              </w:rPr>
              <w:t>11100</w:t>
            </w:r>
            <w:r>
              <w:rPr>
                <w:rFonts w:hint="default" w:ascii="Times New Roman" w:hAnsi="Times New Roman" w:eastAsia="宋体" w:cs="Times New Roman"/>
                <w:color w:val="auto"/>
                <w:highlight w:val="none"/>
                <w:lang w:eastAsia="zh-CN"/>
              </w:rPr>
              <w:t>m³/h，</w:t>
            </w:r>
            <w:r>
              <w:rPr>
                <w:rFonts w:hint="default" w:ascii="Times New Roman" w:hAnsi="Times New Roman" w:cs="Times New Roman"/>
                <w:color w:val="auto"/>
                <w:highlight w:val="none"/>
                <w:lang w:val="en-US" w:eastAsia="zh-CN"/>
              </w:rPr>
              <w:t>风速</w:t>
            </w:r>
            <w:r>
              <w:rPr>
                <w:rFonts w:hint="default" w:ascii="Times New Roman" w:hAnsi="Times New Roman" w:eastAsia="宋体" w:cs="Times New Roman"/>
                <w:color w:val="auto"/>
                <w:highlight w:val="none"/>
                <w:lang w:eastAsia="zh-CN"/>
              </w:rPr>
              <w:t>0.57m/s处于0.2-0.5m/s合理运行区间的上限，属安全稳定范围，且现有风机2200Pa的全压可覆盖系统1950Pa的总阻力需求，无需对风机进行扩容改造；印花废气经收集后温度稳定在38-42℃，匹配煤质颗粒活性炭25-45℃的适宜进气温度，40℃工况下物理吸附容量约0.15g/g且保持稳定，而工序连续生产过程中VOCs浓度波动幅度仅±15%，不会影响吸附稳定性；二级吸附工艺针对低浓度VOCs的设计处理效率可达</w:t>
            </w:r>
            <w:r>
              <w:rPr>
                <w:rFonts w:hint="eastAsia" w:cs="Times New Roman"/>
                <w:color w:val="auto"/>
                <w:highlight w:val="none"/>
                <w:lang w:val="en-US" w:eastAsia="zh-CN"/>
              </w:rPr>
              <w:t>8</w:t>
            </w:r>
            <w:r>
              <w:rPr>
                <w:rFonts w:hint="default" w:ascii="Times New Roman" w:hAnsi="Times New Roman" w:eastAsia="宋体" w:cs="Times New Roman"/>
                <w:color w:val="auto"/>
                <w:highlight w:val="none"/>
                <w:lang w:eastAsia="zh-CN"/>
              </w:rPr>
              <w:t>0%，可满足山东省《挥发性有机物排放标准第7部分：其他行业》（DB37/2801.7-2019）的排放限值，即便吸附效率出现阶段性下降，也可通过缩短活性炭更换周期快速恢复，操作灵活且无需额外设备改造。</w:t>
            </w:r>
            <w:r>
              <w:rPr>
                <w:rFonts w:hint="eastAsia" w:cs="Times New Roman"/>
                <w:color w:val="auto"/>
                <w:highlight w:val="none"/>
                <w:lang w:val="en-US" w:eastAsia="zh-CN"/>
              </w:rPr>
              <w:t>项目现有二级活性炭吸附装置可以满足技改后废气治理的需要。</w:t>
            </w:r>
          </w:p>
          <w:p>
            <w:pPr>
              <w:adjustRightInd w:val="0"/>
              <w:snapToGrid w:val="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表4-7 现有二级活性炭吸附装置主要工艺参数</w:t>
            </w:r>
          </w:p>
          <w:tbl>
            <w:tblPr>
              <w:tblStyle w:val="3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0"/>
              <w:gridCol w:w="2172"/>
              <w:gridCol w:w="7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202" w:type="pct"/>
                  <w:gridSpan w:val="2"/>
                  <w:noWrap w:val="0"/>
                  <w:vAlign w:val="center"/>
                </w:tcPr>
                <w:p>
                  <w:pPr>
                    <w:tabs>
                      <w:tab w:val="left" w:pos="1128"/>
                    </w:tabs>
                    <w:snapToGrid w:val="0"/>
                    <w:jc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操作参数</w:t>
                  </w:r>
                </w:p>
              </w:tc>
              <w:tc>
                <w:tcPr>
                  <w:tcW w:w="2797" w:type="pct"/>
                  <w:noWrap w:val="0"/>
                  <w:vAlign w:val="center"/>
                </w:tcPr>
                <w:p>
                  <w:pPr>
                    <w:tabs>
                      <w:tab w:val="left" w:pos="1128"/>
                    </w:tabs>
                    <w:snapToGrid w:val="0"/>
                    <w:jc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工艺条件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9" w:type="pct"/>
                  <w:vMerge w:val="restar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en-US" w:eastAsia="zh-CN"/>
                    </w:rPr>
                    <w:t>二级</w:t>
                  </w:r>
                  <w:r>
                    <w:rPr>
                      <w:rFonts w:hint="default" w:ascii="Times New Roman" w:hAnsi="Times New Roman" w:eastAsia="宋体" w:cs="Times New Roman"/>
                      <w:b w:val="0"/>
                      <w:bCs w:val="0"/>
                      <w:color w:val="auto"/>
                      <w:sz w:val="18"/>
                      <w:szCs w:val="18"/>
                      <w:highlight w:val="none"/>
                    </w:rPr>
                    <w:t>活性炭吸附装置</w:t>
                  </w:r>
                </w:p>
              </w:tc>
              <w:tc>
                <w:tcPr>
                  <w:tcW w:w="822"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架构</w:t>
                  </w:r>
                </w:p>
              </w:tc>
              <w:tc>
                <w:tcPr>
                  <w:tcW w:w="2797"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en-US" w:eastAsia="zh-CN"/>
                    </w:rPr>
                    <w:t>煤质颗粒活性炭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9" w:type="pct"/>
                  <w:vMerge w:val="continue"/>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p>
              </w:tc>
              <w:tc>
                <w:tcPr>
                  <w:tcW w:w="822"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控  制</w:t>
                  </w:r>
                </w:p>
              </w:tc>
              <w:tc>
                <w:tcPr>
                  <w:tcW w:w="2797"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串联设置、依次吸附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9" w:type="pct"/>
                  <w:vMerge w:val="continue"/>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p>
              </w:tc>
              <w:tc>
                <w:tcPr>
                  <w:tcW w:w="822"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吸附速度</w:t>
                  </w:r>
                </w:p>
              </w:tc>
              <w:tc>
                <w:tcPr>
                  <w:tcW w:w="2797"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≤1.0m/s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9" w:type="pct"/>
                  <w:vMerge w:val="continue"/>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p>
              </w:tc>
              <w:tc>
                <w:tcPr>
                  <w:tcW w:w="822"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吸附性能指标</w:t>
                  </w:r>
                </w:p>
              </w:tc>
              <w:tc>
                <w:tcPr>
                  <w:tcW w:w="2797" w:type="pct"/>
                  <w:noWrap w:val="0"/>
                  <w:vAlign w:val="center"/>
                </w:tcPr>
                <w:p>
                  <w:pPr>
                    <w:tabs>
                      <w:tab w:val="left" w:pos="1128"/>
                    </w:tabs>
                    <w:snapToGrid w:val="0"/>
                    <w:jc w:val="lef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国家标准《煤质颗粒活性炭》（GB/T 7701-2023）规定：VOCs 吸附专用炭的VOCs吸附量≥35%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9" w:type="pct"/>
                  <w:vMerge w:val="continue"/>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rPr>
                  </w:pPr>
                </w:p>
              </w:tc>
              <w:tc>
                <w:tcPr>
                  <w:tcW w:w="822"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一次装填量</w:t>
                  </w:r>
                </w:p>
              </w:tc>
              <w:tc>
                <w:tcPr>
                  <w:tcW w:w="2797" w:type="pct"/>
                  <w:noWrap w:val="0"/>
                  <w:vAlign w:val="center"/>
                </w:tcPr>
                <w:p>
                  <w:pPr>
                    <w:tabs>
                      <w:tab w:val="left" w:pos="1128"/>
                    </w:tabs>
                    <w:snapToGrid w:val="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2</w:t>
                  </w:r>
                  <w:r>
                    <w:rPr>
                      <w:rFonts w:hint="default" w:ascii="Times New Roman" w:hAnsi="Times New Roman" w:eastAsia="宋体" w:cs="Times New Roman"/>
                      <w:b w:val="0"/>
                      <w:bCs w:val="0"/>
                      <w:color w:val="auto"/>
                      <w:sz w:val="18"/>
                      <w:szCs w:val="18"/>
                      <w:highlight w:val="none"/>
                      <w:lang w:val="en-US" w:eastAsia="zh-CN"/>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3"/>
                  <w:noWrap w:val="0"/>
                  <w:vAlign w:val="center"/>
                </w:tcPr>
                <w:p>
                  <w:pPr>
                    <w:tabs>
                      <w:tab w:val="left" w:pos="1128"/>
                    </w:tabs>
                    <w:snapToGrid w:val="0"/>
                    <w:jc w:val="both"/>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本项目选择</w:t>
                  </w:r>
                  <w:r>
                    <w:rPr>
                      <w:rFonts w:hint="default" w:ascii="Times New Roman" w:hAnsi="Times New Roman" w:eastAsia="宋体" w:cs="Times New Roman"/>
                      <w:b w:val="0"/>
                      <w:bCs w:val="0"/>
                      <w:color w:val="auto"/>
                      <w:sz w:val="18"/>
                      <w:szCs w:val="18"/>
                      <w:highlight w:val="none"/>
                    </w:rPr>
                    <w:t>碘值800毫克/克</w:t>
                  </w:r>
                  <w:r>
                    <w:rPr>
                      <w:rFonts w:hint="default" w:ascii="Times New Roman" w:hAnsi="Times New Roman" w:eastAsia="宋体" w:cs="Times New Roman"/>
                      <w:b w:val="0"/>
                      <w:bCs w:val="0"/>
                      <w:color w:val="auto"/>
                      <w:sz w:val="18"/>
                      <w:szCs w:val="18"/>
                      <w:highlight w:val="none"/>
                      <w:lang w:val="en-US" w:eastAsia="zh-CN"/>
                    </w:rPr>
                    <w:t>的</w:t>
                  </w:r>
                  <w:r>
                    <w:rPr>
                      <w:rFonts w:hint="default" w:ascii="Times New Roman" w:hAnsi="Times New Roman" w:eastAsia="宋体" w:cs="Times New Roman"/>
                      <w:b w:val="0"/>
                      <w:bCs w:val="0"/>
                      <w:color w:val="auto"/>
                      <w:sz w:val="18"/>
                      <w:szCs w:val="18"/>
                      <w:highlight w:val="none"/>
                    </w:rPr>
                    <w:t>颗粒状活性炭，并按照设计要求足量添加、及时更换</w:t>
                  </w:r>
                </w:p>
              </w:tc>
            </w:tr>
          </w:tbl>
          <w:p>
            <w:pPr>
              <w:pageBreakBefore/>
              <w:widowControl/>
              <w:spacing w:line="360" w:lineRule="auto"/>
              <w:ind w:firstLine="420" w:firstLineChars="20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静电除尘器的工作原理是利用高压电场使烟气发生电离，气流中的粉尘荷电在电场作用下与气流分离。负极由不同断面形状的金属导线制成，叫放电电极。荷电粉尘的捕集过程：在两个曲率半径相差较大的金属阳极和阴极上，通过高压直流电，维持一个足以使气体电离的电场，气体电离后所产生的电子：阴离子和阳离子，吸附在通过电场的粉尘上，使粉尘获得电荷。荷电极性不同的粉尘在电场力的作用下，分别向不同极性的电极运动，沉积在电极上，而达到粉尘和气体分离的目的。</w:t>
            </w:r>
          </w:p>
          <w:p>
            <w:pPr>
              <w:pageBreakBefore/>
              <w:widowControl/>
              <w:spacing w:line="360" w:lineRule="auto"/>
              <w:rPr>
                <w:rFonts w:hint="default" w:ascii="Times New Roman" w:hAnsi="Times New Roman" w:cs="Times New Roman"/>
                <w:color w:val="auto"/>
                <w:szCs w:val="21"/>
                <w:highlight w:val="none"/>
              </w:rPr>
            </w:pPr>
            <w:r>
              <w:rPr>
                <w:rFonts w:hint="default" w:ascii="Times New Roman" w:hAnsi="Times New Roman" w:cs="Times New Roman"/>
                <w:b/>
                <w:bCs/>
                <w:color w:val="auto"/>
                <w:spacing w:val="-10"/>
                <w:szCs w:val="21"/>
                <w:highlight w:val="none"/>
              </w:rPr>
              <w:t>1.4废气达标及环境影响分析</w:t>
            </w:r>
          </w:p>
          <w:p>
            <w:pPr>
              <w:pageBreakBefore/>
              <w:widowControl/>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（1）废气达标分析</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highlight w:val="none"/>
                <w:lang w:val="en-US" w:eastAsia="zh-CN"/>
              </w:rPr>
            </w:pPr>
            <w:bookmarkStart w:id="40" w:name="OLE_LINK12"/>
            <w:r>
              <w:rPr>
                <w:rFonts w:hint="default" w:ascii="Times New Roman" w:hAnsi="Times New Roman" w:cs="Times New Roman"/>
                <w:color w:val="auto"/>
                <w:highlight w:val="none"/>
                <w:lang w:val="en-US" w:eastAsia="zh-CN"/>
              </w:rPr>
              <w:t>技改项目新增数码印花工序，技改后全厂烧毛、定型、印花产生的VOCs、二氧化硫、氮氧化物、颗粒物经负压及管道收集后依托现有静电除尘器+二级活性炭吸附装置处理后经15m高排气筒DA002排放。技改后天然气燃烧</w:t>
            </w:r>
            <w:r>
              <w:rPr>
                <w:rFonts w:hint="default" w:ascii="Times New Roman" w:hAnsi="Times New Roman" w:cs="Times New Roman"/>
                <w:color w:val="auto"/>
                <w:highlight w:val="none"/>
              </w:rPr>
              <w:t>有组织颗粒物</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二氧化硫、氮氧化物排放浓度满足</w:t>
            </w:r>
            <w:r>
              <w:rPr>
                <w:rFonts w:hint="default" w:ascii="Times New Roman" w:hAnsi="Times New Roman" w:cs="Times New Roman"/>
                <w:color w:val="auto"/>
                <w:highlight w:val="none"/>
              </w:rPr>
              <w:t>《区域性大气污染物综合排放标准》（DB37/2376-2019）表1重点控制区排放限值要求</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颗粒物：10mg/m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；二氧化硫：50mg/m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；氮氧化物：100mg/m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技改后烧毛、定型、印花产生的</w:t>
            </w:r>
            <w:r>
              <w:rPr>
                <w:rFonts w:hint="default" w:ascii="Times New Roman" w:hAnsi="Times New Roman" w:cs="Times New Roman"/>
                <w:color w:val="auto"/>
                <w:highlight w:val="none"/>
              </w:rPr>
              <w:t>有组织VOCs</w:t>
            </w:r>
            <w:r>
              <w:rPr>
                <w:rFonts w:hint="default" w:ascii="Times New Roman" w:hAnsi="Times New Roman" w:cs="Times New Roman"/>
                <w:color w:val="auto"/>
                <w:szCs w:val="21"/>
                <w:highlight w:val="none"/>
                <w:lang w:val="en-US" w:eastAsia="zh-CN"/>
              </w:rPr>
              <w:t>（以非甲烷总烃计）</w:t>
            </w:r>
            <w:r>
              <w:rPr>
                <w:rFonts w:hint="default" w:ascii="Times New Roman" w:hAnsi="Times New Roman" w:cs="Times New Roman"/>
                <w:color w:val="auto"/>
                <w:highlight w:val="none"/>
                <w:lang w:eastAsia="zh-CN"/>
              </w:rPr>
              <w:t>排放</w:t>
            </w:r>
            <w:r>
              <w:rPr>
                <w:rFonts w:hint="default" w:ascii="Times New Roman" w:hAnsi="Times New Roman" w:cs="Times New Roman"/>
                <w:color w:val="auto"/>
                <w:highlight w:val="none"/>
                <w:lang w:val="en-US" w:eastAsia="zh-CN"/>
              </w:rPr>
              <w:t>浓度满足</w:t>
            </w:r>
            <w:r>
              <w:rPr>
                <w:rFonts w:hint="default" w:ascii="Times New Roman" w:hAnsi="Times New Roman" w:cs="Times New Roman"/>
                <w:color w:val="auto"/>
                <w:szCs w:val="21"/>
                <w:highlight w:val="none"/>
              </w:rPr>
              <w:t>《挥发性有机物排放标准 第</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部分：</w:t>
            </w:r>
            <w:r>
              <w:rPr>
                <w:rFonts w:hint="default" w:ascii="Times New Roman" w:hAnsi="Times New Roman" w:cs="Times New Roman"/>
                <w:color w:val="auto"/>
                <w:szCs w:val="21"/>
                <w:highlight w:val="none"/>
                <w:lang w:eastAsia="zh-CN"/>
              </w:rPr>
              <w:t>其他</w:t>
            </w:r>
            <w:r>
              <w:rPr>
                <w:rFonts w:hint="default" w:ascii="Times New Roman" w:hAnsi="Times New Roman" w:cs="Times New Roman"/>
                <w:color w:val="auto"/>
                <w:szCs w:val="21"/>
                <w:highlight w:val="none"/>
              </w:rPr>
              <w:t>行业》（DB37/2801.</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-201</w:t>
            </w:r>
            <w:r>
              <w:rPr>
                <w:rFonts w:hint="default" w:ascii="Times New Roman" w:hAnsi="Times New Roman" w:cs="Times New Roman"/>
                <w:color w:val="auto"/>
                <w:szCs w:val="21"/>
                <w:highlight w:val="none"/>
                <w:lang w:val="en-US" w:eastAsia="zh-CN"/>
              </w:rPr>
              <w:t>9</w:t>
            </w:r>
            <w:r>
              <w:rPr>
                <w:rFonts w:hint="default" w:ascii="Times New Roman" w:hAnsi="Times New Roman" w:cs="Times New Roman"/>
                <w:color w:val="auto"/>
                <w:szCs w:val="21"/>
                <w:highlight w:val="none"/>
              </w:rPr>
              <w:t>）表</w:t>
            </w:r>
            <w:r>
              <w:rPr>
                <w:rFonts w:hint="default" w:ascii="Times New Roman" w:hAnsi="Times New Roman" w:cs="Times New Roman"/>
                <w:color w:val="auto"/>
                <w:szCs w:val="21"/>
                <w:highlight w:val="none"/>
                <w:lang w:val="en-US" w:eastAsia="zh-CN"/>
              </w:rPr>
              <w:t>1 其他行业企业或生产设施VOCs（以非甲烷总烃计）排放限值中纺织业排放限值</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VOCs</w:t>
            </w:r>
            <w:r>
              <w:rPr>
                <w:rFonts w:hint="default" w:ascii="Times New Roman" w:hAnsi="Times New Roman" w:cs="Times New Roman"/>
                <w:bCs/>
                <w:color w:val="auto"/>
                <w:highlight w:val="none"/>
                <w:lang w:eastAsia="zh-CN"/>
              </w:rPr>
              <w:t>：</w:t>
            </w:r>
            <w:r>
              <w:rPr>
                <w:rFonts w:hint="default" w:ascii="Times New Roman" w:hAnsi="Times New Roman" w:cs="Times New Roman"/>
                <w:bCs/>
                <w:color w:val="auto"/>
                <w:highlight w:val="none"/>
                <w:lang w:val="en-US" w:eastAsia="zh-CN"/>
              </w:rPr>
              <w:t>40</w:t>
            </w:r>
            <w:r>
              <w:rPr>
                <w:rFonts w:hint="default" w:ascii="Times New Roman" w:hAnsi="Times New Roman" w:cs="Times New Roman"/>
                <w:bCs/>
                <w:color w:val="auto"/>
                <w:highlight w:val="none"/>
              </w:rPr>
              <w:t>mg/m</w:t>
            </w:r>
            <w:r>
              <w:rPr>
                <w:rFonts w:hint="default" w:ascii="Times New Roman" w:hAnsi="Times New Roman" w:cs="Times New Roman"/>
                <w:bCs/>
                <w:color w:val="auto"/>
                <w:highlight w:val="none"/>
                <w:vertAlign w:val="superscript"/>
              </w:rPr>
              <w:t>3</w:t>
            </w:r>
            <w:r>
              <w:rPr>
                <w:rFonts w:hint="default" w:ascii="Times New Roman" w:hAnsi="Times New Roman" w:cs="Times New Roman"/>
                <w:bCs/>
                <w:color w:val="auto"/>
                <w:highlight w:val="none"/>
                <w:vertAlign w:val="baseline"/>
                <w:lang w:val="en-US" w:eastAsia="zh-CN"/>
              </w:rPr>
              <w:t>、3kg/h）</w:t>
            </w:r>
            <w:r>
              <w:rPr>
                <w:rFonts w:hint="default" w:ascii="Times New Roman" w:hAnsi="Times New Roman" w:cs="Times New Roman"/>
                <w:color w:val="auto"/>
                <w:highlight w:val="none"/>
                <w:lang w:val="en-US" w:eastAsia="zh-CN"/>
              </w:rPr>
              <w:t>。未收集VOCs排放浓度满足《挥发性有机物排放标准 第7部分：其他行业》（DB37/2801.6-2018）表2厂界监控点浓度限值（VOCs：2.0mg/m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）、《挥发性有机物无组织排放控制标准》（GB37822-2019）表A.1厂区内VOCs无组织排放限值要求（VOCs：监控点处1h平均浓度限值6.0mg/m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，任意一次浓度值20mg/m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w:t>
            </w:r>
          </w:p>
          <w:bookmarkEnd w:id="40"/>
          <w:p>
            <w:pPr>
              <w:pageBreakBefore/>
              <w:widowControl/>
              <w:spacing w:line="360" w:lineRule="auto"/>
              <w:ind w:firstLine="420" w:firstLineChars="200"/>
              <w:rPr>
                <w:rFonts w:hint="default" w:ascii="Times New Roman" w:hAnsi="Times New Roman" w:eastAsia="宋体" w:cs="Times New Roman"/>
                <w:color w:val="auto"/>
                <w:kern w:val="24"/>
                <w:szCs w:val="21"/>
                <w:highlight w:val="none"/>
                <w:lang w:val="en-US" w:eastAsia="zh-CN"/>
              </w:rPr>
            </w:pPr>
            <w:r>
              <w:rPr>
                <w:rFonts w:hint="default" w:ascii="Times New Roman" w:hAnsi="Times New Roman" w:eastAsia="宋体" w:cs="Times New Roman"/>
                <w:color w:val="auto"/>
                <w:kern w:val="24"/>
                <w:szCs w:val="21"/>
                <w:highlight w:val="none"/>
                <w:lang w:eastAsia="zh-CN"/>
              </w:rPr>
              <w:t>（</w:t>
            </w:r>
            <w:r>
              <w:rPr>
                <w:rFonts w:hint="default" w:ascii="Times New Roman" w:hAnsi="Times New Roman" w:eastAsia="宋体" w:cs="Times New Roman"/>
                <w:color w:val="auto"/>
                <w:kern w:val="24"/>
                <w:szCs w:val="21"/>
                <w:highlight w:val="none"/>
                <w:lang w:val="en-US" w:eastAsia="zh-CN"/>
              </w:rPr>
              <w:t>2</w:t>
            </w:r>
            <w:r>
              <w:rPr>
                <w:rFonts w:hint="default" w:ascii="Times New Roman" w:hAnsi="Times New Roman" w:eastAsia="宋体" w:cs="Times New Roman"/>
                <w:color w:val="auto"/>
                <w:kern w:val="24"/>
                <w:szCs w:val="21"/>
                <w:highlight w:val="none"/>
                <w:lang w:eastAsia="zh-CN"/>
              </w:rPr>
              <w:t>）</w:t>
            </w:r>
            <w:r>
              <w:rPr>
                <w:rFonts w:hint="default" w:ascii="Times New Roman" w:hAnsi="Times New Roman" w:eastAsia="宋体" w:cs="Times New Roman"/>
                <w:color w:val="auto"/>
                <w:kern w:val="24"/>
                <w:szCs w:val="21"/>
                <w:highlight w:val="none"/>
                <w:lang w:val="en-US" w:eastAsia="zh-CN"/>
              </w:rPr>
              <w:t>环境影响分析</w:t>
            </w:r>
          </w:p>
          <w:p>
            <w:pPr>
              <w:pageBreakBefore/>
              <w:widowControl/>
              <w:spacing w:line="360" w:lineRule="auto"/>
              <w:ind w:firstLine="420" w:firstLineChars="200"/>
              <w:rPr>
                <w:rFonts w:hint="default" w:ascii="Times New Roman" w:hAnsi="Times New Roman" w:cs="Times New Roman"/>
                <w:color w:val="auto"/>
                <w:kern w:val="24"/>
                <w:szCs w:val="21"/>
                <w:highlight w:val="none"/>
              </w:rPr>
            </w:pPr>
            <w:r>
              <w:rPr>
                <w:rFonts w:hint="default" w:ascii="Times New Roman" w:hAnsi="Times New Roman" w:eastAsia="宋体" w:cs="Times New Roman"/>
                <w:color w:val="auto"/>
                <w:kern w:val="24"/>
                <w:szCs w:val="21"/>
                <w:highlight w:val="none"/>
              </w:rPr>
              <w:t>项目所在区域为不达标区，根据《山东省深入打好重污染天气消除臭氧污染防治、柴油货车污染治理攻坚</w:t>
            </w:r>
            <w:r>
              <w:rPr>
                <w:rFonts w:hint="default" w:ascii="Times New Roman" w:hAnsi="Times New Roman" w:cs="Times New Roman"/>
                <w:color w:val="auto"/>
                <w:kern w:val="24"/>
                <w:szCs w:val="21"/>
                <w:highlight w:val="none"/>
              </w:rPr>
              <w:t>战行动方案》及地市相关要求，统筹部署大气污染防治重点任务，有序推进各项精准减排措施落实落地，可使区域大气环境得到进一步改善。</w:t>
            </w:r>
          </w:p>
          <w:p>
            <w:pPr>
              <w:pageBreakBefore/>
              <w:widowControl/>
              <w:spacing w:line="360" w:lineRule="auto"/>
              <w:ind w:firstLine="420" w:firstLineChars="200"/>
              <w:rPr>
                <w:rFonts w:hint="default" w:ascii="Times New Roman" w:hAnsi="Times New Roman" w:cs="Times New Roman"/>
                <w:color w:val="auto"/>
                <w:kern w:val="24"/>
                <w:szCs w:val="21"/>
                <w:highlight w:val="none"/>
              </w:rPr>
            </w:pPr>
            <w:r>
              <w:rPr>
                <w:rFonts w:hint="default" w:ascii="Times New Roman" w:hAnsi="Times New Roman" w:cs="Times New Roman"/>
                <w:color w:val="auto"/>
                <w:kern w:val="24"/>
                <w:szCs w:val="21"/>
                <w:highlight w:val="none"/>
              </w:rPr>
              <w:t>项目所在区域内无自然保护区、保护文物、风景名胜区及生态保护红线等特殊环境敏感目标，区域环境功能符合相关规划要求。距离项目最近的敏感目标为厂界东侧5m的文昌湖区萌水镇水磨村，项目废气主要为数码印花工序产生的VOCs（以非甲烷总烃计，核心成分为弱极性醇类、酯类）及少量颗粒物，不含二噁英、苯并[a]芘、氰化物、氯气等有毒有害污染物；针对废气采取“设备间密闭+高逸散点位负压集气+二级活性炭吸附+静电除尘”的组合处理工艺，废气经处理后通过排气筒有组织排放，排放浓度满足《挥发性有机物排放标准第7部分：其他行业》（DB37/2801.7-2019）、《大气污染物综合排放标准》（GB16297-1996）及《挥发性有机物无组织排放控制标准》（GB37822-2019）相关限值要求。同时，通过优化集气系统布局、加强设备运维等措施，有效控制无组织废气逸散，厂界无组织污染物浓度可稳定达标。综上，项目废气治理措施成熟可靠，污染物排放强度低，对水磨村居民区的大气环境影响较小，不会改变区域现有环境质量等级。</w:t>
            </w:r>
          </w:p>
          <w:p>
            <w:pPr>
              <w:snapToGrid w:val="0"/>
              <w:spacing w:line="360" w:lineRule="auto"/>
              <w:rPr>
                <w:rFonts w:hint="default" w:ascii="Times New Roman" w:hAnsi="Times New Roman" w:cs="Times New Roman"/>
                <w:b/>
                <w:bCs/>
                <w:color w:val="auto"/>
                <w:spacing w:val="-10"/>
                <w:szCs w:val="21"/>
                <w:highlight w:val="none"/>
              </w:rPr>
            </w:pPr>
            <w:r>
              <w:rPr>
                <w:rFonts w:hint="default" w:ascii="Times New Roman" w:hAnsi="Times New Roman" w:cs="Times New Roman"/>
                <w:b/>
                <w:bCs/>
                <w:color w:val="auto"/>
                <w:spacing w:val="-10"/>
                <w:szCs w:val="21"/>
                <w:highlight w:val="none"/>
              </w:rPr>
              <w:t>1.5废气污染物检测计划</w:t>
            </w:r>
          </w:p>
          <w:p>
            <w:pPr>
              <w:pageBreakBefore/>
              <w:widowControl/>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根据《排污单位自行监测技术指南 总则》（HJ 819-2017）及排污许可管理相关要求，结合本项目废气污染物的排放特征与规模：本项目废气排放量较小，且不属于国家或地方规定的重点排污单位范畴；同时项目废气涉及的颗粒物、二氧化硫、氮氧化物、VOCs（以非甲烷总烃计）等污染物，未达到《固定污染源自动监控设备安装联网技术规范》及行业自行监测指南中强制要求安装在线监测设备的污染物类别、排放规模阈值，因此本项目废气监测无需设置在线监测设备，按照表 4-7 的要求委托有相应资质的监测单位开展定期手工监测，即可满足排污单位自行监测及环境管理的相关技术规范要求。</w:t>
            </w:r>
          </w:p>
          <w:p>
            <w:pPr>
              <w:pageBreakBefore/>
              <w:widowControl/>
              <w:spacing w:line="360" w:lineRule="auto"/>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本项目废气排放检测计划如下表</w:t>
            </w:r>
          </w:p>
          <w:p>
            <w:pPr>
              <w:autoSpaceDE w:val="0"/>
              <w:autoSpaceDN w:val="0"/>
              <w:adjustRightInd w:val="0"/>
              <w:jc w:val="center"/>
              <w:rPr>
                <w:rFonts w:hint="default" w:ascii="Times New Roman" w:hAnsi="Times New Roman" w:cs="Times New Roman"/>
                <w:b/>
                <w:snapToGrid w:val="0"/>
                <w:color w:val="auto"/>
                <w:kern w:val="0"/>
                <w:szCs w:val="21"/>
                <w:highlight w:val="none"/>
              </w:rPr>
            </w:pPr>
            <w:bookmarkStart w:id="41" w:name="OLE_LINK14"/>
            <w:r>
              <w:rPr>
                <w:rFonts w:hint="default" w:ascii="Times New Roman" w:hAnsi="Times New Roman" w:cs="Times New Roman"/>
                <w:b/>
                <w:snapToGrid w:val="0"/>
                <w:color w:val="auto"/>
                <w:kern w:val="0"/>
                <w:szCs w:val="21"/>
                <w:highlight w:val="none"/>
              </w:rPr>
              <w:t>表4-</w:t>
            </w:r>
            <w:r>
              <w:rPr>
                <w:rFonts w:hint="default" w:ascii="Times New Roman" w:hAnsi="Times New Roman" w:cs="Times New Roman"/>
                <w:b/>
                <w:snapToGrid w:val="0"/>
                <w:color w:val="auto"/>
                <w:kern w:val="0"/>
                <w:szCs w:val="21"/>
                <w:highlight w:val="none"/>
                <w:lang w:val="en-US" w:eastAsia="zh-CN"/>
              </w:rPr>
              <w:t xml:space="preserve">7 </w:t>
            </w:r>
            <w:r>
              <w:rPr>
                <w:rFonts w:hint="default" w:ascii="Times New Roman" w:hAnsi="Times New Roman" w:cs="Times New Roman"/>
                <w:b/>
                <w:snapToGrid w:val="0"/>
                <w:color w:val="auto"/>
                <w:kern w:val="0"/>
                <w:szCs w:val="21"/>
                <w:highlight w:val="none"/>
              </w:rPr>
              <w:t>营运期大气检测计划一览表</w:t>
            </w:r>
          </w:p>
          <w:bookmarkEnd w:id="41"/>
          <w:tbl>
            <w:tblPr>
              <w:tblStyle w:val="118"/>
              <w:tblW w:w="4995"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618"/>
              <w:gridCol w:w="2972"/>
              <w:gridCol w:w="3214"/>
              <w:gridCol w:w="2161"/>
              <w:gridCol w:w="320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4"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环境要素</w:t>
                  </w:r>
                </w:p>
              </w:tc>
              <w:tc>
                <w:tcPr>
                  <w:tcW w:w="1128"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监测位置</w:t>
                  </w:r>
                </w:p>
              </w:tc>
              <w:tc>
                <w:tcPr>
                  <w:tcW w:w="1220"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监测项目</w:t>
                  </w:r>
                </w:p>
              </w:tc>
              <w:tc>
                <w:tcPr>
                  <w:tcW w:w="820"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监测频次</w:t>
                  </w:r>
                </w:p>
              </w:tc>
              <w:tc>
                <w:tcPr>
                  <w:tcW w:w="1216"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4"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生产过程</w:t>
                  </w:r>
                </w:p>
              </w:tc>
              <w:tc>
                <w:tcPr>
                  <w:tcW w:w="1128"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排气筒DA002</w:t>
                  </w:r>
                </w:p>
              </w:tc>
              <w:tc>
                <w:tcPr>
                  <w:tcW w:w="12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颗粒物、二氧化硫、氮氧化物</w:t>
                  </w:r>
                </w:p>
              </w:tc>
              <w:tc>
                <w:tcPr>
                  <w:tcW w:w="8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w:t>
                  </w:r>
                  <w:r>
                    <w:rPr>
                      <w:rFonts w:hint="default" w:ascii="Times New Roman" w:hAnsi="Times New Roman" w:eastAsia="宋体" w:cs="Times New Roman"/>
                      <w:color w:val="auto"/>
                      <w:sz w:val="21"/>
                      <w:szCs w:val="21"/>
                      <w:highlight w:val="none"/>
                      <w:lang w:val="en-US" w:eastAsia="zh-CN"/>
                    </w:rPr>
                    <w:t>半</w:t>
                  </w:r>
                  <w:r>
                    <w:rPr>
                      <w:rFonts w:hint="default" w:ascii="Times New Roman" w:hAnsi="Times New Roman" w:eastAsia="宋体" w:cs="Times New Roman"/>
                      <w:color w:val="auto"/>
                      <w:sz w:val="21"/>
                      <w:szCs w:val="21"/>
                      <w:highlight w:val="none"/>
                    </w:rPr>
                    <w:t>年</w:t>
                  </w:r>
                </w:p>
              </w:tc>
              <w:tc>
                <w:tcPr>
                  <w:tcW w:w="121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委托有相应资质的监测单位监测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4"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p>
              </w:tc>
              <w:tc>
                <w:tcPr>
                  <w:tcW w:w="1128"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VOCs（以非甲烷总烃计）</w:t>
                  </w:r>
                </w:p>
              </w:tc>
              <w:tc>
                <w:tcPr>
                  <w:tcW w:w="8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1次/季</w:t>
                  </w:r>
                </w:p>
              </w:tc>
              <w:tc>
                <w:tcPr>
                  <w:tcW w:w="1216"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委托有相应资质的监测单位监测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4"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128"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w:t>
                  </w:r>
                </w:p>
              </w:tc>
              <w:tc>
                <w:tcPr>
                  <w:tcW w:w="12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VOCs（以非甲烷总烃计）</w:t>
                  </w:r>
                </w:p>
              </w:tc>
              <w:tc>
                <w:tcPr>
                  <w:tcW w:w="8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1次/年</w:t>
                  </w:r>
                </w:p>
              </w:tc>
              <w:tc>
                <w:tcPr>
                  <w:tcW w:w="121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委托有相应资质的监测单位监测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4"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128"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厂区内</w:t>
                  </w:r>
                </w:p>
              </w:tc>
              <w:tc>
                <w:tcPr>
                  <w:tcW w:w="1220"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VOCs（以非甲烷总烃计）</w:t>
                  </w:r>
                </w:p>
              </w:tc>
              <w:tc>
                <w:tcPr>
                  <w:tcW w:w="8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1次/年</w:t>
                  </w:r>
                </w:p>
              </w:tc>
              <w:tc>
                <w:tcPr>
                  <w:tcW w:w="1216"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委托有相应资质的监测单位监测</w:t>
                  </w:r>
                </w:p>
              </w:tc>
            </w:tr>
          </w:tbl>
          <w:p>
            <w:pPr>
              <w:pageBreakBefore/>
              <w:widowControl/>
              <w:spacing w:line="360" w:lineRule="auto"/>
              <w:rPr>
                <w:rFonts w:hint="default" w:ascii="Times New Roman" w:hAnsi="Times New Roman" w:cs="Times New Roman"/>
                <w:b/>
                <w:bCs/>
                <w:color w:val="auto"/>
                <w:spacing w:val="-10"/>
                <w:szCs w:val="21"/>
                <w:highlight w:val="none"/>
              </w:rPr>
            </w:pPr>
            <w:r>
              <w:rPr>
                <w:rFonts w:hint="default" w:ascii="Times New Roman" w:hAnsi="Times New Roman" w:cs="Times New Roman"/>
                <w:b/>
                <w:bCs/>
                <w:color w:val="auto"/>
                <w:spacing w:val="-10"/>
                <w:szCs w:val="21"/>
                <w:highlight w:val="none"/>
              </w:rPr>
              <w:t>1.6非正常工况</w:t>
            </w:r>
          </w:p>
          <w:p>
            <w:pPr>
              <w:pageBreakBefore/>
              <w:widowControl/>
              <w:spacing w:line="360" w:lineRule="auto"/>
              <w:ind w:firstLine="420" w:firstLineChars="200"/>
              <w:rPr>
                <w:rFonts w:hint="default" w:ascii="Times New Roman" w:hAnsi="Times New Roman" w:cs="Times New Roman"/>
                <w:color w:val="auto"/>
                <w:kern w:val="24"/>
                <w:szCs w:val="21"/>
                <w:highlight w:val="none"/>
              </w:rPr>
            </w:pPr>
            <w:r>
              <w:rPr>
                <w:rFonts w:hint="default" w:ascii="Times New Roman" w:hAnsi="Times New Roman" w:cs="Times New Roman"/>
                <w:color w:val="auto"/>
                <w:kern w:val="24"/>
                <w:szCs w:val="21"/>
                <w:highlight w:val="none"/>
              </w:rPr>
              <w:t>本项目非正常工况主要是污染物排放控制措施达不到应有效率，即废气处理设施失效，造成排气筒废气污染物未经净化直接排放，其排放情况见表4-</w:t>
            </w:r>
            <w:r>
              <w:rPr>
                <w:rFonts w:hint="default" w:ascii="Times New Roman" w:hAnsi="Times New Roman" w:cs="Times New Roman"/>
                <w:color w:val="auto"/>
                <w:kern w:val="24"/>
                <w:szCs w:val="21"/>
                <w:highlight w:val="none"/>
                <w:lang w:val="en-US" w:eastAsia="zh-CN"/>
              </w:rPr>
              <w:t>8</w:t>
            </w:r>
            <w:r>
              <w:rPr>
                <w:rFonts w:hint="default" w:ascii="Times New Roman" w:hAnsi="Times New Roman" w:cs="Times New Roman"/>
                <w:color w:val="auto"/>
                <w:kern w:val="24"/>
                <w:szCs w:val="21"/>
                <w:highlight w:val="none"/>
              </w:rPr>
              <w:t>所示。</w:t>
            </w:r>
          </w:p>
          <w:p>
            <w:pPr>
              <w:autoSpaceDE w:val="0"/>
              <w:autoSpaceDN w:val="0"/>
              <w:adjustRightInd w:val="0"/>
              <w:jc w:val="center"/>
              <w:rPr>
                <w:rFonts w:hint="default" w:ascii="Times New Roman" w:hAnsi="Times New Roman" w:cs="Times New Roman"/>
                <w:b/>
                <w:snapToGrid w:val="0"/>
                <w:color w:val="auto"/>
                <w:kern w:val="0"/>
                <w:szCs w:val="21"/>
                <w:highlight w:val="none"/>
              </w:rPr>
            </w:pPr>
            <w:r>
              <w:rPr>
                <w:rFonts w:hint="default" w:ascii="Times New Roman" w:hAnsi="Times New Roman" w:cs="Times New Roman"/>
                <w:b/>
                <w:snapToGrid w:val="0"/>
                <w:color w:val="auto"/>
                <w:kern w:val="0"/>
                <w:szCs w:val="21"/>
                <w:highlight w:val="none"/>
              </w:rPr>
              <w:t>表4-</w:t>
            </w:r>
            <w:r>
              <w:rPr>
                <w:rFonts w:hint="default" w:ascii="Times New Roman" w:hAnsi="Times New Roman" w:cs="Times New Roman"/>
                <w:b/>
                <w:snapToGrid w:val="0"/>
                <w:color w:val="auto"/>
                <w:kern w:val="0"/>
                <w:szCs w:val="21"/>
                <w:highlight w:val="none"/>
                <w:lang w:val="en-US" w:eastAsia="zh-CN"/>
              </w:rPr>
              <w:t>8</w:t>
            </w:r>
            <w:r>
              <w:rPr>
                <w:rFonts w:hint="default" w:ascii="Times New Roman" w:hAnsi="Times New Roman" w:cs="Times New Roman"/>
                <w:b/>
                <w:snapToGrid w:val="0"/>
                <w:color w:val="auto"/>
                <w:kern w:val="0"/>
                <w:szCs w:val="21"/>
                <w:highlight w:val="none"/>
              </w:rPr>
              <w:t xml:space="preserve"> 非正常排放源强参数一览表</w:t>
            </w:r>
          </w:p>
          <w:tbl>
            <w:tblPr>
              <w:tblStyle w:val="36"/>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2191"/>
              <w:gridCol w:w="1719"/>
              <w:gridCol w:w="996"/>
              <w:gridCol w:w="1207"/>
              <w:gridCol w:w="899"/>
              <w:gridCol w:w="2784"/>
              <w:gridCol w:w="1088"/>
              <w:gridCol w:w="614"/>
              <w:gridCol w:w="8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6" w:type="pct"/>
                  <w:vMerge w:val="restar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污染源</w:t>
                  </w:r>
                </w:p>
              </w:tc>
              <w:tc>
                <w:tcPr>
                  <w:tcW w:w="831" w:type="pct"/>
                  <w:vMerge w:val="restar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652" w:type="pct"/>
                  <w:vMerge w:val="restar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非正常排放原因</w:t>
                  </w:r>
                </w:p>
              </w:tc>
              <w:tc>
                <w:tcPr>
                  <w:tcW w:w="2232" w:type="pct"/>
                  <w:gridSpan w:val="4"/>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非正常排放情况</w:t>
                  </w:r>
                </w:p>
              </w:tc>
              <w:tc>
                <w:tcPr>
                  <w:tcW w:w="645" w:type="pct"/>
                  <w:gridSpan w:val="2"/>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执行标准</w:t>
                  </w:r>
                </w:p>
              </w:tc>
              <w:tc>
                <w:tcPr>
                  <w:tcW w:w="322" w:type="pct"/>
                  <w:vMerge w:val="restar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达标分析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6"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c>
                <w:tcPr>
                  <w:tcW w:w="831"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c>
                <w:tcPr>
                  <w:tcW w:w="652"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c>
                <w:tcPr>
                  <w:tcW w:w="378"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排放量kg/a</w:t>
                  </w:r>
                </w:p>
              </w:tc>
              <w:tc>
                <w:tcPr>
                  <w:tcW w:w="458" w:type="pct"/>
                  <w:tcBorders>
                    <w:tl2br w:val="nil"/>
                    <w:tr2bl w:val="nil"/>
                  </w:tcBorders>
                  <w:noWrap w:val="0"/>
                  <w:vAlign w:val="center"/>
                </w:tcPr>
                <w:p>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sz w:val="21"/>
                      <w:szCs w:val="21"/>
                      <w:highlight w:val="none"/>
                    </w:rPr>
                    <w:t>速率kg/h</w:t>
                  </w:r>
                </w:p>
              </w:tc>
              <w:tc>
                <w:tcPr>
                  <w:tcW w:w="339" w:type="pct"/>
                  <w:tcBorders>
                    <w:tl2br w:val="nil"/>
                    <w:tr2bl w:val="nil"/>
                  </w:tcBorders>
                  <w:noWrap w:val="0"/>
                  <w:vAlign w:val="center"/>
                </w:tcPr>
                <w:p>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sz w:val="21"/>
                      <w:szCs w:val="21"/>
                      <w:highlight w:val="none"/>
                    </w:rPr>
                    <w:t>浓度mg/m</w:t>
                  </w:r>
                  <w:r>
                    <w:rPr>
                      <w:rFonts w:hint="default" w:ascii="Times New Roman" w:hAnsi="Times New Roman" w:cs="Times New Roman"/>
                      <w:b/>
                      <w:bCs/>
                      <w:color w:val="auto"/>
                      <w:sz w:val="21"/>
                      <w:szCs w:val="21"/>
                      <w:highlight w:val="none"/>
                      <w:vertAlign w:val="superscript"/>
                    </w:rPr>
                    <w:t>3</w:t>
                  </w:r>
                </w:p>
              </w:tc>
              <w:tc>
                <w:tcPr>
                  <w:tcW w:w="1055"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频次及持续时间</w:t>
                  </w:r>
                </w:p>
              </w:tc>
              <w:tc>
                <w:tcPr>
                  <w:tcW w:w="413"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浓度mg/m</w:t>
                  </w:r>
                  <w:r>
                    <w:rPr>
                      <w:rFonts w:hint="default" w:ascii="Times New Roman" w:hAnsi="Times New Roman" w:cs="Times New Roman"/>
                      <w:b/>
                      <w:bCs/>
                      <w:color w:val="auto"/>
                      <w:sz w:val="21"/>
                      <w:szCs w:val="21"/>
                      <w:highlight w:val="none"/>
                      <w:vertAlign w:val="superscript"/>
                    </w:rPr>
                    <w:t>3</w:t>
                  </w:r>
                </w:p>
              </w:tc>
              <w:tc>
                <w:tcPr>
                  <w:tcW w:w="232" w:type="pc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速率kg/h</w:t>
                  </w:r>
                </w:p>
              </w:tc>
              <w:tc>
                <w:tcPr>
                  <w:tcW w:w="322"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6" w:type="pct"/>
                  <w:vMerge w:val="restart"/>
                  <w:tcBorders>
                    <w:tl2br w:val="nil"/>
                    <w:tr2bl w:val="nil"/>
                  </w:tcBorders>
                  <w:noWrap w:val="0"/>
                  <w:vAlign w:val="center"/>
                </w:tcPr>
                <w:p>
                  <w:pPr>
                    <w:jc w:val="center"/>
                    <w:rPr>
                      <w:rFonts w:hint="default" w:ascii="Times New Roman" w:hAnsi="Times New Roman" w:cs="Times New Roman"/>
                      <w:color w:val="auto"/>
                      <w:sz w:val="21"/>
                      <w:szCs w:val="21"/>
                      <w:highlight w:val="none"/>
                    </w:rPr>
                  </w:pPr>
                  <w:bookmarkStart w:id="42" w:name="OLE_LINK18" w:colFirst="6" w:colLast="6"/>
                  <w:bookmarkStart w:id="43" w:name="OLE_LINK58" w:colFirst="0" w:colLast="8"/>
                  <w:r>
                    <w:rPr>
                      <w:rFonts w:hint="default" w:ascii="Times New Roman" w:hAnsi="Times New Roman" w:cs="Times New Roman"/>
                      <w:color w:val="auto"/>
                      <w:sz w:val="21"/>
                      <w:szCs w:val="21"/>
                      <w:highlight w:val="none"/>
                    </w:rPr>
                    <w:t>DA00</w:t>
                  </w:r>
                  <w:r>
                    <w:rPr>
                      <w:rFonts w:hint="default" w:ascii="Times New Roman" w:hAnsi="Times New Roman" w:cs="Times New Roman"/>
                      <w:color w:val="auto"/>
                      <w:sz w:val="21"/>
                      <w:szCs w:val="21"/>
                      <w:highlight w:val="none"/>
                      <w:lang w:val="en-US" w:eastAsia="zh-CN"/>
                    </w:rPr>
                    <w:t>2</w:t>
                  </w:r>
                </w:p>
              </w:tc>
              <w:tc>
                <w:tcPr>
                  <w:tcW w:w="831" w:type="pct"/>
                  <w:tcBorders>
                    <w:tl2br w:val="nil"/>
                    <w:tr2bl w:val="nil"/>
                  </w:tcBorders>
                  <w:noWrap w:val="0"/>
                  <w:vAlign w:val="center"/>
                </w:tcPr>
                <w:p>
                  <w:pPr>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652"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静电除尘器+二级活性炭吸附装置失效，效率为0%</w:t>
                  </w:r>
                </w:p>
              </w:tc>
              <w:tc>
                <w:tcPr>
                  <w:tcW w:w="37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0.062</w:t>
                  </w:r>
                </w:p>
              </w:tc>
              <w:tc>
                <w:tcPr>
                  <w:tcW w:w="45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 xml:space="preserve">0.031 </w:t>
                  </w:r>
                </w:p>
              </w:tc>
              <w:tc>
                <w:tcPr>
                  <w:tcW w:w="33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 xml:space="preserve">3.406 </w:t>
                  </w:r>
                </w:p>
              </w:tc>
              <w:tc>
                <w:tcPr>
                  <w:tcW w:w="1055" w:type="pct"/>
                  <w:tcBorders>
                    <w:tl2br w:val="nil"/>
                    <w:tr2bl w:val="nil"/>
                  </w:tcBorders>
                  <w:noWrap w:val="0"/>
                  <w:vAlign w:val="center"/>
                </w:tcPr>
                <w:p>
                  <w:pPr>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2次/a、</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h/次</w:t>
                  </w:r>
                </w:p>
              </w:tc>
              <w:tc>
                <w:tcPr>
                  <w:tcW w:w="413" w:type="pct"/>
                  <w:tcBorders>
                    <w:tl2br w:val="nil"/>
                    <w:tr2bl w:val="nil"/>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0</w:t>
                  </w:r>
                </w:p>
              </w:tc>
              <w:tc>
                <w:tcPr>
                  <w:tcW w:w="23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32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达</w:t>
                  </w:r>
                </w:p>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w:t>
                  </w:r>
                </w:p>
              </w:tc>
            </w:tr>
            <w:bookmarkEnd w:id="42"/>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6"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c>
                <w:tcPr>
                  <w:tcW w:w="831" w:type="pct"/>
                  <w:tcBorders>
                    <w:tl2br w:val="nil"/>
                    <w:tr2bl w:val="nil"/>
                  </w:tcBorders>
                  <w:noWrap w:val="0"/>
                  <w:vAlign w:val="center"/>
                </w:tcPr>
                <w:p>
                  <w:pPr>
                    <w:adjustRightIn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二氧化硫</w:t>
                  </w:r>
                </w:p>
              </w:tc>
              <w:tc>
                <w:tcPr>
                  <w:tcW w:w="652"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lang w:val="en-US" w:eastAsia="zh-CN"/>
                    </w:rPr>
                  </w:pPr>
                </w:p>
              </w:tc>
              <w:tc>
                <w:tcPr>
                  <w:tcW w:w="37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0.07</w:t>
                  </w:r>
                </w:p>
              </w:tc>
              <w:tc>
                <w:tcPr>
                  <w:tcW w:w="45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 xml:space="preserve">0.035 </w:t>
                  </w:r>
                </w:p>
              </w:tc>
              <w:tc>
                <w:tcPr>
                  <w:tcW w:w="33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 xml:space="preserve">3.846 </w:t>
                  </w:r>
                </w:p>
              </w:tc>
              <w:tc>
                <w:tcPr>
                  <w:tcW w:w="2788" w:type="dxa"/>
                  <w:tcBorders>
                    <w:tl2br w:val="nil"/>
                    <w:tr2bl w:val="nil"/>
                  </w:tcBorders>
                  <w:noWrap w:val="0"/>
                  <w:vAlign w:val="center"/>
                </w:tcPr>
                <w:p>
                  <w:pPr>
                    <w:adjustRightInd w:val="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2次/a、</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h/次</w:t>
                  </w:r>
                </w:p>
              </w:tc>
              <w:tc>
                <w:tcPr>
                  <w:tcW w:w="413" w:type="pct"/>
                  <w:tcBorders>
                    <w:tl2br w:val="nil"/>
                    <w:tr2bl w:val="nil"/>
                  </w:tcBorders>
                  <w:noWrap w:val="0"/>
                  <w:vAlign w:val="center"/>
                </w:tcPr>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w:t>
                  </w:r>
                </w:p>
              </w:tc>
              <w:tc>
                <w:tcPr>
                  <w:tcW w:w="232" w:type="pct"/>
                  <w:tcBorders>
                    <w:tl2br w:val="nil"/>
                    <w:tr2bl w:val="nil"/>
                  </w:tcBorders>
                  <w:noWrap w:val="0"/>
                  <w:vAlign w:val="center"/>
                </w:tcPr>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32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达</w:t>
                  </w:r>
                </w:p>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6"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c>
                <w:tcPr>
                  <w:tcW w:w="831" w:type="pct"/>
                  <w:tcBorders>
                    <w:tl2br w:val="nil"/>
                    <w:tr2bl w:val="nil"/>
                  </w:tcBorders>
                  <w:noWrap w:val="0"/>
                  <w:vAlign w:val="center"/>
                </w:tcPr>
                <w:p>
                  <w:pPr>
                    <w:adjustRightIn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氮氧化物</w:t>
                  </w:r>
                </w:p>
              </w:tc>
              <w:tc>
                <w:tcPr>
                  <w:tcW w:w="652"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c>
                <w:tcPr>
                  <w:tcW w:w="37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0.112</w:t>
                  </w:r>
                </w:p>
              </w:tc>
              <w:tc>
                <w:tcPr>
                  <w:tcW w:w="458"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 xml:space="preserve">0.056 </w:t>
                  </w:r>
                </w:p>
              </w:tc>
              <w:tc>
                <w:tcPr>
                  <w:tcW w:w="339"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 xml:space="preserve">6.122 </w:t>
                  </w:r>
                </w:p>
              </w:tc>
              <w:tc>
                <w:tcPr>
                  <w:tcW w:w="2788" w:type="dxa"/>
                  <w:tcBorders>
                    <w:tl2br w:val="nil"/>
                    <w:tr2bl w:val="nil"/>
                  </w:tcBorders>
                  <w:noWrap w:val="0"/>
                  <w:vAlign w:val="center"/>
                </w:tcPr>
                <w:p>
                  <w:pPr>
                    <w:adjustRightInd w:val="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2次/a、</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h/次</w:t>
                  </w:r>
                </w:p>
              </w:tc>
              <w:tc>
                <w:tcPr>
                  <w:tcW w:w="413"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0</w:t>
                  </w:r>
                </w:p>
              </w:tc>
              <w:tc>
                <w:tcPr>
                  <w:tcW w:w="232"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w:t>
                  </w:r>
                </w:p>
              </w:tc>
              <w:tc>
                <w:tcPr>
                  <w:tcW w:w="322"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达</w:t>
                  </w:r>
                </w:p>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6"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c>
                <w:tcPr>
                  <w:tcW w:w="831" w:type="pct"/>
                  <w:tcBorders>
                    <w:tl2br w:val="nil"/>
                    <w:tr2bl w:val="nil"/>
                  </w:tcBorders>
                  <w:noWrap w:val="0"/>
                  <w:vAlign w:val="center"/>
                </w:tcPr>
                <w:p>
                  <w:pPr>
                    <w:adjustRightIn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VOCs（以非甲烷总烃计）</w:t>
                  </w:r>
                </w:p>
              </w:tc>
              <w:tc>
                <w:tcPr>
                  <w:tcW w:w="652" w:type="pct"/>
                  <w:vMerge w:val="continue"/>
                  <w:tcBorders>
                    <w:tl2br w:val="nil"/>
                    <w:tr2bl w:val="nil"/>
                  </w:tcBorders>
                  <w:noWrap w:val="0"/>
                  <w:vAlign w:val="center"/>
                </w:tcPr>
                <w:p>
                  <w:pPr>
                    <w:jc w:val="center"/>
                    <w:rPr>
                      <w:rFonts w:hint="default" w:ascii="Times New Roman" w:hAnsi="Times New Roman" w:cs="Times New Roman"/>
                      <w:color w:val="auto"/>
                      <w:sz w:val="21"/>
                      <w:szCs w:val="21"/>
                      <w:highlight w:val="none"/>
                    </w:rPr>
                  </w:pPr>
                </w:p>
              </w:tc>
              <w:tc>
                <w:tcPr>
                  <w:tcW w:w="996" w:type="dxa"/>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 xml:space="preserve">0.100 </w:t>
                  </w:r>
                </w:p>
              </w:tc>
              <w:tc>
                <w:tcPr>
                  <w:tcW w:w="1203" w:type="dxa"/>
                  <w:tcBorders>
                    <w:tl2br w:val="nil"/>
                    <w:tr2bl w:val="nil"/>
                  </w:tcBorders>
                  <w:noWrap w:val="0"/>
                  <w:vAlign w:val="center"/>
                </w:tcPr>
                <w:p>
                  <w:pPr>
                    <w:pStyle w:val="22"/>
                    <w:spacing w:line="240" w:lineRule="atLeast"/>
                    <w:jc w:val="center"/>
                    <w:rPr>
                      <w:rFonts w:hint="default" w:ascii="Times New Roman" w:hAnsi="Times New Roman"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 xml:space="preserve">0.048 </w:t>
                  </w:r>
                </w:p>
              </w:tc>
              <w:tc>
                <w:tcPr>
                  <w:tcW w:w="340" w:type="pct"/>
                  <w:tcBorders>
                    <w:tl2br w:val="nil"/>
                    <w:tr2bl w:val="nil"/>
                  </w:tcBorders>
                  <w:noWrap w:val="0"/>
                  <w:vAlign w:val="center"/>
                </w:tcPr>
                <w:p>
                  <w:pPr>
                    <w:pStyle w:val="22"/>
                    <w:spacing w:line="240" w:lineRule="atLeas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 xml:space="preserve">268.132 </w:t>
                  </w:r>
                </w:p>
              </w:tc>
              <w:tc>
                <w:tcPr>
                  <w:tcW w:w="2788" w:type="dxa"/>
                  <w:tcBorders>
                    <w:tl2br w:val="nil"/>
                    <w:tr2bl w:val="nil"/>
                  </w:tcBorders>
                  <w:noWrap w:val="0"/>
                  <w:vAlign w:val="center"/>
                </w:tcPr>
                <w:p>
                  <w:pPr>
                    <w:adjustRightIn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2次/a、</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h/次</w:t>
                  </w:r>
                </w:p>
              </w:tc>
              <w:tc>
                <w:tcPr>
                  <w:tcW w:w="413"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40</w:t>
                  </w:r>
                </w:p>
              </w:tc>
              <w:tc>
                <w:tcPr>
                  <w:tcW w:w="232"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w:t>
                  </w:r>
                </w:p>
              </w:tc>
              <w:tc>
                <w:tcPr>
                  <w:tcW w:w="322"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超标</w:t>
                  </w:r>
                </w:p>
              </w:tc>
            </w:tr>
            <w:bookmarkEnd w:id="43"/>
          </w:tbl>
          <w:p>
            <w:pPr>
              <w:pageBreakBefore/>
              <w:widowControl/>
              <w:spacing w:line="36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由上表可知，</w:t>
            </w:r>
            <w:r>
              <w:rPr>
                <w:rFonts w:hint="default" w:ascii="Times New Roman" w:hAnsi="Times New Roman" w:cs="Times New Roman"/>
                <w:color w:val="auto"/>
                <w:highlight w:val="none"/>
                <w:lang w:val="en-US" w:eastAsia="zh-CN"/>
              </w:rPr>
              <w:t>技改后</w:t>
            </w:r>
            <w:r>
              <w:rPr>
                <w:rFonts w:hint="default" w:ascii="Times New Roman" w:hAnsi="Times New Roman" w:cs="Times New Roman"/>
                <w:color w:val="auto"/>
                <w:highlight w:val="none"/>
              </w:rPr>
              <w:t>非正常工况下，排气筒DA00</w:t>
            </w:r>
            <w:r>
              <w:rPr>
                <w:rFonts w:hint="default" w:ascii="Times New Roman" w:hAnsi="Times New Roman" w:cs="Times New Roman"/>
                <w:color w:val="auto"/>
                <w:highlight w:val="none"/>
                <w:lang w:val="en-US" w:eastAsia="zh-CN"/>
              </w:rPr>
              <w:t>2排放的VOCs（以非甲烷总烃计）超标</w:t>
            </w:r>
            <w:r>
              <w:rPr>
                <w:rFonts w:hint="default" w:ascii="Times New Roman" w:hAnsi="Times New Roman" w:cs="Times New Roman"/>
                <w:color w:val="auto"/>
                <w:highlight w:val="none"/>
              </w:rPr>
              <w:t>。由此可见，项目废气治理设施出现故障等非正常工况下，污染物排放对环境影响较大。</w:t>
            </w:r>
          </w:p>
          <w:p>
            <w:pPr>
              <w:pageBreakBefore/>
              <w:widowControl/>
              <w:spacing w:line="360" w:lineRule="auto"/>
              <w:ind w:firstLine="420" w:firstLineChars="20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针对非正常工况，企业应定期对废气净化设施进行检查，确保其正常工作状态；设置专人负责，保证正常去除效率。检查、核查等工作做好记录，一旦发现问题，应立即停止生产工序，待净化设施等恢复正常工作并具有稳定废气去除效率后，开工生产，杜绝废气排放事故发生。加强企业的运行管理，设立专门人员负责厂内环保设施管理、检测等工作</w:t>
            </w:r>
            <w:r>
              <w:rPr>
                <w:rFonts w:hint="default" w:ascii="Times New Roman" w:hAnsi="Times New Roman" w:cs="Times New Roman"/>
                <w:color w:val="auto"/>
                <w:highlight w:val="none"/>
                <w:lang w:eastAsia="zh-CN"/>
              </w:rPr>
              <w:t>。</w:t>
            </w:r>
          </w:p>
          <w:p>
            <w:pPr>
              <w:pageBreakBefore/>
              <w:widowControl/>
              <w:spacing w:line="360" w:lineRule="auto"/>
              <w:ind w:firstLine="420" w:firstLineChars="200"/>
              <w:rPr>
                <w:rFonts w:hint="default" w:ascii="Times New Roman" w:hAnsi="Times New Roman" w:cs="Times New Roman"/>
                <w:b/>
                <w:bCs/>
                <w:color w:val="auto"/>
                <w:spacing w:val="-10"/>
                <w:szCs w:val="21"/>
                <w:highlight w:val="none"/>
              </w:rPr>
            </w:pPr>
            <w:r>
              <w:rPr>
                <w:rFonts w:hint="default" w:ascii="Times New Roman" w:hAnsi="Times New Roman" w:cs="Times New Roman"/>
                <w:color w:val="auto"/>
                <w:highlight w:val="none"/>
              </w:rPr>
              <w:t>技改后非正常工况下，项目排放的VOCs（以非甲烷总烃计）不会对距厂界东侧5m的水磨村（常住人口居民区）造成不利影响，具体而言：项目非正常工况严格遵循相关规范明确应急流程，一旦出现废气净化设施故障等异常，可在10分钟内完成全线停机以切断</w:t>
            </w:r>
            <w:r>
              <w:rPr>
                <w:rFonts w:hint="default" w:ascii="Times New Roman" w:hAnsi="Times New Roman" w:cs="Times New Roman"/>
                <w:color w:val="auto"/>
                <w:highlight w:val="none"/>
                <w:lang w:eastAsia="zh-CN"/>
              </w:rPr>
              <w:t>水性油墨</w:t>
            </w:r>
            <w:r>
              <w:rPr>
                <w:rFonts w:hint="default" w:ascii="Times New Roman" w:hAnsi="Times New Roman" w:cs="Times New Roman"/>
                <w:color w:val="auto"/>
                <w:highlight w:val="none"/>
              </w:rPr>
              <w:t>挥发源头，同时隔离故障设备，且此类偶发工况单次年持续时间不超过1小时，无累积影响风险；项目非正常排放的VOCs核心为弱极性醇类、酯类，急性毒性较低，短时间低浓度接触不会危害人体健康，且废气经排气筒有组织排放后，依据高斯大气扩散模式，在5m近距离内会随大气湍流快速横向扩散与垂直稀释，叠加区域常规风速条件，污染物浓度可迅速降至环境空气质量参考限值以下，不会在居民区累积；此外，项目还配套多重防控手段，设备间持续密闭可阻滞无组织逸散，故障期间应急监测组每15分钟采集数据跟踪浓度变化，且污染物无剧毒、强刺激性成分，故障可快速修复，无长时间失控排放可能，综上，叠加应急响应快、持续时间短、污染物低毒易扩散及多重防控措施保障，该工况对水磨村居民生活及区域环境无不利影响。</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2、废水</w:t>
            </w:r>
          </w:p>
          <w:p>
            <w:pPr>
              <w:spacing w:line="360" w:lineRule="auto"/>
              <w:ind w:firstLine="420" w:firstLineChars="20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（1）废水产生情况</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技改后项目不新增废水排放，现有项目废水主要为职工生活污水、印染废水、地面及设备冲洗废水、软水制备及锅炉排污水，根据项目运营数据，职工生活污水排放量为960m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/a，经污水处理站处理后，排入淄博沃特水务能源开发有限公司；根据项目运营数据，项目煮炼、漂白、染色工序印染废水产生量为11.23万m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/a，经污水处理站处理后，排入淄博沃特水务能源开发有限公司；项目采用全自动钠离子交换装置制备软水，供给燃气锅炉。根据企业提供数据，软水用量为3.6万m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/a，全自动钠离子交换装置效率约为50%，则新鲜水用量约为7.2万m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/a，软水制备废水产生量约为3.6万m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/a。锅炉排污水量约为用水量的5%，则锅炉排污水量约为0.18万m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/a。软水制备废水和锅炉排污水经污水处理站处理后，排入淄博沃特水务能源开发有限公司。地面及设备冲洗废水量为0.6万m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/a，排入污水处理站处理后，排入淄博沃特水务能源开发有限公司；项目生产过程蒸汽接触煮炼、漂白、染色设备产生的冷凝水1.62万m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/a，排入污水处理站处理。</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textAlignment w:val="auto"/>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综合以上，项目综合废水产生量为173260m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/a。综合废水经厂区污水站处理后，排放浓度满足</w:t>
            </w:r>
            <w:r>
              <w:rPr>
                <w:rFonts w:hint="default" w:ascii="Times New Roman" w:hAnsi="Times New Roman" w:cs="Times New Roman"/>
                <w:color w:val="auto"/>
                <w:szCs w:val="21"/>
                <w:highlight w:val="none"/>
                <w:lang w:val="en-US" w:eastAsia="zh-CN"/>
              </w:rPr>
              <w:t>《纺织染整工业水污染物排放标准》（GB 4287-2012）及修改单表2限值后</w:t>
            </w:r>
            <w:r>
              <w:rPr>
                <w:rFonts w:hint="default" w:ascii="Times New Roman" w:hAnsi="Times New Roman" w:cs="Times New Roman" w:eastAsiaTheme="minorEastAsia"/>
                <w:color w:val="auto"/>
                <w:spacing w:val="0"/>
                <w:w w:val="100"/>
                <w:position w:val="0"/>
                <w:sz w:val="21"/>
                <w:szCs w:val="21"/>
                <w:highlight w:val="none"/>
                <w:lang w:val="en-US" w:eastAsia="zh-CN"/>
              </w:rPr>
              <w:t>，排入淄博沃特水务能源开发有限公司。</w:t>
            </w:r>
          </w:p>
          <w:p>
            <w:pPr>
              <w:spacing w:line="360" w:lineRule="auto"/>
              <w:ind w:firstLine="420" w:firstLineChars="200"/>
              <w:jc w:val="left"/>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（2）废水处理可行性分析</w:t>
            </w:r>
          </w:p>
          <w:p>
            <w:pPr>
              <w:spacing w:line="360" w:lineRule="auto"/>
              <w:ind w:firstLine="420" w:firstLineChars="200"/>
              <w:jc w:val="both"/>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项目污水站处理工艺采用调节-一沉池-厌氧水解池-好氧池-二沉池-澄清池-浓缩池工艺处理，处理能力为600m</w:t>
            </w:r>
            <w:r>
              <w:rPr>
                <w:rFonts w:hint="default" w:ascii="Times New Roman" w:hAnsi="Times New Roman" w:cs="Times New Roman" w:eastAsiaTheme="minorEastAsia"/>
                <w:color w:val="auto"/>
                <w:spacing w:val="0"/>
                <w:w w:val="100"/>
                <w:position w:val="0"/>
                <w:sz w:val="21"/>
                <w:szCs w:val="21"/>
                <w:highlight w:val="none"/>
                <w:vertAlign w:val="superscript"/>
                <w:lang w:val="en-US" w:eastAsia="zh-CN"/>
              </w:rPr>
              <w:t>3</w:t>
            </w:r>
            <w:r>
              <w:rPr>
                <w:rFonts w:hint="default" w:ascii="Times New Roman" w:hAnsi="Times New Roman" w:cs="Times New Roman" w:eastAsiaTheme="minorEastAsia"/>
                <w:color w:val="auto"/>
                <w:spacing w:val="0"/>
                <w:w w:val="100"/>
                <w:position w:val="0"/>
                <w:sz w:val="21"/>
                <w:szCs w:val="21"/>
                <w:highlight w:val="none"/>
                <w:lang w:val="en-US" w:eastAsia="zh-CN"/>
              </w:rPr>
              <w:t>/d，排放浓度可满足</w:t>
            </w:r>
            <w:r>
              <w:rPr>
                <w:rFonts w:hint="default" w:ascii="Times New Roman" w:hAnsi="Times New Roman" w:cs="Times New Roman"/>
                <w:color w:val="auto"/>
                <w:szCs w:val="21"/>
                <w:highlight w:val="none"/>
                <w:lang w:val="en-US" w:eastAsia="zh-CN"/>
              </w:rPr>
              <w:t>《纺织染整工业水污染物排放标准》（GB 4287-2012）及修改单表2限值。</w:t>
            </w:r>
          </w:p>
          <w:p>
            <w:pPr>
              <w:spacing w:line="360" w:lineRule="auto"/>
              <w:ind w:firstLine="420" w:firstLineChars="200"/>
              <w:jc w:val="both"/>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项目排入淄博沃特水务能源开发有限公司位于淄博市文昌湖旅游度假区杨萌路以北、滨博高速以东、官三元村以西。淄博沃特水务能源开发有限公司设计总处理规模为6万吨/天，目前余量为41500t/d，项目采用A</w:t>
            </w:r>
            <w:r>
              <w:rPr>
                <w:rFonts w:hint="default" w:ascii="Times New Roman" w:hAnsi="Times New Roman" w:cs="Times New Roman" w:eastAsiaTheme="minorEastAsia"/>
                <w:color w:val="auto"/>
                <w:spacing w:val="0"/>
                <w:w w:val="100"/>
                <w:position w:val="0"/>
                <w:sz w:val="21"/>
                <w:szCs w:val="21"/>
                <w:highlight w:val="none"/>
                <w:vertAlign w:val="subscript"/>
                <w:lang w:val="en-US" w:eastAsia="zh-CN"/>
              </w:rPr>
              <w:t>2</w:t>
            </w:r>
            <w:r>
              <w:rPr>
                <w:rFonts w:hint="default" w:ascii="Times New Roman" w:hAnsi="Times New Roman" w:cs="Times New Roman" w:eastAsiaTheme="minorEastAsia"/>
                <w:color w:val="auto"/>
                <w:spacing w:val="0"/>
                <w:w w:val="100"/>
                <w:position w:val="0"/>
                <w:sz w:val="21"/>
                <w:szCs w:val="21"/>
                <w:highlight w:val="none"/>
                <w:lang w:val="en-US" w:eastAsia="zh-CN"/>
              </w:rPr>
              <w:t>O工艺，设计出水水质满足《城镇污水处理厂污染物排放标准》（GB18918-2002）的一级A标准要求以及淄博市文昌湖旅游度假区生态和环境保护局对本项目出水要求，项目出水通过排污管道排入范阳河。本项目污水量为577.53t/d，淄博沃特水务能源开发有限公司污水处理能力可满足本项目污水处理要求。</w:t>
            </w:r>
          </w:p>
          <w:p>
            <w:pPr>
              <w:numPr>
                <w:ilvl w:val="0"/>
                <w:numId w:val="0"/>
              </w:numPr>
              <w:spacing w:line="360" w:lineRule="auto"/>
              <w:ind w:firstLine="420" w:firstLineChars="200"/>
              <w:jc w:val="both"/>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kern w:val="2"/>
                <w:position w:val="0"/>
                <w:sz w:val="21"/>
                <w:szCs w:val="21"/>
                <w:highlight w:val="none"/>
                <w:lang w:val="en-US" w:eastAsia="zh-CN" w:bidi="ar-SA"/>
              </w:rPr>
              <w:t>（3）</w:t>
            </w:r>
            <w:r>
              <w:rPr>
                <w:rFonts w:hint="default" w:ascii="Times New Roman" w:hAnsi="Times New Roman" w:cs="Times New Roman" w:eastAsiaTheme="minorEastAsia"/>
                <w:color w:val="auto"/>
                <w:spacing w:val="0"/>
                <w:w w:val="100"/>
                <w:position w:val="0"/>
                <w:sz w:val="21"/>
                <w:szCs w:val="21"/>
                <w:highlight w:val="none"/>
                <w:lang w:val="en-US" w:eastAsia="zh-CN"/>
              </w:rPr>
              <w:t>监测计划</w:t>
            </w:r>
          </w:p>
          <w:p>
            <w:pPr>
              <w:spacing w:line="360" w:lineRule="auto"/>
              <w:ind w:firstLine="420" w:firstLineChars="200"/>
              <w:jc w:val="both"/>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eastAsiaTheme="minorEastAsia"/>
                <w:color w:val="auto"/>
                <w:spacing w:val="0"/>
                <w:w w:val="100"/>
                <w:position w:val="0"/>
                <w:sz w:val="21"/>
                <w:szCs w:val="21"/>
                <w:highlight w:val="none"/>
                <w:lang w:val="en-US" w:eastAsia="zh-CN"/>
              </w:rPr>
              <w:t>技改后项目监测计划无变化，见下表。</w:t>
            </w:r>
          </w:p>
          <w:p>
            <w:pPr>
              <w:autoSpaceDE w:val="0"/>
              <w:autoSpaceDN w:val="0"/>
              <w:adjustRightInd w:val="0"/>
              <w:jc w:val="center"/>
              <w:rPr>
                <w:rFonts w:hint="default" w:ascii="Times New Roman" w:hAnsi="Times New Roman" w:cs="Times New Roman" w:eastAsiaTheme="minorEastAsia"/>
                <w:color w:val="auto"/>
                <w:spacing w:val="0"/>
                <w:w w:val="100"/>
                <w:position w:val="0"/>
                <w:sz w:val="21"/>
                <w:szCs w:val="21"/>
                <w:highlight w:val="none"/>
                <w:lang w:val="en-US" w:eastAsia="zh-CN"/>
              </w:rPr>
            </w:pPr>
            <w:r>
              <w:rPr>
                <w:rFonts w:hint="default" w:ascii="Times New Roman" w:hAnsi="Times New Roman" w:cs="Times New Roman"/>
                <w:b/>
                <w:snapToGrid w:val="0"/>
                <w:color w:val="auto"/>
                <w:kern w:val="0"/>
                <w:szCs w:val="21"/>
                <w:highlight w:val="none"/>
              </w:rPr>
              <w:t>表4-</w:t>
            </w:r>
            <w:r>
              <w:rPr>
                <w:rFonts w:hint="default" w:ascii="Times New Roman" w:hAnsi="Times New Roman" w:cs="Times New Roman"/>
                <w:b/>
                <w:snapToGrid w:val="0"/>
                <w:color w:val="auto"/>
                <w:kern w:val="0"/>
                <w:szCs w:val="21"/>
                <w:highlight w:val="none"/>
                <w:lang w:val="en-US" w:eastAsia="zh-CN"/>
              </w:rPr>
              <w:t>9</w:t>
            </w:r>
            <w:r>
              <w:rPr>
                <w:rFonts w:hint="default" w:ascii="Times New Roman" w:hAnsi="Times New Roman" w:cs="Times New Roman"/>
                <w:b/>
                <w:snapToGrid w:val="0"/>
                <w:color w:val="auto"/>
                <w:kern w:val="0"/>
                <w:szCs w:val="21"/>
                <w:highlight w:val="none"/>
              </w:rPr>
              <w:t xml:space="preserve"> 营运期</w:t>
            </w:r>
            <w:r>
              <w:rPr>
                <w:rFonts w:hint="default" w:ascii="Times New Roman" w:hAnsi="Times New Roman" w:cs="Times New Roman"/>
                <w:b/>
                <w:snapToGrid w:val="0"/>
                <w:color w:val="auto"/>
                <w:kern w:val="0"/>
                <w:szCs w:val="21"/>
                <w:highlight w:val="none"/>
                <w:lang w:val="en-US" w:eastAsia="zh-CN"/>
              </w:rPr>
              <w:t>废水</w:t>
            </w:r>
            <w:r>
              <w:rPr>
                <w:rFonts w:hint="default" w:ascii="Times New Roman" w:hAnsi="Times New Roman" w:cs="Times New Roman"/>
                <w:b/>
                <w:snapToGrid w:val="0"/>
                <w:color w:val="auto"/>
                <w:kern w:val="0"/>
                <w:szCs w:val="21"/>
                <w:highlight w:val="none"/>
              </w:rPr>
              <w:t>检测计划一览表</w:t>
            </w:r>
          </w:p>
          <w:tbl>
            <w:tblPr>
              <w:tblStyle w:val="118"/>
              <w:tblW w:w="4994"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615"/>
              <w:gridCol w:w="2972"/>
              <w:gridCol w:w="3214"/>
              <w:gridCol w:w="2161"/>
              <w:gridCol w:w="320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3"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环境要素</w:t>
                  </w:r>
                </w:p>
              </w:tc>
              <w:tc>
                <w:tcPr>
                  <w:tcW w:w="1128"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监测位置</w:t>
                  </w:r>
                </w:p>
              </w:tc>
              <w:tc>
                <w:tcPr>
                  <w:tcW w:w="1220"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监测项目</w:t>
                  </w:r>
                </w:p>
              </w:tc>
              <w:tc>
                <w:tcPr>
                  <w:tcW w:w="820"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监测频次</w:t>
                  </w:r>
                </w:p>
              </w:tc>
              <w:tc>
                <w:tcPr>
                  <w:tcW w:w="1216" w:type="pct"/>
                  <w:tcBorders>
                    <w:tl2br w:val="nil"/>
                    <w:tr2bl w:val="nil"/>
                  </w:tcBorders>
                  <w:noWrap w:val="0"/>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3"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生产过程</w:t>
                  </w:r>
                </w:p>
              </w:tc>
              <w:tc>
                <w:tcPr>
                  <w:tcW w:w="1128" w:type="pct"/>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污水排口DW001</w:t>
                  </w:r>
                </w:p>
              </w:tc>
              <w:tc>
                <w:tcPr>
                  <w:tcW w:w="12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pH值、化学需氧量、总氮（以N计）、氨氮（NH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-N）、总磷、</w:t>
                  </w:r>
                </w:p>
              </w:tc>
              <w:tc>
                <w:tcPr>
                  <w:tcW w:w="8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在线监测</w:t>
                  </w:r>
                </w:p>
              </w:tc>
              <w:tc>
                <w:tcPr>
                  <w:tcW w:w="121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委托有相应资质的监测单位监测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3"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p>
              </w:tc>
              <w:tc>
                <w:tcPr>
                  <w:tcW w:w="1128"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BOD</w:t>
                  </w:r>
                  <w:r>
                    <w:rPr>
                      <w:rFonts w:hint="default" w:ascii="Times New Roman" w:hAnsi="Times New Roman" w:eastAsia="宋体" w:cs="Times New Roman"/>
                      <w:color w:val="auto"/>
                      <w:sz w:val="21"/>
                      <w:szCs w:val="21"/>
                      <w:highlight w:val="none"/>
                      <w:vertAlign w:val="subscript"/>
                      <w:lang w:val="en-US" w:eastAsia="zh-CN"/>
                    </w:rPr>
                    <w:t>5</w:t>
                  </w:r>
                  <w:r>
                    <w:rPr>
                      <w:rFonts w:hint="default" w:ascii="Times New Roman" w:hAnsi="Times New Roman" w:eastAsia="宋体" w:cs="Times New Roman"/>
                      <w:color w:val="auto"/>
                      <w:sz w:val="21"/>
                      <w:szCs w:val="21"/>
                      <w:highlight w:val="none"/>
                      <w:lang w:val="en-US" w:eastAsia="zh-CN"/>
                    </w:rPr>
                    <w:t>、</w:t>
                  </w:r>
                </w:p>
              </w:tc>
              <w:tc>
                <w:tcPr>
                  <w:tcW w:w="8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1次/月</w:t>
                  </w:r>
                </w:p>
              </w:tc>
              <w:tc>
                <w:tcPr>
                  <w:tcW w:w="1216"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委托有相应资质的监测单位监测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13"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p>
              </w:tc>
              <w:tc>
                <w:tcPr>
                  <w:tcW w:w="1128" w:type="pct"/>
                  <w:vMerge w:val="continue"/>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c>
                <w:tcPr>
                  <w:tcW w:w="12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苯胺类、硫化物</w:t>
                  </w:r>
                </w:p>
              </w:tc>
              <w:tc>
                <w:tcPr>
                  <w:tcW w:w="820"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1次/季</w:t>
                  </w:r>
                </w:p>
              </w:tc>
              <w:tc>
                <w:tcPr>
                  <w:tcW w:w="1216"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3、噪声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源强分析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技改</w:t>
            </w: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eastAsia="zh-CN"/>
              </w:rPr>
              <w:t>运营期无强噪声源，</w:t>
            </w:r>
            <w:r>
              <w:rPr>
                <w:rFonts w:hint="default" w:ascii="Times New Roman" w:hAnsi="Times New Roman" w:cs="Times New Roman"/>
                <w:color w:val="auto"/>
                <w:sz w:val="21"/>
                <w:szCs w:val="21"/>
                <w:highlight w:val="none"/>
                <w:lang w:val="en-US" w:eastAsia="zh-CN"/>
              </w:rPr>
              <w:t>数码印花机、高温染色机</w:t>
            </w:r>
            <w:r>
              <w:rPr>
                <w:rFonts w:hint="default" w:ascii="Times New Roman" w:hAnsi="Times New Roman" w:eastAsia="宋体" w:cs="Times New Roman"/>
                <w:color w:val="auto"/>
                <w:sz w:val="21"/>
                <w:szCs w:val="21"/>
                <w:highlight w:val="none"/>
              </w:rPr>
              <w:t>声压级约在</w:t>
            </w:r>
            <w:r>
              <w:rPr>
                <w:rFonts w:hint="default" w:ascii="Times New Roman" w:hAnsi="Times New Roman" w:cs="Times New Roman"/>
                <w:color w:val="auto"/>
                <w:sz w:val="21"/>
                <w:szCs w:val="21"/>
                <w:highlight w:val="none"/>
                <w:lang w:val="en-US" w:eastAsia="zh-CN"/>
              </w:rPr>
              <w:t>85~89</w:t>
            </w:r>
            <w:r>
              <w:rPr>
                <w:rFonts w:hint="default" w:ascii="Times New Roman" w:hAnsi="Times New Roman" w:eastAsia="宋体" w:cs="Times New Roman"/>
                <w:color w:val="auto"/>
                <w:sz w:val="21"/>
                <w:szCs w:val="21"/>
                <w:highlight w:val="none"/>
              </w:rPr>
              <w:t>dB（A）</w:t>
            </w:r>
            <w:r>
              <w:rPr>
                <w:rFonts w:hint="default" w:ascii="Times New Roman" w:hAnsi="Times New Roman" w:eastAsia="宋体" w:cs="Times New Roman"/>
                <w:color w:val="auto"/>
                <w:sz w:val="21"/>
                <w:szCs w:val="21"/>
                <w:highlight w:val="none"/>
                <w:lang w:eastAsia="zh-CN"/>
              </w:rPr>
              <w:t>左右</w:t>
            </w:r>
            <w:r>
              <w:rPr>
                <w:rFonts w:hint="default" w:ascii="Times New Roman" w:hAnsi="Times New Roman" w:eastAsia="宋体" w:cs="Times New Roman"/>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采取的噪声治理措施为：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1）在保证工艺生产的同时注意选用低噪声的设备。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2）对振动较大的设备考虑设备基础的隔振、减振。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3）利用建（构）筑物隔声降噪。</w:t>
            </w:r>
          </w:p>
          <w:p>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采用设备基础的减振、厂房墙、窗隔声可减少</w:t>
            </w:r>
            <w:r>
              <w:rPr>
                <w:rFonts w:hint="default" w:ascii="Times New Roman" w:hAnsi="Times New Roman" w:eastAsia="宋体"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～2</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dB</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的噪声级，本项目新增设备设置了基础的减振措施，设备均设置在厂房内采用厂房隔声，噪声治理措施及效果如下</w:t>
            </w:r>
            <w:r>
              <w:rPr>
                <w:rFonts w:hint="default" w:ascii="Times New Roman" w:hAnsi="Times New Roman" w:eastAsia="宋体" w:cs="Times New Roman"/>
                <w:b w:val="0"/>
                <w:bCs/>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auto"/>
                <w:kern w:val="0"/>
                <w:sz w:val="21"/>
                <w:szCs w:val="21"/>
                <w:highlight w:val="none"/>
                <w:lang w:val="zh-CN" w:eastAsia="zh-CN"/>
              </w:rPr>
            </w:pPr>
            <w:r>
              <w:rPr>
                <w:rFonts w:hint="default" w:ascii="Times New Roman" w:hAnsi="Times New Roman" w:eastAsia="宋体" w:cs="Times New Roman"/>
                <w:b/>
                <w:color w:val="auto"/>
                <w:kern w:val="0"/>
                <w:sz w:val="21"/>
                <w:szCs w:val="21"/>
                <w:highlight w:val="none"/>
                <w:lang w:val="en-US" w:eastAsia="zh-CN"/>
              </w:rPr>
              <w:t>表4-</w:t>
            </w:r>
            <w:r>
              <w:rPr>
                <w:rFonts w:hint="default" w:ascii="Times New Roman" w:hAnsi="Times New Roman" w:cs="Times New Roman"/>
                <w:b/>
                <w:color w:val="auto"/>
                <w:kern w:val="0"/>
                <w:sz w:val="21"/>
                <w:szCs w:val="21"/>
                <w:highlight w:val="none"/>
                <w:lang w:val="en-US" w:eastAsia="zh-CN"/>
              </w:rPr>
              <w:t>10</w:t>
            </w:r>
            <w:r>
              <w:rPr>
                <w:rFonts w:hint="default" w:ascii="Times New Roman" w:hAnsi="Times New Roman" w:eastAsia="宋体" w:cs="Times New Roman"/>
                <w:b/>
                <w:color w:val="auto"/>
                <w:kern w:val="0"/>
                <w:sz w:val="21"/>
                <w:szCs w:val="21"/>
                <w:highlight w:val="none"/>
                <w:lang w:val="en-US" w:eastAsia="zh-CN"/>
              </w:rPr>
              <w:t xml:space="preserve"> </w:t>
            </w:r>
            <w:r>
              <w:rPr>
                <w:rFonts w:hint="default" w:ascii="Times New Roman" w:hAnsi="Times New Roman" w:cs="Times New Roman"/>
                <w:b/>
                <w:color w:val="auto"/>
                <w:kern w:val="0"/>
                <w:sz w:val="21"/>
                <w:szCs w:val="21"/>
                <w:highlight w:val="none"/>
                <w:lang w:val="en-US" w:eastAsia="zh-CN"/>
              </w:rPr>
              <w:t xml:space="preserve"> </w:t>
            </w:r>
            <w:r>
              <w:rPr>
                <w:rFonts w:hint="default" w:ascii="Times New Roman" w:hAnsi="Times New Roman" w:eastAsia="宋体" w:cs="Times New Roman"/>
                <w:b/>
                <w:color w:val="auto"/>
                <w:kern w:val="0"/>
                <w:sz w:val="21"/>
                <w:szCs w:val="21"/>
                <w:highlight w:val="none"/>
                <w:lang w:val="en-US" w:eastAsia="zh-CN" w:bidi="ar"/>
              </w:rPr>
              <w:t>项目噪声源强调查清单（室内声源）</w:t>
            </w:r>
          </w:p>
          <w:tbl>
            <w:tblPr>
              <w:tblStyle w:val="36"/>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865"/>
              <w:gridCol w:w="865"/>
              <w:gridCol w:w="865"/>
              <w:gridCol w:w="865"/>
              <w:gridCol w:w="866"/>
              <w:gridCol w:w="866"/>
              <w:gridCol w:w="866"/>
              <w:gridCol w:w="871"/>
              <w:gridCol w:w="866"/>
              <w:gridCol w:w="868"/>
              <w:gridCol w:w="1048"/>
              <w:gridCol w:w="866"/>
              <w:gridCol w:w="866"/>
              <w:gridCol w:w="866"/>
              <w:gridCol w:w="86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8" w:hRule="atLeast"/>
                <w:jc w:val="center"/>
              </w:trPr>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建筑物名称</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声源名称</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数量（台）</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声源源强</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声源控制措施</w:t>
                  </w:r>
                </w:p>
              </w:tc>
              <w:tc>
                <w:tcPr>
                  <w:tcW w:w="986" w:type="pct"/>
                  <w:gridSpan w:val="3"/>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空间相对位置/m</w:t>
                  </w:r>
                </w:p>
              </w:tc>
              <w:tc>
                <w:tcPr>
                  <w:tcW w:w="657" w:type="pct"/>
                  <w:gridSpan w:val="2"/>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距室内边界距离/m</w:t>
                  </w:r>
                </w:p>
              </w:tc>
              <w:tc>
                <w:tcPr>
                  <w:tcW w:w="397"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室内边界声级dB（A）</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运行时段</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建筑物插入损失/dB（A）</w:t>
                  </w:r>
                </w:p>
              </w:tc>
              <w:tc>
                <w:tcPr>
                  <w:tcW w:w="657" w:type="pct"/>
                  <w:gridSpan w:val="2"/>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建筑物外噪声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87"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b/>
                      <w:bCs/>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b/>
                      <w:bCs/>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b/>
                      <w:bCs/>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单台噪声值dB（A）</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b/>
                      <w:bCs/>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X</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Y</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Z</w:t>
                  </w:r>
                </w:p>
              </w:tc>
              <w:tc>
                <w:tcPr>
                  <w:tcW w:w="657" w:type="pct"/>
                  <w:gridSpan w:val="2"/>
                  <w:vMerge w:val="continue"/>
                  <w:tcBorders>
                    <w:tl2br w:val="nil"/>
                    <w:tr2bl w:val="nil"/>
                  </w:tcBorders>
                  <w:shd w:val="clear" w:color="auto" w:fill="auto"/>
                  <w:vAlign w:val="center"/>
                </w:tcPr>
                <w:p>
                  <w:pPr>
                    <w:jc w:val="center"/>
                    <w:rPr>
                      <w:rFonts w:hint="default" w:ascii="Times New Roman" w:hAnsi="Times New Roman" w:eastAsia="宋体" w:cs="Times New Roman"/>
                      <w:b/>
                      <w:bCs/>
                      <w:i w:val="0"/>
                      <w:iCs w:val="0"/>
                      <w:color w:val="auto"/>
                      <w:sz w:val="21"/>
                      <w:szCs w:val="21"/>
                      <w:highlight w:val="none"/>
                      <w:u w:val="none"/>
                    </w:rPr>
                  </w:pPr>
                </w:p>
              </w:tc>
              <w:tc>
                <w:tcPr>
                  <w:tcW w:w="397" w:type="pct"/>
                  <w:vMerge w:val="continue"/>
                  <w:tcBorders>
                    <w:tl2br w:val="nil"/>
                    <w:tr2bl w:val="nil"/>
                  </w:tcBorders>
                  <w:shd w:val="clear" w:color="auto" w:fill="auto"/>
                  <w:vAlign w:val="center"/>
                </w:tcPr>
                <w:p>
                  <w:pPr>
                    <w:jc w:val="center"/>
                    <w:rPr>
                      <w:rFonts w:hint="default" w:ascii="Times New Roman" w:hAnsi="Times New Roman" w:eastAsia="宋体" w:cs="Times New Roman"/>
                      <w:b/>
                      <w:bCs/>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b/>
                      <w:bCs/>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b/>
                      <w:bCs/>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声压级dB（A）</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建筑物外距离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8" w:hRule="atLeast"/>
                <w:jc w:val="center"/>
              </w:trPr>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生产车间</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数码印花机</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88</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隔声、减振、隔声罩降噪</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-33</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-45</w:t>
                  </w:r>
                </w:p>
              </w:tc>
              <w:tc>
                <w:tcPr>
                  <w:tcW w:w="3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东</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33</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46.63 </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全天16h</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26.63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44</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44.13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24.13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西</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33</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46.63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26.63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45</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43.94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23.94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数码印花机</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88</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隔声、减振、隔声罩降噪</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-42</w:t>
                  </w:r>
                </w:p>
              </w:tc>
              <w:tc>
                <w:tcPr>
                  <w:tcW w:w="3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东</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47.46 </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全天16h</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27.46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47</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43.56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23.56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西</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36</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45.87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25.87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42</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44.54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24.54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高温染色机</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87</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隔声、减振、隔声罩降噪</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-52</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-35</w:t>
                  </w:r>
                </w:p>
              </w:tc>
              <w:tc>
                <w:tcPr>
                  <w:tcW w:w="3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2.3</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东</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52</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41.68 </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全天16h</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21.68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54</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41.35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21.35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西</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53.08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33.08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35</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45.12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25.12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高温染色机</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87</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隔声、减振、隔声罩降噪</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-48</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-33</w:t>
                  </w:r>
                </w:p>
              </w:tc>
              <w:tc>
                <w:tcPr>
                  <w:tcW w:w="3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2.3</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东</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48</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42.38 </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全天16h</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22.38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56</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41.04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21.04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西</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50.89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30.89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33</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45.63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25.63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高温染色机</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87</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隔声、减振、隔声罩降噪</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-45</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3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2.3</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东</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45</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42.94 </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全天16h</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22.94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59</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40.58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20.58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122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西</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49.56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29.56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46.46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26.46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风机</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89</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隔声、减振、隔声罩降噪</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-40</w:t>
                  </w:r>
                </w:p>
              </w:tc>
              <w:tc>
                <w:tcPr>
                  <w:tcW w:w="3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东</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48.46 </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全天16h</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28.46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49</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44.20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24.20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西</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36</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46.87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26.87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40</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45.96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25.96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3"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风机</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89</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隔声、减振、隔声罩降噪</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-42</w:t>
                  </w:r>
                </w:p>
              </w:tc>
              <w:tc>
                <w:tcPr>
                  <w:tcW w:w="3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东</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48.46 </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全天16h</w:t>
                  </w:r>
                </w:p>
              </w:tc>
              <w:tc>
                <w:tcPr>
                  <w:tcW w:w="328"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28.46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47</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44.56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24.56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西</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36</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46.87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26.87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9"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北</w:t>
                  </w: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42</w:t>
                  </w:r>
                </w:p>
              </w:tc>
              <w:tc>
                <w:tcPr>
                  <w:tcW w:w="397"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45.54 </w:t>
                  </w: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auto"/>
                      <w:sz w:val="21"/>
                      <w:szCs w:val="21"/>
                      <w:highlight w:val="none"/>
                      <w:u w:val="none"/>
                    </w:rPr>
                  </w:pPr>
                </w:p>
              </w:tc>
              <w:tc>
                <w:tcPr>
                  <w:tcW w:w="328"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25.54 </w:t>
                  </w:r>
                </w:p>
              </w:tc>
              <w:tc>
                <w:tcPr>
                  <w:tcW w:w="329" w:type="pc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96</w:t>
                  </w:r>
                </w:p>
              </w:tc>
            </w:tr>
          </w:tbl>
          <w:p>
            <w:pPr>
              <w:spacing w:line="360" w:lineRule="auto"/>
              <w:rPr>
                <w:rFonts w:hint="default" w:ascii="Times New Roman" w:hAnsi="Times New Roman" w:cs="Times New Roman"/>
                <w:color w:val="auto"/>
                <w:spacing w:val="0"/>
                <w:sz w:val="21"/>
                <w:szCs w:val="21"/>
                <w:highlight w:val="none"/>
                <w:lang w:val="en-US" w:eastAsia="zh-CN"/>
              </w:rPr>
            </w:pPr>
          </w:p>
        </w:tc>
      </w:tr>
    </w:tbl>
    <w:p>
      <w:pPr>
        <w:pStyle w:val="67"/>
        <w:rPr>
          <w:rFonts w:hint="default" w:ascii="Times New Roman" w:hAnsi="Times New Roman" w:cs="Times New Roman"/>
          <w:color w:val="auto"/>
          <w:highlight w:val="none"/>
        </w:rPr>
        <w:sectPr>
          <w:pgSz w:w="16840" w:h="11907" w:orient="landscape"/>
          <w:pgMar w:top="1531" w:right="1701" w:bottom="1531" w:left="1701" w:header="851" w:footer="1077" w:gutter="0"/>
          <w:pgBorders>
            <w:top w:val="none" w:sz="0" w:space="0"/>
            <w:left w:val="none" w:sz="0" w:space="0"/>
            <w:bottom w:val="none" w:sz="0" w:space="0"/>
            <w:right w:val="none" w:sz="0" w:space="0"/>
          </w:pgBorders>
          <w:pgNumType w:fmt="decimal"/>
          <w:cols w:space="720" w:num="1"/>
          <w:docGrid w:linePitch="312" w:charSpace="0"/>
        </w:sectPr>
      </w:pPr>
    </w:p>
    <w:tbl>
      <w:tblPr>
        <w:tblStyle w:val="36"/>
        <w:tblW w:w="517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6"/>
        <w:gridCol w:w="987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93" w:hRule="atLeast"/>
          <w:jc w:val="center"/>
        </w:trPr>
        <w:tc>
          <w:tcPr>
            <w:tcW w:w="311" w:type="pct"/>
            <w:noWrap w:val="0"/>
            <w:tcMar>
              <w:left w:w="28" w:type="dxa"/>
              <w:right w:w="28" w:type="dxa"/>
            </w:tcMar>
            <w:vAlign w:val="center"/>
          </w:tcPr>
          <w:p>
            <w:pPr>
              <w:pStyle w:val="33"/>
              <w:adjustRightInd w:val="0"/>
              <w:snapToGrid w:val="0"/>
              <w:spacing w:before="0" w:beforeAutospacing="0" w:after="0" w:afterAutospacing="0"/>
              <w:jc w:val="center"/>
              <w:rPr>
                <w:rFonts w:hint="default" w:ascii="Times New Roman" w:hAnsi="Times New Roman" w:eastAsia="宋体" w:cs="Times New Roman"/>
                <w:bCs/>
                <w:color w:val="auto"/>
                <w:spacing w:val="0"/>
                <w:kern w:val="2"/>
                <w:sz w:val="21"/>
                <w:szCs w:val="21"/>
                <w:highlight w:val="none"/>
                <w:lang w:eastAsia="zh-CN"/>
              </w:rPr>
            </w:pPr>
            <w:r>
              <w:rPr>
                <w:rFonts w:hint="default" w:ascii="Times New Roman" w:hAnsi="Times New Roman" w:eastAsia="宋体" w:cs="Times New Roman"/>
                <w:bCs/>
                <w:color w:val="auto"/>
                <w:spacing w:val="0"/>
                <w:kern w:val="2"/>
                <w:sz w:val="21"/>
                <w:szCs w:val="21"/>
                <w:highlight w:val="none"/>
              </w:rPr>
              <w:t>运营期</w:t>
            </w:r>
            <w:r>
              <w:rPr>
                <w:rFonts w:hint="default" w:ascii="Times New Roman" w:hAnsi="Times New Roman" w:cs="Times New Roman"/>
                <w:bCs/>
                <w:color w:val="auto"/>
                <w:spacing w:val="0"/>
                <w:kern w:val="2"/>
                <w:sz w:val="21"/>
                <w:szCs w:val="21"/>
                <w:highlight w:val="none"/>
                <w:lang w:val="en-US" w:eastAsia="zh-CN"/>
              </w:rPr>
              <w:t>环境保护措施</w:t>
            </w:r>
          </w:p>
        </w:tc>
        <w:tc>
          <w:tcPr>
            <w:tcW w:w="4688" w:type="pct"/>
            <w:noWrap w:val="0"/>
            <w:vAlign w:val="top"/>
          </w:tcPr>
          <w:p>
            <w:pPr>
              <w:adjustRightInd w:val="0"/>
              <w:snapToGrid w:val="0"/>
              <w:spacing w:line="360" w:lineRule="auto"/>
              <w:ind w:firstLine="420" w:firstLineChars="200"/>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z w:val="21"/>
                <w:szCs w:val="21"/>
                <w:highlight w:val="none"/>
                <w:lang w:val="en-US" w:eastAsia="zh-CN"/>
              </w:rPr>
              <w:t>本项目无室外声源。</w:t>
            </w:r>
          </w:p>
          <w:p>
            <w:pPr>
              <w:adjustRightInd w:val="0"/>
              <w:snapToGrid w:val="0"/>
              <w:spacing w:line="360" w:lineRule="auto"/>
              <w:ind w:firstLine="420" w:firstLineChars="20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）声环境影响分析</w:t>
            </w:r>
          </w:p>
          <w:p>
            <w:pPr>
              <w:adjustRightInd w:val="0"/>
              <w:snapToGrid w:val="0"/>
              <w:spacing w:line="360" w:lineRule="auto"/>
              <w:ind w:firstLine="420" w:firstLineChars="20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本次评价采用《环境影响评价技术导则</w:t>
            </w:r>
            <w:r>
              <w:rPr>
                <w:rFonts w:hint="default" w:ascii="Times New Roman" w:hAnsi="Times New Roman" w:cs="Times New Roman"/>
                <w:color w:val="auto"/>
                <w:highlight w:val="none"/>
                <w:lang w:val="en-US" w:eastAsia="zh-CN"/>
              </w:rPr>
              <w:t xml:space="preserve"> </w:t>
            </w:r>
            <w:r>
              <w:rPr>
                <w:rFonts w:hint="default" w:ascii="Times New Roman" w:hAnsi="Times New Roman" w:eastAsia="宋体" w:cs="Times New Roman"/>
                <w:color w:val="auto"/>
                <w:highlight w:val="none"/>
                <w:lang w:eastAsia="zh-CN"/>
              </w:rPr>
              <w:t>声环境》（HJ2.4-2021）中推荐的模式进行预测，用 A 声级计算，模式如下：</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室外声源在预测点的声压级计算：</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r</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w:t>
            </w:r>
            <w:r>
              <w:rPr>
                <w:rFonts w:hint="default" w:ascii="Times New Roman" w:hAnsi="Times New Roman" w:cs="Times New Roman"/>
                <w:color w:val="auto"/>
                <w:sz w:val="21"/>
                <w:szCs w:val="21"/>
                <w:highlight w:val="none"/>
                <w:vertAlign w:val="subscript"/>
                <w:lang w:eastAsia="zh-CN"/>
              </w:rPr>
              <w:t>（</w:t>
            </w:r>
            <w:r>
              <w:rPr>
                <w:rFonts w:hint="default" w:ascii="Times New Roman" w:hAnsi="Times New Roman" w:cs="Times New Roman"/>
                <w:color w:val="auto"/>
                <w:sz w:val="21"/>
                <w:szCs w:val="21"/>
                <w:highlight w:val="none"/>
                <w:vertAlign w:val="subscript"/>
              </w:rPr>
              <w:t>ro</w:t>
            </w:r>
            <w:r>
              <w:rPr>
                <w:rFonts w:hint="default" w:ascii="Times New Roman" w:hAnsi="Times New Roman" w:cs="Times New Roman"/>
                <w:color w:val="auto"/>
                <w:sz w:val="21"/>
                <w:szCs w:val="21"/>
                <w:highlight w:val="none"/>
                <w:vertAlign w:val="subscript"/>
                <w:lang w:eastAsia="zh-CN"/>
              </w:rPr>
              <w:t>）</w:t>
            </w:r>
            <w:r>
              <w:rPr>
                <w:rFonts w:hint="default" w:ascii="Times New Roman" w:hAnsi="Times New Roman" w:cs="Times New Roman"/>
                <w:color w:val="auto"/>
                <w:sz w:val="21"/>
                <w:szCs w:val="21"/>
                <w:highlight w:val="none"/>
              </w:rPr>
              <w:t>+D</w:t>
            </w:r>
            <w:r>
              <w:rPr>
                <w:rFonts w:hint="default" w:ascii="Times New Roman" w:hAnsi="Times New Roman" w:cs="Times New Roman"/>
                <w:color w:val="auto"/>
                <w:sz w:val="21"/>
                <w:szCs w:val="21"/>
                <w:highlight w:val="none"/>
                <w:vertAlign w:val="subscript"/>
              </w:rPr>
              <w:t>c</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div</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bar</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atm</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gr</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misc</w:t>
            </w:r>
            <w:r>
              <w:rPr>
                <w:rFonts w:hint="default" w:ascii="Times New Roman" w:hAnsi="Times New Roman" w:cs="Times New Roman"/>
                <w:color w:val="auto"/>
                <w:sz w:val="21"/>
                <w:szCs w:val="21"/>
                <w:highlight w:val="none"/>
                <w:lang w:eastAsia="zh-CN"/>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式中：L</w:t>
            </w:r>
            <w:r>
              <w:rPr>
                <w:rFonts w:hint="default" w:ascii="Times New Roman" w:hAnsi="Times New Roman" w:cs="Times New Roman"/>
                <w:color w:val="auto"/>
                <w:sz w:val="21"/>
                <w:szCs w:val="21"/>
                <w:highlight w:val="none"/>
                <w:vertAlign w:val="subscript"/>
              </w:rPr>
              <w:t>p</w:t>
            </w:r>
            <w:r>
              <w:rPr>
                <w:rFonts w:hint="default" w:ascii="Times New Roman" w:hAnsi="Times New Roman" w:cs="Times New Roman"/>
                <w:color w:val="auto"/>
                <w:sz w:val="21"/>
                <w:szCs w:val="21"/>
                <w:highlight w:val="none"/>
              </w:rPr>
              <w:t>（r）—预测点处的声压级，dB；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p（ro）</w:t>
            </w:r>
            <w:r>
              <w:rPr>
                <w:rFonts w:hint="default" w:ascii="Times New Roman" w:hAnsi="Times New Roman" w:cs="Times New Roman"/>
                <w:color w:val="auto"/>
                <w:sz w:val="21"/>
                <w:szCs w:val="21"/>
                <w:highlight w:val="none"/>
              </w:rPr>
              <w:t>—参考位置ro处声压级，dB；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div</w:t>
            </w:r>
            <w:r>
              <w:rPr>
                <w:rFonts w:hint="default" w:ascii="Times New Roman" w:hAnsi="Times New Roman" w:cs="Times New Roman"/>
                <w:color w:val="auto"/>
                <w:sz w:val="21"/>
                <w:szCs w:val="21"/>
                <w:highlight w:val="none"/>
              </w:rPr>
              <w:t>—几何发散引起的衰减，dB；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bar</w:t>
            </w:r>
            <w:r>
              <w:rPr>
                <w:rFonts w:hint="default" w:ascii="Times New Roman" w:hAnsi="Times New Roman" w:cs="Times New Roman"/>
                <w:color w:val="auto"/>
                <w:sz w:val="21"/>
                <w:szCs w:val="21"/>
                <w:highlight w:val="none"/>
              </w:rPr>
              <w:t>—障碍物屏蔽引起的衰减，dB；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atm</w:t>
            </w:r>
            <w:r>
              <w:rPr>
                <w:rFonts w:hint="default" w:ascii="Times New Roman" w:hAnsi="Times New Roman" w:cs="Times New Roman"/>
                <w:color w:val="auto"/>
                <w:sz w:val="21"/>
                <w:szCs w:val="21"/>
                <w:highlight w:val="none"/>
              </w:rPr>
              <w:t>—大气吸收引起的衰减，dB；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gr</w:t>
            </w:r>
            <w:r>
              <w:rPr>
                <w:rFonts w:hint="default" w:ascii="Times New Roman" w:hAnsi="Times New Roman" w:cs="Times New Roman"/>
                <w:color w:val="auto"/>
                <w:sz w:val="21"/>
                <w:szCs w:val="21"/>
                <w:highlight w:val="none"/>
              </w:rPr>
              <w:t>—地面效应引起的衰减，dB；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misc</w:t>
            </w:r>
            <w:r>
              <w:rPr>
                <w:rFonts w:hint="default" w:ascii="Times New Roman" w:hAnsi="Times New Roman" w:cs="Times New Roman"/>
                <w:color w:val="auto"/>
                <w:sz w:val="21"/>
                <w:szCs w:val="21"/>
                <w:highlight w:val="none"/>
              </w:rPr>
              <w:t>—其他多方面效应引起的衰减，dB</w:t>
            </w:r>
            <w:r>
              <w:rPr>
                <w:rFonts w:hint="default" w:ascii="Times New Roman" w:hAnsi="Times New Roman" w:cs="Times New Roman"/>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室内声源在预测点的声压级计算：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a、首先计算某个室内声源在靠近围护结构处的声压级：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p1</w:t>
            </w: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w</w:t>
            </w:r>
            <w:r>
              <w:rPr>
                <w:rFonts w:hint="default" w:ascii="Times New Roman" w:hAnsi="Times New Roman" w:cs="Times New Roman"/>
                <w:color w:val="auto"/>
                <w:sz w:val="21"/>
                <w:szCs w:val="21"/>
                <w:highlight w:val="none"/>
              </w:rPr>
              <w:t>+10lg（Q/4πr</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+4/R）</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式中：L</w:t>
            </w:r>
            <w:r>
              <w:rPr>
                <w:rFonts w:hint="default" w:ascii="Times New Roman" w:hAnsi="Times New Roman" w:cs="Times New Roman"/>
                <w:color w:val="auto"/>
                <w:sz w:val="21"/>
                <w:szCs w:val="21"/>
                <w:highlight w:val="none"/>
                <w:vertAlign w:val="subscript"/>
              </w:rPr>
              <w:t>p1</w:t>
            </w:r>
            <w:r>
              <w:rPr>
                <w:rFonts w:hint="default" w:ascii="Times New Roman" w:hAnsi="Times New Roman" w:cs="Times New Roman"/>
                <w:color w:val="auto"/>
                <w:sz w:val="21"/>
                <w:szCs w:val="21"/>
                <w:highlight w:val="none"/>
              </w:rPr>
              <w:t>—靠近开口处（或窗户）室内某倍频带的声压级或A声级；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w</w:t>
            </w:r>
            <w:r>
              <w:rPr>
                <w:rFonts w:hint="default" w:ascii="Times New Roman" w:hAnsi="Times New Roman" w:cs="Times New Roman"/>
                <w:color w:val="auto"/>
                <w:sz w:val="21"/>
                <w:szCs w:val="21"/>
                <w:highlight w:val="none"/>
              </w:rPr>
              <w:t>—点声源声功率级（A计权或倍频带），dB；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r—声源与靠近围护结构某点处的距离，m；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R—房间常数；R=Sa/（1-a），S为房间内表面积，m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，a为平均吸声系数；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Q—指向性因数；通常对无指向性声源，当声源放在房间中心时，Q=1；当放在一面墙的中心时，Q=2；当放在两面墙夹角处时，Q=4；当放在三面墙夹角处时，Q=8。b、计算所有室内声源在围护结构处产生的i倍频带叠加声压级：</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drawing>
                <wp:inline distT="0" distB="0" distL="114300" distR="114300">
                  <wp:extent cx="1290955" cy="381000"/>
                  <wp:effectExtent l="0" t="0" r="4445" b="0"/>
                  <wp:docPr id="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pic:cNvPicPr>
                            <a:picLocks noChangeAspect="1"/>
                          </pic:cNvPicPr>
                        </pic:nvPicPr>
                        <pic:blipFill>
                          <a:blip r:embed="rId22"/>
                          <a:stretch>
                            <a:fillRect/>
                          </a:stretch>
                        </pic:blipFill>
                        <pic:spPr>
                          <a:xfrm>
                            <a:off x="0" y="0"/>
                            <a:ext cx="1290955" cy="3810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式中：L</w:t>
            </w:r>
            <w:r>
              <w:rPr>
                <w:rFonts w:hint="default" w:ascii="Times New Roman" w:hAnsi="Times New Roman" w:cs="Times New Roman"/>
                <w:color w:val="auto"/>
                <w:sz w:val="21"/>
                <w:szCs w:val="21"/>
                <w:highlight w:val="none"/>
                <w:vertAlign w:val="subscript"/>
              </w:rPr>
              <w:t>pli</w:t>
            </w:r>
            <w:r>
              <w:rPr>
                <w:rFonts w:hint="default" w:ascii="Times New Roman" w:hAnsi="Times New Roman" w:cs="Times New Roman"/>
                <w:color w:val="auto"/>
                <w:sz w:val="21"/>
                <w:szCs w:val="21"/>
                <w:highlight w:val="none"/>
              </w:rPr>
              <w:t>（T）—靠近围护结构处室外N个声源i倍频带的叠加声压级，dB;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1ij</w:t>
            </w:r>
            <w:r>
              <w:rPr>
                <w:rFonts w:hint="default" w:ascii="Times New Roman" w:hAnsi="Times New Roman" w:cs="Times New Roman"/>
                <w:color w:val="auto"/>
                <w:sz w:val="21"/>
                <w:szCs w:val="21"/>
                <w:highlight w:val="none"/>
              </w:rPr>
              <w:t>—室内声源i倍频带的声压级，dB；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N—室内声源总数。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c、将室外声源的声压级和透过面积换算成等效的室外声源，计算出中心位置位于透声面积（S）处的等效声源的倍频带声功率级。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w</w:t>
            </w: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p2</w:t>
            </w:r>
            <w:r>
              <w:rPr>
                <w:rFonts w:hint="default" w:ascii="Times New Roman" w:hAnsi="Times New Roman" w:cs="Times New Roman"/>
                <w:color w:val="auto"/>
                <w:sz w:val="21"/>
                <w:szCs w:val="21"/>
                <w:highlight w:val="none"/>
              </w:rPr>
              <w:t>（T）+10lgS</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式中：L</w:t>
            </w:r>
            <w:r>
              <w:rPr>
                <w:rFonts w:hint="default" w:ascii="Times New Roman" w:hAnsi="Times New Roman" w:cs="Times New Roman"/>
                <w:color w:val="auto"/>
                <w:sz w:val="21"/>
                <w:szCs w:val="21"/>
                <w:highlight w:val="none"/>
                <w:vertAlign w:val="subscript"/>
              </w:rPr>
              <w:t>w</w:t>
            </w:r>
            <w:r>
              <w:rPr>
                <w:rFonts w:hint="default" w:ascii="Times New Roman" w:hAnsi="Times New Roman" w:cs="Times New Roman"/>
                <w:color w:val="auto"/>
                <w:sz w:val="21"/>
                <w:szCs w:val="21"/>
                <w:highlight w:val="none"/>
              </w:rPr>
              <w:t>—中心位置位于透声面积（S）处的等效声源的倍频带声功率级，dB;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p2</w:t>
            </w:r>
            <w:r>
              <w:rPr>
                <w:rFonts w:hint="default" w:ascii="Times New Roman" w:hAnsi="Times New Roman" w:cs="Times New Roman"/>
                <w:color w:val="auto"/>
                <w:sz w:val="21"/>
                <w:szCs w:val="21"/>
                <w:highlight w:val="none"/>
              </w:rPr>
              <w:t>（T）—靠近围护结构处室外声源的声压级，dB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S—透声面积，m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总声级的计算</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设第i个室外声源在预测点产生的A声级为L</w:t>
            </w:r>
            <w:r>
              <w:rPr>
                <w:rFonts w:hint="default" w:ascii="Times New Roman" w:hAnsi="Times New Roman" w:cs="Times New Roman"/>
                <w:color w:val="auto"/>
                <w:sz w:val="21"/>
                <w:szCs w:val="21"/>
                <w:highlight w:val="none"/>
                <w:vertAlign w:val="subscript"/>
              </w:rPr>
              <w:t>Ai</w:t>
            </w:r>
            <w:r>
              <w:rPr>
                <w:rFonts w:hint="default" w:ascii="Times New Roman" w:hAnsi="Times New Roman" w:cs="Times New Roman"/>
                <w:color w:val="auto"/>
                <w:sz w:val="21"/>
                <w:szCs w:val="21"/>
                <w:highlight w:val="none"/>
              </w:rPr>
              <w:t>，在T时间内该声源工作时间为t</w:t>
            </w:r>
            <w:r>
              <w:rPr>
                <w:rFonts w:hint="default" w:ascii="Times New Roman" w:hAnsi="Times New Roman" w:cs="Times New Roman"/>
                <w:color w:val="auto"/>
                <w:sz w:val="21"/>
                <w:szCs w:val="21"/>
                <w:highlight w:val="none"/>
                <w:vertAlign w:val="subscript"/>
              </w:rPr>
              <w:t>i</w:t>
            </w:r>
            <w:r>
              <w:rPr>
                <w:rFonts w:hint="default" w:ascii="Times New Roman" w:hAnsi="Times New Roman" w:cs="Times New Roman"/>
                <w:color w:val="auto"/>
                <w:sz w:val="21"/>
                <w:szCs w:val="21"/>
                <w:highlight w:val="none"/>
              </w:rPr>
              <w:t>；第j个等效室外声源在预测点产生的A声级为L</w:t>
            </w:r>
            <w:r>
              <w:rPr>
                <w:rFonts w:hint="default" w:ascii="Times New Roman" w:hAnsi="Times New Roman" w:cs="Times New Roman"/>
                <w:color w:val="auto"/>
                <w:sz w:val="21"/>
                <w:szCs w:val="21"/>
                <w:highlight w:val="none"/>
                <w:vertAlign w:val="subscript"/>
              </w:rPr>
              <w:t>Aj</w:t>
            </w:r>
            <w:r>
              <w:rPr>
                <w:rFonts w:hint="default" w:ascii="Times New Roman" w:hAnsi="Times New Roman" w:cs="Times New Roman"/>
                <w:color w:val="auto"/>
                <w:sz w:val="21"/>
                <w:szCs w:val="21"/>
                <w:highlight w:val="none"/>
              </w:rPr>
              <w:t>，在T时间内该声源工作时间为t</w:t>
            </w:r>
            <w:r>
              <w:rPr>
                <w:rFonts w:hint="default" w:ascii="Times New Roman" w:hAnsi="Times New Roman" w:cs="Times New Roman"/>
                <w:color w:val="auto"/>
                <w:sz w:val="21"/>
                <w:szCs w:val="21"/>
                <w:highlight w:val="none"/>
                <w:vertAlign w:val="subscript"/>
              </w:rPr>
              <w:t>j</w:t>
            </w:r>
            <w:r>
              <w:rPr>
                <w:rFonts w:hint="default" w:ascii="Times New Roman" w:hAnsi="Times New Roman" w:cs="Times New Roman"/>
                <w:color w:val="auto"/>
                <w:sz w:val="21"/>
                <w:szCs w:val="21"/>
                <w:highlight w:val="none"/>
              </w:rPr>
              <w:t>，则预测点的总有效声级为：</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drawing>
                <wp:inline distT="0" distB="0" distL="114300" distR="114300">
                  <wp:extent cx="2363470" cy="358140"/>
                  <wp:effectExtent l="0" t="0" r="13970" b="7620"/>
                  <wp:docPr id="4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5"/>
                          <pic:cNvPicPr>
                            <a:picLocks noChangeAspect="1"/>
                          </pic:cNvPicPr>
                        </pic:nvPicPr>
                        <pic:blipFill>
                          <a:blip r:embed="rId23"/>
                          <a:stretch>
                            <a:fillRect/>
                          </a:stretch>
                        </pic:blipFill>
                        <pic:spPr>
                          <a:xfrm>
                            <a:off x="0" y="0"/>
                            <a:ext cx="2363470" cy="358140"/>
                          </a:xfrm>
                          <a:prstGeom prst="rect">
                            <a:avLst/>
                          </a:prstGeom>
                          <a:noFill/>
                          <a:ln>
                            <a:noFill/>
                          </a:ln>
                        </pic:spPr>
                      </pic:pic>
                    </a:graphicData>
                  </a:graphic>
                </wp:inline>
              </w:drawing>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式中：T—计算等效声级的时间，s；</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N—室外声源个数；</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M—等效室外声源个数；</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 w:val="21"/>
                <w:szCs w:val="21"/>
                <w:highlight w:val="none"/>
              </w:rPr>
              <w:t>Leqg—建设项目声源在预测点产生的噪声贡献值，dB</w:t>
            </w:r>
            <w:r>
              <w:rPr>
                <w:rFonts w:hint="default" w:ascii="Times New Roman" w:hAnsi="Times New Roman" w:cs="Times New Roman"/>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4）参数确定</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①声波几何发散引起的A声级衰减量（Adiv）</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a、点声源：Adiv=20lg（r/ro）</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式中：r—预测点到噪声源距离，m；</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—参考点到噪声源距离，m。</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b、有限长线声源（设线声源长为L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当r&gt;L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，且r</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&gt;L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时：Adiv=20lg（r/r</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当r&lt;L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/3，且r</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&lt;L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/3时：Adiv=10lg（r/r</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当L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/3&lt;r&lt;L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，且L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/3&lt;r</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&lt;L</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时：Adiv=15lg（r/r</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c、面声源（设面声源高度为a，长度为b，且a＜b）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当预测点和面声源中心距离 r 处于以下条件时，可按下述方法近似计算：r＜a/π 时，几乎不衰减（Adiv ≈0）；当 a/π＜r＜b/π，距离加倍衰减3dB左右，类似线声源衰减特性Adiv≈10lg(r/r0 )；当r＞b/π时，距离加倍衰减趋近于6 dB，类似点声源衰减特性Adiv≈20lg(r/r0 )。其中面声源的 b＞a。</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②空气吸收衰减量Aatm</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Aatm＝a（r－ro）/1000</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Aatm ——大气吸收引起的衰减，dB； </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α——与温度、湿度和声波频率有关的大气吸收衰减系数，预测计算中一般根据建设项目所处区；</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域常年平均气温和湿度选择相应的大气吸收衰减系数； </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r ——预测点距声源的距离； </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r0——参考位置距声源的距离。</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本评价由于计算距离较近，Aatm计算值较小，故在计算时忽略此项。</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③遮挡物引起的衰减量Abar</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位于声源和预测点之间的实体障碍物，如围墙、建筑物、土坡、地堑或绿化林带都能起声屏障作用，从而引起声能量的衰减，具体衰减根据不同声级的传播途径而定，一般取20～25dB（A）。</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④附加衰减量Aexc</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导则规定，满足下列条件需考虑地面效应引起的附加衰减：①预测点距声源50m以上；②声源距地面高度和预测点距地面高度的平均值小于3m；③声源与预测点之间的地面被草地、灌木等覆盖（软地面）。此时，地面效应引起附加衰减量按下式计算：</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vertAlign w:val="subscript"/>
              </w:rPr>
              <w:t>exc</w:t>
            </w:r>
            <w:r>
              <w:rPr>
                <w:rFonts w:hint="default" w:ascii="Times New Roman" w:hAnsi="Times New Roman" w:cs="Times New Roman"/>
                <w:color w:val="auto"/>
                <w:sz w:val="21"/>
                <w:szCs w:val="21"/>
                <w:highlight w:val="none"/>
              </w:rPr>
              <w:t>=5lg（r/r</w:t>
            </w:r>
            <w:r>
              <w:rPr>
                <w:rFonts w:hint="default" w:ascii="Times New Roman" w:hAnsi="Times New Roman" w:cs="Times New Roman"/>
                <w:color w:val="auto"/>
                <w:sz w:val="21"/>
                <w:szCs w:val="21"/>
                <w:highlight w:val="none"/>
                <w:vertAlign w:val="subscript"/>
              </w:rPr>
              <w:t>o</w:t>
            </w:r>
            <w:r>
              <w:rPr>
                <w:rFonts w:hint="default" w:ascii="Times New Roman" w:hAnsi="Times New Roman" w:cs="Times New Roman"/>
                <w:color w:val="auto"/>
                <w:sz w:val="21"/>
                <w:szCs w:val="21"/>
                <w:highlight w:val="none"/>
              </w:rPr>
              <w:t>）</w:t>
            </w:r>
          </w:p>
          <w:p>
            <w:pPr>
              <w:adjustRightInd w:val="0"/>
              <w:snapToGrid w:val="0"/>
              <w:spacing w:line="360" w:lineRule="auto"/>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 w:val="21"/>
                <w:szCs w:val="21"/>
                <w:highlight w:val="none"/>
              </w:rPr>
              <w:t>不管传播距离多远，地面效应引起附加衰减量的上限为10dB（A）。根据厂区布置和噪声源强及外环境状况，本环评忽略不计</w:t>
            </w:r>
            <w:r>
              <w:rPr>
                <w:rFonts w:hint="default" w:ascii="Times New Roman" w:hAnsi="Times New Roman"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auto"/>
                <w:spacing w:val="4"/>
                <w:highlight w:val="none"/>
              </w:rPr>
            </w:pPr>
            <w:r>
              <w:rPr>
                <w:rFonts w:hint="default" w:ascii="Times New Roman" w:hAnsi="Times New Roman" w:cs="Times New Roman"/>
                <w:color w:val="auto"/>
                <w:szCs w:val="21"/>
                <w:highlight w:val="none"/>
                <w:lang w:val="en-US" w:eastAsia="zh-CN"/>
              </w:rPr>
              <w:t>现有项目噪声</w:t>
            </w:r>
            <w:r>
              <w:rPr>
                <w:rFonts w:hint="default" w:ascii="Times New Roman" w:hAnsi="Times New Roman" w:cs="Times New Roman"/>
                <w:color w:val="auto"/>
                <w:kern w:val="0"/>
                <w:szCs w:val="21"/>
                <w:highlight w:val="none"/>
                <w:lang w:val="en-US" w:eastAsia="zh-CN"/>
              </w:rPr>
              <w:t>根据</w:t>
            </w:r>
            <w:r>
              <w:rPr>
                <w:rFonts w:hint="default" w:ascii="Times New Roman" w:hAnsi="Times New Roman" w:eastAsia="宋体" w:cs="Times New Roman"/>
                <w:bCs/>
                <w:color w:val="auto"/>
                <w:kern w:val="2"/>
                <w:sz w:val="21"/>
                <w:szCs w:val="21"/>
                <w:highlight w:val="none"/>
                <w:lang w:val="en-US" w:eastAsia="zh-CN" w:bidi="ar-SA"/>
              </w:rPr>
              <w:t>山东信质环保科技有限公司2025年7月14日例行检测报告（报告编号：信质检字（2025）第 07099 号）</w:t>
            </w:r>
            <w:r>
              <w:rPr>
                <w:rFonts w:hint="default" w:ascii="Times New Roman" w:hAnsi="Times New Roman" w:cs="Times New Roman"/>
                <w:bCs/>
                <w:color w:val="auto"/>
                <w:kern w:val="2"/>
                <w:sz w:val="21"/>
                <w:szCs w:val="21"/>
                <w:highlight w:val="none"/>
                <w:lang w:val="en-US" w:eastAsia="zh-CN" w:bidi="ar-SA"/>
              </w:rPr>
              <w:t>，</w:t>
            </w:r>
            <w:r>
              <w:rPr>
                <w:rFonts w:hint="default" w:ascii="Times New Roman" w:hAnsi="Times New Roman" w:cs="Times New Roman"/>
                <w:color w:val="auto"/>
                <w:sz w:val="21"/>
                <w:szCs w:val="21"/>
                <w:highlight w:val="none"/>
              </w:rPr>
              <w:t>根据项目主要设备的噪声源情况</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利用以上预测模式和参数计算得各厂界的噪声贡献</w:t>
            </w:r>
            <w:r>
              <w:rPr>
                <w:rFonts w:hint="default" w:ascii="Times New Roman" w:hAnsi="Times New Roman" w:cs="Times New Roman"/>
                <w:color w:val="auto"/>
                <w:szCs w:val="24"/>
                <w:highlight w:val="none"/>
              </w:rPr>
              <w:t>值见下表</w:t>
            </w:r>
            <w:r>
              <w:rPr>
                <w:rFonts w:hint="default" w:ascii="Times New Roman" w:hAnsi="Times New Roman" w:eastAsia="宋体" w:cs="Times New Roman"/>
                <w:bCs/>
                <w:color w:val="auto"/>
                <w:kern w:val="2"/>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Style w:val="95"/>
                <w:rFonts w:hint="default" w:ascii="Times New Roman" w:hAnsi="Times New Roman" w:eastAsia="宋体" w:cs="Times New Roman"/>
                <w:b/>
                <w:bCs/>
                <w:color w:val="auto"/>
                <w:sz w:val="21"/>
                <w:szCs w:val="21"/>
                <w:highlight w:val="none"/>
                <w:lang w:bidi="ar"/>
              </w:rPr>
            </w:pPr>
            <w:r>
              <w:rPr>
                <w:rStyle w:val="95"/>
                <w:rFonts w:hint="default" w:ascii="Times New Roman" w:hAnsi="Times New Roman" w:eastAsia="宋体" w:cs="Times New Roman"/>
                <w:b/>
                <w:bCs/>
                <w:color w:val="auto"/>
                <w:sz w:val="21"/>
                <w:szCs w:val="21"/>
                <w:highlight w:val="none"/>
                <w:lang w:bidi="ar"/>
              </w:rPr>
              <w:t>表</w:t>
            </w:r>
            <w:r>
              <w:rPr>
                <w:rStyle w:val="95"/>
                <w:rFonts w:hint="default" w:ascii="Times New Roman" w:hAnsi="Times New Roman" w:eastAsia="宋体" w:cs="Times New Roman"/>
                <w:b/>
                <w:bCs/>
                <w:color w:val="auto"/>
                <w:sz w:val="21"/>
                <w:szCs w:val="21"/>
                <w:highlight w:val="none"/>
                <w:lang w:val="en-US" w:eastAsia="zh-CN" w:bidi="ar"/>
              </w:rPr>
              <w:t>4-1</w:t>
            </w:r>
            <w:r>
              <w:rPr>
                <w:rStyle w:val="95"/>
                <w:rFonts w:hint="default" w:ascii="Times New Roman" w:hAnsi="Times New Roman" w:cs="Times New Roman"/>
                <w:b/>
                <w:bCs/>
                <w:color w:val="auto"/>
                <w:sz w:val="21"/>
                <w:szCs w:val="21"/>
                <w:highlight w:val="none"/>
                <w:lang w:val="en-US" w:eastAsia="zh-CN" w:bidi="ar"/>
              </w:rPr>
              <w:t>1</w:t>
            </w:r>
            <w:r>
              <w:rPr>
                <w:rStyle w:val="95"/>
                <w:rFonts w:hint="default" w:ascii="Times New Roman" w:hAnsi="Times New Roman" w:eastAsia="宋体" w:cs="Times New Roman"/>
                <w:b/>
                <w:bCs/>
                <w:color w:val="auto"/>
                <w:sz w:val="21"/>
                <w:szCs w:val="21"/>
                <w:highlight w:val="none"/>
                <w:lang w:bidi="ar"/>
              </w:rPr>
              <w:t>厂界噪声</w:t>
            </w:r>
            <w:r>
              <w:rPr>
                <w:rStyle w:val="95"/>
                <w:rFonts w:hint="default" w:ascii="Times New Roman" w:hAnsi="Times New Roman" w:eastAsia="宋体" w:cs="Times New Roman"/>
                <w:b/>
                <w:bCs/>
                <w:color w:val="auto"/>
                <w:sz w:val="21"/>
                <w:szCs w:val="21"/>
                <w:highlight w:val="none"/>
                <w:lang w:val="en-US" w:eastAsia="zh-CN" w:bidi="ar"/>
              </w:rPr>
              <w:t>检测</w:t>
            </w:r>
            <w:r>
              <w:rPr>
                <w:rStyle w:val="95"/>
                <w:rFonts w:hint="default" w:ascii="Times New Roman" w:hAnsi="Times New Roman" w:eastAsia="宋体" w:cs="Times New Roman"/>
                <w:b/>
                <w:bCs/>
                <w:color w:val="auto"/>
                <w:sz w:val="21"/>
                <w:szCs w:val="21"/>
                <w:highlight w:val="none"/>
                <w:lang w:bidi="ar"/>
              </w:rPr>
              <w:t>结果</w:t>
            </w:r>
          </w:p>
          <w:tbl>
            <w:tblPr>
              <w:tblStyle w:val="36"/>
              <w:tblW w:w="4935"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12"/>
              <w:gridCol w:w="1471"/>
              <w:gridCol w:w="1987"/>
              <w:gridCol w:w="1335"/>
              <w:gridCol w:w="17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预测点</w:t>
                  </w:r>
                </w:p>
              </w:tc>
              <w:tc>
                <w:tcPr>
                  <w:tcW w:w="4129" w:type="pct"/>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昼间</w:t>
                  </w:r>
                  <w:r>
                    <w:rPr>
                      <w:rFonts w:hint="default" w:ascii="Times New Roman" w:hAnsi="Times New Roman" w:cs="Times New Roman"/>
                      <w:b/>
                      <w:bCs/>
                      <w:color w:val="auto"/>
                      <w:sz w:val="21"/>
                      <w:szCs w:val="21"/>
                      <w:highlight w:val="none"/>
                      <w:lang w:val="en-US" w:eastAsia="zh-CN"/>
                    </w:rPr>
                    <w:t>/夜间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b/>
                      <w:bCs/>
                      <w:color w:val="auto"/>
                      <w:sz w:val="21"/>
                      <w:szCs w:val="21"/>
                      <w:highlight w:val="none"/>
                    </w:rPr>
                  </w:pPr>
                </w:p>
              </w:tc>
              <w:tc>
                <w:tcPr>
                  <w:tcW w:w="6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贡献值</w:t>
                  </w:r>
                </w:p>
              </w:tc>
              <w:tc>
                <w:tcPr>
                  <w:tcW w:w="77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背景值</w:t>
                  </w:r>
                </w:p>
              </w:tc>
              <w:tc>
                <w:tcPr>
                  <w:tcW w:w="104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val="en-US" w:eastAsia="zh-CN"/>
                    </w:rPr>
                    <w:t>叠加值</w:t>
                  </w:r>
                </w:p>
              </w:tc>
              <w:tc>
                <w:tcPr>
                  <w:tcW w:w="70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标准</w:t>
                  </w:r>
                </w:p>
              </w:tc>
              <w:tc>
                <w:tcPr>
                  <w:tcW w:w="91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标准值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东厂界</w:t>
                  </w:r>
                </w:p>
              </w:tc>
              <w:tc>
                <w:tcPr>
                  <w:tcW w:w="690" w:type="pct"/>
                  <w:vMerge w:val="restar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31.11</w:t>
                  </w:r>
                </w:p>
              </w:tc>
              <w:tc>
                <w:tcPr>
                  <w:tcW w:w="774"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52.8</w:t>
                  </w:r>
                </w:p>
              </w:tc>
              <w:tc>
                <w:tcPr>
                  <w:tcW w:w="1045"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52.83</w:t>
                  </w:r>
                </w:p>
              </w:tc>
              <w:tc>
                <w:tcPr>
                  <w:tcW w:w="702" w:type="pct"/>
                  <w:tcBorders>
                    <w:tl2br w:val="nil"/>
                    <w:tr2bl w:val="nil"/>
                  </w:tcBorders>
                  <w:noWrap w:val="0"/>
                  <w:vAlign w:val="center"/>
                </w:tcPr>
                <w:p>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60</w:t>
                  </w:r>
                </w:p>
              </w:tc>
              <w:tc>
                <w:tcPr>
                  <w:tcW w:w="915"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kern w:val="0"/>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color w:val="auto"/>
                      <w:sz w:val="21"/>
                      <w:szCs w:val="21"/>
                      <w:highlight w:val="none"/>
                    </w:rPr>
                  </w:pPr>
                </w:p>
              </w:tc>
              <w:tc>
                <w:tcPr>
                  <w:tcW w:w="690" w:type="pct"/>
                  <w:vMerge w:val="continue"/>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p>
              </w:tc>
              <w:tc>
                <w:tcPr>
                  <w:tcW w:w="774"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47.9</w:t>
                  </w:r>
                </w:p>
              </w:tc>
              <w:tc>
                <w:tcPr>
                  <w:tcW w:w="1045"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47.99</w:t>
                  </w:r>
                </w:p>
              </w:tc>
              <w:tc>
                <w:tcPr>
                  <w:tcW w:w="702"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50</w:t>
                  </w:r>
                </w:p>
              </w:tc>
              <w:tc>
                <w:tcPr>
                  <w:tcW w:w="915" w:type="pct"/>
                  <w:vMerge w:val="continue"/>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南厂界</w:t>
                  </w:r>
                </w:p>
              </w:tc>
              <w:tc>
                <w:tcPr>
                  <w:tcW w:w="690" w:type="pct"/>
                  <w:vMerge w:val="restar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bookmarkStart w:id="44" w:name="OLE_LINK16"/>
                  <w:r>
                    <w:rPr>
                      <w:rFonts w:hint="default" w:ascii="Times New Roman" w:hAnsi="Times New Roman" w:cs="Times New Roman"/>
                      <w:color w:val="auto"/>
                      <w:kern w:val="0"/>
                      <w:sz w:val="21"/>
                      <w:szCs w:val="21"/>
                      <w:highlight w:val="none"/>
                      <w:lang w:val="en-US" w:eastAsia="zh-CN" w:bidi="ar-SA"/>
                    </w:rPr>
                    <w:t>31.25</w:t>
                  </w:r>
                  <w:bookmarkEnd w:id="44"/>
                </w:p>
              </w:tc>
              <w:tc>
                <w:tcPr>
                  <w:tcW w:w="774"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53.1</w:t>
                  </w:r>
                </w:p>
              </w:tc>
              <w:tc>
                <w:tcPr>
                  <w:tcW w:w="1045"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31.25</w:t>
                  </w:r>
                </w:p>
              </w:tc>
              <w:tc>
                <w:tcPr>
                  <w:tcW w:w="702" w:type="pct"/>
                  <w:tcBorders>
                    <w:tl2br w:val="nil"/>
                    <w:tr2bl w:val="nil"/>
                  </w:tcBorders>
                  <w:noWrap w:val="0"/>
                  <w:vAlign w:val="center"/>
                </w:tcPr>
                <w:p>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60</w:t>
                  </w:r>
                </w:p>
              </w:tc>
              <w:tc>
                <w:tcPr>
                  <w:tcW w:w="915" w:type="pct"/>
                  <w:vMerge w:val="restart"/>
                  <w:tcBorders>
                    <w:tl2br w:val="nil"/>
                    <w:tr2bl w:val="nil"/>
                  </w:tcBorders>
                  <w:noWrap w:val="0"/>
                  <w:vAlign w:val="center"/>
                </w:tcPr>
                <w:p>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87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color w:val="auto"/>
                      <w:sz w:val="21"/>
                      <w:szCs w:val="21"/>
                      <w:highlight w:val="none"/>
                    </w:rPr>
                  </w:pPr>
                </w:p>
              </w:tc>
              <w:tc>
                <w:tcPr>
                  <w:tcW w:w="690" w:type="pct"/>
                  <w:vMerge w:val="continue"/>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p>
              </w:tc>
              <w:tc>
                <w:tcPr>
                  <w:tcW w:w="774"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47.7</w:t>
                  </w:r>
                </w:p>
              </w:tc>
              <w:tc>
                <w:tcPr>
                  <w:tcW w:w="1045"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31.25</w:t>
                  </w:r>
                </w:p>
              </w:tc>
              <w:tc>
                <w:tcPr>
                  <w:tcW w:w="702"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50</w:t>
                  </w:r>
                </w:p>
              </w:tc>
              <w:tc>
                <w:tcPr>
                  <w:tcW w:w="915" w:type="pct"/>
                  <w:vMerge w:val="continue"/>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西厂界</w:t>
                  </w:r>
                </w:p>
              </w:tc>
              <w:tc>
                <w:tcPr>
                  <w:tcW w:w="690" w:type="pct"/>
                  <w:vMerge w:val="restar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36.42</w:t>
                  </w:r>
                </w:p>
              </w:tc>
              <w:tc>
                <w:tcPr>
                  <w:tcW w:w="774"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52.8</w:t>
                  </w:r>
                </w:p>
              </w:tc>
              <w:tc>
                <w:tcPr>
                  <w:tcW w:w="1045" w:type="pct"/>
                  <w:tcBorders>
                    <w:tl2br w:val="nil"/>
                    <w:tr2bl w:val="nil"/>
                  </w:tcBorders>
                  <w:noWrap w:val="0"/>
                  <w:vAlign w:val="center"/>
                </w:tcPr>
                <w:p>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52.9</w:t>
                  </w:r>
                </w:p>
              </w:tc>
              <w:tc>
                <w:tcPr>
                  <w:tcW w:w="702" w:type="pct"/>
                  <w:tcBorders>
                    <w:tl2br w:val="nil"/>
                    <w:tr2bl w:val="nil"/>
                  </w:tcBorders>
                  <w:noWrap w:val="0"/>
                  <w:vAlign w:val="center"/>
                </w:tcPr>
                <w:p>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60</w:t>
                  </w:r>
                </w:p>
              </w:tc>
              <w:tc>
                <w:tcPr>
                  <w:tcW w:w="915" w:type="pct"/>
                  <w:vMerge w:val="restart"/>
                  <w:tcBorders>
                    <w:tl2br w:val="nil"/>
                    <w:tr2bl w:val="nil"/>
                  </w:tcBorders>
                  <w:noWrap w:val="0"/>
                  <w:vAlign w:val="center"/>
                </w:tcPr>
                <w:p>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color w:val="auto"/>
                      <w:sz w:val="21"/>
                      <w:szCs w:val="21"/>
                      <w:highlight w:val="none"/>
                    </w:rPr>
                  </w:pPr>
                </w:p>
              </w:tc>
              <w:tc>
                <w:tcPr>
                  <w:tcW w:w="690" w:type="pct"/>
                  <w:vMerge w:val="continue"/>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p>
              </w:tc>
              <w:tc>
                <w:tcPr>
                  <w:tcW w:w="774"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47.5</w:t>
                  </w:r>
                </w:p>
              </w:tc>
              <w:tc>
                <w:tcPr>
                  <w:tcW w:w="1045"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47.83</w:t>
                  </w:r>
                </w:p>
              </w:tc>
              <w:tc>
                <w:tcPr>
                  <w:tcW w:w="702"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50</w:t>
                  </w:r>
                </w:p>
              </w:tc>
              <w:tc>
                <w:tcPr>
                  <w:tcW w:w="915" w:type="pct"/>
                  <w:vMerge w:val="continue"/>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北厂界</w:t>
                  </w:r>
                </w:p>
              </w:tc>
              <w:tc>
                <w:tcPr>
                  <w:tcW w:w="690" w:type="pct"/>
                  <w:vMerge w:val="restar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33.55</w:t>
                  </w:r>
                </w:p>
              </w:tc>
              <w:tc>
                <w:tcPr>
                  <w:tcW w:w="774"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54.0</w:t>
                  </w:r>
                </w:p>
              </w:tc>
              <w:tc>
                <w:tcPr>
                  <w:tcW w:w="1045" w:type="pct"/>
                  <w:tcBorders>
                    <w:tl2br w:val="nil"/>
                    <w:tr2bl w:val="nil"/>
                  </w:tcBorders>
                  <w:noWrap w:val="0"/>
                  <w:vAlign w:val="center"/>
                </w:tcPr>
                <w:p>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47.83</w:t>
                  </w:r>
                </w:p>
              </w:tc>
              <w:tc>
                <w:tcPr>
                  <w:tcW w:w="702" w:type="pct"/>
                  <w:tcBorders>
                    <w:tl2br w:val="nil"/>
                    <w:tr2bl w:val="nil"/>
                  </w:tcBorders>
                  <w:noWrap w:val="0"/>
                  <w:vAlign w:val="center"/>
                </w:tcPr>
                <w:p>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60</w:t>
                  </w:r>
                </w:p>
              </w:tc>
              <w:tc>
                <w:tcPr>
                  <w:tcW w:w="915" w:type="pct"/>
                  <w:vMerge w:val="restart"/>
                  <w:tcBorders>
                    <w:tl2br w:val="nil"/>
                    <w:tr2bl w:val="nil"/>
                  </w:tcBorders>
                  <w:noWrap w:val="0"/>
                  <w:vAlign w:val="center"/>
                </w:tcPr>
                <w:p>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cs="Times New Roman"/>
                      <w:color w:val="auto"/>
                      <w:sz w:val="21"/>
                      <w:szCs w:val="21"/>
                      <w:highlight w:val="none"/>
                    </w:rPr>
                  </w:pPr>
                </w:p>
              </w:tc>
              <w:tc>
                <w:tcPr>
                  <w:tcW w:w="690" w:type="pct"/>
                  <w:vMerge w:val="continue"/>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p>
              </w:tc>
              <w:tc>
                <w:tcPr>
                  <w:tcW w:w="774"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48.5</w:t>
                  </w:r>
                </w:p>
              </w:tc>
              <w:tc>
                <w:tcPr>
                  <w:tcW w:w="1045"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48.64</w:t>
                  </w:r>
                </w:p>
              </w:tc>
              <w:tc>
                <w:tcPr>
                  <w:tcW w:w="702"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50</w:t>
                  </w:r>
                </w:p>
              </w:tc>
              <w:tc>
                <w:tcPr>
                  <w:tcW w:w="915" w:type="pct"/>
                  <w:vMerge w:val="continue"/>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12"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水磨村</w:t>
                  </w:r>
                </w:p>
              </w:tc>
              <w:tc>
                <w:tcPr>
                  <w:tcW w:w="690"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30.52</w:t>
                  </w:r>
                </w:p>
              </w:tc>
              <w:tc>
                <w:tcPr>
                  <w:tcW w:w="774" w:type="pct"/>
                  <w:tcBorders>
                    <w:tl2br w:val="nil"/>
                    <w:tr2bl w:val="nil"/>
                  </w:tcBorders>
                  <w:noWrap w:val="0"/>
                  <w:vAlign w:val="center"/>
                </w:tcPr>
                <w:p>
                  <w:pPr>
                    <w:widowControl/>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50.4</w:t>
                  </w:r>
                </w:p>
              </w:tc>
              <w:tc>
                <w:tcPr>
                  <w:tcW w:w="1045"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50.44</w:t>
                  </w:r>
                </w:p>
              </w:tc>
              <w:tc>
                <w:tcPr>
                  <w:tcW w:w="702"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60</w:t>
                  </w:r>
                </w:p>
              </w:tc>
              <w:tc>
                <w:tcPr>
                  <w:tcW w:w="915" w:type="pct"/>
                  <w:tcBorders>
                    <w:tl2br w:val="nil"/>
                    <w:tr2bl w:val="nil"/>
                  </w:tcBorders>
                  <w:noWrap w:val="0"/>
                  <w:vAlign w:val="center"/>
                </w:tcPr>
                <w:p>
                  <w:pPr>
                    <w:widowControl/>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达标</w:t>
                  </w:r>
                </w:p>
              </w:tc>
            </w:tr>
          </w:tbl>
          <w:p>
            <w:pPr>
              <w:adjustRightInd w:val="0"/>
              <w:snapToGrid w:val="0"/>
              <w:spacing w:line="440" w:lineRule="exact"/>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经过预测，本项目厂区设备噪声采用上述设备减震，厂房隔声后，满足《工业企业厂界环境噪声排放标准》（GB12348-2008）2类标准。厂区东向敏感点水磨村昼间噪声值为50.44dB(A)，满足《声环境质量标准》（GB3096-2008）2类标准要求。因此，本项目在做好噪声治理措施后，设备噪声对周围环境不会造成太大影响。</w:t>
            </w:r>
          </w:p>
          <w:p>
            <w:pPr>
              <w:adjustRightInd w:val="0"/>
              <w:snapToGrid w:val="0"/>
              <w:spacing w:line="440" w:lineRule="exact"/>
              <w:ind w:firstLine="420" w:firstLineChars="20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w:t>
            </w:r>
            <w:r>
              <w:rPr>
                <w:rFonts w:hint="default" w:ascii="Times New Roman" w:hAnsi="Times New Roman" w:cs="Times New Roman"/>
                <w:color w:val="auto"/>
                <w:highlight w:val="none"/>
                <w:lang w:val="en-US" w:eastAsia="zh-CN"/>
              </w:rPr>
              <w:t>3</w:t>
            </w:r>
            <w:r>
              <w:rPr>
                <w:rFonts w:hint="default" w:ascii="Times New Roman" w:hAnsi="Times New Roman" w:eastAsia="宋体" w:cs="Times New Roman"/>
                <w:color w:val="auto"/>
                <w:highlight w:val="none"/>
                <w:lang w:eastAsia="zh-CN"/>
              </w:rPr>
              <w:t>）</w:t>
            </w:r>
            <w:r>
              <w:rPr>
                <w:rFonts w:hint="default" w:ascii="Times New Roman" w:hAnsi="Times New Roman" w:cs="Times New Roman"/>
                <w:color w:val="auto"/>
                <w:highlight w:val="none"/>
                <w:lang w:eastAsia="zh-CN"/>
              </w:rPr>
              <w:t>监测要求</w:t>
            </w:r>
          </w:p>
          <w:p>
            <w:pPr>
              <w:adjustRightInd w:val="0"/>
              <w:snapToGri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根据《排污单位自行监测技术指南总则》（HJ819-2017）</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同时需要执行《排污许可证申请与核发技术规范 工业噪声》</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HJ 1301—2023</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，厂界环境噪声每季度至少开展一次监测。委托有资质单位对昼间</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夜间</w:t>
            </w:r>
            <w:r>
              <w:rPr>
                <w:rFonts w:hint="default" w:ascii="Times New Roman" w:hAnsi="Times New Roman" w:cs="Times New Roman"/>
                <w:color w:val="auto"/>
                <w:szCs w:val="21"/>
                <w:highlight w:val="none"/>
              </w:rPr>
              <w:t>噪声进行监测。污染源的监测计划见下表。</w:t>
            </w:r>
          </w:p>
          <w:p>
            <w:pPr>
              <w:adjustRightInd w:val="0"/>
              <w:snapToGrid w:val="0"/>
              <w:spacing w:line="440" w:lineRule="exac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表4-1</w:t>
            </w:r>
            <w:r>
              <w:rPr>
                <w:rFonts w:hint="default" w:ascii="Times New Roman" w:hAnsi="Times New Roman" w:cs="Times New Roman"/>
                <w:b/>
                <w:bCs/>
                <w:color w:val="auto"/>
                <w:szCs w:val="21"/>
                <w:highlight w:val="none"/>
                <w:lang w:val="en-US" w:eastAsia="zh-CN"/>
              </w:rPr>
              <w:t>2</w:t>
            </w:r>
            <w:r>
              <w:rPr>
                <w:rFonts w:hint="default" w:ascii="Times New Roman" w:hAnsi="Times New Roman" w:cs="Times New Roman"/>
                <w:b/>
                <w:bCs/>
                <w:color w:val="auto"/>
                <w:szCs w:val="21"/>
                <w:highlight w:val="none"/>
              </w:rPr>
              <w:t>监测计划一览表</w:t>
            </w:r>
          </w:p>
          <w:tbl>
            <w:tblPr>
              <w:tblStyle w:val="36"/>
              <w:tblW w:w="4995"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1204"/>
              <w:gridCol w:w="5624"/>
              <w:gridCol w:w="15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pct"/>
                  <w:tcBorders>
                    <w:tl2br w:val="nil"/>
                    <w:tr2bl w:val="nil"/>
                  </w:tcBorders>
                  <w:noWrap w:val="0"/>
                  <w:vAlign w:val="center"/>
                </w:tcPr>
                <w:p>
                  <w:pPr>
                    <w:pStyle w:val="73"/>
                    <w:keepNext w:val="0"/>
                    <w:keepLines w:val="0"/>
                    <w:pageBreakBefore w:val="0"/>
                    <w:widowControl w:val="0"/>
                    <w:kinsoku/>
                    <w:wordWrap/>
                    <w:overflowPunct w:val="0"/>
                    <w:topLinePunct w:val="0"/>
                    <w:autoSpaceDE/>
                    <w:autoSpaceDN/>
                    <w:bidi w:val="0"/>
                    <w:adjustRightInd w:val="0"/>
                    <w:snapToGrid w:val="0"/>
                    <w:spacing w:line="312" w:lineRule="exact"/>
                    <w:ind w:firstLine="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类型</w:t>
                  </w:r>
                </w:p>
              </w:tc>
              <w:tc>
                <w:tcPr>
                  <w:tcW w:w="626" w:type="pct"/>
                  <w:tcBorders>
                    <w:tl2br w:val="nil"/>
                    <w:tr2bl w:val="nil"/>
                  </w:tcBorders>
                  <w:noWrap w:val="0"/>
                  <w:vAlign w:val="center"/>
                </w:tcPr>
                <w:p>
                  <w:pPr>
                    <w:pStyle w:val="73"/>
                    <w:keepNext w:val="0"/>
                    <w:keepLines w:val="0"/>
                    <w:pageBreakBefore w:val="0"/>
                    <w:widowControl w:val="0"/>
                    <w:kinsoku/>
                    <w:wordWrap/>
                    <w:overflowPunct w:val="0"/>
                    <w:topLinePunct w:val="0"/>
                    <w:autoSpaceDE/>
                    <w:autoSpaceDN/>
                    <w:bidi w:val="0"/>
                    <w:adjustRightInd w:val="0"/>
                    <w:snapToGrid w:val="0"/>
                    <w:spacing w:line="312" w:lineRule="exact"/>
                    <w:ind w:firstLine="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监测位置</w:t>
                  </w:r>
                </w:p>
              </w:tc>
              <w:tc>
                <w:tcPr>
                  <w:tcW w:w="2923" w:type="pct"/>
                  <w:tcBorders>
                    <w:tl2br w:val="nil"/>
                    <w:tr2bl w:val="nil"/>
                  </w:tcBorders>
                  <w:noWrap w:val="0"/>
                  <w:vAlign w:val="center"/>
                </w:tcPr>
                <w:p>
                  <w:pPr>
                    <w:pStyle w:val="73"/>
                    <w:keepNext w:val="0"/>
                    <w:keepLines w:val="0"/>
                    <w:pageBreakBefore w:val="0"/>
                    <w:widowControl w:val="0"/>
                    <w:kinsoku/>
                    <w:wordWrap/>
                    <w:overflowPunct w:val="0"/>
                    <w:topLinePunct w:val="0"/>
                    <w:autoSpaceDE/>
                    <w:autoSpaceDN/>
                    <w:bidi w:val="0"/>
                    <w:adjustRightInd w:val="0"/>
                    <w:snapToGrid w:val="0"/>
                    <w:spacing w:line="312" w:lineRule="exact"/>
                    <w:ind w:firstLine="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监测项目</w:t>
                  </w:r>
                </w:p>
              </w:tc>
              <w:tc>
                <w:tcPr>
                  <w:tcW w:w="783" w:type="pct"/>
                  <w:tcBorders>
                    <w:tl2br w:val="nil"/>
                    <w:tr2bl w:val="nil"/>
                  </w:tcBorders>
                  <w:noWrap w:val="0"/>
                  <w:vAlign w:val="center"/>
                </w:tcPr>
                <w:p>
                  <w:pPr>
                    <w:pStyle w:val="73"/>
                    <w:keepNext w:val="0"/>
                    <w:keepLines w:val="0"/>
                    <w:pageBreakBefore w:val="0"/>
                    <w:widowControl w:val="0"/>
                    <w:kinsoku/>
                    <w:wordWrap/>
                    <w:overflowPunct w:val="0"/>
                    <w:topLinePunct w:val="0"/>
                    <w:autoSpaceDE/>
                    <w:autoSpaceDN/>
                    <w:bidi w:val="0"/>
                    <w:adjustRightInd w:val="0"/>
                    <w:snapToGrid w:val="0"/>
                    <w:spacing w:line="312" w:lineRule="exact"/>
                    <w:ind w:firstLine="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pct"/>
                  <w:tcBorders>
                    <w:tl2br w:val="nil"/>
                    <w:tr2bl w:val="nil"/>
                  </w:tcBorders>
                  <w:noWrap w:val="0"/>
                  <w:vAlign w:val="center"/>
                </w:tcPr>
                <w:p>
                  <w:pPr>
                    <w:pStyle w:val="31"/>
                    <w:keepNext w:val="0"/>
                    <w:keepLines w:val="0"/>
                    <w:pageBreakBefore w:val="0"/>
                    <w:widowControl w:val="0"/>
                    <w:kinsoku/>
                    <w:wordWrap/>
                    <w:topLinePunct w:val="0"/>
                    <w:autoSpaceDE/>
                    <w:autoSpaceDN/>
                    <w:bidi w:val="0"/>
                    <w:adjustRightInd w:val="0"/>
                    <w:snapToGrid w:val="0"/>
                    <w:spacing w:after="0" w:line="312" w:lineRule="exact"/>
                    <w:ind w:left="0" w:leftChars="0" w:firstLine="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626" w:type="pct"/>
                  <w:tcBorders>
                    <w:tl2br w:val="nil"/>
                    <w:tr2bl w:val="nil"/>
                  </w:tcBorders>
                  <w:noWrap w:val="0"/>
                  <w:vAlign w:val="center"/>
                </w:tcPr>
                <w:p>
                  <w:pPr>
                    <w:pStyle w:val="31"/>
                    <w:keepNext w:val="0"/>
                    <w:keepLines w:val="0"/>
                    <w:pageBreakBefore w:val="0"/>
                    <w:widowControl w:val="0"/>
                    <w:kinsoku/>
                    <w:wordWrap/>
                    <w:topLinePunct w:val="0"/>
                    <w:autoSpaceDE/>
                    <w:autoSpaceDN/>
                    <w:bidi w:val="0"/>
                    <w:adjustRightInd w:val="0"/>
                    <w:snapToGrid w:val="0"/>
                    <w:spacing w:after="0" w:line="312" w:lineRule="exact"/>
                    <w:ind w:left="0" w:leftChars="0" w:firstLine="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厂界外1m</w:t>
                  </w:r>
                </w:p>
              </w:tc>
              <w:tc>
                <w:tcPr>
                  <w:tcW w:w="2923" w:type="pct"/>
                  <w:tcBorders>
                    <w:tl2br w:val="nil"/>
                    <w:tr2bl w:val="nil"/>
                  </w:tcBorders>
                  <w:noWrap w:val="0"/>
                  <w:vAlign w:val="center"/>
                </w:tcPr>
                <w:p>
                  <w:pPr>
                    <w:pStyle w:val="31"/>
                    <w:keepNext w:val="0"/>
                    <w:keepLines w:val="0"/>
                    <w:pageBreakBefore w:val="0"/>
                    <w:widowControl w:val="0"/>
                    <w:kinsoku/>
                    <w:wordWrap/>
                    <w:topLinePunct w:val="0"/>
                    <w:autoSpaceDE/>
                    <w:autoSpaceDN/>
                    <w:bidi w:val="0"/>
                    <w:adjustRightInd w:val="0"/>
                    <w:snapToGrid w:val="0"/>
                    <w:spacing w:after="0" w:line="312" w:lineRule="exact"/>
                    <w:ind w:left="0" w:leftChars="0" w:firstLine="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昼间</w:t>
                  </w:r>
                  <w:r>
                    <w:rPr>
                      <w:rFonts w:hint="default" w:ascii="Times New Roman" w:hAnsi="Times New Roman" w:cs="Times New Roman"/>
                      <w:color w:val="auto"/>
                      <w:sz w:val="21"/>
                      <w:szCs w:val="21"/>
                      <w:highlight w:val="none"/>
                    </w:rPr>
                    <w:t>Leq</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夜间</w:t>
                  </w:r>
                  <w:r>
                    <w:rPr>
                      <w:rFonts w:hint="default" w:ascii="Times New Roman" w:hAnsi="Times New Roman" w:cs="Times New Roman"/>
                      <w:color w:val="auto"/>
                      <w:sz w:val="21"/>
                      <w:szCs w:val="21"/>
                      <w:highlight w:val="none"/>
                    </w:rPr>
                    <w:t>Leq</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Lmax（夜间频发、偶发噪声需监测最大 A 声级 Lmax，频发噪声、偶发噪声在发生时进行监测。）</w:t>
                  </w:r>
                </w:p>
              </w:tc>
              <w:tc>
                <w:tcPr>
                  <w:tcW w:w="783" w:type="pct"/>
                  <w:tcBorders>
                    <w:tl2br w:val="nil"/>
                    <w:tr2bl w:val="nil"/>
                  </w:tcBorders>
                  <w:noWrap w:val="0"/>
                  <w:vAlign w:val="center"/>
                </w:tcPr>
                <w:p>
                  <w:pPr>
                    <w:pStyle w:val="31"/>
                    <w:keepNext w:val="0"/>
                    <w:keepLines w:val="0"/>
                    <w:pageBreakBefore w:val="0"/>
                    <w:widowControl w:val="0"/>
                    <w:kinsoku/>
                    <w:wordWrap/>
                    <w:topLinePunct w:val="0"/>
                    <w:autoSpaceDE/>
                    <w:autoSpaceDN/>
                    <w:bidi w:val="0"/>
                    <w:adjustRightInd w:val="0"/>
                    <w:snapToGrid w:val="0"/>
                    <w:spacing w:after="0" w:line="312" w:lineRule="exact"/>
                    <w:ind w:left="0" w:leftChars="0" w:firstLine="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1 次/季度</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4、固体废物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固体废物产生情况</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现有项目生产过程产生的固废主要为废包装材料、废边角料、废缝纫线轮、污泥、废机油、废油桶、废离子交换树脂、废活性炭、废灯管、废料桶。技改后项目固废种类新增固废废水性油墨桶，废活性炭产生量增加。</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①</w:t>
            </w:r>
            <w:r>
              <w:rPr>
                <w:rFonts w:hint="default" w:ascii="Times New Roman" w:hAnsi="Times New Roman" w:cs="Times New Roman"/>
                <w:color w:val="auto"/>
                <w:spacing w:val="0"/>
                <w:sz w:val="21"/>
                <w:szCs w:val="21"/>
                <w:highlight w:val="none"/>
                <w:lang w:val="en-US" w:eastAsia="zh-CN"/>
              </w:rPr>
              <w:t>废水性油墨桶：项目年产生废水性油墨桶1.92t/a（废水性油墨桶1600个，桶重1.2kg），根据《国家危险废物名录》（2025版），废水性油墨桶经厂家回收清洗后循环使用，根据《固体废物鉴别标准 通则》第6.1 a)规定:“任何不需要修复和加工即可用于其原始用途的物质，或者在产生点经过修复和加工后满足国家、地方制定或行业通行的产品质量标准并且用于其原始用途的物质”，可不作为固体废物进行管理。本项目生产过程产生的废水性油墨桶返回原生产厂家重新盛装原材料</w:t>
            </w:r>
            <w:r>
              <w:rPr>
                <w:rFonts w:hint="default" w:ascii="Times New Roman" w:hAnsi="Times New Roman" w:cs="Times New Roman"/>
                <w:color w:val="auto"/>
                <w:spacing w:val="0"/>
                <w:sz w:val="21"/>
                <w:szCs w:val="21"/>
                <w:highlight w:val="none"/>
                <w:u w:val="none"/>
                <w:lang w:val="en-US" w:eastAsia="zh-CN"/>
              </w:rPr>
              <w:t>，符合《固体废物鉴别标准 通则》第6.1 a)规定，废水性油墨桶可不作为固体废物进行管理，暂存在厂区内危废间内，厂家定期转移</w:t>
            </w:r>
            <w:r>
              <w:rPr>
                <w:rFonts w:hint="default" w:ascii="Times New Roman" w:hAnsi="Times New Roman" w:cs="Times New Roman"/>
                <w:color w:val="auto"/>
                <w:spacing w:val="0"/>
                <w:sz w:val="21"/>
                <w:szCs w:val="21"/>
                <w:highlight w:val="none"/>
                <w:lang w:val="en-US" w:eastAsia="zh-CN"/>
              </w:rPr>
              <w:t>。环评要求企业应做好台账记录，在贮存、转移等过程中做好环境污染防治措施。</w:t>
            </w:r>
          </w:p>
          <w:p>
            <w:pPr>
              <w:pStyle w:val="82"/>
              <w:shd w:val="clear" w:color="auto" w:fill="auto"/>
              <w:spacing w:line="360" w:lineRule="auto"/>
              <w:ind w:firstLine="480"/>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②</w:t>
            </w:r>
            <w:r>
              <w:rPr>
                <w:rFonts w:hint="default" w:ascii="Times New Roman" w:hAnsi="Times New Roman" w:cs="Times New Roman"/>
                <w:color w:val="auto"/>
                <w:spacing w:val="0"/>
                <w:sz w:val="21"/>
                <w:szCs w:val="21"/>
                <w:highlight w:val="none"/>
                <w:lang w:val="en-US" w:eastAsia="zh-CN"/>
              </w:rPr>
              <w:t>废活性炭：项目技改后新增VOCs排放，废活性炭产生量增加，本项目采用煤质颗粒活性炭，根据国家标准《煤质颗粒活性炭》（GB/T 7701-2023）规定：VOCs 吸附专用炭的VOCs吸附量≥35%，本项目取35%，根据前述计算，现有仅处理烧毛、定型产生的VOCs排放量为0.096t/a，按二级活性炭吸附效率</w:t>
            </w:r>
            <w:r>
              <w:rPr>
                <w:rFonts w:hint="eastAsia" w:ascii="Times New Roman" w:hAnsi="Times New Roman" w:cs="Times New Roman"/>
                <w:color w:val="auto"/>
                <w:spacing w:val="0"/>
                <w:sz w:val="21"/>
                <w:szCs w:val="21"/>
                <w:highlight w:val="none"/>
                <w:lang w:val="en-US" w:eastAsia="zh-CN"/>
              </w:rPr>
              <w:t>8</w:t>
            </w:r>
            <w:r>
              <w:rPr>
                <w:rFonts w:hint="default" w:ascii="Times New Roman" w:hAnsi="Times New Roman" w:cs="Times New Roman"/>
                <w:color w:val="auto"/>
                <w:spacing w:val="0"/>
                <w:sz w:val="21"/>
                <w:szCs w:val="21"/>
                <w:highlight w:val="none"/>
                <w:lang w:val="en-US" w:eastAsia="zh-CN"/>
              </w:rPr>
              <w:t>0%反推，现有项目烧毛、定型产生的VOCs收集量为</w:t>
            </w:r>
            <w:r>
              <w:rPr>
                <w:rFonts w:hint="eastAsia" w:ascii="Times New Roman" w:hAnsi="Times New Roman" w:cs="Times New Roman"/>
                <w:color w:val="auto"/>
                <w:spacing w:val="0"/>
                <w:sz w:val="21"/>
                <w:szCs w:val="21"/>
                <w:highlight w:val="none"/>
                <w:lang w:val="en-US" w:eastAsia="zh-CN"/>
              </w:rPr>
              <w:t>0.48</w:t>
            </w:r>
            <w:r>
              <w:rPr>
                <w:rFonts w:hint="default" w:ascii="Times New Roman" w:hAnsi="Times New Roman" w:cs="Times New Roman"/>
                <w:color w:val="auto"/>
                <w:spacing w:val="0"/>
                <w:sz w:val="21"/>
                <w:szCs w:val="21"/>
                <w:highlight w:val="none"/>
                <w:lang w:val="en-US" w:eastAsia="zh-CN"/>
              </w:rPr>
              <w:t>t/a，项目技改新增VOCs收集量为7.092t/a，项目活性炭装填量为2t，则技改后废活性炭产生量为</w:t>
            </w:r>
            <w:r>
              <w:rPr>
                <w:rFonts w:hint="eastAsia" w:ascii="Times New Roman" w:hAnsi="Times New Roman" w:cs="Times New Roman"/>
                <w:color w:val="auto"/>
                <w:spacing w:val="0"/>
                <w:sz w:val="21"/>
                <w:szCs w:val="21"/>
                <w:highlight w:val="none"/>
                <w:lang w:val="en-US" w:eastAsia="zh-CN"/>
              </w:rPr>
              <w:t>29.572</w:t>
            </w:r>
            <w:r>
              <w:rPr>
                <w:rFonts w:hint="default" w:ascii="Times New Roman" w:hAnsi="Times New Roman" w:cs="Times New Roman"/>
                <w:color w:val="auto"/>
                <w:spacing w:val="0"/>
                <w:sz w:val="21"/>
                <w:szCs w:val="21"/>
                <w:highlight w:val="none"/>
                <w:lang w:val="en-US" w:eastAsia="zh-CN"/>
              </w:rPr>
              <w:t>t/a，更换频次为1</w:t>
            </w:r>
            <w:r>
              <w:rPr>
                <w:rFonts w:hint="eastAsia" w:ascii="Times New Roman" w:hAnsi="Times New Roman" w:cs="Times New Roman"/>
                <w:color w:val="auto"/>
                <w:spacing w:val="0"/>
                <w:sz w:val="21"/>
                <w:szCs w:val="21"/>
                <w:highlight w:val="none"/>
                <w:lang w:val="en-US" w:eastAsia="zh-CN"/>
              </w:rPr>
              <w:t>1</w:t>
            </w:r>
            <w:r>
              <w:rPr>
                <w:rFonts w:hint="default" w:ascii="Times New Roman" w:hAnsi="Times New Roman" w:cs="Times New Roman"/>
                <w:color w:val="auto"/>
                <w:spacing w:val="0"/>
                <w:sz w:val="21"/>
                <w:szCs w:val="21"/>
                <w:highlight w:val="none"/>
                <w:lang w:val="en-US" w:eastAsia="zh-CN"/>
              </w:rPr>
              <w:t>次/年，利用厂区现有危废间贮存，委托有危废处置资质单位转运</w:t>
            </w:r>
            <w:r>
              <w:rPr>
                <w:rFonts w:hint="eastAsia" w:ascii="Times New Roman" w:hAnsi="Times New Roman" w:cs="Times New Roman"/>
                <w:color w:val="auto"/>
                <w:spacing w:val="0"/>
                <w:sz w:val="21"/>
                <w:szCs w:val="21"/>
                <w:highlight w:val="none"/>
                <w:lang w:val="en-US" w:eastAsia="zh-CN"/>
              </w:rPr>
              <w:t>，根据更换频次，废活性炭每年转运11次</w:t>
            </w:r>
            <w:r>
              <w:rPr>
                <w:rFonts w:hint="default" w:ascii="Times New Roman" w:hAnsi="Times New Roman" w:cs="Times New Roman"/>
                <w:color w:val="auto"/>
                <w:spacing w:val="0"/>
                <w:sz w:val="21"/>
                <w:szCs w:val="21"/>
                <w:highlight w:val="none"/>
                <w:lang w:val="en-US" w:eastAsia="zh-CN"/>
              </w:rPr>
              <w:t>。</w:t>
            </w:r>
          </w:p>
          <w:p>
            <w:pPr>
              <w:pStyle w:val="82"/>
              <w:shd w:val="clear" w:color="auto" w:fill="auto"/>
              <w:spacing w:line="360" w:lineRule="auto"/>
              <w:ind w:firstLine="480"/>
              <w:rPr>
                <w:rFonts w:hint="default" w:ascii="Times New Roman" w:hAnsi="Times New Roman" w:eastAsia="宋体" w:cs="Times New Roman"/>
                <w:color w:val="auto"/>
                <w:spacing w:val="0"/>
                <w:kern w:val="2"/>
                <w:sz w:val="21"/>
                <w:szCs w:val="21"/>
                <w:highlight w:val="none"/>
                <w:u w:val="none"/>
                <w:shd w:val="clear"/>
                <w:lang w:val="en-US" w:eastAsia="zh-CN" w:bidi="ar-SA"/>
              </w:rPr>
            </w:pPr>
            <w:r>
              <w:rPr>
                <w:rFonts w:hint="default" w:ascii="Times New Roman" w:hAnsi="Times New Roman" w:cs="Times New Roman"/>
                <w:color w:val="auto"/>
                <w:spacing w:val="0"/>
                <w:kern w:val="2"/>
                <w:sz w:val="21"/>
                <w:szCs w:val="21"/>
                <w:highlight w:val="none"/>
                <w:u w:val="none"/>
                <w:shd w:val="clear"/>
                <w:lang w:val="en-US" w:eastAsia="zh-CN" w:bidi="ar-SA"/>
              </w:rPr>
              <w:t>淄博市周村雅曼印染厂</w:t>
            </w:r>
            <w:r>
              <w:rPr>
                <w:rFonts w:hint="default" w:ascii="Times New Roman" w:hAnsi="Times New Roman" w:eastAsia="宋体" w:cs="Times New Roman"/>
                <w:color w:val="auto"/>
                <w:spacing w:val="0"/>
                <w:kern w:val="2"/>
                <w:sz w:val="21"/>
                <w:szCs w:val="21"/>
                <w:highlight w:val="none"/>
                <w:u w:val="none"/>
                <w:shd w:val="clear"/>
                <w:lang w:val="en-US" w:eastAsia="zh-CN" w:bidi="ar-SA"/>
              </w:rPr>
              <w:t>一般固态废物处置可基本满足要求。</w:t>
            </w:r>
          </w:p>
          <w:p>
            <w:pPr>
              <w:adjustRightInd w:val="0"/>
              <w:snapToGrid w:val="0"/>
              <w:spacing w:line="360" w:lineRule="auto"/>
              <w:ind w:firstLine="480"/>
              <w:rPr>
                <w:rFonts w:hint="default" w:ascii="Times New Roman" w:hAnsi="Times New Roman" w:eastAsia="宋体" w:cs="Times New Roman"/>
                <w:color w:val="auto"/>
                <w:spacing w:val="0"/>
                <w:kern w:val="2"/>
                <w:sz w:val="21"/>
                <w:szCs w:val="21"/>
                <w:highlight w:val="none"/>
                <w:u w:val="none"/>
                <w:shd w:val="clear"/>
                <w:lang w:val="en-US" w:eastAsia="zh-CN" w:bidi="ar-SA"/>
              </w:rPr>
            </w:pPr>
            <w:r>
              <w:rPr>
                <w:rFonts w:hint="default" w:ascii="Times New Roman" w:hAnsi="Times New Roman" w:cs="Times New Roman"/>
                <w:color w:val="auto"/>
                <w:spacing w:val="0"/>
                <w:kern w:val="2"/>
                <w:sz w:val="21"/>
                <w:szCs w:val="21"/>
                <w:highlight w:val="none"/>
                <w:u w:val="none"/>
                <w:shd w:val="clear"/>
                <w:lang w:val="en-US" w:eastAsia="zh-CN" w:bidi="ar-SA"/>
              </w:rPr>
              <w:t>淄博市周村雅曼印染厂</w:t>
            </w:r>
            <w:r>
              <w:rPr>
                <w:rFonts w:hint="default" w:ascii="Times New Roman" w:hAnsi="Times New Roman" w:eastAsia="宋体" w:cs="Times New Roman"/>
                <w:color w:val="auto"/>
                <w:spacing w:val="0"/>
                <w:kern w:val="2"/>
                <w:sz w:val="21"/>
                <w:szCs w:val="21"/>
                <w:highlight w:val="none"/>
                <w:u w:val="none"/>
                <w:shd w:val="clear"/>
                <w:lang w:val="en-US" w:eastAsia="zh-CN" w:bidi="ar-SA"/>
              </w:rPr>
              <w:t>全厂危险废物统一管理，建有一处危险废物暂存间，统一委托处置单位进行处置。危险废物暂存仓库位于厂区西北部，为全封闭结构，顶棚为钢架结构。危废暂存间地面为内倾设计，采用抗渗混凝土整体浇筑。</w:t>
            </w:r>
          </w:p>
          <w:p>
            <w:pPr>
              <w:adjustRightInd w:val="0"/>
              <w:snapToGrid w:val="0"/>
              <w:spacing w:line="360" w:lineRule="auto"/>
              <w:ind w:firstLine="480"/>
              <w:rPr>
                <w:rFonts w:hint="default" w:ascii="Times New Roman" w:hAnsi="Times New Roman" w:eastAsia="宋体" w:cs="Times New Roman"/>
                <w:color w:val="auto"/>
                <w:spacing w:val="0"/>
                <w:kern w:val="2"/>
                <w:sz w:val="21"/>
                <w:szCs w:val="21"/>
                <w:highlight w:val="none"/>
                <w:u w:val="none"/>
                <w:shd w:val="clear"/>
                <w:lang w:val="en-US" w:eastAsia="zh-CN" w:bidi="ar-SA"/>
              </w:rPr>
            </w:pPr>
            <w:r>
              <w:rPr>
                <w:rFonts w:hint="default" w:ascii="Times New Roman" w:hAnsi="Times New Roman" w:eastAsia="宋体" w:cs="Times New Roman"/>
                <w:color w:val="auto"/>
                <w:spacing w:val="0"/>
                <w:kern w:val="2"/>
                <w:sz w:val="21"/>
                <w:szCs w:val="21"/>
                <w:highlight w:val="none"/>
                <w:u w:val="none"/>
                <w:shd w:val="clear"/>
                <w:lang w:val="en-US" w:eastAsia="zh-CN" w:bidi="ar-SA"/>
              </w:rPr>
              <w:t>危险废物暂存现状如下：</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l2br w:val="nil"/>
                    <w:tr2bl w:val="nil"/>
                  </w:tcBorders>
                  <w:noWrap w:val="0"/>
                  <w:vAlign w:val="top"/>
                </w:tcPr>
                <w:p>
                  <w:pPr>
                    <w:jc w:val="cente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rPr>
                    <w:drawing>
                      <wp:inline distT="0" distB="0" distL="114300" distR="114300">
                        <wp:extent cx="4673600" cy="3368675"/>
                        <wp:effectExtent l="0" t="0" r="508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4673600" cy="3368675"/>
                                </a:xfrm>
                                <a:prstGeom prst="rect">
                                  <a:avLst/>
                                </a:prstGeom>
                                <a:noFill/>
                                <a:ln>
                                  <a:noFill/>
                                </a:ln>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淄博市周村雅曼印染厂</w:t>
            </w:r>
            <w:r>
              <w:rPr>
                <w:rFonts w:hint="default" w:ascii="Times New Roman" w:hAnsi="Times New Roman" w:eastAsia="宋体" w:cs="Times New Roman"/>
                <w:color w:val="auto"/>
                <w:spacing w:val="0"/>
                <w:sz w:val="21"/>
                <w:szCs w:val="21"/>
                <w:highlight w:val="none"/>
                <w:lang w:val="en-US" w:eastAsia="zh-CN"/>
              </w:rPr>
              <w:t>危险废物贮存场所（设施）基本情况见表4-1</w:t>
            </w:r>
            <w:r>
              <w:rPr>
                <w:rFonts w:hint="default" w:ascii="Times New Roman" w:hAnsi="Times New Roman"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lang w:val="en-US" w:eastAsia="zh-CN"/>
              </w:rPr>
              <w:t>。</w:t>
            </w:r>
          </w:p>
          <w:p>
            <w:pPr>
              <w:adjustRightInd w:val="0"/>
              <w:snapToGrid w:val="0"/>
              <w:spacing w:line="440" w:lineRule="exact"/>
              <w:jc w:val="center"/>
              <w:rPr>
                <w:rFonts w:hint="default" w:ascii="Times New Roman" w:hAnsi="Times New Roman" w:eastAsia="宋体" w:cs="Times New Roman"/>
                <w:b/>
                <w:bCs/>
                <w:color w:val="auto"/>
                <w:szCs w:val="21"/>
                <w:highlight w:val="none"/>
                <w:lang w:val="zh-TW" w:eastAsia="zh-TW"/>
              </w:rPr>
            </w:pPr>
            <w:r>
              <w:rPr>
                <w:rFonts w:hint="default" w:ascii="Times New Roman" w:hAnsi="Times New Roman" w:eastAsia="宋体" w:cs="Times New Roman"/>
                <w:b/>
                <w:bCs/>
                <w:color w:val="auto"/>
                <w:szCs w:val="21"/>
                <w:highlight w:val="none"/>
                <w:lang w:val="zh-TW" w:eastAsia="zh-TW"/>
              </w:rPr>
              <w:t>表4-1</w:t>
            </w:r>
            <w:r>
              <w:rPr>
                <w:rFonts w:hint="default" w:ascii="Times New Roman" w:hAnsi="Times New Roman" w:cs="Times New Roman"/>
                <w:b/>
                <w:bCs/>
                <w:color w:val="auto"/>
                <w:szCs w:val="21"/>
                <w:highlight w:val="none"/>
                <w:lang w:val="en-US" w:eastAsia="zh-CN"/>
              </w:rPr>
              <w:t>3</w:t>
            </w:r>
            <w:r>
              <w:rPr>
                <w:rFonts w:hint="default" w:ascii="Times New Roman" w:hAnsi="Times New Roman" w:eastAsia="宋体" w:cs="Times New Roman"/>
                <w:b/>
                <w:bCs/>
                <w:color w:val="auto"/>
                <w:szCs w:val="21"/>
                <w:highlight w:val="none"/>
                <w:lang w:val="zh-TW" w:eastAsia="zh-TW"/>
              </w:rPr>
              <w:t xml:space="preserve"> 建设项目危险废物贮存场所（设施）基本情况表</w:t>
            </w:r>
          </w:p>
          <w:tbl>
            <w:tblPr>
              <w:tblStyle w:val="36"/>
              <w:tblW w:w="9628" w:type="dxa"/>
              <w:tblInd w:w="-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2"/>
              <w:gridCol w:w="1275"/>
              <w:gridCol w:w="1500"/>
              <w:gridCol w:w="887"/>
              <w:gridCol w:w="1375"/>
              <w:gridCol w:w="791"/>
              <w:gridCol w:w="735"/>
              <w:gridCol w:w="675"/>
              <w:gridCol w:w="690"/>
              <w:gridCol w:w="12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2"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1275"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贮存场所（设施）名称</w:t>
                  </w:r>
                </w:p>
              </w:tc>
              <w:tc>
                <w:tcPr>
                  <w:tcW w:w="1500"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危险废物名称</w:t>
                  </w:r>
                </w:p>
              </w:tc>
              <w:tc>
                <w:tcPr>
                  <w:tcW w:w="887"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危险废物类别</w:t>
                  </w:r>
                </w:p>
              </w:tc>
              <w:tc>
                <w:tcPr>
                  <w:tcW w:w="1375"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危险废物代码</w:t>
                  </w:r>
                </w:p>
              </w:tc>
              <w:tc>
                <w:tcPr>
                  <w:tcW w:w="791"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位置</w:t>
                  </w:r>
                </w:p>
              </w:tc>
              <w:tc>
                <w:tcPr>
                  <w:tcW w:w="735"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占地面积</w:t>
                  </w:r>
                </w:p>
              </w:tc>
              <w:tc>
                <w:tcPr>
                  <w:tcW w:w="675"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贮存方式</w:t>
                  </w:r>
                </w:p>
              </w:tc>
              <w:tc>
                <w:tcPr>
                  <w:tcW w:w="690"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贮存</w:t>
                  </w:r>
                </w:p>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能力</w:t>
                  </w:r>
                </w:p>
              </w:tc>
              <w:tc>
                <w:tcPr>
                  <w:tcW w:w="1238" w:type="dxa"/>
                  <w:tcBorders>
                    <w:tl2br w:val="nil"/>
                    <w:tr2bl w:val="nil"/>
                  </w:tcBorders>
                  <w:noWrap w:val="0"/>
                  <w:vAlign w:val="center"/>
                </w:tcPr>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贮存</w:t>
                  </w:r>
                </w:p>
                <w:p>
                  <w:pPr>
                    <w:pStyle w:val="62"/>
                    <w:snapToGrid w:val="0"/>
                    <w:ind w:firstLine="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周期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2"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1275"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危废暂存间</w:t>
                  </w:r>
                </w:p>
              </w:tc>
              <w:tc>
                <w:tcPr>
                  <w:tcW w:w="1500"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废机油</w:t>
                  </w:r>
                </w:p>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废油桶</w:t>
                  </w:r>
                </w:p>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废活性炭</w:t>
                  </w:r>
                </w:p>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废灯管</w:t>
                  </w:r>
                </w:p>
              </w:tc>
              <w:tc>
                <w:tcPr>
                  <w:tcW w:w="887"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HW08</w:t>
                  </w:r>
                </w:p>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HW29</w:t>
                  </w:r>
                </w:p>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HW49</w:t>
                  </w:r>
                </w:p>
              </w:tc>
              <w:tc>
                <w:tcPr>
                  <w:tcW w:w="1375"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900-21</w:t>
                  </w: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-08</w:t>
                  </w:r>
                </w:p>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900-039-49</w:t>
                  </w:r>
                </w:p>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900-041-49 900-023-29</w:t>
                  </w:r>
                </w:p>
              </w:tc>
              <w:tc>
                <w:tcPr>
                  <w:tcW w:w="791"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厂区西北侧</w:t>
                  </w:r>
                </w:p>
              </w:tc>
              <w:tc>
                <w:tcPr>
                  <w:tcW w:w="735"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30</w:t>
                  </w:r>
                  <w:r>
                    <w:rPr>
                      <w:rFonts w:hint="default" w:ascii="Times New Roman" w:hAnsi="Times New Roman" w:eastAsia="宋体" w:cs="Times New Roman"/>
                      <w:color w:val="auto"/>
                      <w:highlight w:val="none"/>
                    </w:rPr>
                    <w:t>m</w:t>
                  </w:r>
                  <w:r>
                    <w:rPr>
                      <w:rFonts w:hint="default" w:ascii="Times New Roman" w:hAnsi="Times New Roman" w:eastAsia="宋体" w:cs="Times New Roman"/>
                      <w:color w:val="auto"/>
                      <w:highlight w:val="none"/>
                      <w:vertAlign w:val="superscript"/>
                    </w:rPr>
                    <w:t>2</w:t>
                  </w:r>
                </w:p>
              </w:tc>
              <w:tc>
                <w:tcPr>
                  <w:tcW w:w="675"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桶装</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袋装</w:t>
                  </w:r>
                </w:p>
              </w:tc>
              <w:tc>
                <w:tcPr>
                  <w:tcW w:w="690"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lang w:val="en-US" w:eastAsia="zh-CN"/>
                    </w:rPr>
                    <w:t>20</w:t>
                  </w:r>
                  <w:r>
                    <w:rPr>
                      <w:rFonts w:hint="default" w:ascii="Times New Roman" w:hAnsi="Times New Roman" w:eastAsia="宋体" w:cs="Times New Roman"/>
                      <w:color w:val="auto"/>
                      <w:highlight w:val="none"/>
                    </w:rPr>
                    <w:t>t</w:t>
                  </w:r>
                </w:p>
              </w:tc>
              <w:tc>
                <w:tcPr>
                  <w:tcW w:w="1238" w:type="dxa"/>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废机油</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废油桶</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废灯管</w:t>
                  </w:r>
                  <w:r>
                    <w:rPr>
                      <w:rFonts w:hint="default" w:ascii="Times New Roman" w:hAnsi="Times New Roman" w:cs="Times New Roman"/>
                      <w:color w:val="auto"/>
                      <w:highlight w:val="none"/>
                      <w:lang w:val="en-US" w:eastAsia="zh-CN"/>
                    </w:rPr>
                    <w:t>贮存周期</w:t>
                  </w:r>
                  <w:r>
                    <w:rPr>
                      <w:rFonts w:hint="default" w:ascii="Times New Roman" w:hAnsi="Times New Roman" w:eastAsia="宋体" w:cs="Times New Roman"/>
                      <w:color w:val="auto"/>
                      <w:highlight w:val="none"/>
                    </w:rPr>
                    <w:t>1年</w:t>
                  </w:r>
                  <w:r>
                    <w:rPr>
                      <w:rFonts w:hint="default" w:ascii="Times New Roman" w:hAnsi="Times New Roman" w:cs="Times New Roman"/>
                      <w:color w:val="auto"/>
                      <w:highlight w:val="none"/>
                      <w:lang w:val="en-US" w:eastAsia="zh-CN"/>
                    </w:rPr>
                    <w:t>，废活性炭贮存周期1个月</w:t>
                  </w:r>
                </w:p>
              </w:tc>
            </w:tr>
          </w:tbl>
          <w:p>
            <w:pPr>
              <w:adjustRightInd w:val="0"/>
              <w:snapToGrid w:val="0"/>
              <w:spacing w:line="440" w:lineRule="exact"/>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表4-1</w:t>
            </w:r>
            <w:r>
              <w:rPr>
                <w:rFonts w:hint="default" w:ascii="Times New Roman" w:hAnsi="Times New Roman" w:cs="Times New Roman"/>
                <w:b/>
                <w:bCs/>
                <w:color w:val="auto"/>
                <w:szCs w:val="21"/>
                <w:highlight w:val="none"/>
                <w:lang w:val="en-US" w:eastAsia="zh-CN"/>
              </w:rPr>
              <w:t>4</w:t>
            </w:r>
            <w:r>
              <w:rPr>
                <w:rFonts w:hint="eastAsia" w:cs="Times New Roman"/>
                <w:b/>
                <w:bCs/>
                <w:color w:val="auto"/>
                <w:szCs w:val="21"/>
                <w:highlight w:val="none"/>
                <w:lang w:val="en-US" w:eastAsia="zh-CN"/>
              </w:rPr>
              <w:t>技改新增</w:t>
            </w:r>
            <w:r>
              <w:rPr>
                <w:rFonts w:hint="default" w:ascii="Times New Roman" w:hAnsi="Times New Roman" w:eastAsia="宋体" w:cs="Times New Roman"/>
                <w:b/>
                <w:bCs/>
                <w:color w:val="auto"/>
                <w:szCs w:val="21"/>
                <w:highlight w:val="none"/>
                <w:lang w:val="en-US" w:eastAsia="zh-CN"/>
              </w:rPr>
              <w:t>固体废物汇总表</w:t>
            </w:r>
          </w:p>
          <w:tbl>
            <w:tblPr>
              <w:tblStyle w:val="36"/>
              <w:tblW w:w="499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2098"/>
              <w:gridCol w:w="1350"/>
              <w:gridCol w:w="1381"/>
              <w:gridCol w:w="1554"/>
              <w:gridCol w:w="1196"/>
              <w:gridCol w:w="138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5" w:type="pct"/>
                  <w:tcBorders>
                    <w:tl2br w:val="nil"/>
                    <w:tr2bl w:val="nil"/>
                  </w:tcBorders>
                  <w:noWrap w:val="0"/>
                  <w:tcMar>
                    <w:left w:w="0" w:type="dxa"/>
                    <w:right w:w="0" w:type="dxa"/>
                  </w:tcMar>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序号</w:t>
                  </w:r>
                </w:p>
              </w:tc>
              <w:tc>
                <w:tcPr>
                  <w:tcW w:w="1091"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固废名称</w:t>
                  </w:r>
                </w:p>
              </w:tc>
              <w:tc>
                <w:tcPr>
                  <w:tcW w:w="702"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来源</w:t>
                  </w:r>
                </w:p>
              </w:tc>
              <w:tc>
                <w:tcPr>
                  <w:tcW w:w="718"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产生量t/a</w:t>
                  </w:r>
                </w:p>
              </w:tc>
              <w:tc>
                <w:tcPr>
                  <w:tcW w:w="808"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处理措施</w:t>
                  </w:r>
                </w:p>
              </w:tc>
              <w:tc>
                <w:tcPr>
                  <w:tcW w:w="622"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排放量t/a</w:t>
                  </w:r>
                </w:p>
              </w:tc>
              <w:tc>
                <w:tcPr>
                  <w:tcW w:w="721" w:type="pct"/>
                  <w:tcBorders>
                    <w:tl2br w:val="nil"/>
                    <w:tr2bl w:val="nil"/>
                  </w:tcBorders>
                  <w:noWrap w:val="0"/>
                  <w:vAlign w:val="center"/>
                </w:tcPr>
                <w:p>
                  <w:pPr>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废物类别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5"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109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废水性油墨桶</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生产过程</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1.92</w:t>
                  </w:r>
                </w:p>
              </w:tc>
              <w:tc>
                <w:tcPr>
                  <w:tcW w:w="80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厂家回收</w:t>
                  </w:r>
                </w:p>
              </w:tc>
              <w:tc>
                <w:tcPr>
                  <w:tcW w:w="622" w:type="pct"/>
                  <w:vMerge w:val="restar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w:t>
                  </w:r>
                </w:p>
              </w:tc>
              <w:tc>
                <w:tcPr>
                  <w:tcW w:w="721" w:type="pct"/>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一般固废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5" w:type="pct"/>
                  <w:tcBorders>
                    <w:tl2br w:val="nil"/>
                    <w:tr2bl w:val="nil"/>
                  </w:tcBorders>
                  <w:noWrap w:val="0"/>
                  <w:tcMar>
                    <w:left w:w="0" w:type="dxa"/>
                    <w:right w:w="0" w:type="dxa"/>
                  </w:tcMar>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2</w:t>
                  </w:r>
                </w:p>
              </w:tc>
              <w:tc>
                <w:tcPr>
                  <w:tcW w:w="109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废活性炭（HW49 900-039-49</w:t>
                  </w:r>
                  <w:r>
                    <w:rPr>
                      <w:rFonts w:hint="default" w:ascii="Times New Roman" w:hAnsi="Times New Roman" w:cs="Times New Roman"/>
                      <w:bCs/>
                      <w:color w:val="auto"/>
                      <w:sz w:val="18"/>
                      <w:szCs w:val="18"/>
                      <w:highlight w:val="none"/>
                      <w:lang w:val="en-US" w:eastAsia="zh-CN"/>
                    </w:rPr>
                    <w:tab/>
                  </w:r>
                  <w:r>
                    <w:rPr>
                      <w:rFonts w:hint="default" w:ascii="Times New Roman" w:hAnsi="Times New Roman" w:cs="Times New Roman"/>
                      <w:bCs/>
                      <w:color w:val="auto"/>
                      <w:sz w:val="18"/>
                      <w:szCs w:val="18"/>
                      <w:highlight w:val="none"/>
                      <w:lang w:val="en-US" w:eastAsia="zh-CN"/>
                    </w:rPr>
                    <w:t>）</w:t>
                  </w:r>
                </w:p>
              </w:tc>
              <w:tc>
                <w:tcPr>
                  <w:tcW w:w="702" w:type="pct"/>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cs="Times New Roman"/>
                      <w:bCs/>
                      <w:color w:val="auto"/>
                      <w:sz w:val="18"/>
                      <w:szCs w:val="18"/>
                      <w:highlight w:val="none"/>
                      <w:lang w:val="en-US" w:eastAsia="zh-CN"/>
                    </w:rPr>
                    <w:t>环保设备</w:t>
                  </w:r>
                </w:p>
              </w:tc>
              <w:tc>
                <w:tcPr>
                  <w:tcW w:w="71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29.572</w:t>
                  </w:r>
                </w:p>
              </w:tc>
              <w:tc>
                <w:tcPr>
                  <w:tcW w:w="808"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kern w:val="2"/>
                      <w:sz w:val="18"/>
                      <w:szCs w:val="18"/>
                      <w:highlight w:val="none"/>
                      <w:lang w:val="en-US" w:eastAsia="zh-CN" w:bidi="ar-SA"/>
                    </w:rPr>
                  </w:pPr>
                  <w:r>
                    <w:rPr>
                      <w:rFonts w:hint="default" w:ascii="Times New Roman" w:hAnsi="Times New Roman" w:cs="Times New Roman"/>
                      <w:bCs/>
                      <w:color w:val="auto"/>
                      <w:kern w:val="2"/>
                      <w:sz w:val="18"/>
                      <w:szCs w:val="18"/>
                      <w:highlight w:val="none"/>
                      <w:lang w:val="en-US" w:eastAsia="zh-CN" w:bidi="ar-SA"/>
                    </w:rPr>
                    <w:t>委托有资质单位处置</w:t>
                  </w:r>
                </w:p>
              </w:tc>
              <w:tc>
                <w:tcPr>
                  <w:tcW w:w="622" w:type="pct"/>
                  <w:vMerge w:val="continue"/>
                  <w:tcBorders>
                    <w:tl2br w:val="nil"/>
                    <w:tr2bl w:val="nil"/>
                  </w:tcBorders>
                  <w:noWrap w:val="0"/>
                  <w:vAlign w:val="center"/>
                </w:tcPr>
                <w:p>
                  <w:pPr>
                    <w:adjustRightInd w:val="0"/>
                    <w:ind w:left="-111" w:leftChars="-53" w:right="-132" w:rightChars="-63"/>
                    <w:jc w:val="center"/>
                    <w:textAlignment w:val="baseline"/>
                    <w:rPr>
                      <w:rFonts w:hint="default" w:ascii="Times New Roman" w:hAnsi="Times New Roman" w:cs="Times New Roman"/>
                      <w:bCs/>
                      <w:color w:val="auto"/>
                      <w:kern w:val="2"/>
                      <w:sz w:val="18"/>
                      <w:szCs w:val="18"/>
                      <w:highlight w:val="none"/>
                      <w:lang w:val="en-US" w:eastAsia="zh-CN" w:bidi="ar-SA"/>
                    </w:rPr>
                  </w:pPr>
                </w:p>
              </w:tc>
              <w:tc>
                <w:tcPr>
                  <w:tcW w:w="721" w:type="pct"/>
                  <w:tcBorders>
                    <w:tl2br w:val="nil"/>
                    <w:tr2bl w:val="nil"/>
                  </w:tcBorders>
                  <w:noWrap w:val="0"/>
                  <w:vAlign w:val="center"/>
                </w:tcPr>
                <w:p>
                  <w:pPr>
                    <w:adjustRightInd w:val="0"/>
                    <w:ind w:left="-50" w:leftChars="-24" w:right="-42" w:rightChars="-2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危险废物</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企业严格落实固废相关管理制度，完善危废贮存、产生、出入库、转移等相关规定，按照《危险废物收集、贮存、运输技术规范》（HJ2025-2012）实施了危险废物收集、贮存、转移。</w:t>
            </w:r>
            <w:r>
              <w:rPr>
                <w:rFonts w:hint="default" w:ascii="Times New Roman" w:hAnsi="Times New Roman" w:cs="Times New Roman"/>
                <w:color w:val="auto"/>
                <w:spacing w:val="0"/>
                <w:sz w:val="21"/>
                <w:szCs w:val="21"/>
                <w:highlight w:val="none"/>
                <w:lang w:val="en-US" w:eastAsia="zh-CN"/>
              </w:rPr>
              <w:t>淄博市周村雅曼印染厂</w:t>
            </w:r>
            <w:r>
              <w:rPr>
                <w:rFonts w:hint="default" w:ascii="Times New Roman" w:hAnsi="Times New Roman" w:eastAsia="宋体" w:cs="Times New Roman"/>
                <w:color w:val="auto"/>
                <w:spacing w:val="0"/>
                <w:sz w:val="21"/>
                <w:szCs w:val="21"/>
                <w:highlight w:val="none"/>
                <w:lang w:val="en-US" w:eastAsia="zh-CN"/>
              </w:rPr>
              <w:t>危废的管理基本满足要求。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综上分析，项目运营期内严格落实本评价提出的各项固废处理处置措施后，一般固体废物可满足《中华人民共和国固体废物污染环境防治法》(GB18599-2020)中的相应规定；危险废物可满足《危险废物贮存污染控制标准》（GB18597-2023）中的相应规定，对周围环境影响不大。</w:t>
            </w:r>
          </w:p>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表4-1</w:t>
            </w:r>
            <w:r>
              <w:rPr>
                <w:rFonts w:hint="default" w:ascii="Times New Roman" w:hAnsi="Times New Roman" w:cs="Times New Roman"/>
                <w:b/>
                <w:bCs/>
                <w:color w:val="auto"/>
                <w:spacing w:val="0"/>
                <w:sz w:val="21"/>
                <w:szCs w:val="21"/>
                <w:highlight w:val="none"/>
                <w:lang w:val="en-US" w:eastAsia="zh-CN"/>
              </w:rPr>
              <w:t>5</w:t>
            </w:r>
            <w:r>
              <w:rPr>
                <w:rFonts w:hint="default" w:ascii="Times New Roman" w:hAnsi="Times New Roman" w:eastAsia="宋体" w:cs="Times New Roman"/>
                <w:b/>
                <w:bCs/>
                <w:color w:val="auto"/>
                <w:spacing w:val="0"/>
                <w:sz w:val="21"/>
                <w:szCs w:val="21"/>
                <w:highlight w:val="none"/>
                <w:lang w:val="en-US" w:eastAsia="zh-CN"/>
              </w:rPr>
              <w:t xml:space="preserve"> 监测计划一览表</w:t>
            </w:r>
          </w:p>
          <w:tbl>
            <w:tblPr>
              <w:tblStyle w:val="36"/>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2287"/>
              <w:gridCol w:w="3102"/>
              <w:gridCol w:w="31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1" w:type="pct"/>
                  <w:tcBorders>
                    <w:tl2br w:val="nil"/>
                    <w:tr2bl w:val="nil"/>
                  </w:tcBorders>
                  <w:noWrap w:val="0"/>
                  <w:vAlign w:val="center"/>
                </w:tcPr>
                <w:p>
                  <w:pPr>
                    <w:pStyle w:val="127"/>
                    <w:snapToGrid w:val="0"/>
                    <w:spacing w:before="0" w:after="0" w:line="240" w:lineRule="auto"/>
                    <w:ind w:firstLine="0" w:firstLineChars="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环境要素</w:t>
                  </w:r>
                </w:p>
              </w:tc>
              <w:tc>
                <w:tcPr>
                  <w:tcW w:w="1187" w:type="pct"/>
                  <w:tcBorders>
                    <w:tl2br w:val="nil"/>
                    <w:tr2bl w:val="nil"/>
                  </w:tcBorders>
                  <w:noWrap w:val="0"/>
                  <w:vAlign w:val="center"/>
                </w:tcPr>
                <w:p>
                  <w:pPr>
                    <w:pStyle w:val="127"/>
                    <w:snapToGrid w:val="0"/>
                    <w:spacing w:before="0" w:after="0" w:line="240" w:lineRule="auto"/>
                    <w:ind w:firstLine="0" w:firstLineChars="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监测位置</w:t>
                  </w:r>
                </w:p>
              </w:tc>
              <w:tc>
                <w:tcPr>
                  <w:tcW w:w="1610" w:type="pct"/>
                  <w:tcBorders>
                    <w:tl2br w:val="nil"/>
                    <w:tr2bl w:val="nil"/>
                  </w:tcBorders>
                  <w:noWrap w:val="0"/>
                  <w:vAlign w:val="center"/>
                </w:tcPr>
                <w:p>
                  <w:pPr>
                    <w:pStyle w:val="127"/>
                    <w:snapToGrid w:val="0"/>
                    <w:spacing w:before="0" w:after="0" w:line="240" w:lineRule="auto"/>
                    <w:ind w:firstLine="0" w:firstLineChars="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监测项目</w:t>
                  </w:r>
                </w:p>
              </w:tc>
              <w:tc>
                <w:tcPr>
                  <w:tcW w:w="1609" w:type="pct"/>
                  <w:tcBorders>
                    <w:tl2br w:val="nil"/>
                    <w:tr2bl w:val="nil"/>
                  </w:tcBorders>
                  <w:noWrap w:val="0"/>
                  <w:vAlign w:val="center"/>
                </w:tcPr>
                <w:p>
                  <w:pPr>
                    <w:pStyle w:val="127"/>
                    <w:snapToGrid w:val="0"/>
                    <w:spacing w:before="0" w:after="0" w:line="240" w:lineRule="auto"/>
                    <w:ind w:firstLine="0" w:firstLineChars="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1" w:type="pct"/>
                  <w:tcBorders>
                    <w:tl2br w:val="nil"/>
                    <w:tr2bl w:val="nil"/>
                  </w:tcBorders>
                  <w:noWrap w:val="0"/>
                  <w:vAlign w:val="center"/>
                </w:tcPr>
                <w:p>
                  <w:pPr>
                    <w:pStyle w:val="127"/>
                    <w:snapToGrid w:val="0"/>
                    <w:spacing w:before="0" w:after="0" w:line="240" w:lineRule="auto"/>
                    <w:ind w:firstLine="0" w:firstLineChars="0"/>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固废</w:t>
                  </w:r>
                </w:p>
              </w:tc>
              <w:tc>
                <w:tcPr>
                  <w:tcW w:w="1187" w:type="pct"/>
                  <w:tcBorders>
                    <w:tl2br w:val="nil"/>
                    <w:tr2bl w:val="nil"/>
                  </w:tcBorders>
                  <w:noWrap w:val="0"/>
                  <w:vAlign w:val="center"/>
                </w:tcPr>
                <w:p>
                  <w:pPr>
                    <w:pStyle w:val="127"/>
                    <w:snapToGrid w:val="0"/>
                    <w:spacing w:before="0" w:after="0" w:line="240" w:lineRule="auto"/>
                    <w:ind w:firstLine="0" w:firstLineChars="0"/>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统计各类固废量</w:t>
                  </w:r>
                </w:p>
              </w:tc>
              <w:tc>
                <w:tcPr>
                  <w:tcW w:w="1610" w:type="pct"/>
                  <w:tcBorders>
                    <w:tl2br w:val="nil"/>
                    <w:tr2bl w:val="nil"/>
                  </w:tcBorders>
                  <w:noWrap w:val="0"/>
                  <w:vAlign w:val="center"/>
                </w:tcPr>
                <w:p>
                  <w:pPr>
                    <w:pStyle w:val="127"/>
                    <w:snapToGrid w:val="0"/>
                    <w:spacing w:before="0" w:after="0" w:line="240" w:lineRule="auto"/>
                    <w:ind w:firstLine="0" w:firstLineChars="0"/>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产生量、贮存状况、处置去向</w:t>
                  </w:r>
                </w:p>
              </w:tc>
              <w:tc>
                <w:tcPr>
                  <w:tcW w:w="1609" w:type="pct"/>
                  <w:tcBorders>
                    <w:tl2br w:val="nil"/>
                    <w:tr2bl w:val="nil"/>
                  </w:tcBorders>
                  <w:noWrap w:val="0"/>
                  <w:vAlign w:val="center"/>
                </w:tcPr>
                <w:p>
                  <w:pPr>
                    <w:pStyle w:val="127"/>
                    <w:snapToGrid w:val="0"/>
                    <w:spacing w:before="0" w:after="0" w:line="240" w:lineRule="auto"/>
                    <w:ind w:firstLine="0" w:firstLineChars="0"/>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每季度统计一次</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综上，项目各类固废均能得到有效处理，对周围环境影响较小。</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5、地下水、土壤</w:t>
            </w:r>
          </w:p>
          <w:p>
            <w:pPr>
              <w:keepNext w:val="0"/>
              <w:keepLines w:val="0"/>
              <w:widowControl w:val="0"/>
              <w:numPr>
                <w:ilvl w:val="0"/>
                <w:numId w:val="0"/>
              </w:numPr>
              <w:suppressLineNumbers w:val="0"/>
              <w:tabs>
                <w:tab w:val="left" w:pos="0"/>
              </w:tabs>
              <w:autoSpaceDE w:val="0"/>
              <w:autoSpaceDN/>
              <w:adjustRightInd w:val="0"/>
              <w:snapToGrid w:val="0"/>
              <w:spacing w:before="0" w:beforeAutospacing="0" w:after="0" w:afterAutospacing="0" w:line="360" w:lineRule="auto"/>
              <w:ind w:leftChars="200" w:right="0" w:rightChars="0"/>
              <w:jc w:val="both"/>
              <w:rPr>
                <w:rFonts w:hint="default" w:ascii="Times New Roman" w:hAnsi="Times New Roman" w:eastAsia="宋体"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bidi="ar"/>
              </w:rPr>
              <w:t>（1）土壤环</w:t>
            </w:r>
            <w:r>
              <w:rPr>
                <w:rFonts w:hint="default" w:ascii="Times New Roman" w:hAnsi="Times New Roman" w:eastAsia="宋体" w:cs="Times New Roman"/>
                <w:color w:val="auto"/>
                <w:kern w:val="2"/>
                <w:sz w:val="21"/>
                <w:szCs w:val="21"/>
                <w:highlight w:val="none"/>
                <w:lang w:val="en-US" w:eastAsia="zh-CN" w:bidi="ar"/>
              </w:rPr>
              <w:t>境影响分析</w:t>
            </w:r>
          </w:p>
          <w:p>
            <w:pPr>
              <w:keepNext w:val="0"/>
              <w:keepLines w:val="0"/>
              <w:widowControl w:val="0"/>
              <w:suppressLineNumbers w:val="0"/>
              <w:autoSpaceDE w:val="0"/>
              <w:autoSpaceDN/>
              <w:adjustRightInd w:val="0"/>
              <w:snapToGrid w:val="0"/>
              <w:spacing w:before="0" w:beforeAutospacing="0" w:after="0" w:afterAutospacing="0" w:line="360" w:lineRule="auto"/>
              <w:ind w:left="0" w:right="0" w:firstLine="420" w:firstLineChars="200"/>
              <w:jc w:val="both"/>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
              </w:rPr>
              <w:t>土壤污染是指人类活动所产生的物质（污染物），通过各种途径进入土壤，其数量和速度超过了土壤的容纳能力和净化速度的现象。土壤污染可使土壤的性质、组成及性状等发生变化，使污染物质的积累过程逐渐占据优势，破坏土壤的自然动态平衡，从而导致土壤自然正常功能失调，土壤质量恶化，影响作物的生长发育，以致造成产量和质量的下降，并可通过食物链危害生物和人类健康。</w:t>
            </w:r>
          </w:p>
          <w:p>
            <w:pPr>
              <w:keepNext w:val="0"/>
              <w:keepLines w:val="0"/>
              <w:widowControl w:val="0"/>
              <w:suppressLineNumbers w:val="0"/>
              <w:autoSpaceDE w:val="0"/>
              <w:autoSpaceDN/>
              <w:adjustRightInd w:val="0"/>
              <w:snapToGrid w:val="0"/>
              <w:spacing w:before="0" w:beforeAutospacing="0" w:after="0" w:afterAutospacing="0" w:line="360" w:lineRule="auto"/>
              <w:ind w:left="0" w:right="0" w:firstLine="420" w:firstLineChars="200"/>
              <w:jc w:val="both"/>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
              </w:rPr>
              <w:t>企业排放的污染物</w:t>
            </w:r>
            <w:r>
              <w:rPr>
                <w:rFonts w:hint="default" w:ascii="Times New Roman" w:hAnsi="Times New Roman" w:cs="Times New Roman"/>
                <w:color w:val="auto"/>
                <w:kern w:val="2"/>
                <w:sz w:val="21"/>
                <w:szCs w:val="21"/>
                <w:highlight w:val="none"/>
                <w:lang w:val="en-US" w:eastAsia="zh-CN" w:bidi="ar"/>
              </w:rPr>
              <w:t>（颗粒物、二氧化硫、氮氧化物、非甲烷总烃）</w:t>
            </w:r>
            <w:r>
              <w:rPr>
                <w:rFonts w:hint="default" w:ascii="Times New Roman" w:hAnsi="Times New Roman" w:eastAsia="宋体" w:cs="Times New Roman"/>
                <w:color w:val="auto"/>
                <w:kern w:val="2"/>
                <w:sz w:val="21"/>
                <w:szCs w:val="21"/>
                <w:highlight w:val="none"/>
                <w:lang w:val="en-US" w:eastAsia="zh-CN" w:bidi="ar"/>
              </w:rPr>
              <w:t>对土壤质地性状有一定的影响。厂区全部硬化，并做防渗处理，并且项目运营期所产生的污染物均有妥善</w:t>
            </w:r>
            <w:r>
              <w:rPr>
                <w:rFonts w:hint="default" w:ascii="Times New Roman" w:hAnsi="Times New Roman" w:cs="Times New Roman"/>
                <w:color w:val="auto"/>
                <w:kern w:val="2"/>
                <w:sz w:val="21"/>
                <w:szCs w:val="21"/>
                <w:highlight w:val="none"/>
                <w:lang w:val="en-US" w:eastAsia="zh-CN" w:bidi="ar"/>
              </w:rPr>
              <w:t>地</w:t>
            </w:r>
            <w:r>
              <w:rPr>
                <w:rFonts w:hint="default" w:ascii="Times New Roman" w:hAnsi="Times New Roman" w:eastAsia="宋体" w:cs="Times New Roman"/>
                <w:color w:val="auto"/>
                <w:kern w:val="2"/>
                <w:sz w:val="21"/>
                <w:szCs w:val="21"/>
                <w:highlight w:val="none"/>
                <w:lang w:val="en-US" w:eastAsia="zh-CN" w:bidi="ar"/>
              </w:rPr>
              <w:t>处理处置措施，严格执行各项环保措施，污染物对土壤环境的影响较小。</w:t>
            </w:r>
          </w:p>
          <w:p>
            <w:pPr>
              <w:keepNext w:val="0"/>
              <w:keepLines w:val="0"/>
              <w:widowControl w:val="0"/>
              <w:suppressLineNumbers w:val="0"/>
              <w:autoSpaceDE w:val="0"/>
              <w:autoSpaceDN/>
              <w:adjustRightInd w:val="0"/>
              <w:snapToGrid w:val="0"/>
              <w:spacing w:before="0" w:beforeAutospacing="0" w:after="0" w:afterAutospacing="0" w:line="360" w:lineRule="auto"/>
              <w:ind w:left="0" w:right="0" w:firstLine="420" w:firstLineChars="200"/>
              <w:jc w:val="both"/>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bidi="ar"/>
              </w:rPr>
              <w:t>（2）</w:t>
            </w:r>
            <w:r>
              <w:rPr>
                <w:rFonts w:hint="default" w:ascii="Times New Roman" w:hAnsi="Times New Roman" w:eastAsia="宋体" w:cs="Times New Roman"/>
                <w:color w:val="auto"/>
                <w:kern w:val="2"/>
                <w:sz w:val="21"/>
                <w:szCs w:val="21"/>
                <w:highlight w:val="none"/>
                <w:lang w:val="en-US" w:eastAsia="zh-CN" w:bidi="ar"/>
              </w:rPr>
              <w:t>地下水环境影响分析</w:t>
            </w:r>
          </w:p>
          <w:p>
            <w:pPr>
              <w:keepNext w:val="0"/>
              <w:keepLines w:val="0"/>
              <w:widowControl w:val="0"/>
              <w:suppressLineNumbers w:val="0"/>
              <w:autoSpaceDE w:val="0"/>
              <w:autoSpaceDN/>
              <w:adjustRightInd w:val="0"/>
              <w:snapToGrid w:val="0"/>
              <w:spacing w:before="0" w:beforeAutospacing="0" w:after="0" w:afterAutospacing="0" w:line="360" w:lineRule="auto"/>
              <w:ind w:left="0" w:right="0" w:firstLine="420" w:firstLineChars="200"/>
              <w:jc w:val="both"/>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
              </w:rPr>
              <w:t>地下水污染是指由于人类活动使地下水的物理、化学和生物特征发生了变化，因而限制或妨碍它在各方面的正常使用。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eastAsiaTheme="minorEastAsia"/>
                <w:color w:val="auto"/>
                <w:szCs w:val="21"/>
                <w:highlight w:val="none"/>
                <w:lang w:val="en-US" w:eastAsia="zh-CN"/>
              </w:rPr>
              <w:t>本项目无生产用水；废水主要为职工生活污水，生活污水经化粪池处理后，委托环卫部门定期清运；</w:t>
            </w:r>
            <w:r>
              <w:rPr>
                <w:rFonts w:hint="default" w:ascii="Times New Roman" w:hAnsi="Times New Roman" w:cs="Times New Roman"/>
                <w:color w:val="auto"/>
                <w:sz w:val="21"/>
                <w:szCs w:val="21"/>
                <w:highlight w:val="none"/>
              </w:rPr>
              <w:t>不会</w:t>
            </w:r>
            <w:r>
              <w:rPr>
                <w:rFonts w:hint="default" w:ascii="Times New Roman" w:hAnsi="Times New Roman" w:cs="Times New Roman"/>
                <w:color w:val="auto"/>
                <w:sz w:val="21"/>
                <w:szCs w:val="21"/>
                <w:highlight w:val="none"/>
                <w:lang w:val="en-US" w:eastAsia="zh-CN"/>
              </w:rPr>
              <w:t>直接</w:t>
            </w:r>
            <w:r>
              <w:rPr>
                <w:rFonts w:hint="default" w:ascii="Times New Roman" w:hAnsi="Times New Roman" w:cs="Times New Roman"/>
                <w:color w:val="auto"/>
                <w:sz w:val="21"/>
                <w:szCs w:val="21"/>
                <w:highlight w:val="none"/>
              </w:rPr>
              <w:t>通过地表水和地下水的水力联系而进入地下水从而引起地下水水质的变化</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kern w:val="2"/>
                <w:sz w:val="21"/>
                <w:szCs w:val="21"/>
                <w:highlight w:val="none"/>
                <w:lang w:val="en-US" w:eastAsia="zh-CN" w:bidi="ar"/>
              </w:rPr>
              <w:t>对地下水环境的影响较小</w:t>
            </w:r>
            <w:r>
              <w:rPr>
                <w:rFonts w:hint="default" w:ascii="Times New Roman" w:hAnsi="Times New Roman" w:cs="Times New Roman"/>
                <w:color w:val="auto"/>
                <w:sz w:val="21"/>
                <w:szCs w:val="21"/>
                <w:highlight w:val="none"/>
              </w:rPr>
              <w:t>。</w:t>
            </w:r>
          </w:p>
          <w:p>
            <w:pPr>
              <w:pStyle w:val="125"/>
              <w:ind w:firstLine="42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为防止项目建成运营后对周围地下水、土壤环境造成污染，企业应加强对生产设施的管理和维护；制定环境管理制度，强化风险防范意识，加强环境保护工作</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各区域</w:t>
            </w:r>
            <w:r>
              <w:rPr>
                <w:rFonts w:hint="default" w:ascii="Times New Roman" w:hAnsi="Times New Roman" w:cs="Times New Roman"/>
                <w:color w:val="auto"/>
                <w:sz w:val="21"/>
                <w:szCs w:val="21"/>
                <w:highlight w:val="none"/>
                <w:lang w:val="en-US" w:eastAsia="zh-CN"/>
              </w:rPr>
              <w:t>已</w:t>
            </w:r>
            <w:r>
              <w:rPr>
                <w:rFonts w:hint="default" w:ascii="Times New Roman" w:hAnsi="Times New Roman" w:cs="Times New Roman"/>
                <w:color w:val="auto"/>
                <w:sz w:val="21"/>
                <w:szCs w:val="21"/>
                <w:highlight w:val="none"/>
              </w:rPr>
              <w:t>采取的具体防渗措施见下表</w:t>
            </w:r>
            <w:r>
              <w:rPr>
                <w:rFonts w:hint="default" w:ascii="Times New Roman" w:hAnsi="Times New Roman" w:cs="Times New Roman"/>
                <w:color w:val="auto"/>
                <w:sz w:val="21"/>
                <w:szCs w:val="21"/>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default" w:ascii="Times New Roman" w:hAnsi="Times New Roman" w:cs="Times New Roman"/>
                <w:b/>
                <w:color w:val="auto"/>
                <w:szCs w:val="21"/>
                <w:highlight w:val="none"/>
              </w:rPr>
            </w:pPr>
            <w:r>
              <w:rPr>
                <w:rFonts w:hint="default" w:ascii="Times New Roman" w:hAnsi="Times New Roman" w:eastAsia="宋体" w:cs="Times New Roman"/>
                <w:b/>
                <w:color w:val="auto"/>
                <w:kern w:val="0"/>
                <w:sz w:val="21"/>
                <w:szCs w:val="21"/>
                <w:highlight w:val="none"/>
                <w:lang w:val="en-US" w:eastAsia="zh-CN"/>
              </w:rPr>
              <w:t>表4-</w:t>
            </w:r>
            <w:r>
              <w:rPr>
                <w:rFonts w:hint="default" w:ascii="Times New Roman" w:hAnsi="Times New Roman" w:cs="Times New Roman"/>
                <w:b/>
                <w:color w:val="auto"/>
                <w:kern w:val="0"/>
                <w:sz w:val="21"/>
                <w:szCs w:val="21"/>
                <w:highlight w:val="none"/>
                <w:lang w:val="en-US" w:eastAsia="zh-CN"/>
              </w:rPr>
              <w:t>16</w:t>
            </w:r>
            <w:r>
              <w:rPr>
                <w:rFonts w:hint="default" w:ascii="Times New Roman" w:hAnsi="Times New Roman" w:eastAsia="宋体" w:cs="Times New Roman"/>
                <w:b/>
                <w:color w:val="auto"/>
                <w:kern w:val="0"/>
                <w:sz w:val="21"/>
                <w:szCs w:val="21"/>
                <w:highlight w:val="none"/>
                <w:lang w:val="en-US" w:eastAsia="zh-CN"/>
              </w:rPr>
              <w:t xml:space="preserve"> </w:t>
            </w:r>
            <w:r>
              <w:rPr>
                <w:rFonts w:hint="default" w:ascii="Times New Roman" w:hAnsi="Times New Roman" w:cs="Times New Roman"/>
                <w:b/>
                <w:color w:val="auto"/>
                <w:kern w:val="0"/>
                <w:sz w:val="21"/>
                <w:szCs w:val="21"/>
                <w:highlight w:val="none"/>
                <w:lang w:val="en-US" w:eastAsia="zh-CN"/>
              </w:rPr>
              <w:t>项目已采取的</w:t>
            </w:r>
            <w:r>
              <w:rPr>
                <w:rFonts w:hint="default" w:ascii="Times New Roman" w:hAnsi="Times New Roman" w:cs="Times New Roman"/>
                <w:b/>
                <w:color w:val="auto"/>
                <w:szCs w:val="21"/>
                <w:highlight w:val="none"/>
              </w:rPr>
              <w:t>区域防渗措施一览表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845"/>
              <w:gridCol w:w="2996"/>
              <w:gridCol w:w="47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58" w:type="pct"/>
                  <w:tcBorders>
                    <w:tl2br w:val="nil"/>
                    <w:tr2bl w:val="nil"/>
                  </w:tcBorders>
                  <w:noWrap w:val="0"/>
                  <w:vAlign w:val="center"/>
                </w:tcPr>
                <w:p>
                  <w:pPr>
                    <w:pStyle w:val="62"/>
                    <w:snapToGrid w:val="0"/>
                    <w:ind w:firstLine="0"/>
                    <w:rPr>
                      <w:rFonts w:hint="default" w:ascii="Times New Roman" w:hAnsi="Times New Roman" w:eastAsia="宋体" w:cs="Times New Roman"/>
                      <w:b/>
                      <w:color w:val="auto"/>
                      <w:highlight w:val="none"/>
                      <w:lang w:eastAsia="zh-CN"/>
                    </w:rPr>
                  </w:pPr>
                  <w:r>
                    <w:rPr>
                      <w:rFonts w:hint="default" w:ascii="Times New Roman" w:hAnsi="Times New Roman" w:cs="Times New Roman"/>
                      <w:b/>
                      <w:color w:val="auto"/>
                      <w:highlight w:val="none"/>
                      <w:lang w:val="en-US" w:eastAsia="zh-CN"/>
                    </w:rPr>
                    <w:t>防渗分区</w:t>
                  </w:r>
                </w:p>
              </w:tc>
              <w:tc>
                <w:tcPr>
                  <w:tcW w:w="1555" w:type="pct"/>
                  <w:tcBorders>
                    <w:tl2br w:val="nil"/>
                    <w:tr2bl w:val="nil"/>
                  </w:tcBorders>
                  <w:noWrap w:val="0"/>
                  <w:vAlign w:val="center"/>
                </w:tcPr>
                <w:p>
                  <w:pPr>
                    <w:pStyle w:val="62"/>
                    <w:snapToGrid w:val="0"/>
                    <w:ind w:firstLine="0"/>
                    <w:rPr>
                      <w:rFonts w:hint="default" w:ascii="Times New Roman" w:hAnsi="Times New Roman" w:eastAsia="宋体" w:cs="Times New Roman"/>
                      <w:b/>
                      <w:color w:val="auto"/>
                      <w:highlight w:val="none"/>
                      <w:lang w:eastAsia="zh-CN"/>
                    </w:rPr>
                  </w:pPr>
                  <w:r>
                    <w:rPr>
                      <w:rFonts w:hint="default" w:ascii="Times New Roman" w:hAnsi="Times New Roman" w:cs="Times New Roman"/>
                      <w:b/>
                      <w:color w:val="auto"/>
                      <w:highlight w:val="none"/>
                      <w:lang w:val="en-US" w:eastAsia="zh-CN"/>
                    </w:rPr>
                    <w:t>区域</w:t>
                  </w:r>
                </w:p>
              </w:tc>
              <w:tc>
                <w:tcPr>
                  <w:tcW w:w="2485" w:type="pct"/>
                  <w:tcBorders>
                    <w:tl2br w:val="nil"/>
                    <w:tr2bl w:val="nil"/>
                  </w:tcBorders>
                  <w:noWrap w:val="0"/>
                  <w:vAlign w:val="center"/>
                </w:tcPr>
                <w:p>
                  <w:pPr>
                    <w:pStyle w:val="62"/>
                    <w:snapToGrid w:val="0"/>
                    <w:ind w:firstLine="0"/>
                    <w:rPr>
                      <w:rFonts w:hint="default" w:ascii="Times New Roman" w:hAnsi="Times New Roman" w:cs="Times New Roman"/>
                      <w:b/>
                      <w:color w:val="auto"/>
                      <w:highlight w:val="none"/>
                    </w:rPr>
                  </w:pPr>
                  <w:r>
                    <w:rPr>
                      <w:rFonts w:hint="default" w:ascii="Times New Roman" w:hAnsi="Times New Roman" w:cs="Times New Roman"/>
                      <w:b/>
                      <w:color w:val="auto"/>
                      <w:highlight w:val="none"/>
                      <w:lang w:val="en-US" w:eastAsia="zh-CN"/>
                    </w:rPr>
                    <w:t>防渗要求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58" w:type="pct"/>
                  <w:tcBorders>
                    <w:tl2br w:val="nil"/>
                    <w:tr2bl w:val="nil"/>
                  </w:tcBorders>
                  <w:noWrap w:val="0"/>
                  <w:vAlign w:val="center"/>
                </w:tcPr>
                <w:p>
                  <w:pPr>
                    <w:pStyle w:val="62"/>
                    <w:snapToGrid w:val="0"/>
                    <w:ind w:firstLine="0"/>
                    <w:rPr>
                      <w:rFonts w:hint="default" w:ascii="Times New Roman" w:hAnsi="Times New Roman" w:cs="Times New Roman"/>
                      <w:color w:val="auto"/>
                      <w:highlight w:val="none"/>
                    </w:rPr>
                  </w:pPr>
                  <w:r>
                    <w:rPr>
                      <w:rFonts w:hint="default" w:ascii="Times New Roman" w:hAnsi="Times New Roman" w:cs="Times New Roman"/>
                      <w:color w:val="auto"/>
                      <w:highlight w:val="none"/>
                    </w:rPr>
                    <w:t>重点防渗</w:t>
                  </w:r>
                </w:p>
              </w:tc>
              <w:tc>
                <w:tcPr>
                  <w:tcW w:w="1555" w:type="pct"/>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化粪池、5#仓库（试剂库）、危废间、污水站、应急池</w:t>
                  </w:r>
                </w:p>
              </w:tc>
              <w:tc>
                <w:tcPr>
                  <w:tcW w:w="2485" w:type="pct"/>
                  <w:tcBorders>
                    <w:tl2br w:val="nil"/>
                    <w:tr2bl w:val="nil"/>
                  </w:tcBorders>
                  <w:noWrap w:val="0"/>
                  <w:vAlign w:val="center"/>
                </w:tcPr>
                <w:p>
                  <w:pPr>
                    <w:pStyle w:val="62"/>
                    <w:snapToGrid w:val="0"/>
                    <w:ind w:firstLine="0"/>
                    <w:rPr>
                      <w:rFonts w:hint="default" w:ascii="Times New Roman" w:hAnsi="Times New Roman" w:cs="Times New Roman"/>
                      <w:color w:val="auto"/>
                      <w:highlight w:val="none"/>
                    </w:rPr>
                  </w:pPr>
                  <w:r>
                    <w:rPr>
                      <w:rFonts w:hint="default" w:ascii="Times New Roman" w:hAnsi="Times New Roman" w:cs="Times New Roman"/>
                      <w:color w:val="auto"/>
                      <w:highlight w:val="none"/>
                    </w:rPr>
                    <w:t>防渗层应为至少6m厚粘土层（渗透系数≤10</w:t>
                  </w:r>
                  <w:r>
                    <w:rPr>
                      <w:rFonts w:hint="default" w:ascii="Times New Roman" w:hAnsi="Times New Roman" w:cs="Times New Roman"/>
                      <w:color w:val="auto"/>
                      <w:highlight w:val="none"/>
                      <w:vertAlign w:val="superscript"/>
                      <w:lang w:val="en-US" w:eastAsia="zh-CN"/>
                    </w:rPr>
                    <w:t>-7</w:t>
                  </w:r>
                  <w:r>
                    <w:rPr>
                      <w:rFonts w:hint="default" w:ascii="Times New Roman" w:hAnsi="Times New Roman" w:cs="Times New Roman"/>
                      <w:color w:val="auto"/>
                      <w:highlight w:val="none"/>
                    </w:rPr>
                    <w:t>cm/s），或2mm厚高密度聚乙烯，或至少2mm厚的其他材料，渗透系数≤10</w:t>
                  </w:r>
                  <w:r>
                    <w:rPr>
                      <w:rFonts w:hint="default" w:ascii="Times New Roman" w:hAnsi="Times New Roman" w:cs="Times New Roman"/>
                      <w:color w:val="auto"/>
                      <w:highlight w:val="none"/>
                      <w:vertAlign w:val="superscript"/>
                      <w:lang w:val="en-US" w:eastAsia="zh-CN"/>
                    </w:rPr>
                    <w:t>-10</w:t>
                  </w:r>
                  <w:r>
                    <w:rPr>
                      <w:rFonts w:hint="default" w:ascii="Times New Roman" w:hAnsi="Times New Roman" w:cs="Times New Roman"/>
                      <w:color w:val="auto"/>
                      <w:highlight w:val="none"/>
                    </w:rPr>
                    <w:t>cm/s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58" w:type="pct"/>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一般防渗</w:t>
                  </w:r>
                </w:p>
              </w:tc>
              <w:tc>
                <w:tcPr>
                  <w:tcW w:w="1555" w:type="pct"/>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生产车间、一般固废暂存区、各仓库（除5#仓库）</w:t>
                  </w:r>
                </w:p>
              </w:tc>
              <w:tc>
                <w:tcPr>
                  <w:tcW w:w="2485" w:type="pct"/>
                  <w:tcBorders>
                    <w:tl2br w:val="nil"/>
                    <w:tr2bl w:val="nil"/>
                  </w:tcBorders>
                  <w:noWrap w:val="0"/>
                  <w:vAlign w:val="center"/>
                </w:tcPr>
                <w:p>
                  <w:pPr>
                    <w:pStyle w:val="62"/>
                    <w:snapToGrid w:val="0"/>
                    <w:ind w:firstLine="0"/>
                    <w:rPr>
                      <w:rFonts w:hint="default" w:ascii="Times New Roman" w:hAnsi="Times New Roman" w:cs="Times New Roman"/>
                      <w:color w:val="auto"/>
                      <w:highlight w:val="none"/>
                    </w:rPr>
                  </w:pPr>
                  <w:r>
                    <w:rPr>
                      <w:rFonts w:hint="default" w:ascii="Times New Roman" w:hAnsi="Times New Roman" w:cs="Times New Roman"/>
                      <w:color w:val="auto"/>
                      <w:highlight w:val="none"/>
                    </w:rPr>
                    <w:t>防渗性能应不低于1.5m厚渗透系数为1.0×10</w:t>
                  </w:r>
                  <w:r>
                    <w:rPr>
                      <w:rFonts w:hint="default" w:ascii="Times New Roman" w:hAnsi="Times New Roman" w:cs="Times New Roman"/>
                      <w:color w:val="auto"/>
                      <w:highlight w:val="none"/>
                      <w:vertAlign w:val="superscript"/>
                      <w:lang w:val="en-US" w:eastAsia="zh-CN"/>
                    </w:rPr>
                    <w:t>-7</w:t>
                  </w:r>
                  <w:r>
                    <w:rPr>
                      <w:rFonts w:hint="default" w:ascii="Times New Roman" w:hAnsi="Times New Roman" w:cs="Times New Roman"/>
                      <w:color w:val="auto"/>
                      <w:highlight w:val="none"/>
                    </w:rPr>
                    <w:t>cm/s的粘土层的防渗性能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58" w:type="pct"/>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简单防渗</w:t>
                  </w:r>
                </w:p>
              </w:tc>
              <w:tc>
                <w:tcPr>
                  <w:tcW w:w="1555" w:type="pct"/>
                  <w:tcBorders>
                    <w:tl2br w:val="nil"/>
                    <w:tr2bl w:val="nil"/>
                  </w:tcBorders>
                  <w:noWrap w:val="0"/>
                  <w:vAlign w:val="center"/>
                </w:tcPr>
                <w:p>
                  <w:pPr>
                    <w:pStyle w:val="62"/>
                    <w:snapToGrid w:val="0"/>
                    <w:ind w:firstLine="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办公区、厂区道路等</w:t>
                  </w:r>
                </w:p>
              </w:tc>
              <w:tc>
                <w:tcPr>
                  <w:tcW w:w="2485" w:type="pct"/>
                  <w:tcBorders>
                    <w:tl2br w:val="nil"/>
                    <w:tr2bl w:val="nil"/>
                  </w:tcBorders>
                  <w:noWrap w:val="0"/>
                  <w:vAlign w:val="center"/>
                </w:tcPr>
                <w:p>
                  <w:pPr>
                    <w:pStyle w:val="62"/>
                    <w:snapToGrid w:val="0"/>
                    <w:ind w:firstLine="0"/>
                    <w:rPr>
                      <w:rFonts w:hint="default" w:ascii="Times New Roman" w:hAnsi="Times New Roman" w:cs="Times New Roman"/>
                      <w:color w:val="auto"/>
                      <w:highlight w:val="none"/>
                    </w:rPr>
                  </w:pPr>
                  <w:r>
                    <w:rPr>
                      <w:rFonts w:hint="default" w:ascii="Times New Roman" w:hAnsi="Times New Roman" w:cs="Times New Roman"/>
                      <w:color w:val="auto"/>
                      <w:highlight w:val="none"/>
                    </w:rPr>
                    <w:t>一般水泥硬化</w:t>
                  </w:r>
                </w:p>
              </w:tc>
            </w:tr>
          </w:tbl>
          <w:p>
            <w:pPr>
              <w:keepNext w:val="0"/>
              <w:keepLines w:val="0"/>
              <w:widowControl w:val="0"/>
              <w:suppressLineNumbers w:val="0"/>
              <w:autoSpaceDE w:val="0"/>
              <w:autoSpaceDN/>
              <w:adjustRightInd w:val="0"/>
              <w:snapToGrid w:val="0"/>
              <w:spacing w:before="0" w:beforeAutospacing="0" w:after="0" w:afterAutospacing="0" w:line="360" w:lineRule="auto"/>
              <w:ind w:left="0" w:right="0" w:firstLine="420" w:firstLineChars="200"/>
              <w:jc w:val="both"/>
              <w:rPr>
                <w:rFonts w:hint="default" w:ascii="Times New Roman" w:hAnsi="Times New Roman" w:cs="Times New Roman"/>
                <w:b/>
                <w:bCs w:val="0"/>
                <w:color w:val="auto"/>
                <w:spacing w:val="-10"/>
                <w:sz w:val="21"/>
                <w:szCs w:val="21"/>
                <w:highlight w:val="none"/>
                <w:lang w:val="en-US" w:eastAsia="zh-CN"/>
              </w:rPr>
            </w:pPr>
            <w:r>
              <w:rPr>
                <w:rFonts w:hint="default" w:ascii="Times New Roman" w:hAnsi="Times New Roman" w:cs="Times New Roman"/>
                <w:color w:val="auto"/>
                <w:sz w:val="21"/>
                <w:szCs w:val="21"/>
                <w:highlight w:val="none"/>
                <w:lang w:val="en-US" w:eastAsia="zh-CN"/>
              </w:rPr>
              <w:t>技改项目利用现有车间闲置区域，</w:t>
            </w:r>
            <w:r>
              <w:rPr>
                <w:rFonts w:hint="default" w:ascii="Times New Roman" w:hAnsi="Times New Roman" w:cs="Times New Roman"/>
                <w:color w:val="auto"/>
                <w:sz w:val="21"/>
                <w:szCs w:val="21"/>
                <w:highlight w:val="none"/>
              </w:rPr>
              <w:t>建设单位采取严格的防渗措施后，可能产生渗漏的环节均得到有效控制，可最大程度的减少对</w:t>
            </w:r>
            <w:r>
              <w:rPr>
                <w:rFonts w:hint="default" w:ascii="Times New Roman" w:hAnsi="Times New Roman" w:cs="Times New Roman"/>
                <w:color w:val="auto"/>
                <w:sz w:val="21"/>
                <w:szCs w:val="21"/>
                <w:highlight w:val="none"/>
                <w:lang w:val="en-US" w:eastAsia="zh-CN"/>
              </w:rPr>
              <w:t>土壤、</w:t>
            </w:r>
            <w:r>
              <w:rPr>
                <w:rFonts w:hint="default" w:ascii="Times New Roman" w:hAnsi="Times New Roman" w:cs="Times New Roman"/>
                <w:color w:val="auto"/>
                <w:sz w:val="21"/>
                <w:szCs w:val="21"/>
                <w:highlight w:val="none"/>
              </w:rPr>
              <w:t>地下水的影响。在严格落实防渗措施后，项目对</w:t>
            </w:r>
            <w:r>
              <w:rPr>
                <w:rFonts w:hint="default" w:ascii="Times New Roman" w:hAnsi="Times New Roman" w:cs="Times New Roman"/>
                <w:color w:val="auto"/>
                <w:sz w:val="21"/>
                <w:szCs w:val="21"/>
                <w:highlight w:val="none"/>
                <w:lang w:val="en-US" w:eastAsia="zh-CN"/>
              </w:rPr>
              <w:t>土壤、</w:t>
            </w:r>
            <w:r>
              <w:rPr>
                <w:rFonts w:hint="default" w:ascii="Times New Roman" w:hAnsi="Times New Roman" w:cs="Times New Roman"/>
                <w:color w:val="auto"/>
                <w:sz w:val="21"/>
                <w:szCs w:val="21"/>
                <w:highlight w:val="none"/>
              </w:rPr>
              <w:t>地下水的影响较小。</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6、生态环境影响分析</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b w:val="0"/>
                <w:bCs/>
                <w:color w:val="auto"/>
                <w:spacing w:val="0"/>
                <w:sz w:val="21"/>
                <w:szCs w:val="21"/>
                <w:highlight w:val="none"/>
                <w:lang w:val="en-US" w:eastAsia="zh-CN"/>
              </w:rPr>
            </w:pPr>
            <w:r>
              <w:rPr>
                <w:rFonts w:hint="default" w:ascii="Times New Roman" w:hAnsi="Times New Roman" w:cs="Times New Roman"/>
                <w:color w:val="auto"/>
                <w:sz w:val="21"/>
                <w:szCs w:val="21"/>
                <w:highlight w:val="none"/>
                <w:lang w:eastAsia="zh-CN"/>
              </w:rPr>
              <w:t>本</w:t>
            </w:r>
            <w:r>
              <w:rPr>
                <w:rFonts w:hint="default" w:ascii="Times New Roman" w:hAnsi="Times New Roman" w:cs="Times New Roman"/>
                <w:color w:val="auto"/>
                <w:sz w:val="21"/>
                <w:szCs w:val="21"/>
                <w:highlight w:val="none"/>
                <w:lang w:val="en-US" w:eastAsia="zh-CN"/>
              </w:rPr>
              <w:t>技改</w:t>
            </w:r>
            <w:r>
              <w:rPr>
                <w:rFonts w:hint="default" w:ascii="Times New Roman" w:hAnsi="Times New Roman" w:cs="Times New Roman"/>
                <w:color w:val="auto"/>
                <w:sz w:val="21"/>
                <w:szCs w:val="21"/>
                <w:highlight w:val="none"/>
                <w:lang w:eastAsia="zh-CN"/>
              </w:rPr>
              <w:t>项目不新增</w:t>
            </w:r>
            <w:r>
              <w:rPr>
                <w:rFonts w:hint="default" w:ascii="Times New Roman" w:hAnsi="Times New Roman" w:cs="Times New Roman"/>
                <w:color w:val="auto"/>
                <w:sz w:val="21"/>
                <w:szCs w:val="21"/>
                <w:highlight w:val="none"/>
                <w:lang w:val="en-US" w:eastAsia="zh-CN"/>
              </w:rPr>
              <w:t>建设</w:t>
            </w:r>
            <w:r>
              <w:rPr>
                <w:rFonts w:hint="default" w:ascii="Times New Roman" w:hAnsi="Times New Roman" w:cs="Times New Roman"/>
                <w:color w:val="auto"/>
                <w:sz w:val="21"/>
                <w:szCs w:val="21"/>
                <w:highlight w:val="none"/>
                <w:lang w:eastAsia="zh-CN"/>
              </w:rPr>
              <w:t>用地，</w:t>
            </w:r>
            <w:r>
              <w:rPr>
                <w:rFonts w:hint="default" w:ascii="Times New Roman" w:hAnsi="Times New Roman" w:cs="Times New Roman"/>
                <w:color w:val="auto"/>
                <w:sz w:val="21"/>
                <w:szCs w:val="21"/>
                <w:highlight w:val="none"/>
              </w:rPr>
              <w:t>且用地范围内无生态环境保护目标，对周边生态基本无影响，本评价不再开展生态环境影响分析。</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7、环境风险分析</w:t>
            </w:r>
          </w:p>
          <w:p>
            <w:pPr>
              <w:tabs>
                <w:tab w:val="left" w:pos="495"/>
              </w:tabs>
              <w:adjustRightInd w:val="0"/>
              <w:snapToGrid w:val="0"/>
              <w:spacing w:line="360" w:lineRule="auto"/>
              <w:ind w:firstLine="420" w:firstLineChars="200"/>
              <w:jc w:val="left"/>
              <w:rPr>
                <w:rFonts w:hint="default" w:ascii="Times New Roman" w:hAnsi="Times New Roman" w:cs="Times New Roman"/>
                <w:color w:val="auto"/>
                <w:szCs w:val="21"/>
                <w:highlight w:val="none"/>
              </w:rPr>
            </w:pPr>
            <w:bookmarkStart w:id="45" w:name="_Toc12314"/>
            <w:bookmarkStart w:id="46" w:name="_Toc25705"/>
            <w:bookmarkStart w:id="47" w:name="_Toc29497"/>
            <w:r>
              <w:rPr>
                <w:rFonts w:hint="default" w:ascii="Times New Roman" w:hAnsi="Times New Roman" w:cs="Times New Roman"/>
                <w:color w:val="auto"/>
                <w:szCs w:val="21"/>
                <w:highlight w:val="none"/>
              </w:rPr>
              <w:t>环境风险是指突发性事故造成的重大环境污染的事件，其特点是危害大、影响范围广、发生概率具有很大的不确定性。环境风险评价的目的是分析和预测建设项目存在的潜在危险、有害因素，建设项目建设和运行期间可能发生的突发性事件或事故（一般不包括人为破坏及自然灾害），引起有毒有害和易燃易爆等物质泄漏，所造成的人身安全与环境影响和损害程度，提出合理可行的防范、应急与减缓措施，以使建设项目事故率、损失和环境影响达到可接受水平。</w:t>
            </w:r>
          </w:p>
          <w:p>
            <w:pPr>
              <w:tabs>
                <w:tab w:val="left" w:pos="495"/>
              </w:tabs>
              <w:adjustRightInd w:val="0"/>
              <w:snapToGrid w:val="0"/>
              <w:spacing w:line="36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环境风险评价以《建设项目环境风险评价技术导则》（HJ169-2018）为指导，对项目营运期过程进行环境风险分析。</w:t>
            </w:r>
          </w:p>
          <w:p>
            <w:pPr>
              <w:tabs>
                <w:tab w:val="left" w:pos="495"/>
              </w:tabs>
              <w:adjustRightInd w:val="0"/>
              <w:snapToGrid w:val="0"/>
              <w:spacing w:line="360" w:lineRule="auto"/>
              <w:ind w:firstLine="420" w:firstLineChars="200"/>
              <w:jc w:val="left"/>
              <w:rPr>
                <w:rFonts w:hint="default" w:ascii="Times New Roman" w:hAnsi="Times New Roman" w:cs="Times New Roman"/>
                <w:b/>
                <w:bCs/>
                <w:color w:val="auto"/>
                <w:szCs w:val="21"/>
                <w:highlight w:val="none"/>
              </w:rPr>
            </w:pPr>
            <w:r>
              <w:rPr>
                <w:rFonts w:hint="default" w:ascii="Times New Roman" w:hAnsi="Times New Roman" w:cs="Times New Roman"/>
                <w:b w:val="0"/>
                <w:bCs w:val="0"/>
                <w:color w:val="auto"/>
                <w:szCs w:val="21"/>
                <w:highlight w:val="none"/>
                <w:lang w:eastAsia="zh-CN"/>
              </w:rPr>
              <w:t>（</w:t>
            </w:r>
            <w:r>
              <w:rPr>
                <w:rFonts w:hint="default" w:ascii="Times New Roman" w:hAnsi="Times New Roman" w:cs="Times New Roman"/>
                <w:b w:val="0"/>
                <w:bCs w:val="0"/>
                <w:color w:val="auto"/>
                <w:szCs w:val="21"/>
                <w:highlight w:val="none"/>
                <w:lang w:val="en-US" w:eastAsia="zh-CN"/>
              </w:rPr>
              <w:t>1</w:t>
            </w:r>
            <w:r>
              <w:rPr>
                <w:rFonts w:hint="default" w:ascii="Times New Roman" w:hAnsi="Times New Roman" w:cs="Times New Roman"/>
                <w:b w:val="0"/>
                <w:bCs w:val="0"/>
                <w:color w:val="auto"/>
                <w:szCs w:val="21"/>
                <w:highlight w:val="none"/>
                <w:lang w:eastAsia="zh-CN"/>
              </w:rPr>
              <w:t>）</w:t>
            </w:r>
            <w:r>
              <w:rPr>
                <w:rFonts w:hint="default" w:ascii="Times New Roman" w:hAnsi="Times New Roman" w:cs="Times New Roman"/>
                <w:b w:val="0"/>
                <w:bCs w:val="0"/>
                <w:color w:val="auto"/>
                <w:szCs w:val="21"/>
                <w:highlight w:val="none"/>
              </w:rPr>
              <w:t>风险调查</w:t>
            </w:r>
          </w:p>
          <w:p>
            <w:pPr>
              <w:tabs>
                <w:tab w:val="left" w:pos="495"/>
              </w:tabs>
              <w:adjustRightInd w:val="0"/>
              <w:snapToGrid w:val="0"/>
              <w:spacing w:line="36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lang w:val="en-US" w:eastAsia="zh-CN"/>
              </w:rPr>
              <w:t>根据</w:t>
            </w:r>
            <w:r>
              <w:rPr>
                <w:rFonts w:hint="default" w:ascii="Times New Roman" w:hAnsi="Times New Roman" w:cs="Times New Roman"/>
                <w:bCs/>
                <w:color w:val="auto"/>
                <w:szCs w:val="21"/>
                <w:highlight w:val="none"/>
              </w:rPr>
              <w:t>《建设项目环境风险评价技术导则》（HJ169-2018），本</w:t>
            </w:r>
            <w:r>
              <w:rPr>
                <w:rFonts w:hint="default" w:ascii="Times New Roman" w:hAnsi="Times New Roman" w:cs="Times New Roman"/>
                <w:bCs/>
                <w:color w:val="auto"/>
                <w:szCs w:val="21"/>
                <w:highlight w:val="none"/>
                <w:lang w:val="en-US" w:eastAsia="zh-CN"/>
              </w:rPr>
              <w:t>技改</w:t>
            </w:r>
            <w:r>
              <w:rPr>
                <w:rFonts w:hint="default" w:ascii="Times New Roman" w:hAnsi="Times New Roman" w:cs="Times New Roman"/>
                <w:bCs/>
                <w:color w:val="auto"/>
                <w:szCs w:val="21"/>
                <w:highlight w:val="none"/>
              </w:rPr>
              <w:t>项目涉及</w:t>
            </w:r>
            <w:r>
              <w:rPr>
                <w:rFonts w:hint="default" w:ascii="Times New Roman" w:hAnsi="Times New Roman" w:cs="Times New Roman"/>
                <w:bCs/>
                <w:color w:val="auto"/>
                <w:szCs w:val="21"/>
                <w:highlight w:val="none"/>
                <w:lang w:val="en-US" w:eastAsia="zh-CN"/>
              </w:rPr>
              <w:t>的</w:t>
            </w:r>
            <w:r>
              <w:rPr>
                <w:rFonts w:hint="default" w:ascii="Times New Roman" w:hAnsi="Times New Roman" w:cs="Times New Roman"/>
                <w:bCs/>
                <w:color w:val="auto"/>
                <w:szCs w:val="21"/>
                <w:highlight w:val="none"/>
              </w:rPr>
              <w:t>风险物质</w:t>
            </w:r>
            <w:r>
              <w:rPr>
                <w:rFonts w:hint="default" w:ascii="Times New Roman" w:hAnsi="Times New Roman" w:cs="Times New Roman"/>
                <w:bCs/>
                <w:color w:val="auto"/>
                <w:szCs w:val="21"/>
                <w:highlight w:val="none"/>
                <w:lang w:val="en-US" w:eastAsia="zh-CN"/>
              </w:rPr>
              <w:t>为天然气、机油</w:t>
            </w:r>
            <w:r>
              <w:rPr>
                <w:rFonts w:hint="eastAsia" w:cs="Times New Roman"/>
                <w:bCs/>
                <w:color w:val="auto"/>
                <w:szCs w:val="21"/>
                <w:highlight w:val="none"/>
                <w:lang w:val="en-US" w:eastAsia="zh-CN"/>
              </w:rPr>
              <w:t>、废机油</w:t>
            </w:r>
            <w:r>
              <w:rPr>
                <w:rFonts w:hint="default" w:ascii="Times New Roman" w:hAnsi="Times New Roman" w:cs="Times New Roman"/>
                <w:bCs/>
                <w:color w:val="auto"/>
                <w:szCs w:val="21"/>
                <w:highlight w:val="none"/>
              </w:rPr>
              <w:t>，参照</w:t>
            </w:r>
            <w:r>
              <w:rPr>
                <w:rFonts w:hint="default" w:ascii="Times New Roman" w:hAnsi="Times New Roman" w:cs="Times New Roman"/>
                <w:bCs/>
                <w:color w:val="auto"/>
                <w:szCs w:val="21"/>
                <w:highlight w:val="none"/>
                <w:lang w:eastAsia="zh-CN"/>
              </w:rPr>
              <w:t>《企业突发环境事件风险分级方法》（</w:t>
            </w:r>
            <w:r>
              <w:rPr>
                <w:rFonts w:hint="default" w:ascii="Times New Roman" w:hAnsi="Times New Roman" w:cs="Times New Roman"/>
                <w:bCs/>
                <w:color w:val="auto"/>
                <w:szCs w:val="21"/>
                <w:highlight w:val="none"/>
              </w:rPr>
              <w:t>HJ941-2018</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附录A</w:t>
            </w:r>
            <w:r>
              <w:rPr>
                <w:rFonts w:hint="default" w:ascii="Times New Roman" w:hAnsi="Times New Roman" w:cs="Times New Roman"/>
                <w:bCs/>
                <w:color w:val="auto"/>
                <w:szCs w:val="21"/>
                <w:highlight w:val="none"/>
              </w:rPr>
              <w:t>确定危险物质的临界量，定量分析项目危险物质数量与临界量的比值Q，具体见下表。</w:t>
            </w: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eastAsia"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kern w:val="0"/>
                <w:sz w:val="21"/>
                <w:szCs w:val="21"/>
                <w:highlight w:val="none"/>
                <w:lang w:val="en-US" w:eastAsia="zh-CN"/>
              </w:rPr>
              <w:t>表4-</w:t>
            </w:r>
            <w:r>
              <w:rPr>
                <w:rFonts w:hint="default" w:ascii="Times New Roman" w:hAnsi="Times New Roman" w:cs="Times New Roman"/>
                <w:b/>
                <w:color w:val="auto"/>
                <w:kern w:val="0"/>
                <w:sz w:val="21"/>
                <w:szCs w:val="21"/>
                <w:highlight w:val="none"/>
                <w:lang w:val="en-US" w:eastAsia="zh-CN"/>
              </w:rPr>
              <w:t>17</w:t>
            </w:r>
            <w:r>
              <w:rPr>
                <w:rFonts w:hint="default" w:ascii="Times New Roman" w:hAnsi="Times New Roman" w:eastAsia="宋体" w:cs="Times New Roman"/>
                <w:b/>
                <w:color w:val="auto"/>
                <w:kern w:val="0"/>
                <w:sz w:val="21"/>
                <w:szCs w:val="21"/>
                <w:highlight w:val="none"/>
                <w:lang w:val="en-US" w:eastAsia="zh-CN"/>
              </w:rPr>
              <w:t xml:space="preserve"> </w:t>
            </w:r>
            <w:r>
              <w:rPr>
                <w:rFonts w:hint="default" w:ascii="Times New Roman" w:hAnsi="Times New Roman" w:cs="Times New Roman"/>
                <w:b/>
                <w:color w:val="auto"/>
                <w:kern w:val="0"/>
                <w:sz w:val="21"/>
                <w:szCs w:val="21"/>
                <w:highlight w:val="none"/>
                <w:lang w:val="en-US" w:eastAsia="zh-CN"/>
              </w:rPr>
              <w:t xml:space="preserve"> </w:t>
            </w:r>
            <w:r>
              <w:rPr>
                <w:rFonts w:hint="default" w:ascii="Times New Roman" w:hAnsi="Times New Roman" w:cs="Times New Roman"/>
                <w:b/>
                <w:color w:val="auto"/>
                <w:szCs w:val="21"/>
                <w:highlight w:val="none"/>
                <w:lang w:val="en-US" w:eastAsia="zh-CN"/>
              </w:rPr>
              <w:t>技改后</w:t>
            </w:r>
            <w:r>
              <w:rPr>
                <w:rFonts w:hint="default" w:ascii="Times New Roman" w:hAnsi="Times New Roman" w:cs="Times New Roman"/>
                <w:b/>
                <w:color w:val="auto"/>
                <w:szCs w:val="21"/>
                <w:highlight w:val="none"/>
              </w:rPr>
              <w:t>项目危险物质数量与临界量的比值一览表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874"/>
              <w:gridCol w:w="1918"/>
              <w:gridCol w:w="1918"/>
              <w:gridCol w:w="19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4"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风险物质</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最大</w:t>
                  </w:r>
                  <w:r>
                    <w:rPr>
                      <w:rFonts w:hint="default" w:ascii="Times New Roman" w:hAnsi="Times New Roman" w:cs="Times New Roman"/>
                      <w:b/>
                      <w:bCs/>
                      <w:color w:val="auto"/>
                      <w:sz w:val="21"/>
                      <w:szCs w:val="21"/>
                      <w:highlight w:val="none"/>
                    </w:rPr>
                    <w:t>储存量t</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临界量t</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Q值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874"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天然气</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0.3（在线量）</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4"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机 油</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0.05</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2500</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0.00002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4"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废机油</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0.05</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2500</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0.00002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4"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计</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w:t>
                  </w:r>
                </w:p>
              </w:tc>
              <w:tc>
                <w:tcPr>
                  <w:tcW w:w="191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sz w:val="21"/>
                      <w:szCs w:val="21"/>
                      <w:highlight w:val="none"/>
                      <w:lang w:val="en-US" w:eastAsia="zh-CN"/>
                    </w:rPr>
                    <w:t>0.0300</w:t>
                  </w:r>
                  <w:r>
                    <w:rPr>
                      <w:rFonts w:hint="eastAsia" w:cs="Times New Roman"/>
                      <w:color w:val="auto"/>
                      <w:sz w:val="21"/>
                      <w:szCs w:val="21"/>
                      <w:highlight w:val="none"/>
                      <w:lang w:val="en-US" w:eastAsia="zh-CN"/>
                    </w:rPr>
                    <w:t>4</w:t>
                  </w:r>
                </w:p>
              </w:tc>
            </w:tr>
          </w:tbl>
          <w:p>
            <w:pPr>
              <w:spacing w:before="120" w:beforeLines="50"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由上表得知，本项目Q＜1，环境风险潜势为</w:t>
            </w:r>
            <w:r>
              <w:rPr>
                <w:rFonts w:hint="default" w:ascii="Times New Roman" w:hAnsi="Times New Roman" w:cs="Times New Roman"/>
                <w:color w:val="auto"/>
                <w:szCs w:val="21"/>
                <w:highlight w:val="none"/>
                <w:lang w:val="en-US" w:eastAsia="zh-CN"/>
              </w:rPr>
              <w:t>I</w:t>
            </w:r>
            <w:r>
              <w:rPr>
                <w:rFonts w:hint="default" w:ascii="Times New Roman" w:hAnsi="Times New Roman" w:cs="Times New Roman"/>
                <w:color w:val="auto"/>
                <w:szCs w:val="21"/>
                <w:highlight w:val="none"/>
                <w:lang w:eastAsia="zh-CN"/>
              </w:rPr>
              <w:t>，评价工作等级为简单分析</w:t>
            </w:r>
            <w:r>
              <w:rPr>
                <w:rFonts w:hint="default" w:ascii="Times New Roman" w:hAnsi="Times New Roman" w:cs="Times New Roman"/>
                <w:color w:val="auto"/>
                <w:szCs w:val="21"/>
                <w:highlight w:val="none"/>
              </w:rPr>
              <w:t>。</w:t>
            </w:r>
          </w:p>
          <w:p>
            <w:pPr>
              <w:spacing w:line="360" w:lineRule="auto"/>
              <w:ind w:firstLine="420" w:firstLineChars="200"/>
              <w:rPr>
                <w:rFonts w:hint="default" w:ascii="Times New Roman" w:hAnsi="Times New Roman" w:eastAsia="宋体" w:cs="Times New Roman"/>
                <w:b w:val="0"/>
                <w:bCs/>
                <w:color w:val="auto"/>
                <w:szCs w:val="21"/>
                <w:highlight w:val="none"/>
                <w:lang w:val="en-US" w:eastAsia="zh-CN"/>
              </w:rPr>
            </w:pPr>
            <w:r>
              <w:rPr>
                <w:rFonts w:hint="default" w:ascii="Times New Roman" w:hAnsi="Times New Roman" w:cs="Times New Roman"/>
                <w:b w:val="0"/>
                <w:bCs/>
                <w:color w:val="auto"/>
                <w:szCs w:val="21"/>
                <w:highlight w:val="none"/>
                <w:lang w:val="en-US" w:eastAsia="zh-CN"/>
              </w:rPr>
              <w:t>（2）</w:t>
            </w:r>
            <w:r>
              <w:rPr>
                <w:rFonts w:hint="default" w:ascii="Times New Roman" w:hAnsi="Times New Roman" w:cs="Times New Roman"/>
                <w:b w:val="0"/>
                <w:bCs/>
                <w:color w:val="auto"/>
                <w:szCs w:val="21"/>
                <w:highlight w:val="none"/>
              </w:rPr>
              <w:t>环境风险识别</w:t>
            </w:r>
            <w:r>
              <w:rPr>
                <w:rFonts w:hint="default" w:ascii="Times New Roman" w:hAnsi="Times New Roman" w:cs="Times New Roman"/>
                <w:b w:val="0"/>
                <w:bCs/>
                <w:color w:val="auto"/>
                <w:szCs w:val="21"/>
                <w:highlight w:val="none"/>
                <w:lang w:val="en-US" w:eastAsia="zh-CN"/>
              </w:rPr>
              <w:t>及分析</w:t>
            </w:r>
          </w:p>
          <w:p>
            <w:pPr>
              <w:spacing w:line="360" w:lineRule="auto"/>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根据同类型项目类比调查，结合</w:t>
            </w:r>
            <w:r>
              <w:rPr>
                <w:rFonts w:hint="default" w:ascii="Times New Roman" w:hAnsi="Times New Roman" w:cs="Times New Roman"/>
                <w:color w:val="auto"/>
                <w:highlight w:val="none"/>
                <w:lang w:val="en-US" w:eastAsia="zh-CN"/>
              </w:rPr>
              <w:t>本</w:t>
            </w:r>
            <w:r>
              <w:rPr>
                <w:rFonts w:hint="default" w:ascii="Times New Roman" w:hAnsi="Times New Roman" w:cs="Times New Roman"/>
                <w:color w:val="auto"/>
                <w:highlight w:val="none"/>
              </w:rPr>
              <w:t>项目建成后存在的风险隐患进行源项分析，主要的风险存在于以下几个方面：</w:t>
            </w:r>
          </w:p>
          <w:p>
            <w:pPr>
              <w:spacing w:line="360" w:lineRule="auto"/>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火灾爆炸</w:t>
            </w:r>
          </w:p>
          <w:p>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本</w:t>
            </w:r>
            <w:r>
              <w:rPr>
                <w:rFonts w:hint="default" w:ascii="Times New Roman" w:hAnsi="Times New Roman" w:cs="Times New Roman"/>
                <w:color w:val="auto"/>
                <w:szCs w:val="21"/>
                <w:highlight w:val="none"/>
              </w:rPr>
              <w:t>项目</w:t>
            </w:r>
            <w:r>
              <w:rPr>
                <w:rFonts w:hint="default" w:ascii="Times New Roman" w:hAnsi="Times New Roman" w:cs="Times New Roman"/>
                <w:color w:val="auto"/>
                <w:szCs w:val="21"/>
                <w:highlight w:val="none"/>
                <w:lang w:val="en-US" w:eastAsia="zh-CN"/>
              </w:rPr>
              <w:t>涉及</w:t>
            </w:r>
            <w:r>
              <w:rPr>
                <w:rFonts w:hint="default" w:ascii="Times New Roman" w:hAnsi="Times New Roman" w:cs="Times New Roman"/>
                <w:color w:val="auto"/>
                <w:szCs w:val="21"/>
                <w:highlight w:val="none"/>
              </w:rPr>
              <w:t>的易燃物质有</w:t>
            </w:r>
            <w:r>
              <w:rPr>
                <w:rFonts w:hint="default" w:ascii="Times New Roman" w:hAnsi="Times New Roman" w:cs="Times New Roman"/>
                <w:color w:val="auto"/>
                <w:szCs w:val="21"/>
                <w:highlight w:val="none"/>
                <w:lang w:val="en-US" w:eastAsia="zh-CN"/>
              </w:rPr>
              <w:t>天然气以及废包装材料</w:t>
            </w:r>
            <w:r>
              <w:rPr>
                <w:rFonts w:hint="default" w:ascii="Times New Roman" w:hAnsi="Times New Roman" w:cs="Times New Roman"/>
                <w:color w:val="auto"/>
                <w:szCs w:val="21"/>
                <w:highlight w:val="none"/>
                <w:lang w:eastAsia="zh-CN"/>
              </w:rPr>
              <w:t>等，</w:t>
            </w:r>
            <w:r>
              <w:rPr>
                <w:rFonts w:hint="default" w:ascii="Times New Roman" w:hAnsi="Times New Roman" w:cs="Times New Roman"/>
                <w:color w:val="auto"/>
                <w:szCs w:val="21"/>
                <w:highlight w:val="none"/>
              </w:rPr>
              <w:t>运输和贮存过程中如遇明火等，有发生火灾或爆炸事故的风险，产生的CO、烟尘和携带少量未燃尽的物料，对环境空气造成一定的影响</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其产生的消防废水进入到外环境，会影响地表水和地下水环境；产生的消防废水进入到外环境，影响地表和地下水环境。</w:t>
            </w:r>
          </w:p>
          <w:p>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泄漏</w:t>
            </w:r>
          </w:p>
          <w:p>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w:t>
            </w:r>
            <w:r>
              <w:rPr>
                <w:rFonts w:hint="default" w:ascii="Times New Roman" w:hAnsi="Times New Roman" w:cs="Times New Roman"/>
                <w:color w:val="auto"/>
                <w:szCs w:val="21"/>
                <w:highlight w:val="none"/>
                <w:lang w:val="en-US" w:eastAsia="zh-CN"/>
              </w:rPr>
              <w:t>机油</w:t>
            </w:r>
            <w:r>
              <w:rPr>
                <w:rFonts w:hint="eastAsia" w:cs="Times New Roman"/>
                <w:color w:val="auto"/>
                <w:szCs w:val="21"/>
                <w:highlight w:val="none"/>
                <w:lang w:val="en-US" w:eastAsia="zh-CN"/>
              </w:rPr>
              <w:t>、废机油</w:t>
            </w:r>
            <w:r>
              <w:rPr>
                <w:rFonts w:hint="default" w:ascii="Times New Roman" w:hAnsi="Times New Roman" w:cs="Times New Roman"/>
                <w:color w:val="auto"/>
                <w:szCs w:val="21"/>
                <w:highlight w:val="none"/>
              </w:rPr>
              <w:t>等物质发生泄漏，若是未来得及收集，会对地下水和土壤造成污染，泄漏过程中物料会部分挥发产生挥发性气体，造成大气污染。</w:t>
            </w:r>
          </w:p>
          <w:p>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泄漏事故发生在</w:t>
            </w:r>
            <w:r>
              <w:rPr>
                <w:rFonts w:hint="default" w:ascii="Times New Roman" w:hAnsi="Times New Roman" w:cs="Times New Roman"/>
                <w:color w:val="auto"/>
                <w:highlight w:val="none"/>
                <w:lang w:val="en-US" w:eastAsia="zh-CN"/>
              </w:rPr>
              <w:t>生产区域</w:t>
            </w:r>
            <w:r>
              <w:rPr>
                <w:rFonts w:hint="default" w:ascii="Times New Roman" w:hAnsi="Times New Roman" w:cs="Times New Roman"/>
                <w:color w:val="auto"/>
                <w:szCs w:val="21"/>
                <w:highlight w:val="none"/>
              </w:rPr>
              <w:t>，主要造成厂区局部污染。液态污染物易于控制，可采取地面防渗处理及设置</w:t>
            </w:r>
            <w:r>
              <w:rPr>
                <w:rFonts w:hint="default" w:ascii="Times New Roman" w:hAnsi="Times New Roman" w:cs="Times New Roman"/>
                <w:color w:val="auto"/>
                <w:szCs w:val="21"/>
                <w:highlight w:val="none"/>
                <w:lang w:val="en-US" w:eastAsia="zh-CN"/>
              </w:rPr>
              <w:t>泄露物料收集</w:t>
            </w:r>
            <w:r>
              <w:rPr>
                <w:rFonts w:hint="default" w:ascii="Times New Roman" w:hAnsi="Times New Roman" w:cs="Times New Roman"/>
                <w:color w:val="auto"/>
                <w:szCs w:val="21"/>
                <w:highlight w:val="none"/>
              </w:rPr>
              <w:t>系统，收集后桶装作为危废处置，可使污染事故得到控制。但一些易挥发的液态污染物等将迅速挥发进入大气环境中造成污染。气态污染物则不容易控制，一旦发生泄漏则迅速进入大气环境中造成污染、碰到火花，雷电等，甚至引发爆炸、火灾等。</w:t>
            </w:r>
          </w:p>
          <w:p>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风险防范措施</w:t>
            </w:r>
          </w:p>
          <w:p>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1）大气环境风险防范措施</w:t>
            </w:r>
          </w:p>
          <w:p>
            <w:pPr>
              <w:spacing w:line="360" w:lineRule="auto"/>
              <w:ind w:firstLine="420" w:firstLineChars="20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加强职工安全意识教育和岗位技术培训，制定严格的操作规程，制定安全巡视制度，定期对各类管道及各类阀门</w:t>
            </w:r>
            <w:r>
              <w:rPr>
                <w:rFonts w:hint="default" w:ascii="Times New Roman" w:hAnsi="Times New Roman" w:cs="Times New Roman"/>
                <w:color w:val="auto"/>
                <w:highlight w:val="none"/>
                <w:lang w:eastAsia="zh-CN"/>
              </w:rPr>
              <w:t>等</w:t>
            </w:r>
            <w:r>
              <w:rPr>
                <w:rFonts w:hint="default" w:ascii="Times New Roman" w:hAnsi="Times New Roman" w:cs="Times New Roman"/>
                <w:color w:val="auto"/>
                <w:highlight w:val="none"/>
              </w:rPr>
              <w:t>进行检测、检修，定期对储存、输送环节的管道、阀门进行检修、维护和保养，避免发生泄漏事故。管道设置紧急切断阀门，对管道泄漏进行实时监测，发生泄漏时立即切断阀门。厂区内设置风向</w:t>
            </w:r>
            <w:r>
              <w:rPr>
                <w:rFonts w:hint="default" w:ascii="Times New Roman" w:hAnsi="Times New Roman" w:cs="Times New Roman"/>
                <w:color w:val="auto"/>
                <w:highlight w:val="none"/>
                <w:lang w:val="en-US" w:eastAsia="zh-CN"/>
              </w:rPr>
              <w:t>标识</w:t>
            </w:r>
            <w:r>
              <w:rPr>
                <w:rFonts w:hint="default" w:ascii="Times New Roman" w:hAnsi="Times New Roman" w:cs="Times New Roman"/>
                <w:color w:val="auto"/>
                <w:highlight w:val="none"/>
              </w:rPr>
              <w:t>，在发生事故时按照风向指标反风向撤离疏散</w:t>
            </w:r>
            <w:r>
              <w:rPr>
                <w:rFonts w:hint="default" w:ascii="Times New Roman" w:hAnsi="Times New Roman" w:cs="Times New Roman"/>
                <w:color w:val="auto"/>
                <w:highlight w:val="none"/>
                <w:lang w:eastAsia="zh-CN"/>
              </w:rPr>
              <w:t>。</w:t>
            </w:r>
          </w:p>
          <w:p>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2）地表水环境风险防范措施</w:t>
            </w:r>
          </w:p>
          <w:p>
            <w:pPr>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根据《建设项目环境风险评价技术导则》（HJ169-2018）、《关于进一步加强环境影响评价管理防范环境风险的通知》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2012年7月3日，环发</w:t>
            </w:r>
            <w:r>
              <w:rPr>
                <w:rFonts w:hint="default" w:ascii="Times New Roman" w:hAnsi="Times New Roman" w:cs="Times New Roman"/>
                <w:color w:val="auto"/>
                <w:highlight w:val="none"/>
                <w:lang w:eastAsia="zh-CN"/>
              </w:rPr>
              <w:t>〔2012〕77号）</w:t>
            </w:r>
            <w:r>
              <w:rPr>
                <w:rFonts w:hint="default" w:ascii="Times New Roman" w:hAnsi="Times New Roman" w:cs="Times New Roman"/>
                <w:color w:val="auto"/>
                <w:highlight w:val="none"/>
              </w:rPr>
              <w:t>和《关于切实加强风险防范严格环境影响评价管理的通知》（2012年8月7日，环发</w:t>
            </w:r>
            <w:r>
              <w:rPr>
                <w:rFonts w:hint="default" w:ascii="Times New Roman" w:hAnsi="Times New Roman" w:cs="Times New Roman"/>
                <w:color w:val="auto"/>
                <w:highlight w:val="none"/>
                <w:lang w:eastAsia="zh-CN"/>
              </w:rPr>
              <w:t>〔2012〕98号</w:t>
            </w:r>
            <w:r>
              <w:rPr>
                <w:rFonts w:hint="default" w:ascii="Times New Roman" w:hAnsi="Times New Roman" w:cs="Times New Roman"/>
                <w:color w:val="auto"/>
                <w:highlight w:val="none"/>
              </w:rPr>
              <w:t>）的规定，对新、改、扩建设项目的环境风险源识别、环境风险预测、选址及敏感目标、防范措施等如实做出评价，提出科学可行的预警监测措施、应急处置措施和应急预案。</w:t>
            </w:r>
          </w:p>
          <w:p>
            <w:pPr>
              <w:spacing w:line="360" w:lineRule="auto"/>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为防止</w:t>
            </w:r>
            <w:r>
              <w:rPr>
                <w:rFonts w:hint="default" w:ascii="Times New Roman" w:hAnsi="Times New Roman" w:eastAsia="宋体" w:cs="Times New Roman"/>
                <w:color w:val="auto"/>
                <w:highlight w:val="none"/>
                <w:lang w:val="en-US" w:eastAsia="zh-CN"/>
              </w:rPr>
              <w:t>本</w:t>
            </w:r>
            <w:r>
              <w:rPr>
                <w:rFonts w:hint="default" w:ascii="Times New Roman" w:hAnsi="Times New Roman" w:eastAsia="宋体" w:cs="Times New Roman"/>
                <w:color w:val="auto"/>
                <w:highlight w:val="none"/>
              </w:rPr>
              <w:t>项目在生产过程中发生风险事故时对周围环境产生影响，其环境风险应设立三级应急防控体系，一级防控将</w:t>
            </w:r>
            <w:r>
              <w:rPr>
                <w:rFonts w:hint="default" w:ascii="Times New Roman" w:hAnsi="Times New Roman" w:cs="Times New Roman"/>
                <w:color w:val="auto"/>
                <w:highlight w:val="none"/>
                <w:lang w:val="en-US" w:eastAsia="zh-CN"/>
              </w:rPr>
              <w:t>火灾爆炸事故产生的消防废水等</w:t>
            </w:r>
            <w:r>
              <w:rPr>
                <w:rFonts w:hint="default" w:ascii="Times New Roman" w:hAnsi="Times New Roman" w:eastAsia="宋体" w:cs="Times New Roman"/>
                <w:color w:val="auto"/>
                <w:highlight w:val="none"/>
              </w:rPr>
              <w:t>污染物控制在</w:t>
            </w:r>
            <w:r>
              <w:rPr>
                <w:rFonts w:hint="default" w:ascii="Times New Roman" w:hAnsi="Times New Roman" w:cs="Times New Roman"/>
                <w:color w:val="auto"/>
                <w:highlight w:val="none"/>
                <w:lang w:val="en-US" w:eastAsia="zh-CN"/>
              </w:rPr>
              <w:t>生产区或原材料区内，</w:t>
            </w:r>
            <w:r>
              <w:rPr>
                <w:rFonts w:hint="default" w:ascii="Times New Roman" w:hAnsi="Times New Roman" w:cs="Times New Roman"/>
                <w:color w:val="auto"/>
                <w:szCs w:val="21"/>
                <w:highlight w:val="none"/>
              </w:rPr>
              <w:t>采取地面防渗处理</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泄露物料收集（戴好防护用具，人工利用铁锹等收集，收集后</w:t>
            </w:r>
            <w:r>
              <w:rPr>
                <w:rFonts w:hint="default" w:ascii="Times New Roman" w:hAnsi="Times New Roman" w:cs="Times New Roman"/>
                <w:color w:val="auto"/>
                <w:szCs w:val="21"/>
                <w:highlight w:val="none"/>
              </w:rPr>
              <w:t>桶装作为危废处置</w:t>
            </w:r>
            <w:r>
              <w:rPr>
                <w:rFonts w:hint="default" w:ascii="Times New Roman" w:hAnsi="Times New Roman" w:cs="Times New Roman"/>
                <w:color w:val="auto"/>
                <w:szCs w:val="21"/>
                <w:highlight w:val="none"/>
                <w:lang w:val="en-US" w:eastAsia="zh-CN"/>
              </w:rPr>
              <w:t>；不能收集的利用砂子等覆盖收集，收集后</w:t>
            </w:r>
            <w:r>
              <w:rPr>
                <w:rFonts w:hint="default" w:ascii="Times New Roman" w:hAnsi="Times New Roman" w:cs="Times New Roman"/>
                <w:color w:val="auto"/>
                <w:szCs w:val="21"/>
                <w:highlight w:val="none"/>
              </w:rPr>
              <w:t>桶装作为危废处置</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auto"/>
                <w:highlight w:val="none"/>
              </w:rPr>
              <w:t>；二级防控将污染物控制在</w:t>
            </w:r>
            <w:r>
              <w:rPr>
                <w:rFonts w:hint="default" w:ascii="Times New Roman" w:hAnsi="Times New Roman" w:cs="Times New Roman"/>
                <w:color w:val="auto"/>
                <w:highlight w:val="none"/>
                <w:lang w:val="en-US" w:eastAsia="zh-CN"/>
              </w:rPr>
              <w:t>生产车间</w:t>
            </w:r>
            <w:r>
              <w:rPr>
                <w:rFonts w:hint="default" w:ascii="Times New Roman" w:hAnsi="Times New Roman" w:eastAsia="宋体" w:cs="Times New Roman"/>
                <w:color w:val="auto"/>
                <w:highlight w:val="none"/>
              </w:rPr>
              <w:t>内</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车间门口</w:t>
            </w:r>
            <w:r>
              <w:rPr>
                <w:rFonts w:hint="default" w:ascii="Times New Roman" w:hAnsi="Times New Roman" w:eastAsia="宋体" w:cs="Times New Roman"/>
                <w:color w:val="auto"/>
                <w:highlight w:val="none"/>
                <w:lang w:eastAsia="zh-CN"/>
              </w:rPr>
              <w:t>增设活动式围堰，防止事故情况下物料进入</w:t>
            </w:r>
            <w:r>
              <w:rPr>
                <w:rFonts w:hint="default" w:ascii="Times New Roman" w:hAnsi="Times New Roman" w:eastAsia="宋体" w:cs="Times New Roman"/>
                <w:color w:val="auto"/>
                <w:highlight w:val="none"/>
                <w:lang w:val="en-US" w:eastAsia="zh-CN"/>
              </w:rPr>
              <w:t>厂区内</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；三级防控将污染物控制在厂</w:t>
            </w:r>
            <w:r>
              <w:rPr>
                <w:rFonts w:hint="default" w:ascii="Times New Roman" w:hAnsi="Times New Roman" w:cs="Times New Roman"/>
                <w:color w:val="auto"/>
                <w:highlight w:val="none"/>
                <w:lang w:val="en-US" w:eastAsia="zh-CN"/>
              </w:rPr>
              <w:t>区</w:t>
            </w:r>
            <w:r>
              <w:rPr>
                <w:rFonts w:hint="default" w:ascii="Times New Roman" w:hAnsi="Times New Roman" w:eastAsia="宋体" w:cs="Times New Roman"/>
                <w:color w:val="auto"/>
                <w:highlight w:val="none"/>
              </w:rPr>
              <w:t>内</w:t>
            </w:r>
            <w:r>
              <w:rPr>
                <w:rFonts w:hint="default" w:ascii="Times New Roman" w:hAnsi="Times New Roman" w:cs="Times New Roman"/>
                <w:color w:val="auto"/>
                <w:highlight w:val="none"/>
                <w:lang w:eastAsia="zh-CN"/>
              </w:rPr>
              <w:t>（厂区门口处备有沙袋、活动式挡水板，一旦发生重大泄漏事故，用沙袋封堵厂区大门，以阻隔厂内污水或其它液体排出厂区；事故状态下产生的事故废水通过槽车转运至污水处理厂，防止事故废水外排）；通过上述“三级防控”，将污染控制在厂内，防止事故泄漏物料和废水造成环境污染，</w:t>
            </w:r>
            <w:r>
              <w:rPr>
                <w:rFonts w:hint="default" w:ascii="Times New Roman" w:hAnsi="Times New Roman" w:eastAsia="宋体" w:cs="Times New Roman"/>
                <w:color w:val="auto"/>
                <w:highlight w:val="none"/>
              </w:rPr>
              <w:t>并按照相关要求编制突发环境应急预案，定期进行演练。</w:t>
            </w:r>
          </w:p>
          <w:p>
            <w:pPr>
              <w:spacing w:line="360" w:lineRule="auto"/>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通过上述措施，可以保证在风险、事故状态下对周围的环境影响较小。</w:t>
            </w:r>
          </w:p>
          <w:p>
            <w:pPr>
              <w:spacing w:line="360" w:lineRule="auto"/>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3）地下水环境风险防范措施</w:t>
            </w:r>
          </w:p>
          <w:p>
            <w:pPr>
              <w:spacing w:line="360" w:lineRule="auto"/>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针对项目可能发生的地下水环境风险事故，防范措施按照</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源头控制、分区防治、风险监控、应急响应</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相结合的原则，从风险事故污染物的产生、入渗、扩散、应急响应全阶段进行控制。</w:t>
            </w:r>
          </w:p>
          <w:p>
            <w:pPr>
              <w:spacing w:line="360" w:lineRule="auto"/>
              <w:ind w:firstLine="482"/>
              <w:rPr>
                <w:rFonts w:hint="default" w:ascii="Times New Roman" w:hAnsi="Times New Roman" w:cs="Times New Roman"/>
                <w:color w:val="auto"/>
                <w:highlight w:val="none"/>
              </w:rPr>
            </w:pPr>
            <w:r>
              <w:rPr>
                <w:rFonts w:hint="default" w:ascii="Times New Roman" w:hAnsi="Times New Roman" w:cs="Times New Roman"/>
                <w:b/>
                <w:color w:val="auto"/>
                <w:highlight w:val="none"/>
              </w:rPr>
              <w:t>源头控制：</w:t>
            </w:r>
            <w:r>
              <w:rPr>
                <w:rFonts w:hint="default" w:ascii="Times New Roman" w:hAnsi="Times New Roman" w:cs="Times New Roman"/>
                <w:color w:val="auto"/>
                <w:highlight w:val="none"/>
              </w:rPr>
              <w:t>主要包括在</w:t>
            </w:r>
            <w:r>
              <w:rPr>
                <w:rFonts w:hint="default" w:ascii="Times New Roman" w:hAnsi="Times New Roman" w:cs="Times New Roman"/>
                <w:color w:val="auto"/>
                <w:highlight w:val="none"/>
                <w:lang w:val="en-US" w:eastAsia="zh-CN"/>
              </w:rPr>
              <w:t>生产设备</w:t>
            </w:r>
            <w:r>
              <w:rPr>
                <w:rFonts w:hint="default" w:ascii="Times New Roman" w:hAnsi="Times New Roman" w:cs="Times New Roman"/>
                <w:color w:val="auto"/>
                <w:highlight w:val="none"/>
              </w:rPr>
              <w:t>及</w:t>
            </w:r>
            <w:r>
              <w:rPr>
                <w:rFonts w:hint="default" w:ascii="Times New Roman" w:hAnsi="Times New Roman" w:cs="Times New Roman"/>
                <w:color w:val="auto"/>
                <w:highlight w:val="none"/>
                <w:lang w:val="en-US" w:eastAsia="zh-CN"/>
              </w:rPr>
              <w:t>原材料储存区</w:t>
            </w:r>
            <w:r>
              <w:rPr>
                <w:rFonts w:hint="default" w:ascii="Times New Roman" w:hAnsi="Times New Roman" w:cs="Times New Roman"/>
                <w:color w:val="auto"/>
                <w:highlight w:val="none"/>
              </w:rPr>
              <w:t>采取相应措施，防止和降低污染物跑、冒、滴、漏，将污染物泄漏的环境风险事故降到最低程度；</w:t>
            </w:r>
          </w:p>
          <w:p>
            <w:pPr>
              <w:spacing w:line="360" w:lineRule="auto"/>
              <w:ind w:firstLine="482"/>
              <w:rPr>
                <w:rFonts w:hint="default" w:ascii="Times New Roman" w:hAnsi="Times New Roman" w:cs="Times New Roman"/>
                <w:color w:val="auto"/>
                <w:highlight w:val="none"/>
              </w:rPr>
            </w:pPr>
            <w:r>
              <w:rPr>
                <w:rFonts w:hint="default" w:ascii="Times New Roman" w:hAnsi="Times New Roman" w:cs="Times New Roman"/>
                <w:b/>
                <w:color w:val="auto"/>
                <w:highlight w:val="none"/>
              </w:rPr>
              <w:t>分区防治：</w:t>
            </w:r>
            <w:r>
              <w:rPr>
                <w:rFonts w:hint="default" w:ascii="Times New Roman" w:hAnsi="Times New Roman" w:cs="Times New Roman"/>
                <w:color w:val="auto"/>
                <w:highlight w:val="none"/>
              </w:rPr>
              <w:t>结合建设场区生产设备、</w:t>
            </w:r>
            <w:r>
              <w:rPr>
                <w:rFonts w:hint="default" w:ascii="Times New Roman" w:hAnsi="Times New Roman" w:cs="Times New Roman"/>
                <w:color w:val="auto"/>
                <w:highlight w:val="none"/>
                <w:lang w:val="en-US" w:eastAsia="zh-CN"/>
              </w:rPr>
              <w:t>原辅材料</w:t>
            </w:r>
            <w:r>
              <w:rPr>
                <w:rFonts w:hint="default" w:ascii="Times New Roman" w:hAnsi="Times New Roman" w:cs="Times New Roman"/>
                <w:color w:val="auto"/>
                <w:highlight w:val="none"/>
              </w:rPr>
              <w:t>储存等布局，实行重点污染防治区、一般污染防治区和非污染区防渗措施有区别的防渗原则。主要包括危废暂存间、化粪池、黏胶和墨水存放区、洗版水处理区、覆胶和印花生产区</w:t>
            </w:r>
            <w:r>
              <w:rPr>
                <w:rFonts w:hint="default" w:ascii="Times New Roman" w:hAnsi="Times New Roman" w:cs="Times New Roman"/>
                <w:color w:val="auto"/>
                <w:highlight w:val="none"/>
                <w:lang w:val="en-US" w:eastAsia="zh-CN"/>
              </w:rPr>
              <w:t>、天然气存放区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成品库、生产车间其他区域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办公区、厂区道路等的防渗措施；</w:t>
            </w:r>
          </w:p>
          <w:p>
            <w:pPr>
              <w:spacing w:line="360" w:lineRule="auto"/>
              <w:ind w:firstLine="482"/>
              <w:rPr>
                <w:rFonts w:hint="default" w:ascii="Times New Roman" w:hAnsi="Times New Roman" w:cs="Times New Roman"/>
                <w:color w:val="auto"/>
                <w:highlight w:val="none"/>
              </w:rPr>
            </w:pPr>
            <w:r>
              <w:rPr>
                <w:rFonts w:hint="default" w:ascii="Times New Roman" w:hAnsi="Times New Roman" w:cs="Times New Roman"/>
                <w:b/>
                <w:color w:val="auto"/>
                <w:highlight w:val="none"/>
              </w:rPr>
              <w:t>风险监控：</w:t>
            </w:r>
            <w:r>
              <w:rPr>
                <w:rFonts w:hint="default" w:ascii="Times New Roman" w:hAnsi="Times New Roman" w:cs="Times New Roman"/>
                <w:color w:val="auto"/>
                <w:highlight w:val="none"/>
              </w:rPr>
              <w:t>实施覆盖生产区的地下水污染监控系统，包括建立完善的监测制度、配备先进的检测仪器和设备、科学、合理设置地下水污染监控井，及时发现污染事故并及时控制；</w:t>
            </w:r>
          </w:p>
          <w:p>
            <w:pPr>
              <w:spacing w:line="360" w:lineRule="auto"/>
              <w:ind w:firstLine="482"/>
              <w:rPr>
                <w:rFonts w:hint="default" w:ascii="Times New Roman" w:hAnsi="Times New Roman" w:eastAsia="宋体" w:cs="Times New Roman"/>
                <w:color w:val="auto"/>
                <w:highlight w:val="none"/>
              </w:rPr>
            </w:pPr>
            <w:r>
              <w:rPr>
                <w:rFonts w:hint="default" w:ascii="Times New Roman" w:hAnsi="Times New Roman" w:cs="Times New Roman"/>
                <w:b/>
                <w:color w:val="auto"/>
                <w:highlight w:val="none"/>
              </w:rPr>
              <w:t>应急响应：</w:t>
            </w:r>
            <w:r>
              <w:rPr>
                <w:rFonts w:hint="default" w:ascii="Times New Roman" w:hAnsi="Times New Roman" w:cs="Times New Roman"/>
                <w:color w:val="auto"/>
                <w:highlight w:val="none"/>
              </w:rPr>
              <w:t>公司制定地下水监测管理措施，并制定地下水应急预案，当发生地下水异常情况时，按照制定的地下水应急预案采取应急措施。</w:t>
            </w:r>
          </w:p>
          <w:p>
            <w:pPr>
              <w:spacing w:line="360" w:lineRule="auto"/>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在采取严格地下水风险防范措施后，项目事故状态下污染物泄漏下渗对地下水环境影响</w:t>
            </w:r>
            <w:r>
              <w:rPr>
                <w:rFonts w:hint="default" w:ascii="Times New Roman" w:hAnsi="Times New Roman" w:cs="Times New Roman"/>
                <w:color w:val="auto"/>
                <w:highlight w:val="none"/>
                <w:lang w:val="en-US" w:eastAsia="zh-CN"/>
              </w:rPr>
              <w:t>较小</w:t>
            </w:r>
            <w:r>
              <w:rPr>
                <w:rFonts w:hint="default" w:ascii="Times New Roman" w:hAnsi="Times New Roman" w:eastAsia="宋体" w:cs="Times New Roman"/>
                <w:color w:val="auto"/>
                <w:highlight w:val="none"/>
              </w:rPr>
              <w:t>。</w:t>
            </w:r>
          </w:p>
          <w:p>
            <w:pPr>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4）总图布置及建筑风险防范措施</w:t>
            </w:r>
          </w:p>
          <w:p>
            <w:pPr>
              <w:spacing w:line="360" w:lineRule="auto"/>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①在总图布置中，考虑各建筑物的防火间距，安全疏散以及自然条件等方面的问题，确保其符合国家的有关规定。完善相关消防设施，严格划分生产区和储存区。企业按照《建筑设计防火规范》（GB50016-2014）和《工业企业总平面设计规范》</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GB 50187-2012</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等规范要求进行设计。</w:t>
            </w:r>
          </w:p>
          <w:p>
            <w:pPr>
              <w:spacing w:line="360" w:lineRule="auto"/>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②配电室的结构、基础应根据水文地理状况进行建设，符合安全规定，预防遭大水淹没，引起</w:t>
            </w:r>
            <w:r>
              <w:rPr>
                <w:rFonts w:hint="default" w:ascii="Times New Roman" w:hAnsi="Times New Roman" w:cs="Times New Roman"/>
                <w:color w:val="auto"/>
                <w:highlight w:val="none"/>
                <w:lang w:eastAsia="zh-CN"/>
              </w:rPr>
              <w:t>电气</w:t>
            </w:r>
            <w:r>
              <w:rPr>
                <w:rFonts w:hint="default" w:ascii="Times New Roman" w:hAnsi="Times New Roman" w:eastAsia="宋体" w:cs="Times New Roman"/>
                <w:color w:val="auto"/>
                <w:highlight w:val="none"/>
              </w:rPr>
              <w:t>短路事故。各车间、仓库设立消防水收集管道收集消防废水。</w:t>
            </w:r>
          </w:p>
          <w:p>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eastAsia="宋体" w:cs="Times New Roman"/>
                <w:color w:val="auto"/>
                <w:highlight w:val="none"/>
              </w:rPr>
              <w:t>③生产装置的供</w:t>
            </w:r>
            <w:r>
              <w:rPr>
                <w:rFonts w:hint="default" w:ascii="Times New Roman" w:hAnsi="Times New Roman" w:cs="Times New Roman"/>
                <w:bCs/>
                <w:color w:val="auto"/>
                <w:szCs w:val="21"/>
                <w:highlight w:val="none"/>
              </w:rPr>
              <w:t>电、供水等公用设施必须加强日常管理，确保满足正常生产和事故状态下的要求。</w:t>
            </w:r>
          </w:p>
          <w:p>
            <w:pPr>
              <w:tabs>
                <w:tab w:val="left" w:pos="1152"/>
                <w:tab w:val="left" w:pos="1680"/>
              </w:tabs>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eastAsia="宋体" w:cs="Times New Roman"/>
                <w:bCs/>
                <w:color w:val="auto"/>
                <w:szCs w:val="21"/>
                <w:highlight w:val="none"/>
              </w:rPr>
              <w:t>④</w:t>
            </w:r>
            <w:r>
              <w:rPr>
                <w:rFonts w:hint="default" w:ascii="Times New Roman" w:hAnsi="Times New Roman" w:cs="Times New Roman"/>
                <w:bCs/>
                <w:color w:val="auto"/>
                <w:szCs w:val="21"/>
                <w:highlight w:val="none"/>
              </w:rPr>
              <w:t>企业要加强消防安全管理，开展好消防安全检查和消防安全宣传教育，加强消防安全培训，建立健全各项消防安全制度，落实消防安全责任，提高职工的消防素质，按规范配置灭火器材和消防装备。</w:t>
            </w:r>
          </w:p>
          <w:p>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eastAsia="宋体" w:cs="Times New Roman"/>
                <w:bCs/>
                <w:color w:val="auto"/>
                <w:szCs w:val="21"/>
                <w:highlight w:val="none"/>
              </w:rPr>
              <w:t>⑤</w:t>
            </w:r>
            <w:r>
              <w:rPr>
                <w:rFonts w:hint="default" w:ascii="Times New Roman" w:hAnsi="Times New Roman" w:cs="Times New Roman"/>
                <w:bCs/>
                <w:color w:val="auto"/>
                <w:szCs w:val="21"/>
                <w:highlight w:val="none"/>
              </w:rPr>
              <w:t>规范上述风险物质的使用及储存，严格按照安全规范要求组织生产，定期对</w:t>
            </w:r>
            <w:r>
              <w:rPr>
                <w:rFonts w:hint="default" w:ascii="Times New Roman" w:hAnsi="Times New Roman" w:cs="Times New Roman"/>
                <w:bCs/>
                <w:color w:val="auto"/>
                <w:szCs w:val="21"/>
                <w:highlight w:val="none"/>
                <w:lang w:val="en-US" w:eastAsia="zh-CN"/>
              </w:rPr>
              <w:t>天然气钢瓶、存放区</w:t>
            </w:r>
            <w:r>
              <w:rPr>
                <w:rFonts w:hint="default" w:ascii="Times New Roman" w:hAnsi="Times New Roman" w:cs="Times New Roman"/>
                <w:bCs/>
                <w:color w:val="auto"/>
                <w:szCs w:val="21"/>
                <w:highlight w:val="none"/>
              </w:rPr>
              <w:t>及相应的管道进行巡检，风险物质所在区域进行围堰的设置和重点防渗硬化。</w:t>
            </w:r>
          </w:p>
          <w:p>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eastAsia="宋体" w:cs="Times New Roman"/>
                <w:bCs/>
                <w:color w:val="auto"/>
                <w:szCs w:val="21"/>
                <w:highlight w:val="none"/>
              </w:rPr>
              <w:t>⑥</w:t>
            </w:r>
            <w:r>
              <w:rPr>
                <w:rFonts w:hint="default" w:ascii="Times New Roman" w:hAnsi="Times New Roman" w:cs="Times New Roman"/>
                <w:bCs/>
                <w:color w:val="auto"/>
                <w:szCs w:val="21"/>
                <w:highlight w:val="none"/>
              </w:rPr>
              <w:t>为预防事故的发生，应成立应急事故领导小组。</w:t>
            </w:r>
          </w:p>
          <w:p>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eastAsia="宋体" w:cs="Times New Roman"/>
                <w:bCs/>
                <w:color w:val="auto"/>
                <w:szCs w:val="21"/>
                <w:highlight w:val="none"/>
              </w:rPr>
              <w:t>⑦</w:t>
            </w:r>
            <w:r>
              <w:rPr>
                <w:rFonts w:hint="default" w:ascii="Times New Roman" w:hAnsi="Times New Roman" w:cs="Times New Roman"/>
                <w:bCs/>
                <w:color w:val="auto"/>
                <w:szCs w:val="21"/>
                <w:highlight w:val="none"/>
                <w:lang w:val="en-US" w:eastAsia="zh-CN"/>
              </w:rPr>
              <w:t>修订</w:t>
            </w:r>
            <w:r>
              <w:rPr>
                <w:rFonts w:hint="default" w:ascii="Times New Roman" w:hAnsi="Times New Roman" w:cs="Times New Roman"/>
                <w:bCs/>
                <w:color w:val="auto"/>
                <w:szCs w:val="21"/>
                <w:highlight w:val="none"/>
              </w:rPr>
              <w:t>突发环境事件应急预案，</w:t>
            </w:r>
            <w:r>
              <w:rPr>
                <w:rFonts w:hint="default" w:ascii="Times New Roman" w:hAnsi="Times New Roman" w:cs="Times New Roman"/>
                <w:bCs/>
                <w:color w:val="auto"/>
                <w:szCs w:val="21"/>
                <w:highlight w:val="none"/>
                <w:lang w:val="en-US" w:eastAsia="zh-CN"/>
              </w:rPr>
              <w:t>技改后及时修订应急预案，</w:t>
            </w:r>
            <w:r>
              <w:rPr>
                <w:rFonts w:hint="default" w:ascii="Times New Roman" w:hAnsi="Times New Roman" w:cs="Times New Roman"/>
                <w:bCs/>
                <w:color w:val="auto"/>
                <w:szCs w:val="21"/>
                <w:highlight w:val="none"/>
              </w:rPr>
              <w:t>包括预案适用范围、环境事件分类与分级、组织机构与职责、监控和预警、应急响应、应急保障、善后处置、预案管理与演练等内容。应急预案应体现分级响应、区域联动的原则，与地方政府突发环境事件应急预案相衔接，明确分级响应程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rPr>
              <w:t>分析结论</w:t>
            </w:r>
          </w:p>
          <w:p>
            <w:pPr>
              <w:adjustRightInd w:val="0"/>
              <w:snapToGrid w:val="0"/>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在落实好本次环评提出的风险防范措施的前提下，</w:t>
            </w:r>
            <w:r>
              <w:rPr>
                <w:rFonts w:hint="default" w:ascii="Times New Roman" w:hAnsi="Times New Roman" w:cs="Times New Roman"/>
                <w:b w:val="0"/>
                <w:bCs w:val="0"/>
                <w:color w:val="auto"/>
                <w:sz w:val="21"/>
                <w:szCs w:val="21"/>
                <w:highlight w:val="none"/>
                <w:lang w:val="en-US" w:eastAsia="zh-CN"/>
              </w:rPr>
              <w:t>本项目</w:t>
            </w:r>
            <w:r>
              <w:rPr>
                <w:rFonts w:hint="default" w:ascii="Times New Roman" w:hAnsi="Times New Roman" w:cs="Times New Roman"/>
                <w:color w:val="auto"/>
                <w:sz w:val="21"/>
                <w:szCs w:val="21"/>
                <w:highlight w:val="none"/>
              </w:rPr>
              <w:t>存在的风险较小</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环境风险</w:t>
            </w:r>
            <w:r>
              <w:rPr>
                <w:rFonts w:hint="default" w:ascii="Times New Roman" w:hAnsi="Times New Roman" w:cs="Times New Roman"/>
                <w:color w:val="auto"/>
                <w:sz w:val="21"/>
                <w:szCs w:val="21"/>
                <w:highlight w:val="none"/>
                <w:lang w:val="en-US" w:eastAsia="zh-CN"/>
              </w:rPr>
              <w:t>可控</w:t>
            </w:r>
            <w:r>
              <w:rPr>
                <w:rFonts w:hint="default" w:ascii="Times New Roman" w:hAnsi="Times New Roman" w:eastAsia="宋体" w:cs="Times New Roman"/>
                <w:color w:val="auto"/>
                <w:sz w:val="21"/>
                <w:szCs w:val="21"/>
                <w:highlight w:val="none"/>
              </w:rPr>
              <w:t>。</w:t>
            </w:r>
            <w:bookmarkEnd w:id="45"/>
            <w:bookmarkEnd w:id="46"/>
            <w:bookmarkEnd w:id="47"/>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8、电磁辐射</w:t>
            </w:r>
          </w:p>
          <w:p>
            <w:pPr>
              <w:adjustRightInd w:val="0"/>
              <w:snapToGrid w:val="0"/>
              <w:spacing w:line="360" w:lineRule="auto"/>
              <w:ind w:firstLine="420" w:firstLineChars="200"/>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本项目</w:t>
            </w:r>
            <w:r>
              <w:rPr>
                <w:rFonts w:hint="default" w:ascii="Times New Roman" w:hAnsi="Times New Roman" w:eastAsia="宋体" w:cs="Times New Roman"/>
                <w:b w:val="0"/>
                <w:bCs w:val="0"/>
                <w:color w:val="auto"/>
                <w:sz w:val="21"/>
                <w:szCs w:val="21"/>
                <w:highlight w:val="none"/>
                <w:lang w:val="en-US" w:eastAsia="zh-CN"/>
              </w:rPr>
              <w:t>不属于广播电台、差转台、电视塔台、卫星地球上行站、雷达等电磁辐射类项目，本评价不再开展电磁环境影响分析。</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default" w:ascii="Times New Roman" w:hAnsi="Times New Roman" w:eastAsia="宋体" w:cs="Times New Roman"/>
                <w:b/>
                <w:bCs w:val="0"/>
                <w:color w:val="auto"/>
                <w:kern w:val="0"/>
                <w:highlight w:val="none"/>
                <w:lang w:val="en-US" w:eastAsia="zh-CN"/>
              </w:rPr>
            </w:pPr>
            <w:r>
              <w:rPr>
                <w:rFonts w:hint="default" w:ascii="Times New Roman" w:hAnsi="Times New Roman" w:eastAsia="宋体" w:cs="Times New Roman"/>
                <w:b/>
                <w:bCs w:val="0"/>
                <w:color w:val="auto"/>
                <w:kern w:val="0"/>
                <w:highlight w:val="none"/>
                <w:lang w:val="en-US" w:eastAsia="zh-CN"/>
              </w:rPr>
              <w:t>9、排污许可管理要求</w:t>
            </w:r>
          </w:p>
          <w:p>
            <w:pPr>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根据《建设项目环境保护管理条例》（国务院令第682号）及《中华人民共和国环境影响评价法》（2016年修订）的有关规定、《国务院办公厅关于印发控制污染物排放许可制实施方案的通知》（国办发</w:t>
            </w:r>
            <w:r>
              <w:rPr>
                <w:rFonts w:hint="default" w:ascii="Times New Roman" w:hAnsi="Times New Roman" w:cs="Times New Roman"/>
                <w:color w:val="auto"/>
                <w:szCs w:val="21"/>
                <w:highlight w:val="none"/>
                <w:lang w:eastAsia="zh-CN"/>
              </w:rPr>
              <w:t>〔2016〕81号</w:t>
            </w:r>
            <w:r>
              <w:rPr>
                <w:rFonts w:hint="default" w:ascii="Times New Roman" w:hAnsi="Times New Roman" w:eastAsia="宋体" w:cs="Times New Roman"/>
                <w:color w:val="auto"/>
                <w:szCs w:val="21"/>
                <w:highlight w:val="none"/>
              </w:rPr>
              <w:t>）、《排污许可证管理暂行规定》等相关文件要求，建设单位必须按期持证排污、按证排污，不得无证排污，及时申领排污许可证，对申请材料的真实性、准确性和完整性承担法律责任，承诺按照排污许可证的规定排污并严格执行，落实污染物排放控制措施和其他各项环境管理要求，确保污染物排放种类、浓度和排放量等达到许可要求；明确责任人和相关人员环境保护责任，不断提高污染治理和管理水平，自觉接受监督检查。</w:t>
            </w:r>
          </w:p>
          <w:p>
            <w:pPr>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公司应当按相关规定，在合理时间内</w:t>
            </w:r>
            <w:r>
              <w:rPr>
                <w:rFonts w:hint="default" w:ascii="Times New Roman" w:hAnsi="Times New Roman" w:cs="Times New Roman"/>
                <w:color w:val="auto"/>
                <w:szCs w:val="21"/>
                <w:highlight w:val="none"/>
                <w:lang w:val="en-US" w:eastAsia="zh-CN"/>
              </w:rPr>
              <w:t>变更排污许可证</w:t>
            </w:r>
            <w:r>
              <w:rPr>
                <w:rFonts w:hint="default" w:ascii="Times New Roman" w:hAnsi="Times New Roman" w:eastAsia="宋体" w:cs="Times New Roman"/>
                <w:color w:val="auto"/>
                <w:szCs w:val="21"/>
                <w:highlight w:val="none"/>
              </w:rPr>
              <w:t>。</w:t>
            </w:r>
          </w:p>
          <w:p>
            <w:pPr>
              <w:snapToGrid w:val="0"/>
              <w:spacing w:line="360" w:lineRule="auto"/>
              <w:ind w:firstLine="382" w:firstLineChars="200"/>
              <w:rPr>
                <w:rFonts w:hint="default" w:ascii="Times New Roman" w:hAnsi="Times New Roman" w:cs="Times New Roman"/>
                <w:b/>
                <w:bCs/>
                <w:color w:val="auto"/>
                <w:spacing w:val="-10"/>
                <w:szCs w:val="21"/>
                <w:highlight w:val="none"/>
              </w:rPr>
            </w:pPr>
            <w:r>
              <w:rPr>
                <w:rFonts w:hint="default" w:ascii="Times New Roman" w:hAnsi="Times New Roman" w:cs="Times New Roman"/>
                <w:b/>
                <w:bCs/>
                <w:color w:val="auto"/>
                <w:spacing w:val="-10"/>
                <w:szCs w:val="21"/>
                <w:highlight w:val="none"/>
                <w:lang w:val="en-US" w:eastAsia="zh-CN"/>
              </w:rPr>
              <w:t>10、</w:t>
            </w:r>
            <w:r>
              <w:rPr>
                <w:rFonts w:hint="default" w:ascii="Times New Roman" w:hAnsi="Times New Roman" w:cs="Times New Roman"/>
                <w:b/>
                <w:bCs/>
                <w:color w:val="auto"/>
                <w:spacing w:val="-10"/>
                <w:szCs w:val="21"/>
                <w:highlight w:val="none"/>
              </w:rPr>
              <w:t>“三本账”分析</w:t>
            </w:r>
          </w:p>
          <w:p>
            <w:pPr>
              <w:snapToGrid w:val="0"/>
              <w:spacing w:line="360" w:lineRule="auto"/>
              <w:ind w:firstLine="482"/>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lang w:val="en-US" w:eastAsia="zh-CN"/>
              </w:rPr>
              <w:t>技改</w:t>
            </w:r>
            <w:r>
              <w:rPr>
                <w:rFonts w:hint="default" w:ascii="Times New Roman" w:hAnsi="Times New Roman" w:cs="Times New Roman"/>
                <w:color w:val="auto"/>
                <w:szCs w:val="21"/>
                <w:highlight w:val="none"/>
              </w:rPr>
              <w:t>项目“三本帐”核算情况见下表。</w:t>
            </w:r>
          </w:p>
          <w:p>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default" w:ascii="Times New Roman" w:hAnsi="Times New Roman" w:cs="Times New Roman"/>
                <w:b/>
                <w:color w:val="auto"/>
                <w:szCs w:val="21"/>
                <w:highlight w:val="none"/>
                <w:lang w:val="en-US" w:eastAsia="zh-CN"/>
              </w:rPr>
              <w:t>18</w:t>
            </w:r>
            <w:r>
              <w:rPr>
                <w:rFonts w:hint="default" w:ascii="Times New Roman" w:hAnsi="Times New Roman" w:cs="Times New Roman"/>
                <w:b/>
                <w:color w:val="auto"/>
                <w:szCs w:val="21"/>
                <w:highlight w:val="none"/>
              </w:rPr>
              <w:t xml:space="preserve"> </w:t>
            </w:r>
            <w:r>
              <w:rPr>
                <w:rFonts w:hint="default" w:ascii="Times New Roman" w:hAnsi="Times New Roman" w:cs="Times New Roman"/>
                <w:b/>
                <w:color w:val="auto"/>
                <w:szCs w:val="21"/>
                <w:highlight w:val="none"/>
                <w:lang w:val="en-US" w:eastAsia="zh-CN"/>
              </w:rPr>
              <w:t>技改</w:t>
            </w:r>
            <w:r>
              <w:rPr>
                <w:rFonts w:hint="default" w:ascii="Times New Roman" w:hAnsi="Times New Roman" w:cs="Times New Roman"/>
                <w:b/>
                <w:color w:val="auto"/>
                <w:szCs w:val="21"/>
                <w:highlight w:val="none"/>
              </w:rPr>
              <w:t>项目“三本帐”核算一览表</w:t>
            </w:r>
          </w:p>
          <w:tbl>
            <w:tblPr>
              <w:tblStyle w:val="36"/>
              <w:tblW w:w="5000" w:type="pct"/>
              <w:tblInd w:w="-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1406"/>
              <w:gridCol w:w="1097"/>
              <w:gridCol w:w="1117"/>
              <w:gridCol w:w="1117"/>
              <w:gridCol w:w="1271"/>
              <w:gridCol w:w="1426"/>
              <w:gridCol w:w="10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01" w:type="pct"/>
                  <w:tcBorders>
                    <w:tl2br w:val="nil"/>
                    <w:tr2bl w:val="nil"/>
                  </w:tcBorders>
                  <w:noWrap w:val="0"/>
                  <w:tcMar>
                    <w:left w:w="28" w:type="dxa"/>
                    <w:right w:w="28" w:type="dxa"/>
                  </w:tcMar>
                  <w:vAlign w:val="center"/>
                </w:tcPr>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lang w:val="en-US" w:eastAsia="zh-CN"/>
                    </w:rPr>
                    <w:t xml:space="preserve">      </w:t>
                  </w:r>
                  <w:r>
                    <w:rPr>
                      <w:rFonts w:hint="default" w:ascii="Times New Roman" w:hAnsi="Times New Roman" w:cs="Times New Roman"/>
                      <w:b/>
                      <w:bCs w:val="0"/>
                      <w:color w:val="auto"/>
                      <w:sz w:val="21"/>
                      <w:szCs w:val="21"/>
                      <w:highlight w:val="none"/>
                    </w:rPr>
                    <w:t>项目</w:t>
                  </w:r>
                </w:p>
                <w:p>
                  <w:pPr>
                    <w:jc w:val="both"/>
                    <w:rPr>
                      <w:rFonts w:hint="default" w:ascii="Times New Roman" w:hAnsi="Times New Roman" w:cs="Times New Roman"/>
                      <w:b w:val="0"/>
                      <w:bCs/>
                      <w:color w:val="auto"/>
                      <w:sz w:val="21"/>
                      <w:szCs w:val="21"/>
                      <w:highlight w:val="none"/>
                    </w:rPr>
                  </w:pPr>
                  <w:r>
                    <w:rPr>
                      <w:rFonts w:hint="default" w:ascii="Times New Roman" w:hAnsi="Times New Roman" w:cs="Times New Roman"/>
                      <w:b/>
                      <w:bCs w:val="0"/>
                      <w:color w:val="auto"/>
                      <w:sz w:val="21"/>
                      <w:szCs w:val="21"/>
                      <w:highlight w:val="none"/>
                    </w:rPr>
                    <w:t>分类</w:t>
                  </w:r>
                </w:p>
              </w:tc>
              <w:tc>
                <w:tcPr>
                  <w:tcW w:w="648" w:type="pct"/>
                  <w:tcBorders>
                    <w:tl2br w:val="nil"/>
                    <w:tr2bl w:val="nil"/>
                  </w:tcBorders>
                  <w:noWrap w:val="0"/>
                  <w:tcMar>
                    <w:left w:w="28" w:type="dxa"/>
                    <w:right w:w="28" w:type="dxa"/>
                  </w:tcMar>
                  <w:vAlign w:val="center"/>
                </w:tcPr>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污染物名称</w:t>
                  </w:r>
                </w:p>
              </w:tc>
              <w:tc>
                <w:tcPr>
                  <w:tcW w:w="581" w:type="pct"/>
                  <w:tcBorders>
                    <w:tl2br w:val="nil"/>
                    <w:tr2bl w:val="nil"/>
                  </w:tcBorders>
                  <w:noWrap w:val="0"/>
                  <w:tcMar>
                    <w:left w:w="28" w:type="dxa"/>
                    <w:right w:w="28" w:type="dxa"/>
                  </w:tcMar>
                  <w:vAlign w:val="center"/>
                </w:tcPr>
                <w:p>
                  <w:pPr>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cs="Times New Roman"/>
                      <w:b/>
                      <w:bCs w:val="0"/>
                      <w:color w:val="auto"/>
                      <w:sz w:val="21"/>
                      <w:szCs w:val="21"/>
                      <w:highlight w:val="none"/>
                    </w:rPr>
                    <w:t>现有</w:t>
                  </w:r>
                  <w:r>
                    <w:rPr>
                      <w:rFonts w:hint="default" w:ascii="Times New Roman" w:hAnsi="Times New Roman" w:cs="Times New Roman"/>
                      <w:b/>
                      <w:bCs w:val="0"/>
                      <w:color w:val="auto"/>
                      <w:sz w:val="21"/>
                      <w:szCs w:val="21"/>
                      <w:highlight w:val="none"/>
                      <w:lang w:val="en-US" w:eastAsia="zh-CN"/>
                    </w:rPr>
                    <w:t>项目</w:t>
                  </w:r>
                </w:p>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排放量（固体废物产生量）</w:t>
                  </w:r>
                </w:p>
              </w:tc>
              <w:tc>
                <w:tcPr>
                  <w:tcW w:w="591" w:type="pct"/>
                  <w:tcBorders>
                    <w:tl2br w:val="nil"/>
                    <w:tr2bl w:val="nil"/>
                  </w:tcBorders>
                  <w:noWrap w:val="0"/>
                  <w:tcMar>
                    <w:left w:w="28" w:type="dxa"/>
                    <w:right w:w="28" w:type="dxa"/>
                  </w:tcMar>
                  <w:vAlign w:val="center"/>
                </w:tcPr>
                <w:p>
                  <w:pPr>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cs="Times New Roman"/>
                      <w:b/>
                      <w:bCs w:val="0"/>
                      <w:color w:val="auto"/>
                      <w:sz w:val="21"/>
                      <w:szCs w:val="21"/>
                      <w:highlight w:val="none"/>
                      <w:lang w:val="en-US" w:eastAsia="zh-CN"/>
                    </w:rPr>
                    <w:t>现有项目许可排放量</w:t>
                  </w:r>
                </w:p>
              </w:tc>
              <w:tc>
                <w:tcPr>
                  <w:tcW w:w="591" w:type="pct"/>
                  <w:tcBorders>
                    <w:tl2br w:val="nil"/>
                    <w:tr2bl w:val="nil"/>
                  </w:tcBorders>
                  <w:noWrap w:val="0"/>
                  <w:tcMar>
                    <w:left w:w="28" w:type="dxa"/>
                    <w:right w:w="28" w:type="dxa"/>
                  </w:tcMar>
                  <w:vAlign w:val="center"/>
                </w:tcPr>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本项目</w:t>
                  </w:r>
                </w:p>
                <w:p>
                  <w:pPr>
                    <w:jc w:val="center"/>
                    <w:rPr>
                      <w:rFonts w:hint="default" w:ascii="Times New Roman" w:hAnsi="Times New Roman" w:eastAsia="宋体" w:cs="Times New Roman"/>
                      <w:b/>
                      <w:bCs w:val="0"/>
                      <w:color w:val="auto"/>
                      <w:sz w:val="21"/>
                      <w:szCs w:val="21"/>
                      <w:highlight w:val="none"/>
                      <w:lang w:eastAsia="zh-CN"/>
                    </w:rPr>
                  </w:pPr>
                  <w:r>
                    <w:rPr>
                      <w:rFonts w:hint="default" w:ascii="Times New Roman" w:hAnsi="Times New Roman" w:cs="Times New Roman"/>
                      <w:b/>
                      <w:bCs w:val="0"/>
                      <w:color w:val="auto"/>
                      <w:sz w:val="21"/>
                      <w:szCs w:val="21"/>
                      <w:highlight w:val="none"/>
                    </w:rPr>
                    <w:t>排放量（固体废物产生量）</w:t>
                  </w:r>
                </w:p>
              </w:tc>
              <w:tc>
                <w:tcPr>
                  <w:tcW w:w="671" w:type="pct"/>
                  <w:tcBorders>
                    <w:tl2br w:val="nil"/>
                    <w:tr2bl w:val="nil"/>
                  </w:tcBorders>
                  <w:noWrap w:val="0"/>
                  <w:tcMar>
                    <w:left w:w="28" w:type="dxa"/>
                    <w:right w:w="28" w:type="dxa"/>
                  </w:tcMar>
                  <w:vAlign w:val="center"/>
                </w:tcPr>
                <w:p>
                  <w:pPr>
                    <w:jc w:val="center"/>
                    <w:rPr>
                      <w:rFonts w:hint="default" w:ascii="Times New Roman" w:hAnsi="Times New Roman" w:eastAsia="宋体" w:cs="Times New Roman"/>
                      <w:b/>
                      <w:bCs w:val="0"/>
                      <w:color w:val="auto"/>
                      <w:sz w:val="21"/>
                      <w:szCs w:val="21"/>
                      <w:highlight w:val="none"/>
                      <w:lang w:eastAsia="zh-CN"/>
                    </w:rPr>
                  </w:pPr>
                  <w:r>
                    <w:rPr>
                      <w:rFonts w:hint="default" w:ascii="Times New Roman" w:hAnsi="Times New Roman" w:cs="Times New Roman"/>
                      <w:b/>
                      <w:bCs w:val="0"/>
                      <w:color w:val="auto"/>
                      <w:sz w:val="21"/>
                      <w:szCs w:val="21"/>
                      <w:highlight w:val="none"/>
                    </w:rPr>
                    <w:t>以新带老削减量</w:t>
                  </w:r>
                </w:p>
              </w:tc>
              <w:tc>
                <w:tcPr>
                  <w:tcW w:w="751" w:type="pct"/>
                  <w:tcBorders>
                    <w:tl2br w:val="nil"/>
                    <w:tr2bl w:val="nil"/>
                  </w:tcBorders>
                  <w:noWrap w:val="0"/>
                  <w:tcMar>
                    <w:left w:w="28" w:type="dxa"/>
                    <w:right w:w="28" w:type="dxa"/>
                  </w:tcMar>
                  <w:vAlign w:val="center"/>
                </w:tcPr>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本项目建成后</w:t>
                  </w:r>
                </w:p>
                <w:p>
                  <w:pPr>
                    <w:jc w:val="center"/>
                    <w:rPr>
                      <w:rFonts w:hint="default" w:ascii="Times New Roman" w:hAnsi="Times New Roman" w:eastAsia="宋体" w:cs="Times New Roman"/>
                      <w:b/>
                      <w:bCs w:val="0"/>
                      <w:color w:val="auto"/>
                      <w:sz w:val="21"/>
                      <w:szCs w:val="21"/>
                      <w:highlight w:val="none"/>
                      <w:lang w:eastAsia="zh-CN"/>
                    </w:rPr>
                  </w:pPr>
                  <w:r>
                    <w:rPr>
                      <w:rFonts w:hint="default" w:ascii="Times New Roman" w:hAnsi="Times New Roman" w:cs="Times New Roman"/>
                      <w:b/>
                      <w:bCs w:val="0"/>
                      <w:color w:val="auto"/>
                      <w:sz w:val="21"/>
                      <w:szCs w:val="21"/>
                      <w:highlight w:val="none"/>
                    </w:rPr>
                    <w:t>全厂排放量（固体废物产生量）</w:t>
                  </w:r>
                </w:p>
              </w:tc>
              <w:tc>
                <w:tcPr>
                  <w:tcW w:w="561" w:type="pct"/>
                  <w:tcBorders>
                    <w:tl2br w:val="nil"/>
                    <w:tr2bl w:val="nil"/>
                  </w:tcBorders>
                  <w:noWrap w:val="0"/>
                  <w:tcMar>
                    <w:left w:w="28" w:type="dxa"/>
                    <w:right w:w="28" w:type="dxa"/>
                  </w:tcMar>
                  <w:vAlign w:val="center"/>
                </w:tcPr>
                <w:p>
                  <w:pPr>
                    <w:jc w:val="center"/>
                    <w:rPr>
                      <w:rFonts w:hint="default" w:ascii="Times New Roman" w:hAnsi="Times New Roman" w:eastAsia="宋体" w:cs="Times New Roman"/>
                      <w:b/>
                      <w:bCs w:val="0"/>
                      <w:color w:val="auto"/>
                      <w:sz w:val="21"/>
                      <w:szCs w:val="21"/>
                      <w:highlight w:val="none"/>
                      <w:lang w:eastAsia="zh-CN"/>
                    </w:rPr>
                  </w:pPr>
                  <w:r>
                    <w:rPr>
                      <w:rFonts w:hint="default" w:ascii="Times New Roman" w:hAnsi="Times New Roman" w:cs="Times New Roman"/>
                      <w:b/>
                      <w:bCs w:val="0"/>
                      <w:color w:val="auto"/>
                      <w:sz w:val="21"/>
                      <w:szCs w:val="21"/>
                      <w:highlight w:val="none"/>
                    </w:rPr>
                    <w:t>变化量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restart"/>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废气</w:t>
                  </w:r>
                </w:p>
              </w:tc>
              <w:tc>
                <w:tcPr>
                  <w:tcW w:w="648"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0.086</w:t>
                  </w:r>
                </w:p>
              </w:tc>
              <w:tc>
                <w:tcPr>
                  <w:tcW w:w="5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0.2112</w:t>
                  </w: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red"/>
                      <w:lang w:val="en-US" w:eastAsia="zh-CN" w:bidi="ar-SA"/>
                    </w:rPr>
                  </w:pPr>
                  <w:r>
                    <w:rPr>
                      <w:rFonts w:hint="eastAsia" w:cs="Times New Roman"/>
                      <w:color w:val="auto"/>
                      <w:sz w:val="21"/>
                      <w:szCs w:val="21"/>
                      <w:highlight w:val="red"/>
                      <w:lang w:val="en-US" w:eastAsia="zh-CN"/>
                    </w:rPr>
                    <w:t>0.021</w:t>
                  </w:r>
                  <w:r>
                    <w:rPr>
                      <w:rFonts w:hint="default" w:ascii="Times New Roman" w:hAnsi="Times New Roman" w:eastAsia="宋体" w:cs="Times New Roman"/>
                      <w:color w:val="auto"/>
                      <w:sz w:val="21"/>
                      <w:szCs w:val="21"/>
                      <w:highlight w:val="red"/>
                      <w:lang w:val="en-US" w:eastAsia="zh-CN"/>
                    </w:rPr>
                    <w:t xml:space="preserve"> </w:t>
                  </w:r>
                </w:p>
              </w:tc>
              <w:tc>
                <w:tcPr>
                  <w:tcW w:w="671" w:type="pct"/>
                  <w:tcBorders>
                    <w:tl2br w:val="nil"/>
                    <w:tr2bl w:val="nil"/>
                  </w:tcBorders>
                  <w:noWrap w:val="0"/>
                  <w:vAlign w:val="center"/>
                </w:tcPr>
                <w:p>
                  <w:pPr>
                    <w:adjustRightInd w:val="0"/>
                    <w:snapToGrid w:val="0"/>
                    <w:jc w:val="center"/>
                    <w:rPr>
                      <w:rFonts w:hint="default" w:ascii="Times New Roman" w:hAnsi="Times New Roman" w:eastAsia="宋体" w:cs="Times New Roman"/>
                      <w:bCs/>
                      <w:color w:val="auto"/>
                      <w:kern w:val="2"/>
                      <w:sz w:val="21"/>
                      <w:szCs w:val="21"/>
                      <w:highlight w:val="red"/>
                      <w:lang w:val="en-US" w:eastAsia="zh-CN" w:bidi="ar-SA"/>
                    </w:rPr>
                  </w:pPr>
                  <w:r>
                    <w:rPr>
                      <w:rFonts w:hint="default" w:ascii="Times New Roman" w:hAnsi="Times New Roman" w:cs="Times New Roman"/>
                      <w:color w:val="auto"/>
                      <w:kern w:val="2"/>
                      <w:sz w:val="21"/>
                      <w:szCs w:val="21"/>
                      <w:highlight w:val="red"/>
                      <w:lang w:val="en-US" w:eastAsia="zh-CN" w:bidi="ar-SA"/>
                    </w:rPr>
                    <w:t>/</w:t>
                  </w:r>
                </w:p>
              </w:tc>
              <w:tc>
                <w:tcPr>
                  <w:tcW w:w="75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red"/>
                      <w:lang w:val="en-US" w:eastAsia="zh-CN" w:bidi="ar-SA"/>
                    </w:rPr>
                  </w:pPr>
                  <w:r>
                    <w:rPr>
                      <w:rFonts w:hint="eastAsia" w:cs="Times New Roman"/>
                      <w:color w:val="auto"/>
                      <w:kern w:val="2"/>
                      <w:sz w:val="21"/>
                      <w:szCs w:val="21"/>
                      <w:highlight w:val="red"/>
                      <w:lang w:val="en-US" w:eastAsia="zh-CN" w:bidi="ar-SA"/>
                    </w:rPr>
                    <w:t>0.107</w:t>
                  </w:r>
                </w:p>
              </w:tc>
              <w:tc>
                <w:tcPr>
                  <w:tcW w:w="56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red"/>
                      <w:lang w:val="en-US" w:eastAsia="zh-CN" w:bidi="ar-SA"/>
                    </w:rPr>
                  </w:pPr>
                  <w:r>
                    <w:rPr>
                      <w:rFonts w:hint="default" w:ascii="Times New Roman" w:hAnsi="Times New Roman" w:eastAsia="宋体" w:cs="Times New Roman"/>
                      <w:color w:val="auto"/>
                      <w:sz w:val="21"/>
                      <w:szCs w:val="21"/>
                      <w:highlight w:val="red"/>
                      <w:lang w:val="en-US" w:eastAsia="zh-CN"/>
                    </w:rPr>
                    <w:t>+</w:t>
                  </w:r>
                  <w:r>
                    <w:rPr>
                      <w:rFonts w:hint="eastAsia" w:cs="Times New Roman"/>
                      <w:color w:val="auto"/>
                      <w:sz w:val="21"/>
                      <w:szCs w:val="21"/>
                      <w:highlight w:val="red"/>
                      <w:lang w:val="en-US" w:eastAsia="zh-CN"/>
                    </w:rPr>
                    <w:t>0.1042</w:t>
                  </w:r>
                  <w:r>
                    <w:rPr>
                      <w:rFonts w:hint="default" w:ascii="Times New Roman" w:hAnsi="Times New Roman" w:eastAsia="宋体" w:cs="Times New Roman"/>
                      <w:color w:val="auto"/>
                      <w:sz w:val="21"/>
                      <w:szCs w:val="21"/>
                      <w:highlight w:val="red"/>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二氧化硫</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0.076</w:t>
                  </w:r>
                </w:p>
              </w:tc>
              <w:tc>
                <w:tcPr>
                  <w:tcW w:w="5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0.2544</w:t>
                  </w: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0.04</w:t>
                  </w:r>
                </w:p>
              </w:tc>
              <w:tc>
                <w:tcPr>
                  <w:tcW w:w="671" w:type="pct"/>
                  <w:tcBorders>
                    <w:tl2br w:val="nil"/>
                    <w:tr2bl w:val="nil"/>
                  </w:tcBorders>
                  <w:noWrap w:val="0"/>
                  <w:vAlign w:val="center"/>
                </w:tcPr>
                <w:p>
                  <w:pPr>
                    <w:adjustRightIn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0.116</w:t>
                  </w:r>
                </w:p>
              </w:tc>
              <w:tc>
                <w:tcPr>
                  <w:tcW w:w="56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138</w:t>
                  </w:r>
                  <w:r>
                    <w:rPr>
                      <w:rFonts w:hint="default" w:ascii="Times New Roman" w:hAnsi="Times New Roman" w:eastAsia="宋体" w:cs="Times New Roman"/>
                      <w:color w:val="auto"/>
                      <w:sz w:val="21"/>
                      <w:szCs w:val="21"/>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氮氧化物</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0.493</w:t>
                  </w:r>
                </w:p>
              </w:tc>
              <w:tc>
                <w:tcPr>
                  <w:tcW w:w="59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1.728</w:t>
                  </w: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 xml:space="preserve">0.139 </w:t>
                  </w:r>
                </w:p>
              </w:tc>
              <w:tc>
                <w:tcPr>
                  <w:tcW w:w="671" w:type="pct"/>
                  <w:tcBorders>
                    <w:tl2br w:val="nil"/>
                    <w:tr2bl w:val="nil"/>
                  </w:tcBorders>
                  <w:noWrap w:val="0"/>
                  <w:vAlign w:val="center"/>
                </w:tcPr>
                <w:p>
                  <w:pPr>
                    <w:adjustRightIn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0.632</w:t>
                  </w:r>
                </w:p>
              </w:tc>
              <w:tc>
                <w:tcPr>
                  <w:tcW w:w="56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1.096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VOCs（以非甲烷总烃计）</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0.096</w:t>
                  </w:r>
                </w:p>
              </w:tc>
              <w:tc>
                <w:tcPr>
                  <w:tcW w:w="591" w:type="pct"/>
                  <w:tcBorders>
                    <w:tl2br w:val="nil"/>
                    <w:tr2bl w:val="nil"/>
                  </w:tcBorders>
                  <w:noWrap w:val="0"/>
                  <w:vAlign w:val="center"/>
                </w:tcPr>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1.696</w:t>
                  </w:r>
                </w:p>
              </w:tc>
              <w:tc>
                <w:tcPr>
                  <w:tcW w:w="671" w:type="pct"/>
                  <w:tcBorders>
                    <w:tl2br w:val="nil"/>
                    <w:tr2bl w:val="nil"/>
                  </w:tcBorders>
                  <w:noWrap w:val="0"/>
                  <w:vAlign w:val="center"/>
                </w:tcPr>
                <w:p>
                  <w:pPr>
                    <w:adjustRightIn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1.792</w:t>
                  </w:r>
                </w:p>
              </w:tc>
              <w:tc>
                <w:tcPr>
                  <w:tcW w:w="56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1.696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氨</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0.178</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adjustRightIn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0.178</w:t>
                  </w:r>
                </w:p>
              </w:tc>
              <w:tc>
                <w:tcPr>
                  <w:tcW w:w="56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硫化氢</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0.011</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adjustRightIn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0.011</w:t>
                  </w:r>
                </w:p>
              </w:tc>
              <w:tc>
                <w:tcPr>
                  <w:tcW w:w="56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臭气浓度</w:t>
                  </w:r>
                </w:p>
              </w:tc>
              <w:tc>
                <w:tcPr>
                  <w:tcW w:w="581" w:type="pct"/>
                  <w:tcBorders>
                    <w:tl2br w:val="nil"/>
                    <w:tr2bl w:val="nil"/>
                  </w:tcBorders>
                  <w:noWrap w:val="0"/>
                  <w:vAlign w:val="center"/>
                </w:tcPr>
                <w:p>
                  <w:pPr>
                    <w:adjustRightIn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561" w:type="pct"/>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1" w:type="pct"/>
                  <w:vMerge w:val="restart"/>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一般工业</w:t>
                  </w:r>
                </w:p>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固体废物</w:t>
                  </w:r>
                </w:p>
              </w:tc>
              <w:tc>
                <w:tcPr>
                  <w:tcW w:w="64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生活垃圾</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10.5</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10.5</w:t>
                  </w:r>
                </w:p>
              </w:tc>
              <w:tc>
                <w:tcPr>
                  <w:tcW w:w="561" w:type="pct"/>
                  <w:tcBorders>
                    <w:tl2br w:val="nil"/>
                    <w:tr2bl w:val="nil"/>
                  </w:tcBorders>
                  <w:noWrap w:val="0"/>
                  <w:vAlign w:val="center"/>
                </w:tcPr>
                <w:p>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废包装材料</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w:t>
                  </w:r>
                </w:p>
              </w:tc>
              <w:tc>
                <w:tcPr>
                  <w:tcW w:w="561" w:type="pct"/>
                  <w:tcBorders>
                    <w:tl2br w:val="nil"/>
                    <w:tr2bl w:val="nil"/>
                  </w:tcBorders>
                  <w:noWrap w:val="0"/>
                  <w:vAlign w:val="center"/>
                </w:tcPr>
                <w:p>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废边角料</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p>
              </w:tc>
              <w:tc>
                <w:tcPr>
                  <w:tcW w:w="561"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bCs/>
                      <w:color w:val="auto"/>
                      <w:kern w:val="2"/>
                      <w:sz w:val="21"/>
                      <w:szCs w:val="21"/>
                      <w:highlight w:val="none"/>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bookmarkStart w:id="48" w:name="OLE_LINK61" w:colFirst="2" w:colLast="2"/>
                </w:p>
              </w:tc>
              <w:tc>
                <w:tcPr>
                  <w:tcW w:w="64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废缝纫线轮</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w:t>
                  </w:r>
                </w:p>
              </w:tc>
              <w:tc>
                <w:tcPr>
                  <w:tcW w:w="561"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bCs/>
                      <w:color w:val="auto"/>
                      <w:kern w:val="2"/>
                      <w:sz w:val="21"/>
                      <w:szCs w:val="21"/>
                      <w:highlight w:val="none"/>
                      <w:lang w:val="en-US" w:eastAsia="zh-CN" w:bidi="ar-SA"/>
                    </w:rPr>
                    <w:t>+0</w:t>
                  </w:r>
                </w:p>
              </w:tc>
            </w:tr>
            <w:bookmarkEnd w:id="48"/>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污泥</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450</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450</w:t>
                  </w:r>
                </w:p>
              </w:tc>
              <w:tc>
                <w:tcPr>
                  <w:tcW w:w="561" w:type="pct"/>
                  <w:tcBorders>
                    <w:tl2br w:val="nil"/>
                    <w:tr2bl w:val="nil"/>
                  </w:tcBorders>
                  <w:noWrap w:val="0"/>
                  <w:vAlign w:val="center"/>
                </w:tcPr>
                <w:p>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bookmarkStart w:id="49" w:name="OLE_LINK63" w:colFirst="1" w:colLast="2"/>
                </w:p>
              </w:tc>
              <w:tc>
                <w:tcPr>
                  <w:tcW w:w="64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废离子交换树脂</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0.17</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0.17</w:t>
                  </w:r>
                </w:p>
              </w:tc>
              <w:tc>
                <w:tcPr>
                  <w:tcW w:w="56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废料桶</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0.6</w:t>
                  </w:r>
                </w:p>
              </w:tc>
              <w:tc>
                <w:tcPr>
                  <w:tcW w:w="59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0.6</w:t>
                  </w:r>
                </w:p>
              </w:tc>
              <w:tc>
                <w:tcPr>
                  <w:tcW w:w="561" w:type="pct"/>
                  <w:tcBorders>
                    <w:tl2br w:val="nil"/>
                    <w:tr2bl w:val="nil"/>
                  </w:tcBorders>
                  <w:noWrap w:val="0"/>
                  <w:vAlign w:val="center"/>
                </w:tcPr>
                <w:p>
                  <w:pPr>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w:t>
                  </w:r>
                </w:p>
              </w:tc>
            </w:tr>
            <w:bookmarkEnd w:id="49"/>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rPr>
                  </w:pPr>
                </w:p>
              </w:tc>
              <w:tc>
                <w:tcPr>
                  <w:tcW w:w="648"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废水性油墨桶</w:t>
                  </w:r>
                </w:p>
              </w:tc>
              <w:tc>
                <w:tcPr>
                  <w:tcW w:w="58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591" w:type="pct"/>
                  <w:tcBorders>
                    <w:tl2br w:val="nil"/>
                    <w:tr2bl w:val="nil"/>
                  </w:tcBorders>
                  <w:noWrap w:val="0"/>
                  <w:vAlign w:val="center"/>
                </w:tcPr>
                <w:p>
                  <w:pPr>
                    <w:jc w:val="center"/>
                    <w:rPr>
                      <w:rFonts w:hint="default" w:ascii="Times New Roman" w:hAnsi="Times New Roman" w:cs="Times New Roman"/>
                      <w:color w:val="auto"/>
                      <w:sz w:val="21"/>
                      <w:szCs w:val="21"/>
                      <w:highlight w:val="none"/>
                      <w:lang w:val="en-US" w:eastAsia="zh-CN"/>
                    </w:rPr>
                  </w:pPr>
                </w:p>
              </w:tc>
              <w:tc>
                <w:tcPr>
                  <w:tcW w:w="591" w:type="pct"/>
                  <w:tcBorders>
                    <w:tl2br w:val="nil"/>
                    <w:tr2bl w:val="nil"/>
                  </w:tcBorders>
                  <w:noWrap w:val="0"/>
                  <w:vAlign w:val="center"/>
                </w:tcPr>
                <w:p>
                  <w:pPr>
                    <w:jc w:val="center"/>
                    <w:rPr>
                      <w:rFonts w:hint="default" w:ascii="Times New Roman" w:hAnsi="Times New Roman" w:cs="Times New Roman"/>
                      <w:bCs/>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1.92</w:t>
                  </w:r>
                </w:p>
              </w:tc>
              <w:tc>
                <w:tcPr>
                  <w:tcW w:w="671" w:type="pct"/>
                  <w:tcBorders>
                    <w:tl2br w:val="nil"/>
                    <w:tr2bl w:val="nil"/>
                  </w:tcBorders>
                  <w:noWrap w:val="0"/>
                  <w:vAlign w:val="center"/>
                </w:tcPr>
                <w:p>
                  <w:pPr>
                    <w:jc w:val="center"/>
                    <w:rPr>
                      <w:rFonts w:hint="default" w:ascii="Times New Roman" w:hAnsi="Times New Roman"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1.92</w:t>
                  </w:r>
                </w:p>
              </w:tc>
              <w:tc>
                <w:tcPr>
                  <w:tcW w:w="561" w:type="pct"/>
                  <w:tcBorders>
                    <w:tl2br w:val="nil"/>
                    <w:tr2bl w:val="nil"/>
                  </w:tcBorders>
                  <w:noWrap w:val="0"/>
                  <w:vAlign w:val="center"/>
                </w:tcPr>
                <w:p>
                  <w:pPr>
                    <w:jc w:val="center"/>
                    <w:rPr>
                      <w:rFonts w:hint="default" w:ascii="Times New Roman" w:hAnsi="Times New Roman"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restart"/>
                  <w:tcBorders>
                    <w:tl2br w:val="nil"/>
                    <w:tr2bl w:val="nil"/>
                  </w:tcBorders>
                  <w:noWrap w:val="0"/>
                  <w:vAlign w:val="center"/>
                </w:tcPr>
                <w:p>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危险废物</w:t>
                  </w:r>
                </w:p>
              </w:tc>
              <w:tc>
                <w:tcPr>
                  <w:tcW w:w="648"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废机油（HW08 900-214-08）</w:t>
                  </w:r>
                </w:p>
              </w:tc>
              <w:tc>
                <w:tcPr>
                  <w:tcW w:w="581"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0.05</w:t>
                  </w:r>
                </w:p>
              </w:tc>
              <w:tc>
                <w:tcPr>
                  <w:tcW w:w="591" w:type="pct"/>
                  <w:tcBorders>
                    <w:tl2br w:val="nil"/>
                    <w:tr2bl w:val="nil"/>
                  </w:tcBorders>
                  <w:noWrap w:val="0"/>
                  <w:vAlign w:val="center"/>
                </w:tcPr>
                <w:p>
                  <w:pPr>
                    <w:autoSpaceDE w:val="0"/>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autoSpaceDE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0.05</w:t>
                  </w:r>
                </w:p>
              </w:tc>
              <w:tc>
                <w:tcPr>
                  <w:tcW w:w="561" w:type="pct"/>
                  <w:tcBorders>
                    <w:tl2br w:val="nil"/>
                    <w:tr2bl w:val="nil"/>
                  </w:tcBorders>
                  <w:noWrap w:val="0"/>
                  <w:vAlign w:val="center"/>
                </w:tcPr>
                <w:p>
                  <w:pPr>
                    <w:autoSpaceDE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p>
              </w:tc>
              <w:tc>
                <w:tcPr>
                  <w:tcW w:w="648"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bCs/>
                      <w:color w:val="auto"/>
                      <w:kern w:val="2"/>
                      <w:sz w:val="21"/>
                      <w:szCs w:val="21"/>
                      <w:highlight w:val="none"/>
                      <w:lang w:val="en-US" w:eastAsia="zh-CN" w:bidi="ar-SA"/>
                    </w:rPr>
                    <w:t>废油桶（HW49 900-041-49）</w:t>
                  </w:r>
                </w:p>
              </w:tc>
              <w:tc>
                <w:tcPr>
                  <w:tcW w:w="581"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0.05</w:t>
                  </w:r>
                </w:p>
              </w:tc>
              <w:tc>
                <w:tcPr>
                  <w:tcW w:w="591" w:type="pct"/>
                  <w:tcBorders>
                    <w:tl2br w:val="nil"/>
                    <w:tr2bl w:val="nil"/>
                  </w:tcBorders>
                  <w:noWrap w:val="0"/>
                  <w:vAlign w:val="center"/>
                </w:tcPr>
                <w:p>
                  <w:pPr>
                    <w:autoSpaceDE w:val="0"/>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autoSpaceDE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0.05</w:t>
                  </w:r>
                </w:p>
              </w:tc>
              <w:tc>
                <w:tcPr>
                  <w:tcW w:w="561" w:type="pct"/>
                  <w:tcBorders>
                    <w:tl2br w:val="nil"/>
                    <w:tr2bl w:val="nil"/>
                  </w:tcBorders>
                  <w:noWrap w:val="0"/>
                  <w:vAlign w:val="center"/>
                </w:tcPr>
                <w:p>
                  <w:pPr>
                    <w:autoSpaceDE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p>
              </w:tc>
              <w:tc>
                <w:tcPr>
                  <w:tcW w:w="648"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bCs/>
                      <w:color w:val="auto"/>
                      <w:kern w:val="2"/>
                      <w:sz w:val="21"/>
                      <w:szCs w:val="21"/>
                      <w:highlight w:val="none"/>
                      <w:lang w:val="en-US" w:eastAsia="zh-CN" w:bidi="ar-SA"/>
                    </w:rPr>
                    <w:t>废灯管（HW29 900-023-29）</w:t>
                  </w:r>
                </w:p>
              </w:tc>
              <w:tc>
                <w:tcPr>
                  <w:tcW w:w="581"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0.01</w:t>
                  </w:r>
                </w:p>
              </w:tc>
              <w:tc>
                <w:tcPr>
                  <w:tcW w:w="591" w:type="pct"/>
                  <w:tcBorders>
                    <w:tl2br w:val="nil"/>
                    <w:tr2bl w:val="nil"/>
                  </w:tcBorders>
                  <w:noWrap w:val="0"/>
                  <w:vAlign w:val="center"/>
                </w:tcPr>
                <w:p>
                  <w:pPr>
                    <w:autoSpaceDE w:val="0"/>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autoSpaceDE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71" w:type="pct"/>
                  <w:tcBorders>
                    <w:tl2br w:val="nil"/>
                    <w:tr2bl w:val="nil"/>
                  </w:tcBorders>
                  <w:noWrap w:val="0"/>
                  <w:vAlign w:val="center"/>
                </w:tcPr>
                <w:p>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0.01</w:t>
                  </w:r>
                </w:p>
              </w:tc>
              <w:tc>
                <w:tcPr>
                  <w:tcW w:w="561" w:type="pct"/>
                  <w:tcBorders>
                    <w:tl2br w:val="nil"/>
                    <w:tr2bl w:val="nil"/>
                  </w:tcBorders>
                  <w:noWrap w:val="0"/>
                  <w:vAlign w:val="center"/>
                </w:tcPr>
                <w:p>
                  <w:pPr>
                    <w:autoSpaceDE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01" w:type="pct"/>
                  <w:vMerge w:val="continue"/>
                  <w:tcBorders>
                    <w:tl2br w:val="nil"/>
                    <w:tr2bl w:val="nil"/>
                  </w:tcBorders>
                  <w:noWrap w:val="0"/>
                  <w:vAlign w:val="center"/>
                </w:tcPr>
                <w:p>
                  <w:pPr>
                    <w:jc w:val="center"/>
                    <w:rPr>
                      <w:rFonts w:hint="default" w:ascii="Times New Roman" w:hAnsi="Times New Roman" w:cs="Times New Roman"/>
                      <w:bCs/>
                      <w:color w:val="auto"/>
                      <w:sz w:val="21"/>
                      <w:szCs w:val="21"/>
                      <w:highlight w:val="none"/>
                      <w:lang w:val="en-US" w:eastAsia="zh-CN"/>
                    </w:rPr>
                  </w:pPr>
                </w:p>
              </w:tc>
              <w:tc>
                <w:tcPr>
                  <w:tcW w:w="648"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废活性炭（HW49 900-039-49）</w:t>
                  </w:r>
                </w:p>
              </w:tc>
              <w:tc>
                <w:tcPr>
                  <w:tcW w:w="581" w:type="pct"/>
                  <w:tcBorders>
                    <w:tl2br w:val="nil"/>
                    <w:tr2bl w:val="nil"/>
                  </w:tcBorders>
                  <w:noWrap w:val="0"/>
                  <w:vAlign w:val="center"/>
                </w:tcPr>
                <w:p>
                  <w:pPr>
                    <w:adjustRightInd w:val="0"/>
                    <w:jc w:val="center"/>
                    <w:textAlignment w:val="baseline"/>
                    <w:rPr>
                      <w:rFonts w:hint="default" w:ascii="Times New Roman" w:hAnsi="Times New Roman" w:cs="Times New Roman"/>
                      <w:bCs/>
                      <w:color w:val="auto"/>
                      <w:sz w:val="21"/>
                      <w:szCs w:val="21"/>
                      <w:highlight w:val="none"/>
                      <w:lang w:val="en-US" w:eastAsia="zh-CN"/>
                    </w:rPr>
                  </w:pPr>
                  <w:r>
                    <w:rPr>
                      <w:rFonts w:hint="eastAsia" w:cs="Times New Roman"/>
                      <w:color w:val="auto"/>
                      <w:sz w:val="21"/>
                      <w:szCs w:val="21"/>
                      <w:highlight w:val="none"/>
                      <w:lang w:val="en-US" w:eastAsia="zh-CN"/>
                    </w:rPr>
                    <w:t>1.5</w:t>
                  </w:r>
                </w:p>
              </w:tc>
              <w:tc>
                <w:tcPr>
                  <w:tcW w:w="591" w:type="pct"/>
                  <w:tcBorders>
                    <w:tl2br w:val="nil"/>
                    <w:tr2bl w:val="nil"/>
                  </w:tcBorders>
                  <w:noWrap w:val="0"/>
                  <w:vAlign w:val="center"/>
                </w:tcPr>
                <w:p>
                  <w:pPr>
                    <w:autoSpaceDE w:val="0"/>
                    <w:jc w:val="center"/>
                    <w:rPr>
                      <w:rFonts w:hint="default" w:ascii="Times New Roman" w:hAnsi="Times New Roman" w:cs="Times New Roman"/>
                      <w:color w:val="auto"/>
                      <w:kern w:val="2"/>
                      <w:sz w:val="21"/>
                      <w:szCs w:val="21"/>
                      <w:highlight w:val="none"/>
                      <w:lang w:val="en-US" w:eastAsia="zh-CN" w:bidi="ar-SA"/>
                    </w:rPr>
                  </w:pPr>
                </w:p>
              </w:tc>
              <w:tc>
                <w:tcPr>
                  <w:tcW w:w="591" w:type="pct"/>
                  <w:tcBorders>
                    <w:tl2br w:val="nil"/>
                    <w:tr2bl w:val="nil"/>
                  </w:tcBorders>
                  <w:noWrap w:val="0"/>
                  <w:vAlign w:val="center"/>
                </w:tcPr>
                <w:p>
                  <w:pPr>
                    <w:autoSpaceDE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29.572</w:t>
                  </w:r>
                </w:p>
              </w:tc>
              <w:tc>
                <w:tcPr>
                  <w:tcW w:w="671" w:type="pct"/>
                  <w:tcBorders>
                    <w:tl2br w:val="nil"/>
                    <w:tr2bl w:val="nil"/>
                  </w:tcBorders>
                  <w:noWrap w:val="0"/>
                  <w:vAlign w:val="center"/>
                </w:tcPr>
                <w:p>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751" w:type="pct"/>
                  <w:tcBorders>
                    <w:tl2br w:val="nil"/>
                    <w:tr2bl w:val="nil"/>
                  </w:tcBorders>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29.572</w:t>
                  </w:r>
                </w:p>
              </w:tc>
              <w:tc>
                <w:tcPr>
                  <w:tcW w:w="561" w:type="pct"/>
                  <w:tcBorders>
                    <w:tl2br w:val="nil"/>
                    <w:tr2bl w:val="nil"/>
                  </w:tcBorders>
                  <w:noWrap w:val="0"/>
                  <w:vAlign w:val="center"/>
                </w:tcPr>
                <w:p>
                  <w:pPr>
                    <w:autoSpaceDE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r>
                    <w:rPr>
                      <w:rFonts w:hint="eastAsia" w:cs="Times New Roman"/>
                      <w:bCs/>
                      <w:color w:val="auto"/>
                      <w:kern w:val="2"/>
                      <w:sz w:val="21"/>
                      <w:szCs w:val="21"/>
                      <w:highlight w:val="none"/>
                      <w:lang w:val="en-US" w:eastAsia="zh-CN" w:bidi="ar-SA"/>
                    </w:rPr>
                    <w:t>28.072</w:t>
                  </w:r>
                </w:p>
              </w:tc>
            </w:tr>
          </w:tbl>
          <w:p>
            <w:pPr>
              <w:adjustRightInd w:val="0"/>
              <w:snapToGrid w:val="0"/>
              <w:spacing w:line="360" w:lineRule="auto"/>
              <w:ind w:firstLine="420" w:firstLineChars="200"/>
              <w:rPr>
                <w:rFonts w:hint="default" w:ascii="Times New Roman" w:hAnsi="Times New Roman" w:eastAsia="宋体" w:cs="Times New Roman"/>
                <w:color w:val="auto"/>
                <w:spacing w:val="0"/>
                <w:sz w:val="21"/>
                <w:szCs w:val="21"/>
                <w:highlight w:val="none"/>
                <w:lang w:val="en-US" w:eastAsia="zh-CN"/>
              </w:rPr>
            </w:pPr>
          </w:p>
        </w:tc>
      </w:tr>
    </w:tbl>
    <w:p>
      <w:pPr>
        <w:rPr>
          <w:rFonts w:hint="default" w:ascii="Times New Roman" w:hAnsi="Times New Roman" w:eastAsia="宋体" w:cs="Times New Roman"/>
          <w:color w:val="auto"/>
          <w:spacing w:val="0"/>
          <w:highlight w:val="none"/>
        </w:rPr>
        <w:sectPr>
          <w:pgSz w:w="11907" w:h="16840"/>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33"/>
        <w:jc w:val="center"/>
        <w:outlineLvl w:val="0"/>
        <w:rPr>
          <w:rFonts w:hint="default" w:ascii="Times New Roman" w:hAnsi="Times New Roman" w:eastAsia="黑体" w:cs="Times New Roman"/>
          <w:snapToGrid w:val="0"/>
          <w:color w:val="auto"/>
          <w:sz w:val="30"/>
          <w:szCs w:val="30"/>
          <w:highlight w:val="none"/>
        </w:rPr>
      </w:pPr>
      <w:bookmarkStart w:id="50" w:name="_Toc5347"/>
      <w:r>
        <w:rPr>
          <w:rFonts w:hint="default" w:ascii="Times New Roman" w:hAnsi="Times New Roman" w:eastAsia="黑体" w:cs="Times New Roman"/>
          <w:snapToGrid w:val="0"/>
          <w:color w:val="auto"/>
          <w:sz w:val="30"/>
          <w:szCs w:val="30"/>
          <w:highlight w:val="none"/>
          <w:lang w:eastAsia="zh-CN"/>
        </w:rPr>
        <w:t>五</w:t>
      </w:r>
      <w:r>
        <w:rPr>
          <w:rFonts w:hint="default" w:ascii="Times New Roman" w:hAnsi="Times New Roman" w:eastAsia="黑体" w:cs="Times New Roman"/>
          <w:snapToGrid w:val="0"/>
          <w:color w:val="auto"/>
          <w:sz w:val="30"/>
          <w:szCs w:val="30"/>
          <w:highlight w:val="none"/>
        </w:rPr>
        <w:t>、环境保护措施监督检查清单</w:t>
      </w:r>
      <w:bookmarkEnd w:id="50"/>
    </w:p>
    <w:tbl>
      <w:tblPr>
        <w:tblStyle w:val="36"/>
        <w:tblW w:w="92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623"/>
        <w:gridCol w:w="1340"/>
        <w:gridCol w:w="2054"/>
        <w:gridCol w:w="27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06" w:type="dxa"/>
            <w:tcBorders>
              <w:tl2br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ind w:firstLine="843" w:firstLineChars="40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内容</w:t>
            </w:r>
          </w:p>
          <w:p>
            <w:pPr>
              <w:keepNext w:val="0"/>
              <w:keepLines w:val="0"/>
              <w:pageBreakBefore w:val="0"/>
              <w:widowControl w:val="0"/>
              <w:kinsoku/>
              <w:overflowPunct/>
              <w:topLinePunct w:val="0"/>
              <w:autoSpaceDE/>
              <w:autoSpaceDN/>
              <w:bidi w:val="0"/>
              <w:adjustRightInd w:val="0"/>
              <w:snapToGrid w:val="0"/>
              <w:spacing w:line="24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要素</w:t>
            </w:r>
          </w:p>
        </w:tc>
        <w:tc>
          <w:tcPr>
            <w:tcW w:w="1623"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排放口</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rPr>
              <w:t>编号、</w:t>
            </w:r>
          </w:p>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名称</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rPr>
              <w:t>/污染源</w:t>
            </w:r>
          </w:p>
        </w:tc>
        <w:tc>
          <w:tcPr>
            <w:tcW w:w="1340"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污染物项目</w:t>
            </w:r>
          </w:p>
        </w:tc>
        <w:tc>
          <w:tcPr>
            <w:tcW w:w="2054"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环境保护措施</w:t>
            </w:r>
          </w:p>
        </w:tc>
        <w:tc>
          <w:tcPr>
            <w:tcW w:w="271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大气环境</w:t>
            </w:r>
          </w:p>
        </w:tc>
        <w:tc>
          <w:tcPr>
            <w:tcW w:w="1623"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DA002</w:t>
            </w:r>
          </w:p>
        </w:tc>
        <w:tc>
          <w:tcPr>
            <w:tcW w:w="1340" w:type="dxa"/>
            <w:shd w:val="clear" w:color="auto" w:fill="auto"/>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颗粒物</w:t>
            </w:r>
          </w:p>
        </w:tc>
        <w:tc>
          <w:tcPr>
            <w:tcW w:w="2054"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经负压及管道收集后依托现有静电除尘器+二级活性炭吸附装置处理后经15m高排气筒DA002排放</w:t>
            </w:r>
          </w:p>
        </w:tc>
        <w:tc>
          <w:tcPr>
            <w:tcW w:w="2716" w:type="dxa"/>
            <w:vMerge w:val="restart"/>
            <w:shd w:val="clear" w:color="auto" w:fill="auto"/>
            <w:noWrap w:val="0"/>
            <w:vAlign w:val="center"/>
          </w:tcPr>
          <w:p>
            <w:pPr>
              <w:adjustRightInd w:val="0"/>
              <w:snapToGrid w:val="0"/>
              <w:jc w:val="center"/>
              <w:rPr>
                <w:rFonts w:hint="default" w:ascii="Times New Roman" w:hAnsi="Times New Roman" w:eastAsia="宋体" w:cs="Times New Roman"/>
                <w:bCs/>
                <w:color w:val="auto"/>
                <w:kern w:val="2"/>
                <w:sz w:val="21"/>
                <w:szCs w:val="24"/>
                <w:highlight w:val="none"/>
                <w:lang w:val="en-US" w:eastAsia="zh-CN" w:bidi="ar-SA"/>
              </w:rPr>
            </w:pPr>
            <w:r>
              <w:rPr>
                <w:rFonts w:hint="default" w:ascii="Times New Roman" w:hAnsi="Times New Roman" w:eastAsia="宋体" w:cs="Times New Roman"/>
                <w:bCs/>
                <w:color w:val="auto"/>
                <w:kern w:val="2"/>
                <w:sz w:val="21"/>
                <w:szCs w:val="24"/>
                <w:highlight w:val="none"/>
                <w:lang w:val="en-US" w:eastAsia="zh-CN" w:bidi="ar-SA"/>
              </w:rPr>
              <w:t>《区域性大气污染物综合排放标准》（DB37/2376-2019）表1重点控制区排放限值要求（颗粒物：10mg/m</w:t>
            </w:r>
            <w:r>
              <w:rPr>
                <w:rFonts w:hint="default" w:ascii="Times New Roman" w:hAnsi="Times New Roman" w:eastAsia="宋体" w:cs="Times New Roman"/>
                <w:bCs/>
                <w:color w:val="auto"/>
                <w:kern w:val="2"/>
                <w:sz w:val="21"/>
                <w:szCs w:val="24"/>
                <w:highlight w:val="none"/>
                <w:vertAlign w:val="superscript"/>
                <w:lang w:val="en-US" w:eastAsia="zh-CN" w:bidi="ar-SA"/>
              </w:rPr>
              <w:t>3</w:t>
            </w:r>
            <w:r>
              <w:rPr>
                <w:rFonts w:hint="default" w:ascii="Times New Roman" w:hAnsi="Times New Roman" w:eastAsia="宋体" w:cs="Times New Roman"/>
                <w:bCs/>
                <w:color w:val="auto"/>
                <w:kern w:val="2"/>
                <w:sz w:val="21"/>
                <w:szCs w:val="24"/>
                <w:highlight w:val="none"/>
                <w:lang w:val="en-US" w:eastAsia="zh-CN" w:bidi="ar-SA"/>
              </w:rPr>
              <w:t>；二氧化硫：50mg/m</w:t>
            </w:r>
            <w:r>
              <w:rPr>
                <w:rFonts w:hint="default" w:ascii="Times New Roman" w:hAnsi="Times New Roman" w:eastAsia="宋体" w:cs="Times New Roman"/>
                <w:bCs/>
                <w:color w:val="auto"/>
                <w:kern w:val="2"/>
                <w:sz w:val="21"/>
                <w:szCs w:val="24"/>
                <w:highlight w:val="none"/>
                <w:vertAlign w:val="superscript"/>
                <w:lang w:val="en-US" w:eastAsia="zh-CN" w:bidi="ar-SA"/>
              </w:rPr>
              <w:t>3</w:t>
            </w:r>
            <w:r>
              <w:rPr>
                <w:rFonts w:hint="default" w:ascii="Times New Roman" w:hAnsi="Times New Roman" w:eastAsia="宋体" w:cs="Times New Roman"/>
                <w:bCs/>
                <w:color w:val="auto"/>
                <w:kern w:val="2"/>
                <w:sz w:val="21"/>
                <w:szCs w:val="24"/>
                <w:highlight w:val="none"/>
                <w:lang w:val="en-US" w:eastAsia="zh-CN" w:bidi="ar-SA"/>
              </w:rPr>
              <w:t>；氮氧化物：100mg/m</w:t>
            </w:r>
            <w:r>
              <w:rPr>
                <w:rFonts w:hint="default" w:ascii="Times New Roman" w:hAnsi="Times New Roman" w:eastAsia="宋体" w:cs="Times New Roman"/>
                <w:bCs/>
                <w:color w:val="auto"/>
                <w:kern w:val="2"/>
                <w:sz w:val="21"/>
                <w:szCs w:val="24"/>
                <w:highlight w:val="none"/>
                <w:vertAlign w:val="superscript"/>
                <w:lang w:val="en-US" w:eastAsia="zh-CN" w:bidi="ar-SA"/>
              </w:rPr>
              <w:t>3</w:t>
            </w:r>
            <w:r>
              <w:rPr>
                <w:rFonts w:hint="default" w:ascii="Times New Roman" w:hAnsi="Times New Roman" w:eastAsia="宋体" w:cs="Times New Roman"/>
                <w:bCs/>
                <w:color w:val="auto"/>
                <w:kern w:val="2"/>
                <w:sz w:val="21"/>
                <w:szCs w:val="24"/>
                <w:highlight w:val="none"/>
                <w:lang w:val="en-US" w:eastAsia="zh-CN" w:bidi="ar-SA"/>
              </w:rPr>
              <w:t>）</w:t>
            </w:r>
            <w:r>
              <w:rPr>
                <w:rFonts w:hint="default" w:ascii="Times New Roman" w:hAnsi="Times New Roman" w:cs="Times New Roman"/>
                <w:bCs/>
                <w:color w:val="auto"/>
                <w:kern w:val="2"/>
                <w:sz w:val="21"/>
                <w:szCs w:val="24"/>
                <w:highlight w:val="none"/>
                <w:lang w:val="en-US" w:eastAsia="zh-CN" w:bidi="ar-SA"/>
              </w:rPr>
              <w:t>；</w:t>
            </w:r>
            <w:r>
              <w:rPr>
                <w:rFonts w:hint="default" w:ascii="Times New Roman" w:hAnsi="Times New Roman" w:eastAsia="宋体" w:cs="Times New Roman"/>
                <w:bCs/>
                <w:color w:val="auto"/>
                <w:kern w:val="2"/>
                <w:sz w:val="21"/>
                <w:szCs w:val="24"/>
                <w:highlight w:val="none"/>
                <w:lang w:val="en-US" w:eastAsia="zh-CN" w:bidi="ar-SA"/>
              </w:rPr>
              <w:t>《挥发性有机物排放标准 第7部分：其他行业》（DB37/2801.7-2019）表1 其他行业企业或生产设施VOCs（以非甲烷总烃计）排放限值中纺织业排放限值（VOCs：40mg/m</w:t>
            </w:r>
            <w:r>
              <w:rPr>
                <w:rFonts w:hint="default" w:ascii="Times New Roman" w:hAnsi="Times New Roman" w:eastAsia="宋体" w:cs="Times New Roman"/>
                <w:bCs/>
                <w:color w:val="auto"/>
                <w:kern w:val="2"/>
                <w:sz w:val="21"/>
                <w:szCs w:val="24"/>
                <w:highlight w:val="none"/>
                <w:vertAlign w:val="superscript"/>
                <w:lang w:val="en-US" w:eastAsia="zh-CN" w:bidi="ar-SA"/>
              </w:rPr>
              <w:t>3</w:t>
            </w:r>
            <w:r>
              <w:rPr>
                <w:rFonts w:hint="default" w:ascii="Times New Roman" w:hAnsi="Times New Roman" w:eastAsia="宋体" w:cs="Times New Roman"/>
                <w:bCs/>
                <w:color w:val="auto"/>
                <w:kern w:val="2"/>
                <w:sz w:val="21"/>
                <w:szCs w:val="24"/>
                <w:highlight w:val="none"/>
                <w:lang w:val="en-US" w:eastAsia="zh-CN" w:bidi="ar-SA"/>
              </w:rPr>
              <w:t>、3kg/h）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1623"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1340" w:type="dxa"/>
            <w:shd w:val="clear" w:color="auto" w:fill="auto"/>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二氧化硫</w:t>
            </w:r>
          </w:p>
        </w:tc>
        <w:tc>
          <w:tcPr>
            <w:tcW w:w="2054"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2716" w:type="dxa"/>
            <w:vMerge w:val="continue"/>
            <w:shd w:val="clear" w:color="auto" w:fill="auto"/>
            <w:noWrap w:val="0"/>
            <w:vAlign w:val="center"/>
          </w:tcPr>
          <w:p>
            <w:pPr>
              <w:adjustRightInd w:val="0"/>
              <w:snapToGrid w:val="0"/>
              <w:jc w:val="center"/>
              <w:rPr>
                <w:rFonts w:hint="default" w:ascii="Times New Roman" w:hAnsi="Times New Roman" w:cs="Times New Roman"/>
                <w:bCs/>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1623"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1340" w:type="dxa"/>
            <w:shd w:val="clear" w:color="auto" w:fill="auto"/>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氮氧化物</w:t>
            </w:r>
          </w:p>
        </w:tc>
        <w:tc>
          <w:tcPr>
            <w:tcW w:w="2054"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2716" w:type="dxa"/>
            <w:vMerge w:val="continue"/>
            <w:shd w:val="clear" w:color="auto" w:fill="auto"/>
            <w:noWrap w:val="0"/>
            <w:vAlign w:val="center"/>
          </w:tcPr>
          <w:p>
            <w:pPr>
              <w:adjustRightInd w:val="0"/>
              <w:snapToGrid w:val="0"/>
              <w:jc w:val="center"/>
              <w:rPr>
                <w:rFonts w:hint="default" w:ascii="Times New Roman" w:hAnsi="Times New Roman" w:cs="Times New Roman"/>
                <w:bCs/>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highlight w:val="none"/>
              </w:rPr>
            </w:pPr>
          </w:p>
        </w:tc>
        <w:tc>
          <w:tcPr>
            <w:tcW w:w="1623"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highlight w:val="none"/>
              </w:rPr>
            </w:pPr>
          </w:p>
        </w:tc>
        <w:tc>
          <w:tcPr>
            <w:tcW w:w="1340" w:type="dxa"/>
            <w:shd w:val="clear" w:color="auto" w:fill="auto"/>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VOCs（以非甲烷总烃计）</w:t>
            </w:r>
          </w:p>
        </w:tc>
        <w:tc>
          <w:tcPr>
            <w:tcW w:w="2054"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2716" w:type="dxa"/>
            <w:vMerge w:val="continue"/>
            <w:shd w:val="clear" w:color="auto" w:fill="auto"/>
            <w:noWrap w:val="0"/>
            <w:vAlign w:val="center"/>
          </w:tcPr>
          <w:p>
            <w:pPr>
              <w:adjustRightInd w:val="0"/>
              <w:snapToGrid w:val="0"/>
              <w:jc w:val="center"/>
              <w:rPr>
                <w:rFonts w:hint="default" w:ascii="Times New Roman" w:hAnsi="Times New Roman" w:eastAsia="宋体" w:cs="Times New Roman"/>
                <w:bCs/>
                <w:color w:val="auto"/>
                <w:kern w:val="2"/>
                <w:sz w:val="21"/>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1623"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厂界</w:t>
            </w:r>
          </w:p>
        </w:tc>
        <w:tc>
          <w:tcPr>
            <w:tcW w:w="1340" w:type="dxa"/>
            <w:shd w:val="clear" w:color="auto" w:fill="auto"/>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VOCs（以非甲烷总烃计）</w:t>
            </w:r>
          </w:p>
        </w:tc>
        <w:tc>
          <w:tcPr>
            <w:tcW w:w="2054"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密闭车间、加强管理</w:t>
            </w:r>
            <w:r>
              <w:rPr>
                <w:rFonts w:hint="default" w:ascii="Times New Roman" w:hAnsi="Times New Roman" w:eastAsia="宋体" w:cs="Times New Roman"/>
                <w:color w:val="auto"/>
                <w:sz w:val="21"/>
                <w:szCs w:val="21"/>
                <w:highlight w:val="none"/>
              </w:rPr>
              <w:t>等</w:t>
            </w:r>
          </w:p>
        </w:tc>
        <w:tc>
          <w:tcPr>
            <w:tcW w:w="2716" w:type="dxa"/>
            <w:noWrap w:val="0"/>
            <w:vAlign w:val="center"/>
          </w:tcPr>
          <w:p>
            <w:pPr>
              <w:wordWrap w:val="0"/>
              <w:adjustRightInd w:val="0"/>
              <w:snapToGrid w:val="0"/>
              <w:jc w:val="left"/>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highlight w:val="none"/>
              </w:rPr>
              <w:t>《挥发性有机物排放标准 第7部分：其他行业》（DB37/2801.6-2018）表2厂界监控点浓度限值（VOCs：2.0mg/m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）、《挥发性有机物无组织排放控制标准》（GB37822-2019）表A.1厂区内VOCS无组织排放限值要求（VOCs：监控点处1h平均浓度限值6.0mg/m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，任意一次浓度值20mg/m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地表水环境</w:t>
            </w:r>
          </w:p>
        </w:tc>
        <w:tc>
          <w:tcPr>
            <w:tcW w:w="1623"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污水口DW001</w:t>
            </w:r>
          </w:p>
        </w:tc>
        <w:tc>
          <w:tcPr>
            <w:tcW w:w="1340" w:type="dxa"/>
            <w:shd w:val="clear" w:color="auto" w:fill="auto"/>
            <w:noWrap w:val="0"/>
            <w:vAlign w:val="center"/>
          </w:tcPr>
          <w:p>
            <w:pPr>
              <w:pStyle w:val="33"/>
              <w:widowControl w:val="0"/>
              <w:autoSpaceDE w:val="0"/>
              <w:adjustRightInd w:val="0"/>
              <w:snapToGrid w:val="0"/>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COD</w:t>
            </w:r>
            <w:r>
              <w:rPr>
                <w:rFonts w:hint="default" w:ascii="Times New Roman" w:hAnsi="Times New Roman" w:cs="Times New Roman"/>
                <w:color w:val="auto"/>
                <w:kern w:val="0"/>
                <w:sz w:val="21"/>
                <w:szCs w:val="21"/>
                <w:highlight w:val="none"/>
                <w:lang w:val="en-US" w:eastAsia="zh-CN" w:bidi="ar-SA"/>
              </w:rPr>
              <w:t>、</w:t>
            </w:r>
            <w:r>
              <w:rPr>
                <w:rFonts w:hint="default" w:ascii="Times New Roman" w:hAnsi="Times New Roman" w:eastAsia="宋体" w:cs="Times New Roman"/>
                <w:color w:val="auto"/>
                <w:kern w:val="0"/>
                <w:sz w:val="21"/>
                <w:szCs w:val="21"/>
                <w:highlight w:val="none"/>
                <w:lang w:val="en-US" w:eastAsia="zh-CN" w:bidi="ar-SA"/>
              </w:rPr>
              <w:t>BOD</w:t>
            </w:r>
            <w:r>
              <w:rPr>
                <w:rFonts w:hint="default" w:ascii="Times New Roman" w:hAnsi="Times New Roman" w:eastAsia="宋体" w:cs="Times New Roman"/>
                <w:color w:val="auto"/>
                <w:kern w:val="0"/>
                <w:sz w:val="21"/>
                <w:szCs w:val="21"/>
                <w:highlight w:val="none"/>
                <w:vertAlign w:val="subscript"/>
                <w:lang w:val="en-US" w:eastAsia="zh-CN" w:bidi="ar-SA"/>
              </w:rPr>
              <w:t>5</w:t>
            </w:r>
            <w:r>
              <w:rPr>
                <w:rFonts w:hint="default" w:ascii="Times New Roman" w:hAnsi="Times New Roman" w:cs="Times New Roman"/>
                <w:color w:val="auto"/>
                <w:kern w:val="0"/>
                <w:sz w:val="21"/>
                <w:szCs w:val="21"/>
                <w:highlight w:val="none"/>
                <w:lang w:val="en-US" w:eastAsia="zh-CN" w:bidi="ar-SA"/>
              </w:rPr>
              <w:t>、</w:t>
            </w:r>
            <w:r>
              <w:rPr>
                <w:rFonts w:hint="default" w:ascii="Times New Roman" w:hAnsi="Times New Roman" w:eastAsia="宋体" w:cs="Times New Roman"/>
                <w:color w:val="auto"/>
                <w:kern w:val="0"/>
                <w:sz w:val="21"/>
                <w:szCs w:val="21"/>
                <w:highlight w:val="none"/>
                <w:lang w:val="en-US" w:eastAsia="zh-CN" w:bidi="ar-SA"/>
              </w:rPr>
              <w:t>氨氮</w:t>
            </w:r>
            <w:r>
              <w:rPr>
                <w:rFonts w:hint="default" w:ascii="Times New Roman" w:hAnsi="Times New Roman" w:cs="Times New Roman"/>
                <w:color w:val="auto"/>
                <w:kern w:val="0"/>
                <w:sz w:val="21"/>
                <w:szCs w:val="21"/>
                <w:highlight w:val="none"/>
                <w:lang w:val="en-US" w:eastAsia="zh-CN" w:bidi="ar-SA"/>
              </w:rPr>
              <w:t>、</w:t>
            </w:r>
            <w:r>
              <w:rPr>
                <w:rFonts w:hint="default" w:ascii="Times New Roman" w:hAnsi="Times New Roman" w:eastAsia="宋体" w:cs="Times New Roman"/>
                <w:color w:val="auto"/>
                <w:kern w:val="0"/>
                <w:sz w:val="21"/>
                <w:szCs w:val="21"/>
                <w:highlight w:val="none"/>
                <w:lang w:val="en-US" w:eastAsia="zh-CN" w:bidi="ar-SA"/>
              </w:rPr>
              <w:t>pH</w:t>
            </w:r>
            <w:r>
              <w:rPr>
                <w:rFonts w:hint="default" w:ascii="Times New Roman" w:hAnsi="Times New Roman" w:cs="Times New Roman"/>
                <w:color w:val="auto"/>
                <w:kern w:val="0"/>
                <w:sz w:val="21"/>
                <w:szCs w:val="21"/>
                <w:highlight w:val="none"/>
                <w:lang w:val="en-US" w:eastAsia="zh-CN" w:bidi="ar-SA"/>
              </w:rPr>
              <w:t>、</w:t>
            </w:r>
            <w:r>
              <w:rPr>
                <w:rFonts w:hint="default" w:ascii="Times New Roman" w:hAnsi="Times New Roman" w:eastAsia="宋体" w:cs="Times New Roman"/>
                <w:color w:val="auto"/>
                <w:kern w:val="0"/>
                <w:sz w:val="21"/>
                <w:szCs w:val="21"/>
                <w:highlight w:val="none"/>
                <w:lang w:val="en-US" w:eastAsia="zh-CN" w:bidi="ar-SA"/>
              </w:rPr>
              <w:t>总磷</w:t>
            </w:r>
            <w:r>
              <w:rPr>
                <w:rFonts w:hint="default" w:ascii="Times New Roman" w:hAnsi="Times New Roman" w:cs="Times New Roman"/>
                <w:color w:val="auto"/>
                <w:kern w:val="0"/>
                <w:sz w:val="21"/>
                <w:szCs w:val="21"/>
                <w:highlight w:val="none"/>
                <w:lang w:val="en-US" w:eastAsia="zh-CN" w:bidi="ar-SA"/>
              </w:rPr>
              <w:t>、</w:t>
            </w:r>
            <w:r>
              <w:rPr>
                <w:rFonts w:hint="default" w:ascii="Times New Roman" w:hAnsi="Times New Roman" w:eastAsia="宋体" w:cs="Times New Roman"/>
                <w:color w:val="auto"/>
                <w:kern w:val="0"/>
                <w:sz w:val="21"/>
                <w:szCs w:val="21"/>
                <w:highlight w:val="none"/>
                <w:lang w:val="en-US" w:eastAsia="zh-CN" w:bidi="ar-SA"/>
              </w:rPr>
              <w:t>总氮</w:t>
            </w:r>
            <w:r>
              <w:rPr>
                <w:rFonts w:hint="default" w:ascii="Times New Roman" w:hAnsi="Times New Roman" w:cs="Times New Roman"/>
                <w:color w:val="auto"/>
                <w:kern w:val="0"/>
                <w:sz w:val="21"/>
                <w:szCs w:val="21"/>
                <w:highlight w:val="none"/>
                <w:lang w:val="en-US" w:eastAsia="zh-CN" w:bidi="ar-SA"/>
              </w:rPr>
              <w:t>、</w:t>
            </w:r>
            <w:r>
              <w:rPr>
                <w:rFonts w:hint="default" w:ascii="Times New Roman" w:hAnsi="Times New Roman" w:eastAsia="宋体" w:cs="Times New Roman"/>
                <w:color w:val="auto"/>
                <w:kern w:val="0"/>
                <w:sz w:val="21"/>
                <w:szCs w:val="21"/>
                <w:highlight w:val="none"/>
                <w:lang w:val="en-US" w:eastAsia="zh-CN" w:bidi="ar-SA"/>
              </w:rPr>
              <w:t>苯胺类</w:t>
            </w:r>
            <w:r>
              <w:rPr>
                <w:rFonts w:hint="default" w:ascii="Times New Roman" w:hAnsi="Times New Roman" w:cs="Times New Roman"/>
                <w:color w:val="auto"/>
                <w:kern w:val="0"/>
                <w:sz w:val="21"/>
                <w:szCs w:val="21"/>
                <w:highlight w:val="none"/>
                <w:lang w:val="en-US" w:eastAsia="zh-CN" w:bidi="ar-SA"/>
              </w:rPr>
              <w:t>、</w:t>
            </w:r>
            <w:r>
              <w:rPr>
                <w:rFonts w:hint="default" w:ascii="Times New Roman" w:hAnsi="Times New Roman" w:eastAsia="宋体" w:cs="Times New Roman"/>
                <w:color w:val="auto"/>
                <w:kern w:val="0"/>
                <w:sz w:val="21"/>
                <w:szCs w:val="21"/>
                <w:highlight w:val="none"/>
                <w:lang w:val="en-US" w:eastAsia="zh-CN" w:bidi="ar-SA"/>
              </w:rPr>
              <w:t>硫化物</w:t>
            </w:r>
          </w:p>
        </w:tc>
        <w:tc>
          <w:tcPr>
            <w:tcW w:w="2054" w:type="dxa"/>
            <w:shd w:val="clear" w:color="auto" w:fill="auto"/>
            <w:noWrap w:val="0"/>
            <w:vAlign w:val="center"/>
          </w:tcPr>
          <w:p>
            <w:pPr>
              <w:pStyle w:val="33"/>
              <w:widowControl w:val="0"/>
              <w:autoSpaceDE w:val="0"/>
              <w:adjustRightInd w:val="0"/>
              <w:snapToGrid w:val="0"/>
              <w:spacing w:before="0" w:beforeAutospacing="0" w:after="0" w:afterAutospacing="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厂区污水站</w:t>
            </w:r>
          </w:p>
        </w:tc>
        <w:tc>
          <w:tcPr>
            <w:tcW w:w="2716" w:type="dxa"/>
            <w:shd w:val="clear" w:color="auto" w:fill="auto"/>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color w:val="auto"/>
                <w:spacing w:val="0"/>
                <w:w w:val="100"/>
                <w:kern w:val="2"/>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shd w:val="clear" w:color="auto" w:fill="auto"/>
                <w:lang w:val="en-US" w:eastAsia="zh-CN"/>
              </w:rPr>
              <w:t>《纺织染整工业水污染物排放标准》（GB 4287-2012）及修改单表2限值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声环境</w:t>
            </w:r>
          </w:p>
        </w:tc>
        <w:tc>
          <w:tcPr>
            <w:tcW w:w="1623"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生产设备、风机等</w:t>
            </w:r>
          </w:p>
        </w:tc>
        <w:tc>
          <w:tcPr>
            <w:tcW w:w="1340"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机械噪声</w:t>
            </w:r>
          </w:p>
        </w:tc>
        <w:tc>
          <w:tcPr>
            <w:tcW w:w="2054"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基础减</w:t>
            </w:r>
            <w:r>
              <w:rPr>
                <w:rFonts w:hint="default" w:ascii="Times New Roman" w:hAnsi="Times New Roman" w:eastAsia="宋体" w:cs="Times New Roman"/>
                <w:color w:val="auto"/>
                <w:sz w:val="21"/>
                <w:szCs w:val="21"/>
                <w:highlight w:val="none"/>
                <w:lang w:eastAsia="zh-CN"/>
              </w:rPr>
              <w:t>振</w:t>
            </w:r>
            <w:r>
              <w:rPr>
                <w:rFonts w:hint="default" w:ascii="Times New Roman" w:hAnsi="Times New Roman" w:eastAsia="宋体" w:cs="Times New Roman"/>
                <w:color w:val="auto"/>
                <w:sz w:val="21"/>
                <w:szCs w:val="21"/>
                <w:highlight w:val="none"/>
              </w:rPr>
              <w:t>，厂房隔声、消音等</w:t>
            </w:r>
          </w:p>
        </w:tc>
        <w:tc>
          <w:tcPr>
            <w:tcW w:w="271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《工业企业厂界环境噪声排放标准》（GB12348-2008）</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电磁辐射</w:t>
            </w:r>
          </w:p>
        </w:tc>
        <w:tc>
          <w:tcPr>
            <w:tcW w:w="7733" w:type="dxa"/>
            <w:gridSpan w:val="4"/>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固体废物</w:t>
            </w:r>
          </w:p>
        </w:tc>
        <w:tc>
          <w:tcPr>
            <w:tcW w:w="7733" w:type="dxa"/>
            <w:gridSpan w:val="4"/>
            <w:noWrap w:val="0"/>
            <w:vAlign w:val="center"/>
          </w:tcPr>
          <w:p>
            <w:pPr>
              <w:adjustRightInd w:val="0"/>
              <w:snapToGrid w:val="0"/>
              <w:rPr>
                <w:rFonts w:hint="default" w:ascii="Times New Roman" w:hAnsi="Times New Roman" w:cs="Times New Roman"/>
                <w:color w:val="auto"/>
                <w:sz w:val="21"/>
                <w:szCs w:val="21"/>
                <w:highlight w:val="none"/>
              </w:rPr>
            </w:pPr>
            <w:r>
              <w:rPr>
                <w:rFonts w:hint="default" w:ascii="Times New Roman" w:hAnsi="Times New Roman" w:cs="Times New Roman"/>
                <w:color w:val="auto"/>
                <w:highlight w:val="none"/>
              </w:rPr>
              <w:t>一般固废收集后资源化、无害化利用；危险废物经过危废暂存间暂存后委托有资质单位进行处理。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土壤及地下水</w:t>
            </w:r>
          </w:p>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污染防治措施</w:t>
            </w:r>
          </w:p>
        </w:tc>
        <w:tc>
          <w:tcPr>
            <w:tcW w:w="7733" w:type="dxa"/>
            <w:gridSpan w:val="4"/>
            <w:noWrap w:val="0"/>
            <w:vAlign w:val="center"/>
          </w:tcPr>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源头控制措施积极推行实施清洁生产，实现各类废物循环利用，减少污染物的排放量；根据国家现行相关规范加强环境管理，采取防止和降低污染物跑、冒、滴、漏的措施。</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2）分区防治：按照不同分区要求采取不同等级的防渗措施，并确保其可靠性和有效性。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生态保护措施</w:t>
            </w:r>
          </w:p>
        </w:tc>
        <w:tc>
          <w:tcPr>
            <w:tcW w:w="7733" w:type="dxa"/>
            <w:gridSpan w:val="4"/>
            <w:noWrap w:val="0"/>
            <w:vAlign w:val="center"/>
          </w:tcPr>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为了减少对区域生态环境的影响，应加强厂区及其厂界周围环境绿化，绿化以树、灌、草等相结合的形式，起到降低噪声、吸附尘粒、净化空气的作用。另外，应确保项目投产后的各项污染物达标排放，以减少对区域生态环境的影响</w:t>
            </w:r>
            <w:r>
              <w:rPr>
                <w:rFonts w:hint="default" w:ascii="Times New Roman" w:hAnsi="Times New Roman" w:eastAsia="宋体" w:cs="Times New Roman"/>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环境风险</w:t>
            </w:r>
          </w:p>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防范措施</w:t>
            </w:r>
          </w:p>
        </w:tc>
        <w:tc>
          <w:tcPr>
            <w:tcW w:w="7733" w:type="dxa"/>
            <w:gridSpan w:val="4"/>
            <w:noWrap w:val="0"/>
            <w:vAlign w:val="center"/>
          </w:tcPr>
          <w:p>
            <w:pPr>
              <w:pStyle w:val="75"/>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企业制定环境风险事故应急管理制度，配备应急管理物资和设备，定期进行演练。设立风险监控及风险应急监测系统，实现事故预警和快速应急监测。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其他环境</w:t>
            </w:r>
          </w:p>
          <w:p>
            <w:pPr>
              <w:keepNext w:val="0"/>
              <w:keepLines w:val="0"/>
              <w:pageBreakBefore w:val="0"/>
              <w:widowControl w:val="0"/>
              <w:kinsoku/>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管理要求</w:t>
            </w:r>
          </w:p>
        </w:tc>
        <w:tc>
          <w:tcPr>
            <w:tcW w:w="7733" w:type="dxa"/>
            <w:gridSpan w:val="4"/>
            <w:noWrap w:val="0"/>
            <w:vAlign w:val="center"/>
          </w:tcPr>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1、环境保护管理体系、制度</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为做好环境管理工作，公司应建立环境管理体系，将环境管理工作自上而下</w:t>
            </w:r>
            <w:r>
              <w:rPr>
                <w:rFonts w:hint="default" w:ascii="Times New Roman" w:hAnsi="Times New Roman" w:cs="Times New Roman"/>
                <w:color w:val="auto"/>
                <w:sz w:val="21"/>
                <w:szCs w:val="21"/>
                <w:highlight w:val="none"/>
                <w:lang w:val="en-US" w:eastAsia="zh-CN"/>
              </w:rPr>
              <w:t>地</w:t>
            </w:r>
            <w:r>
              <w:rPr>
                <w:rFonts w:hint="default" w:ascii="Times New Roman" w:hAnsi="Times New Roman" w:eastAsia="宋体" w:cs="Times New Roman"/>
                <w:color w:val="auto"/>
                <w:sz w:val="21"/>
                <w:szCs w:val="21"/>
                <w:highlight w:val="none"/>
                <w:lang w:val="en-US" w:eastAsia="zh-CN"/>
              </w:rPr>
              <w:t>贯穿到公司的生产管理中。建立和完善环境管理制度，是公司环境管理体系的重要组成部分，需建立的环境管理制度。</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2、设置环境保护标识</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企业应制定环境管理文件及实施细则，按照《排污口规范化整治技术要求（试行）》、《关于开展排放口规范化整治工作的通知》等文件中有关规定设置与管理</w:t>
            </w:r>
            <w:r>
              <w:rPr>
                <w:rFonts w:hint="default" w:ascii="Times New Roman" w:hAnsi="Times New Roman" w:cs="Times New Roman"/>
                <w:color w:val="auto"/>
                <w:sz w:val="21"/>
                <w:szCs w:val="21"/>
                <w:highlight w:val="none"/>
                <w:lang w:val="en-US" w:eastAsia="zh-CN"/>
              </w:rPr>
              <w:t>废气、</w:t>
            </w:r>
            <w:r>
              <w:rPr>
                <w:rFonts w:hint="default" w:ascii="Times New Roman" w:hAnsi="Times New Roman" w:eastAsia="宋体" w:cs="Times New Roman"/>
                <w:color w:val="auto"/>
                <w:sz w:val="21"/>
                <w:szCs w:val="21"/>
                <w:highlight w:val="none"/>
                <w:lang w:val="en-US" w:eastAsia="zh-CN"/>
              </w:rPr>
              <w:t>噪声与固废排放，</w:t>
            </w:r>
            <w:r>
              <w:rPr>
                <w:rFonts w:hint="default" w:ascii="Times New Roman" w:hAnsi="Times New Roman" w:cs="Times New Roman"/>
                <w:color w:val="auto"/>
                <w:sz w:val="21"/>
                <w:szCs w:val="21"/>
                <w:highlight w:val="none"/>
                <w:lang w:val="en-US" w:eastAsia="zh-CN"/>
              </w:rPr>
              <w:t>废气、</w:t>
            </w:r>
            <w:r>
              <w:rPr>
                <w:rFonts w:hint="default" w:ascii="Times New Roman" w:hAnsi="Times New Roman" w:eastAsia="宋体" w:cs="Times New Roman"/>
                <w:color w:val="auto"/>
                <w:sz w:val="21"/>
                <w:szCs w:val="21"/>
                <w:highlight w:val="none"/>
                <w:lang w:val="en-US" w:eastAsia="zh-CN"/>
              </w:rPr>
              <w:t>噪声排放源、固体废物贮存（处置）场图形符号分别为提示图形符号和警告图形符号两种，图形符号的设置GB15562.1-1995、GB15562.2-1995执行。</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3、建设项目竣工环境保护验收</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根据《建设项目环境保护管理条例》要求，编制环境影响报告表的建设项目竣工后，建设单位应当按照国务院环境保护行政主管部门规定的标准和程序，对配套建设的环境保护设施进行验收，编制验收报告。</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4、排污许可</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按照《排污许可管理条例》 、《山东省生态环境厅关于加强排污许可管理工作的通知》（鲁环函〔2020〕14号）和《固定污染源排污许可分类管理名录》（2019年版）要求，企业应当在本项目投入生产或使用并产生实际排污行为之前</w:t>
            </w:r>
            <w:r>
              <w:rPr>
                <w:rFonts w:hint="default" w:ascii="Times New Roman" w:hAnsi="Times New Roman" w:cs="Times New Roman"/>
                <w:color w:val="auto"/>
                <w:sz w:val="21"/>
                <w:szCs w:val="21"/>
                <w:highlight w:val="none"/>
                <w:lang w:val="en-US" w:eastAsia="zh-CN"/>
              </w:rPr>
              <w:t>及时进行排污许可变更</w:t>
            </w:r>
            <w:r>
              <w:rPr>
                <w:rFonts w:hint="default" w:ascii="Times New Roman" w:hAnsi="Times New Roman" w:eastAsia="宋体" w:cs="Times New Roman"/>
                <w:color w:val="auto"/>
                <w:sz w:val="21"/>
                <w:szCs w:val="21"/>
                <w:highlight w:val="none"/>
                <w:lang w:eastAsia="zh-CN"/>
              </w:rPr>
              <w:t>。</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5、自行监测</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企业应当按照排污许可证规定和有关标准规范，依法开展自行监测，并保存原始监测记录。</w:t>
            </w: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eastAsia="宋体" w:cs="Times New Roman"/>
                <w:color w:val="auto"/>
                <w:sz w:val="21"/>
                <w:szCs w:val="21"/>
                <w:highlight w:val="none"/>
                <w:lang w:eastAsia="zh-CN"/>
              </w:rPr>
            </w:pPr>
          </w:p>
          <w:p>
            <w:pPr>
              <w:pStyle w:val="2"/>
              <w:keepNext w:val="0"/>
              <w:keepLines w:val="0"/>
              <w:pageBreakBefore w:val="0"/>
              <w:widowControl w:val="0"/>
              <w:kinsoku/>
              <w:overflowPunct/>
              <w:topLinePunct w:val="0"/>
              <w:autoSpaceDE/>
              <w:autoSpaceDN/>
              <w:bidi w:val="0"/>
              <w:spacing w:after="0" w:line="240" w:lineRule="auto"/>
              <w:ind w:left="0" w:leftChars="0" w:firstLine="420" w:firstLineChars="200"/>
              <w:rPr>
                <w:rFonts w:hint="default" w:ascii="Times New Roman" w:hAnsi="Times New Roman" w:cs="Times New Roman"/>
                <w:color w:val="auto"/>
                <w:sz w:val="21"/>
                <w:szCs w:val="21"/>
                <w:highlight w:val="none"/>
                <w:lang w:val="en-US" w:eastAsia="zh-CN"/>
              </w:rPr>
            </w:pPr>
          </w:p>
        </w:tc>
      </w:tr>
    </w:tbl>
    <w:p>
      <w:pPr>
        <w:pStyle w:val="33"/>
        <w:spacing w:before="0" w:beforeAutospacing="0" w:line="14" w:lineRule="auto"/>
        <w:jc w:val="center"/>
        <w:outlineLvl w:val="9"/>
        <w:rPr>
          <w:rFonts w:hint="default" w:ascii="Times New Roman" w:hAnsi="Times New Roman" w:eastAsia="宋体" w:cs="Times New Roman"/>
          <w:snapToGrid w:val="0"/>
          <w:color w:val="auto"/>
          <w:spacing w:val="0"/>
          <w:sz w:val="30"/>
          <w:szCs w:val="30"/>
          <w:highlight w:val="none"/>
        </w:rPr>
      </w:pPr>
      <w:r>
        <w:rPr>
          <w:rFonts w:hint="default" w:ascii="Times New Roman" w:hAnsi="Times New Roman" w:eastAsia="宋体" w:cs="Times New Roman"/>
          <w:snapToGrid w:val="0"/>
          <w:color w:val="auto"/>
          <w:spacing w:val="0"/>
          <w:sz w:val="30"/>
          <w:szCs w:val="30"/>
          <w:highlight w:val="none"/>
        </w:rPr>
        <w:br w:type="page"/>
      </w:r>
    </w:p>
    <w:p>
      <w:pPr>
        <w:pStyle w:val="33"/>
        <w:jc w:val="center"/>
        <w:outlineLvl w:val="0"/>
        <w:rPr>
          <w:rFonts w:hint="default" w:ascii="Times New Roman" w:hAnsi="Times New Roman" w:eastAsia="黑体" w:cs="Times New Roman"/>
          <w:snapToGrid w:val="0"/>
          <w:color w:val="auto"/>
          <w:sz w:val="30"/>
          <w:szCs w:val="30"/>
          <w:highlight w:val="none"/>
        </w:rPr>
      </w:pPr>
      <w:bookmarkStart w:id="51" w:name="_Toc9181"/>
      <w:r>
        <w:rPr>
          <w:rFonts w:hint="default" w:ascii="Times New Roman" w:hAnsi="Times New Roman" w:eastAsia="黑体" w:cs="Times New Roman"/>
          <w:snapToGrid w:val="0"/>
          <w:color w:val="auto"/>
          <w:sz w:val="30"/>
          <w:szCs w:val="30"/>
          <w:highlight w:val="none"/>
          <w:lang w:eastAsia="zh-CN"/>
        </w:rPr>
        <w:t>六</w:t>
      </w:r>
      <w:r>
        <w:rPr>
          <w:rFonts w:hint="default" w:ascii="Times New Roman" w:hAnsi="Times New Roman" w:eastAsia="黑体" w:cs="Times New Roman"/>
          <w:snapToGrid w:val="0"/>
          <w:color w:val="auto"/>
          <w:sz w:val="30"/>
          <w:szCs w:val="30"/>
          <w:highlight w:val="none"/>
        </w:rPr>
        <w:t>、结论</w:t>
      </w:r>
      <w:bookmarkEnd w:id="51"/>
    </w:p>
    <w:tbl>
      <w:tblPr>
        <w:tblStyle w:val="36"/>
        <w:tblW w:w="508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500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pacing w:val="0"/>
                <w:szCs w:val="21"/>
                <w:highlight w:val="none"/>
              </w:rPr>
            </w:pPr>
            <w:r>
              <w:rPr>
                <w:rFonts w:hint="default" w:ascii="Times New Roman" w:hAnsi="Times New Roman" w:eastAsia="宋体" w:cs="Times New Roman"/>
                <w:color w:val="auto"/>
                <w:spacing w:val="0"/>
                <w:position w:val="0"/>
                <w:sz w:val="21"/>
                <w:szCs w:val="21"/>
                <w:highlight w:val="none"/>
                <w:lang w:val="en-US" w:eastAsia="zh-CN"/>
              </w:rPr>
              <w:t>本项目符合国家、当地产业政策和当地城市建设总体规划的要求，选址合理。项目在建设中和建成运行以后将产生一定程度的废气、</w:t>
            </w:r>
            <w:r>
              <w:rPr>
                <w:rFonts w:hint="default" w:ascii="Times New Roman" w:hAnsi="Times New Roman" w:cs="Times New Roman"/>
                <w:color w:val="auto"/>
                <w:spacing w:val="0"/>
                <w:position w:val="0"/>
                <w:sz w:val="21"/>
                <w:szCs w:val="21"/>
                <w:highlight w:val="none"/>
                <w:lang w:val="en-US" w:eastAsia="zh-CN"/>
              </w:rPr>
              <w:t>固废、</w:t>
            </w:r>
            <w:r>
              <w:rPr>
                <w:rFonts w:hint="default" w:ascii="Times New Roman" w:hAnsi="Times New Roman" w:eastAsia="宋体" w:cs="Times New Roman"/>
                <w:color w:val="auto"/>
                <w:spacing w:val="0"/>
                <w:position w:val="0"/>
                <w:sz w:val="21"/>
                <w:szCs w:val="21"/>
                <w:highlight w:val="none"/>
                <w:lang w:val="en-US" w:eastAsia="zh-CN"/>
              </w:rPr>
              <w:t>噪声，在建设单位严格按照本报告提出的各项规定，切实落实各项污染防治措施及总量控制措施后，项目对周围环境的影响可以控制在国家有关标准和要求的允许范围以内。因此，在严格落实本报告表提出的各项措施的基础上，</w:t>
            </w:r>
            <w:r>
              <w:rPr>
                <w:rFonts w:hint="default" w:ascii="Times New Roman" w:hAnsi="Times New Roman" w:cs="Times New Roman"/>
                <w:color w:val="auto"/>
                <w:spacing w:val="0"/>
                <w:position w:val="0"/>
                <w:sz w:val="21"/>
                <w:szCs w:val="21"/>
                <w:highlight w:val="none"/>
                <w:lang w:val="en-US" w:eastAsia="zh-CN"/>
              </w:rPr>
              <w:t>淄博市周村雅曼印染厂年产3000万米印染布设备升级改造项目</w:t>
            </w:r>
            <w:r>
              <w:rPr>
                <w:rFonts w:hint="default" w:ascii="Times New Roman" w:hAnsi="Times New Roman" w:eastAsia="宋体" w:cs="Times New Roman"/>
                <w:color w:val="auto"/>
                <w:spacing w:val="0"/>
                <w:position w:val="0"/>
                <w:sz w:val="21"/>
                <w:szCs w:val="21"/>
                <w:highlight w:val="none"/>
                <w:lang w:val="en-US" w:eastAsia="zh-CN"/>
              </w:rPr>
              <w:t>从环境保护角度考虑是可行的</w:t>
            </w:r>
            <w:r>
              <w:rPr>
                <w:rFonts w:hint="default" w:ascii="Times New Roman" w:hAnsi="Times New Roman" w:eastAsia="宋体" w:cs="Times New Roman"/>
                <w:color w:val="auto"/>
                <w:sz w:val="21"/>
                <w:szCs w:val="21"/>
                <w:highlight w:val="none"/>
                <w:lang w:val="en-US" w:eastAsia="zh-CN"/>
              </w:rPr>
              <w:t>。</w:t>
            </w:r>
          </w:p>
        </w:tc>
      </w:tr>
    </w:tbl>
    <w:p>
      <w:pPr>
        <w:rPr>
          <w:rFonts w:hint="default" w:ascii="Times New Roman" w:hAnsi="Times New Roman" w:eastAsia="宋体" w:cs="Times New Roman"/>
          <w:color w:val="auto"/>
          <w:spacing w:val="0"/>
          <w:highlight w:val="none"/>
        </w:rPr>
      </w:pPr>
    </w:p>
    <w:p>
      <w:pPr>
        <w:adjustRightInd w:val="0"/>
        <w:snapToGrid w:val="0"/>
        <w:spacing w:before="192" w:beforeLines="80"/>
        <w:rPr>
          <w:rFonts w:hint="default" w:ascii="Times New Roman" w:hAnsi="Times New Roman" w:eastAsia="宋体" w:cs="Times New Roman"/>
          <w:color w:val="auto"/>
          <w:spacing w:val="0"/>
          <w:highlight w:val="none"/>
        </w:rPr>
        <w:sectPr>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33"/>
        <w:jc w:val="left"/>
        <w:outlineLvl w:val="0"/>
        <w:rPr>
          <w:rFonts w:hint="default" w:ascii="Times New Roman" w:hAnsi="Times New Roman" w:eastAsia="黑体" w:cs="Times New Roman"/>
          <w:snapToGrid w:val="0"/>
          <w:color w:val="auto"/>
          <w:sz w:val="30"/>
          <w:szCs w:val="30"/>
          <w:highlight w:val="none"/>
        </w:rPr>
      </w:pPr>
      <w:bookmarkStart w:id="52" w:name="_Toc15747"/>
      <w:r>
        <w:rPr>
          <w:rFonts w:hint="default" w:ascii="Times New Roman" w:hAnsi="Times New Roman" w:eastAsia="黑体" w:cs="Times New Roman"/>
          <w:snapToGrid w:val="0"/>
          <w:color w:val="auto"/>
          <w:sz w:val="30"/>
          <w:szCs w:val="30"/>
          <w:highlight w:val="none"/>
        </w:rPr>
        <w:t>附表</w:t>
      </w:r>
      <w:bookmarkEnd w:id="52"/>
    </w:p>
    <w:p>
      <w:pPr>
        <w:pStyle w:val="33"/>
        <w:adjustRightInd w:val="0"/>
        <w:snapToGrid w:val="0"/>
        <w:spacing w:before="0" w:beforeAutospacing="0" w:after="0" w:afterAutospacing="0" w:line="360" w:lineRule="auto"/>
        <w:jc w:val="center"/>
        <w:outlineLvl w:val="9"/>
        <w:rPr>
          <w:rFonts w:hint="default" w:ascii="Times New Roman" w:hAnsi="Times New Roman" w:eastAsia="宋体" w:cs="Times New Roman"/>
          <w:snapToGrid w:val="0"/>
          <w:color w:val="auto"/>
          <w:spacing w:val="0"/>
          <w:sz w:val="38"/>
          <w:szCs w:val="38"/>
          <w:highlight w:val="none"/>
        </w:rPr>
      </w:pPr>
      <w:r>
        <w:rPr>
          <w:rFonts w:hint="default" w:ascii="Times New Roman" w:hAnsi="Times New Roman" w:eastAsia="黑体" w:cs="Times New Roman"/>
          <w:snapToGrid w:val="0"/>
          <w:color w:val="auto"/>
          <w:sz w:val="30"/>
          <w:szCs w:val="30"/>
          <w:highlight w:val="none"/>
        </w:rPr>
        <w:t>建设项目污染物排放量汇总表</w:t>
      </w:r>
    </w:p>
    <w:tbl>
      <w:tblPr>
        <w:tblStyle w:val="36"/>
        <w:tblW w:w="140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849"/>
        <w:gridCol w:w="1564"/>
        <w:gridCol w:w="1271"/>
        <w:gridCol w:w="1695"/>
        <w:gridCol w:w="1553"/>
        <w:gridCol w:w="1755"/>
        <w:gridCol w:w="1711"/>
        <w:gridCol w:w="13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6" w:type="dxa"/>
            <w:tcBorders>
              <w:tl2br w:val="single" w:color="auto" w:sz="4" w:space="0"/>
            </w:tcBorders>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项目</w:t>
            </w:r>
          </w:p>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分类</w:t>
            </w:r>
          </w:p>
        </w:tc>
        <w:tc>
          <w:tcPr>
            <w:tcW w:w="1849" w:type="dxa"/>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污染物名称</w:t>
            </w:r>
          </w:p>
        </w:tc>
        <w:tc>
          <w:tcPr>
            <w:tcW w:w="1564" w:type="dxa"/>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现有工程</w:t>
            </w:r>
          </w:p>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排放量（固体废物产生量）</w:t>
            </w:r>
            <w:r>
              <w:rPr>
                <w:rFonts w:hint="default" w:ascii="Times New Roman" w:hAnsi="Times New Roman" w:eastAsia="黑体" w:cs="Times New Roman"/>
                <w:snapToGrid w:val="0"/>
                <w:color w:val="auto"/>
                <w:spacing w:val="-6"/>
                <w:kern w:val="21"/>
                <w:sz w:val="21"/>
                <w:szCs w:val="21"/>
                <w:highlight w:val="none"/>
                <w:lang w:val="en-US" w:eastAsia="zh-CN"/>
              </w:rPr>
              <w:fldChar w:fldCharType="begin"/>
            </w:r>
            <w:r>
              <w:rPr>
                <w:rFonts w:hint="default" w:ascii="Times New Roman" w:hAnsi="Times New Roman" w:eastAsia="黑体" w:cs="Times New Roman"/>
                <w:snapToGrid w:val="0"/>
                <w:color w:val="auto"/>
                <w:spacing w:val="-6"/>
                <w:kern w:val="21"/>
                <w:sz w:val="21"/>
                <w:szCs w:val="21"/>
                <w:highlight w:val="none"/>
                <w:lang w:val="en-US" w:eastAsia="zh-CN"/>
              </w:rPr>
              <w:instrText xml:space="preserve"> = 1 \* GB3 \* MERGEFORMAT </w:instrText>
            </w:r>
            <w:r>
              <w:rPr>
                <w:rFonts w:hint="default" w:ascii="Times New Roman" w:hAnsi="Times New Roman" w:eastAsia="黑体" w:cs="Times New Roman"/>
                <w:snapToGrid w:val="0"/>
                <w:color w:val="auto"/>
                <w:spacing w:val="-6"/>
                <w:kern w:val="21"/>
                <w:sz w:val="21"/>
                <w:szCs w:val="21"/>
                <w:highlight w:val="none"/>
                <w:lang w:val="en-US" w:eastAsia="zh-CN"/>
              </w:rPr>
              <w:fldChar w:fldCharType="separate"/>
            </w:r>
            <w:r>
              <w:rPr>
                <w:rFonts w:hint="default" w:ascii="Times New Roman" w:hAnsi="Times New Roman" w:eastAsia="黑体" w:cs="Times New Roman"/>
                <w:color w:val="auto"/>
                <w:kern w:val="2"/>
                <w:sz w:val="21"/>
                <w:szCs w:val="21"/>
                <w:highlight w:val="none"/>
                <w:lang w:val="en-US" w:eastAsia="zh-CN"/>
              </w:rPr>
              <w:t>①</w:t>
            </w:r>
            <w:r>
              <w:rPr>
                <w:rFonts w:hint="default" w:ascii="Times New Roman" w:hAnsi="Times New Roman" w:eastAsia="黑体" w:cs="Times New Roman"/>
                <w:snapToGrid w:val="0"/>
                <w:color w:val="auto"/>
                <w:spacing w:val="-6"/>
                <w:kern w:val="21"/>
                <w:sz w:val="21"/>
                <w:szCs w:val="21"/>
                <w:highlight w:val="none"/>
                <w:lang w:val="en-US" w:eastAsia="zh-CN"/>
              </w:rPr>
              <w:fldChar w:fldCharType="end"/>
            </w:r>
          </w:p>
        </w:tc>
        <w:tc>
          <w:tcPr>
            <w:tcW w:w="1271" w:type="dxa"/>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现有工程</w:t>
            </w:r>
          </w:p>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许可排放量</w:t>
            </w:r>
          </w:p>
          <w:p>
            <w:pPr>
              <w:pStyle w:val="57"/>
              <w:spacing w:beforeLines="0" w:afterLines="0"/>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fldChar w:fldCharType="begin"/>
            </w:r>
            <w:r>
              <w:rPr>
                <w:rFonts w:hint="default" w:ascii="Times New Roman" w:hAnsi="Times New Roman" w:eastAsia="黑体" w:cs="Times New Roman"/>
                <w:snapToGrid w:val="0"/>
                <w:color w:val="auto"/>
                <w:spacing w:val="-6"/>
                <w:kern w:val="21"/>
                <w:sz w:val="21"/>
                <w:szCs w:val="21"/>
                <w:highlight w:val="none"/>
                <w:lang w:val="en-US" w:eastAsia="zh-CN"/>
              </w:rPr>
              <w:instrText xml:space="preserve"> = 2 \* GB3 \* MERGEFORMAT </w:instrText>
            </w:r>
            <w:r>
              <w:rPr>
                <w:rFonts w:hint="default" w:ascii="Times New Roman" w:hAnsi="Times New Roman" w:eastAsia="黑体" w:cs="Times New Roman"/>
                <w:snapToGrid w:val="0"/>
                <w:color w:val="auto"/>
                <w:spacing w:val="-6"/>
                <w:kern w:val="21"/>
                <w:sz w:val="21"/>
                <w:szCs w:val="21"/>
                <w:highlight w:val="none"/>
                <w:lang w:val="en-US" w:eastAsia="zh-CN"/>
              </w:rPr>
              <w:fldChar w:fldCharType="separate"/>
            </w:r>
            <w:r>
              <w:rPr>
                <w:rFonts w:hint="default" w:ascii="Times New Roman" w:hAnsi="Times New Roman" w:eastAsia="黑体" w:cs="Times New Roman"/>
                <w:snapToGrid w:val="0"/>
                <w:color w:val="auto"/>
                <w:spacing w:val="-6"/>
                <w:kern w:val="21"/>
                <w:sz w:val="21"/>
                <w:szCs w:val="21"/>
                <w:highlight w:val="none"/>
                <w:lang w:val="en-US" w:eastAsia="zh-CN"/>
              </w:rPr>
              <w:t>②</w:t>
            </w:r>
            <w:r>
              <w:rPr>
                <w:rFonts w:hint="default" w:ascii="Times New Roman" w:hAnsi="Times New Roman" w:eastAsia="黑体" w:cs="Times New Roman"/>
                <w:snapToGrid w:val="0"/>
                <w:color w:val="auto"/>
                <w:spacing w:val="-6"/>
                <w:kern w:val="21"/>
                <w:sz w:val="21"/>
                <w:szCs w:val="21"/>
                <w:highlight w:val="none"/>
                <w:lang w:val="en-US" w:eastAsia="zh-CN"/>
              </w:rPr>
              <w:fldChar w:fldCharType="end"/>
            </w:r>
          </w:p>
        </w:tc>
        <w:tc>
          <w:tcPr>
            <w:tcW w:w="1695" w:type="dxa"/>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在建工程</w:t>
            </w:r>
          </w:p>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排放量（固体废物产生量）</w:t>
            </w:r>
            <w:r>
              <w:rPr>
                <w:rFonts w:hint="default" w:ascii="Times New Roman" w:hAnsi="Times New Roman" w:eastAsia="黑体" w:cs="Times New Roman"/>
                <w:snapToGrid w:val="0"/>
                <w:color w:val="auto"/>
                <w:spacing w:val="-6"/>
                <w:kern w:val="21"/>
                <w:sz w:val="21"/>
                <w:szCs w:val="21"/>
                <w:highlight w:val="none"/>
                <w:lang w:val="en-US" w:eastAsia="zh-CN"/>
              </w:rPr>
              <w:fldChar w:fldCharType="begin"/>
            </w:r>
            <w:r>
              <w:rPr>
                <w:rFonts w:hint="default" w:ascii="Times New Roman" w:hAnsi="Times New Roman" w:eastAsia="黑体" w:cs="Times New Roman"/>
                <w:snapToGrid w:val="0"/>
                <w:color w:val="auto"/>
                <w:spacing w:val="-6"/>
                <w:kern w:val="21"/>
                <w:sz w:val="21"/>
                <w:szCs w:val="21"/>
                <w:highlight w:val="none"/>
                <w:lang w:val="en-US" w:eastAsia="zh-CN"/>
              </w:rPr>
              <w:instrText xml:space="preserve"> = 3 \* GB3 \* MERGEFORMAT </w:instrText>
            </w:r>
            <w:r>
              <w:rPr>
                <w:rFonts w:hint="default" w:ascii="Times New Roman" w:hAnsi="Times New Roman" w:eastAsia="黑体" w:cs="Times New Roman"/>
                <w:snapToGrid w:val="0"/>
                <w:color w:val="auto"/>
                <w:spacing w:val="-6"/>
                <w:kern w:val="21"/>
                <w:sz w:val="21"/>
                <w:szCs w:val="21"/>
                <w:highlight w:val="none"/>
                <w:lang w:val="en-US" w:eastAsia="zh-CN"/>
              </w:rPr>
              <w:fldChar w:fldCharType="separate"/>
            </w:r>
            <w:r>
              <w:rPr>
                <w:rFonts w:hint="default" w:ascii="Times New Roman" w:hAnsi="Times New Roman" w:eastAsia="黑体" w:cs="Times New Roman"/>
                <w:color w:val="auto"/>
                <w:kern w:val="2"/>
                <w:sz w:val="21"/>
                <w:szCs w:val="21"/>
                <w:highlight w:val="none"/>
                <w:lang w:val="en-US" w:eastAsia="zh-CN"/>
              </w:rPr>
              <w:t>③</w:t>
            </w:r>
            <w:r>
              <w:rPr>
                <w:rFonts w:hint="default" w:ascii="Times New Roman" w:hAnsi="Times New Roman" w:eastAsia="黑体" w:cs="Times New Roman"/>
                <w:snapToGrid w:val="0"/>
                <w:color w:val="auto"/>
                <w:spacing w:val="-6"/>
                <w:kern w:val="21"/>
                <w:sz w:val="21"/>
                <w:szCs w:val="21"/>
                <w:highlight w:val="none"/>
                <w:lang w:val="en-US" w:eastAsia="zh-CN"/>
              </w:rPr>
              <w:fldChar w:fldCharType="end"/>
            </w:r>
          </w:p>
        </w:tc>
        <w:tc>
          <w:tcPr>
            <w:tcW w:w="1553" w:type="dxa"/>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本项目</w:t>
            </w:r>
          </w:p>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排放量（固体废物产生量）</w:t>
            </w:r>
            <w:r>
              <w:rPr>
                <w:rFonts w:hint="default" w:ascii="Times New Roman" w:hAnsi="Times New Roman" w:eastAsia="黑体" w:cs="Times New Roman"/>
                <w:snapToGrid w:val="0"/>
                <w:color w:val="auto"/>
                <w:spacing w:val="-6"/>
                <w:kern w:val="21"/>
                <w:sz w:val="21"/>
                <w:szCs w:val="21"/>
                <w:highlight w:val="none"/>
                <w:lang w:val="en-US" w:eastAsia="zh-CN"/>
              </w:rPr>
              <w:fldChar w:fldCharType="begin"/>
            </w:r>
            <w:r>
              <w:rPr>
                <w:rFonts w:hint="default" w:ascii="Times New Roman" w:hAnsi="Times New Roman" w:eastAsia="黑体" w:cs="Times New Roman"/>
                <w:snapToGrid w:val="0"/>
                <w:color w:val="auto"/>
                <w:spacing w:val="-6"/>
                <w:kern w:val="21"/>
                <w:sz w:val="21"/>
                <w:szCs w:val="21"/>
                <w:highlight w:val="none"/>
                <w:lang w:val="en-US" w:eastAsia="zh-CN"/>
              </w:rPr>
              <w:instrText xml:space="preserve"> = 4 \* GB3 \* MERGEFORMAT </w:instrText>
            </w:r>
            <w:r>
              <w:rPr>
                <w:rFonts w:hint="default" w:ascii="Times New Roman" w:hAnsi="Times New Roman" w:eastAsia="黑体" w:cs="Times New Roman"/>
                <w:snapToGrid w:val="0"/>
                <w:color w:val="auto"/>
                <w:spacing w:val="-6"/>
                <w:kern w:val="21"/>
                <w:sz w:val="21"/>
                <w:szCs w:val="21"/>
                <w:highlight w:val="none"/>
                <w:lang w:val="en-US" w:eastAsia="zh-CN"/>
              </w:rPr>
              <w:fldChar w:fldCharType="separate"/>
            </w:r>
            <w:r>
              <w:rPr>
                <w:rFonts w:hint="default" w:ascii="Times New Roman" w:hAnsi="Times New Roman" w:eastAsia="黑体" w:cs="Times New Roman"/>
                <w:color w:val="auto"/>
                <w:kern w:val="2"/>
                <w:sz w:val="21"/>
                <w:szCs w:val="21"/>
                <w:highlight w:val="none"/>
                <w:lang w:val="en-US" w:eastAsia="zh-CN"/>
              </w:rPr>
              <w:t>④</w:t>
            </w:r>
            <w:r>
              <w:rPr>
                <w:rFonts w:hint="default" w:ascii="Times New Roman" w:hAnsi="Times New Roman" w:eastAsia="黑体" w:cs="Times New Roman"/>
                <w:snapToGrid w:val="0"/>
                <w:color w:val="auto"/>
                <w:spacing w:val="-6"/>
                <w:kern w:val="21"/>
                <w:sz w:val="21"/>
                <w:szCs w:val="21"/>
                <w:highlight w:val="none"/>
                <w:lang w:val="en-US" w:eastAsia="zh-CN"/>
              </w:rPr>
              <w:fldChar w:fldCharType="end"/>
            </w:r>
          </w:p>
        </w:tc>
        <w:tc>
          <w:tcPr>
            <w:tcW w:w="1755" w:type="dxa"/>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16"/>
                <w:kern w:val="21"/>
                <w:sz w:val="21"/>
                <w:szCs w:val="21"/>
                <w:highlight w:val="none"/>
                <w:lang w:val="en-US" w:eastAsia="zh-CN"/>
              </w:rPr>
            </w:pPr>
            <w:r>
              <w:rPr>
                <w:rFonts w:hint="default" w:ascii="Times New Roman" w:hAnsi="Times New Roman" w:eastAsia="黑体" w:cs="Times New Roman"/>
                <w:snapToGrid w:val="0"/>
                <w:color w:val="auto"/>
                <w:spacing w:val="-16"/>
                <w:kern w:val="21"/>
                <w:sz w:val="21"/>
                <w:szCs w:val="21"/>
                <w:highlight w:val="none"/>
                <w:lang w:val="en-US" w:eastAsia="zh-CN"/>
              </w:rPr>
              <w:t>以新带老削减量</w:t>
            </w:r>
          </w:p>
          <w:p>
            <w:pPr>
              <w:pStyle w:val="57"/>
              <w:spacing w:beforeLines="0" w:afterLines="0" w:line="240" w:lineRule="auto"/>
              <w:jc w:val="center"/>
              <w:rPr>
                <w:rFonts w:hint="default" w:ascii="Times New Roman" w:hAnsi="Times New Roman" w:eastAsia="黑体" w:cs="Times New Roman"/>
                <w:snapToGrid w:val="0"/>
                <w:color w:val="auto"/>
                <w:spacing w:val="-16"/>
                <w:kern w:val="21"/>
                <w:sz w:val="21"/>
                <w:szCs w:val="21"/>
                <w:highlight w:val="none"/>
                <w:lang w:val="en-US" w:eastAsia="zh-CN"/>
              </w:rPr>
            </w:pPr>
            <w:r>
              <w:rPr>
                <w:rFonts w:hint="default" w:ascii="Times New Roman" w:hAnsi="Times New Roman" w:eastAsia="黑体" w:cs="Times New Roman"/>
                <w:snapToGrid w:val="0"/>
                <w:color w:val="auto"/>
                <w:spacing w:val="-16"/>
                <w:kern w:val="21"/>
                <w:sz w:val="21"/>
                <w:szCs w:val="21"/>
                <w:highlight w:val="none"/>
                <w:lang w:val="en-US" w:eastAsia="zh-CN"/>
              </w:rPr>
              <w:t>（新建项目不填）</w:t>
            </w:r>
            <w:r>
              <w:rPr>
                <w:rFonts w:hint="default" w:ascii="Times New Roman" w:hAnsi="Times New Roman" w:eastAsia="黑体" w:cs="Times New Roman"/>
                <w:snapToGrid w:val="0"/>
                <w:color w:val="auto"/>
                <w:spacing w:val="-16"/>
                <w:kern w:val="21"/>
                <w:sz w:val="21"/>
                <w:szCs w:val="21"/>
                <w:highlight w:val="none"/>
                <w:lang w:val="en-US" w:eastAsia="zh-CN"/>
              </w:rPr>
              <w:fldChar w:fldCharType="begin"/>
            </w:r>
            <w:r>
              <w:rPr>
                <w:rFonts w:hint="default" w:ascii="Times New Roman" w:hAnsi="Times New Roman" w:eastAsia="黑体" w:cs="Times New Roman"/>
                <w:snapToGrid w:val="0"/>
                <w:color w:val="auto"/>
                <w:spacing w:val="-16"/>
                <w:kern w:val="21"/>
                <w:sz w:val="21"/>
                <w:szCs w:val="21"/>
                <w:highlight w:val="none"/>
                <w:lang w:val="en-US" w:eastAsia="zh-CN"/>
              </w:rPr>
              <w:instrText xml:space="preserve"> = 5 \* GB3 \* MERGEFORMAT </w:instrText>
            </w:r>
            <w:r>
              <w:rPr>
                <w:rFonts w:hint="default" w:ascii="Times New Roman" w:hAnsi="Times New Roman" w:eastAsia="黑体" w:cs="Times New Roman"/>
                <w:snapToGrid w:val="0"/>
                <w:color w:val="auto"/>
                <w:spacing w:val="-16"/>
                <w:kern w:val="21"/>
                <w:sz w:val="21"/>
                <w:szCs w:val="21"/>
                <w:highlight w:val="none"/>
                <w:lang w:val="en-US" w:eastAsia="zh-CN"/>
              </w:rPr>
              <w:fldChar w:fldCharType="separate"/>
            </w:r>
            <w:r>
              <w:rPr>
                <w:rFonts w:hint="default" w:ascii="Times New Roman" w:hAnsi="Times New Roman" w:eastAsia="黑体" w:cs="Times New Roman"/>
                <w:color w:val="auto"/>
                <w:kern w:val="2"/>
                <w:sz w:val="21"/>
                <w:szCs w:val="21"/>
                <w:highlight w:val="none"/>
                <w:lang w:val="en-US" w:eastAsia="zh-CN"/>
              </w:rPr>
              <w:t>⑤</w:t>
            </w:r>
            <w:r>
              <w:rPr>
                <w:rFonts w:hint="default" w:ascii="Times New Roman" w:hAnsi="Times New Roman" w:eastAsia="黑体" w:cs="Times New Roman"/>
                <w:snapToGrid w:val="0"/>
                <w:color w:val="auto"/>
                <w:spacing w:val="-16"/>
                <w:kern w:val="21"/>
                <w:sz w:val="21"/>
                <w:szCs w:val="21"/>
                <w:highlight w:val="none"/>
                <w:lang w:val="en-US" w:eastAsia="zh-CN"/>
              </w:rPr>
              <w:fldChar w:fldCharType="end"/>
            </w:r>
          </w:p>
        </w:tc>
        <w:tc>
          <w:tcPr>
            <w:tcW w:w="1711" w:type="dxa"/>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16"/>
                <w:kern w:val="21"/>
                <w:sz w:val="21"/>
                <w:szCs w:val="21"/>
                <w:highlight w:val="none"/>
                <w:lang w:val="en-US" w:eastAsia="zh-CN"/>
              </w:rPr>
            </w:pPr>
            <w:r>
              <w:rPr>
                <w:rFonts w:hint="default" w:ascii="Times New Roman" w:hAnsi="Times New Roman" w:eastAsia="黑体" w:cs="Times New Roman"/>
                <w:snapToGrid w:val="0"/>
                <w:color w:val="auto"/>
                <w:spacing w:val="-16"/>
                <w:kern w:val="21"/>
                <w:sz w:val="21"/>
                <w:szCs w:val="21"/>
                <w:highlight w:val="none"/>
                <w:lang w:val="en-US" w:eastAsia="zh-CN"/>
              </w:rPr>
              <w:t>本项目建成后</w:t>
            </w:r>
          </w:p>
          <w:p>
            <w:pPr>
              <w:pStyle w:val="57"/>
              <w:spacing w:beforeLines="0" w:afterLines="0" w:line="240" w:lineRule="auto"/>
              <w:jc w:val="center"/>
              <w:rPr>
                <w:rFonts w:hint="default" w:ascii="Times New Roman" w:hAnsi="Times New Roman" w:eastAsia="黑体" w:cs="Times New Roman"/>
                <w:snapToGrid w:val="0"/>
                <w:color w:val="auto"/>
                <w:spacing w:val="-16"/>
                <w:kern w:val="21"/>
                <w:sz w:val="21"/>
                <w:szCs w:val="21"/>
                <w:highlight w:val="none"/>
                <w:lang w:val="en-US" w:eastAsia="zh-CN"/>
              </w:rPr>
            </w:pPr>
            <w:r>
              <w:rPr>
                <w:rFonts w:hint="default" w:ascii="Times New Roman" w:hAnsi="Times New Roman" w:eastAsia="黑体" w:cs="Times New Roman"/>
                <w:snapToGrid w:val="0"/>
                <w:color w:val="auto"/>
                <w:spacing w:val="-16"/>
                <w:kern w:val="21"/>
                <w:sz w:val="21"/>
                <w:szCs w:val="21"/>
                <w:highlight w:val="none"/>
                <w:lang w:val="en-US" w:eastAsia="zh-CN"/>
              </w:rPr>
              <w:t>全厂排放量（固体废物产生量）</w:t>
            </w:r>
            <w:r>
              <w:rPr>
                <w:rFonts w:hint="default" w:ascii="Times New Roman" w:hAnsi="Times New Roman" w:eastAsia="黑体" w:cs="Times New Roman"/>
                <w:snapToGrid w:val="0"/>
                <w:color w:val="auto"/>
                <w:spacing w:val="-16"/>
                <w:kern w:val="21"/>
                <w:sz w:val="21"/>
                <w:szCs w:val="21"/>
                <w:highlight w:val="none"/>
                <w:lang w:val="en-US" w:eastAsia="zh-CN"/>
              </w:rPr>
              <w:fldChar w:fldCharType="begin"/>
            </w:r>
            <w:r>
              <w:rPr>
                <w:rFonts w:hint="default" w:ascii="Times New Roman" w:hAnsi="Times New Roman" w:eastAsia="黑体" w:cs="Times New Roman"/>
                <w:snapToGrid w:val="0"/>
                <w:color w:val="auto"/>
                <w:spacing w:val="-16"/>
                <w:kern w:val="21"/>
                <w:sz w:val="21"/>
                <w:szCs w:val="21"/>
                <w:highlight w:val="none"/>
                <w:lang w:val="en-US" w:eastAsia="zh-CN"/>
              </w:rPr>
              <w:instrText xml:space="preserve"> = 6 \* GB3 \* MERGEFORMAT </w:instrText>
            </w:r>
            <w:r>
              <w:rPr>
                <w:rFonts w:hint="default" w:ascii="Times New Roman" w:hAnsi="Times New Roman" w:eastAsia="黑体" w:cs="Times New Roman"/>
                <w:snapToGrid w:val="0"/>
                <w:color w:val="auto"/>
                <w:spacing w:val="-16"/>
                <w:kern w:val="21"/>
                <w:sz w:val="21"/>
                <w:szCs w:val="21"/>
                <w:highlight w:val="none"/>
                <w:lang w:val="en-US" w:eastAsia="zh-CN"/>
              </w:rPr>
              <w:fldChar w:fldCharType="separate"/>
            </w:r>
            <w:r>
              <w:rPr>
                <w:rFonts w:hint="default" w:ascii="Times New Roman" w:hAnsi="Times New Roman" w:eastAsia="黑体" w:cs="Times New Roman"/>
                <w:color w:val="auto"/>
                <w:kern w:val="2"/>
                <w:sz w:val="21"/>
                <w:szCs w:val="21"/>
                <w:highlight w:val="none"/>
                <w:lang w:val="en-US" w:eastAsia="zh-CN"/>
              </w:rPr>
              <w:t>⑥</w:t>
            </w:r>
            <w:r>
              <w:rPr>
                <w:rFonts w:hint="default" w:ascii="Times New Roman" w:hAnsi="Times New Roman" w:eastAsia="黑体" w:cs="Times New Roman"/>
                <w:snapToGrid w:val="0"/>
                <w:color w:val="auto"/>
                <w:spacing w:val="-16"/>
                <w:kern w:val="21"/>
                <w:sz w:val="21"/>
                <w:szCs w:val="21"/>
                <w:highlight w:val="none"/>
                <w:lang w:val="en-US" w:eastAsia="zh-CN"/>
              </w:rPr>
              <w:fldChar w:fldCharType="end"/>
            </w:r>
          </w:p>
        </w:tc>
        <w:tc>
          <w:tcPr>
            <w:tcW w:w="1327" w:type="dxa"/>
            <w:noWrap w:val="0"/>
            <w:tcMar>
              <w:left w:w="28" w:type="dxa"/>
              <w:right w:w="28" w:type="dxa"/>
            </w:tcMar>
            <w:vAlign w:val="center"/>
          </w:tcPr>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t>变化量</w:t>
            </w:r>
          </w:p>
          <w:p>
            <w:pPr>
              <w:pStyle w:val="57"/>
              <w:spacing w:beforeLines="0" w:afterLines="0" w:line="240" w:lineRule="auto"/>
              <w:jc w:val="center"/>
              <w:rPr>
                <w:rFonts w:hint="default" w:ascii="Times New Roman" w:hAnsi="Times New Roman" w:eastAsia="黑体" w:cs="Times New Roman"/>
                <w:snapToGrid w:val="0"/>
                <w:color w:val="auto"/>
                <w:spacing w:val="-6"/>
                <w:kern w:val="21"/>
                <w:sz w:val="21"/>
                <w:szCs w:val="21"/>
                <w:highlight w:val="none"/>
                <w:lang w:val="en-US" w:eastAsia="zh-CN"/>
              </w:rPr>
            </w:pPr>
            <w:r>
              <w:rPr>
                <w:rFonts w:hint="default" w:ascii="Times New Roman" w:hAnsi="Times New Roman" w:eastAsia="黑体" w:cs="Times New Roman"/>
                <w:snapToGrid w:val="0"/>
                <w:color w:val="auto"/>
                <w:spacing w:val="-6"/>
                <w:kern w:val="21"/>
                <w:sz w:val="21"/>
                <w:szCs w:val="21"/>
                <w:highlight w:val="none"/>
                <w:lang w:val="en-US" w:eastAsia="zh-CN"/>
              </w:rPr>
              <w:fldChar w:fldCharType="begin"/>
            </w:r>
            <w:r>
              <w:rPr>
                <w:rFonts w:hint="default" w:ascii="Times New Roman" w:hAnsi="Times New Roman" w:eastAsia="黑体" w:cs="Times New Roman"/>
                <w:snapToGrid w:val="0"/>
                <w:color w:val="auto"/>
                <w:spacing w:val="-6"/>
                <w:kern w:val="21"/>
                <w:sz w:val="21"/>
                <w:szCs w:val="21"/>
                <w:highlight w:val="none"/>
                <w:lang w:val="en-US" w:eastAsia="zh-CN"/>
              </w:rPr>
              <w:instrText xml:space="preserve"> = 7 \* GB3 \* MERGEFORMAT </w:instrText>
            </w:r>
            <w:r>
              <w:rPr>
                <w:rFonts w:hint="default" w:ascii="Times New Roman" w:hAnsi="Times New Roman" w:eastAsia="黑体" w:cs="Times New Roman"/>
                <w:snapToGrid w:val="0"/>
                <w:color w:val="auto"/>
                <w:spacing w:val="-6"/>
                <w:kern w:val="21"/>
                <w:sz w:val="21"/>
                <w:szCs w:val="21"/>
                <w:highlight w:val="none"/>
                <w:lang w:val="en-US" w:eastAsia="zh-CN"/>
              </w:rPr>
              <w:fldChar w:fldCharType="separate"/>
            </w:r>
            <w:r>
              <w:rPr>
                <w:rFonts w:hint="default" w:ascii="Times New Roman" w:hAnsi="Times New Roman" w:eastAsia="黑体" w:cs="Times New Roman"/>
                <w:color w:val="auto"/>
                <w:kern w:val="2"/>
                <w:sz w:val="21"/>
                <w:szCs w:val="21"/>
                <w:highlight w:val="none"/>
                <w:lang w:val="en-US" w:eastAsia="zh-CN"/>
              </w:rPr>
              <w:t>⑦</w:t>
            </w:r>
            <w:r>
              <w:rPr>
                <w:rFonts w:hint="default" w:ascii="Times New Roman" w:hAnsi="Times New Roman" w:eastAsia="黑体" w:cs="Times New Roman"/>
                <w:snapToGrid w:val="0"/>
                <w:color w:val="auto"/>
                <w:spacing w:val="-6"/>
                <w:kern w:val="21"/>
                <w:sz w:val="21"/>
                <w:szCs w:val="21"/>
                <w:highlight w:val="none"/>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restart"/>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废气</w:t>
            </w:r>
          </w:p>
        </w:tc>
        <w:tc>
          <w:tcPr>
            <w:tcW w:w="1849" w:type="dxa"/>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颗粒物</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0.086</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eastAsia" w:cs="Times New Roman"/>
                <w:color w:val="auto"/>
                <w:sz w:val="21"/>
                <w:szCs w:val="21"/>
                <w:highlight w:val="none"/>
                <w:lang w:val="en-US" w:eastAsia="zh-CN"/>
              </w:rPr>
              <w:t>0.2112</w:t>
            </w:r>
            <w:r>
              <w:rPr>
                <w:rFonts w:hint="default" w:ascii="Times New Roman" w:hAnsi="Times New Roman" w:cs="Times New Roman"/>
                <w:color w:val="auto"/>
                <w:sz w:val="21"/>
                <w:szCs w:val="21"/>
                <w:highlight w:val="none"/>
                <w:lang w:val="en-US" w:eastAsia="zh-CN"/>
              </w:rPr>
              <w:t>t/a</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553"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red"/>
                <w:lang w:val="en-US" w:eastAsia="zh-CN" w:bidi="ar-SA"/>
              </w:rPr>
            </w:pPr>
            <w:r>
              <w:rPr>
                <w:rFonts w:hint="eastAsia" w:cs="Times New Roman"/>
                <w:color w:val="auto"/>
                <w:sz w:val="21"/>
                <w:szCs w:val="21"/>
                <w:highlight w:val="red"/>
                <w:lang w:val="en-US" w:eastAsia="zh-CN"/>
              </w:rPr>
              <w:t>0.021</w:t>
            </w:r>
            <w:r>
              <w:rPr>
                <w:rFonts w:hint="default" w:ascii="Times New Roman" w:hAnsi="Times New Roman" w:cs="Times New Roman"/>
                <w:i w:val="0"/>
                <w:iCs w:val="0"/>
                <w:color w:val="auto"/>
                <w:kern w:val="0"/>
                <w:sz w:val="21"/>
                <w:szCs w:val="21"/>
                <w:highlight w:val="red"/>
                <w:u w:val="none"/>
                <w:lang w:val="en-US" w:eastAsia="zh-CN" w:bidi="ar"/>
              </w:rPr>
              <w:t>t/a</w:t>
            </w:r>
          </w:p>
        </w:tc>
        <w:tc>
          <w:tcPr>
            <w:tcW w:w="1755" w:type="dxa"/>
            <w:noWrap w:val="0"/>
            <w:vAlign w:val="center"/>
          </w:tcPr>
          <w:p>
            <w:pPr>
              <w:spacing w:beforeLines="0" w:afterLines="0" w:line="240" w:lineRule="auto"/>
              <w:jc w:val="center"/>
              <w:rPr>
                <w:rFonts w:hint="default" w:ascii="Times New Roman" w:hAnsi="Times New Roman" w:eastAsia="宋体" w:cs="Times New Roman"/>
                <w:color w:val="auto"/>
                <w:kern w:val="2"/>
                <w:sz w:val="21"/>
                <w:szCs w:val="21"/>
                <w:highlight w:val="red"/>
                <w:lang w:val="en-US" w:eastAsia="zh-CN" w:bidi="ar"/>
              </w:rPr>
            </w:pPr>
            <w:r>
              <w:rPr>
                <w:rFonts w:hint="default" w:ascii="Times New Roman" w:hAnsi="Times New Roman" w:cs="Times New Roman"/>
                <w:color w:val="auto"/>
                <w:kern w:val="2"/>
                <w:sz w:val="21"/>
                <w:szCs w:val="21"/>
                <w:highlight w:val="red"/>
                <w:lang w:val="en-US" w:eastAsia="zh-CN" w:bidi="ar-SA"/>
              </w:rPr>
              <w:t>/</w:t>
            </w:r>
          </w:p>
        </w:tc>
        <w:tc>
          <w:tcPr>
            <w:tcW w:w="1711"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red"/>
                <w:lang w:val="en-US" w:eastAsia="zh-CN" w:bidi="ar-SA"/>
              </w:rPr>
            </w:pPr>
            <w:r>
              <w:rPr>
                <w:rFonts w:hint="eastAsia" w:cs="Times New Roman"/>
                <w:color w:val="auto"/>
                <w:kern w:val="2"/>
                <w:sz w:val="21"/>
                <w:szCs w:val="21"/>
                <w:highlight w:val="red"/>
                <w:lang w:val="en-US" w:eastAsia="zh-CN" w:bidi="ar-SA"/>
              </w:rPr>
              <w:t>0.107</w:t>
            </w:r>
            <w:r>
              <w:rPr>
                <w:rFonts w:hint="default" w:ascii="Times New Roman" w:hAnsi="Times New Roman" w:cs="Times New Roman"/>
                <w:i w:val="0"/>
                <w:iCs w:val="0"/>
                <w:color w:val="auto"/>
                <w:kern w:val="0"/>
                <w:sz w:val="21"/>
                <w:szCs w:val="21"/>
                <w:highlight w:val="red"/>
                <w:u w:val="none"/>
                <w:lang w:val="en-US" w:eastAsia="zh-CN" w:bidi="ar"/>
              </w:rPr>
              <w:t>t/a</w:t>
            </w:r>
          </w:p>
        </w:tc>
        <w:tc>
          <w:tcPr>
            <w:tcW w:w="1327"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red"/>
                <w:lang w:val="en-US" w:eastAsia="zh-CN" w:bidi="ar-SA"/>
              </w:rPr>
            </w:pPr>
            <w:r>
              <w:rPr>
                <w:rFonts w:hint="default" w:ascii="Times New Roman" w:hAnsi="Times New Roman" w:eastAsia="宋体" w:cs="Times New Roman"/>
                <w:color w:val="auto"/>
                <w:sz w:val="21"/>
                <w:szCs w:val="21"/>
                <w:highlight w:val="red"/>
                <w:lang w:val="en-US" w:eastAsia="zh-CN"/>
              </w:rPr>
              <w:t>+</w:t>
            </w:r>
            <w:r>
              <w:rPr>
                <w:rFonts w:hint="eastAsia" w:cs="Times New Roman"/>
                <w:color w:val="auto"/>
                <w:sz w:val="21"/>
                <w:szCs w:val="21"/>
                <w:highlight w:val="red"/>
                <w:lang w:val="en-US" w:eastAsia="zh-CN"/>
              </w:rPr>
              <w:t>0.1042</w:t>
            </w:r>
            <w:r>
              <w:rPr>
                <w:rFonts w:hint="default" w:ascii="Times New Roman" w:hAnsi="Times New Roman" w:cs="Times New Roman"/>
                <w:i w:val="0"/>
                <w:iCs w:val="0"/>
                <w:color w:val="auto"/>
                <w:kern w:val="0"/>
                <w:sz w:val="21"/>
                <w:szCs w:val="21"/>
                <w:highlight w:val="red"/>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二氧化硫</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0.076</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eastAsia" w:cs="Times New Roman"/>
                <w:color w:val="auto"/>
                <w:sz w:val="21"/>
                <w:szCs w:val="21"/>
                <w:highlight w:val="none"/>
                <w:lang w:val="en-US" w:eastAsia="zh-CN"/>
              </w:rPr>
              <w:t>0.2544</w:t>
            </w:r>
            <w:r>
              <w:rPr>
                <w:rFonts w:hint="default" w:ascii="Times New Roman" w:hAnsi="Times New Roman" w:cs="Times New Roman"/>
                <w:color w:val="auto"/>
                <w:sz w:val="21"/>
                <w:szCs w:val="21"/>
                <w:highlight w:val="none"/>
                <w:lang w:val="en-US" w:eastAsia="zh-CN"/>
              </w:rPr>
              <w:t>t/a</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553"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0.04</w:t>
            </w:r>
            <w:r>
              <w:rPr>
                <w:rFonts w:hint="default" w:ascii="Times New Roman" w:hAnsi="Times New Roman" w:cs="Times New Roman"/>
                <w:i w:val="0"/>
                <w:iCs w:val="0"/>
                <w:color w:val="auto"/>
                <w:kern w:val="0"/>
                <w:sz w:val="21"/>
                <w:szCs w:val="21"/>
                <w:highlight w:val="none"/>
                <w:u w:val="none"/>
                <w:lang w:val="en-US" w:eastAsia="zh-CN" w:bidi="ar"/>
              </w:rPr>
              <w:t>t/a</w:t>
            </w:r>
          </w:p>
        </w:tc>
        <w:tc>
          <w:tcPr>
            <w:tcW w:w="1755" w:type="dxa"/>
            <w:noWrap w:val="0"/>
            <w:vAlign w:val="center"/>
          </w:tcPr>
          <w:p>
            <w:pPr>
              <w:spacing w:beforeLines="0" w:afterLines="0" w:line="240" w:lineRule="auto"/>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711"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0.116</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138</w:t>
            </w: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氮氧化物</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0.493</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eastAsia" w:cs="Times New Roman"/>
                <w:color w:val="auto"/>
                <w:sz w:val="21"/>
                <w:szCs w:val="21"/>
                <w:highlight w:val="none"/>
                <w:lang w:val="en-US" w:eastAsia="zh-CN"/>
              </w:rPr>
              <w:t>1.728</w:t>
            </w:r>
            <w:r>
              <w:rPr>
                <w:rFonts w:hint="default" w:ascii="Times New Roman" w:hAnsi="Times New Roman" w:cs="Times New Roman"/>
                <w:color w:val="auto"/>
                <w:sz w:val="21"/>
                <w:szCs w:val="21"/>
                <w:highlight w:val="none"/>
                <w:lang w:val="en-US" w:eastAsia="zh-CN"/>
              </w:rPr>
              <w:t>t/a</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553"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0.139</w:t>
            </w:r>
            <w:r>
              <w:rPr>
                <w:rFonts w:hint="default" w:ascii="Times New Roman" w:hAnsi="Times New Roman" w:cs="Times New Roman"/>
                <w:i w:val="0"/>
                <w:iCs w:val="0"/>
                <w:color w:val="auto"/>
                <w:kern w:val="0"/>
                <w:sz w:val="21"/>
                <w:szCs w:val="21"/>
                <w:highlight w:val="none"/>
                <w:u w:val="none"/>
                <w:lang w:val="en-US" w:eastAsia="zh-CN" w:bidi="ar"/>
              </w:rPr>
              <w:t>t/a</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cs="Times New Roman"/>
                <w:color w:val="auto"/>
                <w:kern w:val="2"/>
                <w:sz w:val="21"/>
                <w:szCs w:val="21"/>
                <w:highlight w:val="none"/>
                <w:lang w:val="en-US" w:eastAsia="zh-CN" w:bidi="ar-SA"/>
              </w:rPr>
              <w:t>/</w:t>
            </w:r>
          </w:p>
        </w:tc>
        <w:tc>
          <w:tcPr>
            <w:tcW w:w="1711"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0.632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1.096</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非甲烷总烃</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0.096</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snapToGrid w:val="0"/>
                <w:color w:val="auto"/>
                <w:spacing w:val="-6"/>
                <w:kern w:val="21"/>
                <w:sz w:val="21"/>
                <w:szCs w:val="21"/>
                <w:highlight w:val="none"/>
                <w:lang w:val="en-US" w:eastAsia="zh-CN" w:bidi="ar-SA"/>
              </w:rPr>
              <w:t>/</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553"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1.696</w:t>
            </w:r>
            <w:r>
              <w:rPr>
                <w:rFonts w:hint="default" w:ascii="Times New Roman" w:hAnsi="Times New Roman" w:cs="Times New Roman"/>
                <w:i w:val="0"/>
                <w:iCs w:val="0"/>
                <w:color w:val="auto"/>
                <w:kern w:val="0"/>
                <w:sz w:val="21"/>
                <w:szCs w:val="21"/>
                <w:highlight w:val="none"/>
                <w:u w:val="none"/>
                <w:lang w:val="en-US" w:eastAsia="zh-CN" w:bidi="ar"/>
              </w:rPr>
              <w:t>t/a</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711"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highlight w:val="none"/>
                <w:u w:val="none"/>
                <w:lang w:val="en-US" w:eastAsia="zh-CN" w:bidi="ar"/>
              </w:rPr>
              <w:t>1.792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1.696</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氨</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0.178</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snapToGrid w:val="0"/>
                <w:color w:val="auto"/>
                <w:spacing w:val="-6"/>
                <w:kern w:val="21"/>
                <w:sz w:val="21"/>
                <w:szCs w:val="21"/>
                <w:highlight w:val="none"/>
                <w:lang w:val="en-US" w:eastAsia="zh-CN" w:bidi="ar-SA"/>
              </w:rPr>
              <w:t>/</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553"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711"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0.178</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硫化氢</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0.011</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snapToGrid w:val="0"/>
                <w:color w:val="auto"/>
                <w:spacing w:val="-6"/>
                <w:kern w:val="21"/>
                <w:sz w:val="21"/>
                <w:szCs w:val="21"/>
                <w:highlight w:val="none"/>
                <w:lang w:val="en-US" w:eastAsia="zh-CN" w:bidi="ar-SA"/>
              </w:rPr>
              <w:t>/</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553"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711"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0.011</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臭气浓度</w:t>
            </w:r>
          </w:p>
        </w:tc>
        <w:tc>
          <w:tcPr>
            <w:tcW w:w="1564" w:type="dxa"/>
            <w:shd w:val="clear" w:color="auto" w:fill="auto"/>
            <w:noWrap w:val="0"/>
            <w:vAlign w:val="center"/>
          </w:tcPr>
          <w:p>
            <w:pPr>
              <w:adjustRightIn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snapToGrid w:val="0"/>
                <w:color w:val="auto"/>
                <w:spacing w:val="-6"/>
                <w:kern w:val="21"/>
                <w:sz w:val="21"/>
                <w:szCs w:val="21"/>
                <w:highlight w:val="none"/>
                <w:lang w:val="en-US" w:eastAsia="zh-CN" w:bidi="ar-SA"/>
              </w:rPr>
              <w:t>/</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553"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711" w:type="dxa"/>
            <w:shd w:val="clear" w:color="auto" w:fill="auto"/>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restart"/>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废水</w:t>
            </w:r>
          </w:p>
        </w:tc>
        <w:tc>
          <w:tcPr>
            <w:tcW w:w="1849" w:type="dxa"/>
            <w:shd w:val="clear" w:color="auto" w:fill="auto"/>
            <w:noWrap w:val="0"/>
            <w:vAlign w:val="center"/>
          </w:tcPr>
          <w:p>
            <w:pPr>
              <w:pStyle w:val="2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COD</w:t>
            </w:r>
          </w:p>
        </w:tc>
        <w:tc>
          <w:tcPr>
            <w:tcW w:w="1564" w:type="dxa"/>
            <w:shd w:val="clear" w:color="auto" w:fill="auto"/>
            <w:noWrap w:val="0"/>
            <w:vAlign w:val="center"/>
          </w:tcPr>
          <w:p>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7.255</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7.255</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pStyle w:val="2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氨氮</w:t>
            </w:r>
          </w:p>
        </w:tc>
        <w:tc>
          <w:tcPr>
            <w:tcW w:w="1564" w:type="dxa"/>
            <w:shd w:val="clear" w:color="auto" w:fill="auto"/>
            <w:noWrap w:val="0"/>
            <w:vAlign w:val="center"/>
          </w:tcPr>
          <w:p>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0.107</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0.107</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restart"/>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一般工业</w:t>
            </w:r>
          </w:p>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固体废物</w:t>
            </w:r>
          </w:p>
        </w:tc>
        <w:tc>
          <w:tcPr>
            <w:tcW w:w="1849" w:type="dxa"/>
            <w:shd w:val="clear" w:color="auto" w:fill="auto"/>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废包装材料</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废边角料</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noWrap w:val="0"/>
            <w:vAlign w:val="center"/>
          </w:tcPr>
          <w:p>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废缝纫线轮</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污泥</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450</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450</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废离子交换树脂</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0.17</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0.17</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adjustRightIn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废料桶</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0.6</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0.6</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pStyle w:val="2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废水性油墨桶</w:t>
            </w:r>
          </w:p>
        </w:tc>
        <w:tc>
          <w:tcPr>
            <w:tcW w:w="1564" w:type="dxa"/>
            <w:shd w:val="clear" w:color="auto" w:fill="auto"/>
            <w:noWrap w:val="0"/>
            <w:vAlign w:val="center"/>
          </w:tcPr>
          <w:p>
            <w:pPr>
              <w:pStyle w:val="57"/>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snapToGrid w:val="0"/>
                <w:color w:val="auto"/>
                <w:spacing w:val="-6"/>
                <w:kern w:val="21"/>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1.92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755" w:type="dxa"/>
            <w:shd w:val="clear" w:color="auto" w:fill="auto"/>
            <w:noWrap w:val="0"/>
            <w:vAlign w:val="center"/>
          </w:tcPr>
          <w:p>
            <w:pPr>
              <w:pStyle w:val="57"/>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1.92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+1.92</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restart"/>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lang w:val="en-US" w:eastAsia="zh-CN"/>
              </w:rPr>
              <w:t>危险固废</w:t>
            </w:r>
          </w:p>
        </w:tc>
        <w:tc>
          <w:tcPr>
            <w:tcW w:w="1849" w:type="dxa"/>
            <w:shd w:val="clear" w:color="auto" w:fill="auto"/>
            <w:noWrap w:val="0"/>
            <w:vAlign w:val="center"/>
          </w:tcPr>
          <w:p>
            <w:pPr>
              <w:adjustRightInd w:val="0"/>
              <w:jc w:val="center"/>
              <w:textAlignment w:val="baseline"/>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废机油（HW08 900-214-08）</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0.05</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0.05</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adjustRightInd w:val="0"/>
              <w:jc w:val="center"/>
              <w:textAlignment w:val="baseline"/>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废油桶（HW49 900-041-49）</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0.05</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0.05</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adjustRightInd w:val="0"/>
              <w:jc w:val="center"/>
              <w:textAlignment w:val="baseline"/>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废灯管</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0.01</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0.01</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6" w:type="dxa"/>
            <w:vMerge w:val="continue"/>
            <w:noWrap w:val="0"/>
            <w:vAlign w:val="center"/>
          </w:tcPr>
          <w:p>
            <w:pPr>
              <w:pStyle w:val="57"/>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p>
        </w:tc>
        <w:tc>
          <w:tcPr>
            <w:tcW w:w="1849" w:type="dxa"/>
            <w:shd w:val="clear" w:color="auto" w:fill="auto"/>
            <w:noWrap w:val="0"/>
            <w:vAlign w:val="center"/>
          </w:tcPr>
          <w:p>
            <w:pPr>
              <w:adjustRightInd w:val="0"/>
              <w:jc w:val="center"/>
              <w:textAlignment w:val="baseline"/>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废活性炭（HW49 900-039-49</w:t>
            </w:r>
            <w:r>
              <w:rPr>
                <w:rFonts w:hint="default" w:ascii="Times New Roman" w:hAnsi="Times New Roman" w:cs="Times New Roman"/>
                <w:bCs/>
                <w:color w:val="auto"/>
                <w:sz w:val="21"/>
                <w:szCs w:val="21"/>
                <w:highlight w:val="none"/>
                <w:lang w:val="en-US" w:eastAsia="zh-CN"/>
              </w:rPr>
              <w:tab/>
            </w:r>
            <w:r>
              <w:rPr>
                <w:rFonts w:hint="default" w:ascii="Times New Roman" w:hAnsi="Times New Roman" w:cs="Times New Roman"/>
                <w:bCs/>
                <w:color w:val="auto"/>
                <w:sz w:val="21"/>
                <w:szCs w:val="21"/>
                <w:highlight w:val="none"/>
                <w:lang w:val="en-US" w:eastAsia="zh-CN"/>
              </w:rPr>
              <w:t>）</w:t>
            </w:r>
          </w:p>
        </w:tc>
        <w:tc>
          <w:tcPr>
            <w:tcW w:w="1564"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2.7</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eastAsia" w:cs="Times New Roman"/>
                <w:snapToGrid w:val="0"/>
                <w:color w:val="auto"/>
                <w:spacing w:val="-6"/>
                <w:kern w:val="21"/>
                <w:sz w:val="21"/>
                <w:szCs w:val="21"/>
                <w:highlight w:val="none"/>
                <w:lang w:val="en-US" w:eastAsia="zh-CN" w:bidi="ar-SA"/>
              </w:rPr>
              <w:t>28.072</w:t>
            </w:r>
            <w:r>
              <w:rPr>
                <w:rFonts w:hint="default" w:ascii="Times New Roman" w:hAnsi="Times New Roman" w:cs="Times New Roman"/>
                <w:snapToGrid w:val="0"/>
                <w:color w:val="auto"/>
                <w:spacing w:val="-6"/>
                <w:kern w:val="21"/>
                <w:sz w:val="21"/>
                <w:szCs w:val="21"/>
                <w:highlight w:val="none"/>
                <w:lang w:val="en-US" w:eastAsia="zh-CN" w:bidi="ar-SA"/>
              </w:rPr>
              <w:t>t/a</w:t>
            </w:r>
          </w:p>
        </w:tc>
        <w:tc>
          <w:tcPr>
            <w:tcW w:w="169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adjustRightIn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29.572</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28.072</w:t>
            </w:r>
            <w:r>
              <w:rPr>
                <w:rFonts w:hint="default" w:ascii="Times New Roman" w:hAnsi="Times New Roman" w:cs="Times New Roman"/>
                <w:i w:val="0"/>
                <w:iCs w:val="0"/>
                <w:color w:val="auto"/>
                <w:kern w:val="0"/>
                <w:sz w:val="21"/>
                <w:szCs w:val="21"/>
                <w:highlight w:val="none"/>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125" w:type="dxa"/>
            <w:gridSpan w:val="2"/>
            <w:noWrap w:val="0"/>
            <w:vAlign w:val="center"/>
          </w:tcPr>
          <w:p>
            <w:pPr>
              <w:pStyle w:val="57"/>
              <w:spacing w:beforeLines="0" w:afterLines="0" w:line="240" w:lineRule="auto"/>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rPr>
              <w:t>职工</w:t>
            </w:r>
            <w:r>
              <w:rPr>
                <w:rFonts w:hint="default" w:ascii="Times New Roman" w:hAnsi="Times New Roman" w:cs="Times New Roman"/>
                <w:color w:val="auto"/>
                <w:kern w:val="2"/>
                <w:sz w:val="21"/>
                <w:szCs w:val="21"/>
                <w:highlight w:val="none"/>
                <w:lang w:val="en-US" w:eastAsia="zh-CN" w:bidi="ar-SA"/>
              </w:rPr>
              <w:t>生活垃圾</w:t>
            </w:r>
          </w:p>
        </w:tc>
        <w:tc>
          <w:tcPr>
            <w:tcW w:w="1564" w:type="dxa"/>
            <w:shd w:val="clear" w:color="auto" w:fill="auto"/>
            <w:noWrap w:val="0"/>
            <w:vAlign w:val="center"/>
          </w:tcPr>
          <w:p>
            <w:pPr>
              <w:pStyle w:val="57"/>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cs="Times New Roman"/>
                <w:snapToGrid w:val="0"/>
                <w:color w:val="auto"/>
                <w:spacing w:val="-6"/>
                <w:kern w:val="21"/>
                <w:sz w:val="21"/>
                <w:szCs w:val="21"/>
                <w:highlight w:val="none"/>
                <w:lang w:val="en-US" w:eastAsia="zh-CN" w:bidi="ar-SA"/>
              </w:rPr>
              <w:t>10.5</w:t>
            </w:r>
            <w:r>
              <w:rPr>
                <w:rFonts w:hint="default" w:ascii="Times New Roman" w:hAnsi="Times New Roman" w:cs="Times New Roman"/>
                <w:i w:val="0"/>
                <w:iCs w:val="0"/>
                <w:color w:val="auto"/>
                <w:kern w:val="0"/>
                <w:sz w:val="21"/>
                <w:szCs w:val="21"/>
                <w:highlight w:val="none"/>
                <w:u w:val="none"/>
                <w:lang w:val="en-US" w:eastAsia="zh-CN" w:bidi="ar"/>
              </w:rPr>
              <w:t>t/a</w:t>
            </w:r>
          </w:p>
        </w:tc>
        <w:tc>
          <w:tcPr>
            <w:tcW w:w="1271" w:type="dxa"/>
            <w:shd w:val="clear" w:color="auto" w:fill="auto"/>
            <w:noWrap w:val="0"/>
            <w:vAlign w:val="center"/>
          </w:tcPr>
          <w:p>
            <w:pPr>
              <w:pStyle w:val="57"/>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695" w:type="dxa"/>
            <w:noWrap w:val="0"/>
            <w:vAlign w:val="center"/>
          </w:tcPr>
          <w:p>
            <w:pPr>
              <w:spacing w:beforeLines="0" w:afterLines="0" w:line="240" w:lineRule="auto"/>
              <w:jc w:val="center"/>
              <w:rPr>
                <w:rFonts w:hint="default" w:ascii="Times New Roman" w:hAnsi="Times New Roman" w:eastAsia="宋体" w:cs="Times New Roman"/>
                <w:snapToGrid w:val="0"/>
                <w:color w:val="auto"/>
                <w:spacing w:val="-6"/>
                <w:kern w:val="21"/>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5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55" w:type="dxa"/>
            <w:shd w:val="clear" w:color="auto" w:fill="auto"/>
            <w:noWrap w:val="0"/>
            <w:vAlign w:val="center"/>
          </w:tcPr>
          <w:p>
            <w:pPr>
              <w:pStyle w:val="57"/>
              <w:spacing w:beforeLines="0" w:afterLines="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pacing w:val="-6"/>
                <w:kern w:val="21"/>
                <w:sz w:val="21"/>
                <w:szCs w:val="21"/>
                <w:highlight w:val="none"/>
                <w:lang w:val="en-US" w:eastAsia="zh-CN" w:bidi="ar-SA"/>
              </w:rPr>
              <w:t>/</w:t>
            </w:r>
          </w:p>
        </w:tc>
        <w:tc>
          <w:tcPr>
            <w:tcW w:w="171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snapToGrid w:val="0"/>
                <w:color w:val="auto"/>
                <w:spacing w:val="-6"/>
                <w:kern w:val="21"/>
                <w:sz w:val="21"/>
                <w:szCs w:val="21"/>
                <w:highlight w:val="none"/>
                <w:lang w:val="en-US" w:eastAsia="zh-CN" w:bidi="ar-SA"/>
              </w:rPr>
              <w:t>10.5</w:t>
            </w:r>
            <w:r>
              <w:rPr>
                <w:rFonts w:hint="default" w:ascii="Times New Roman" w:hAnsi="Times New Roman" w:cs="Times New Roman"/>
                <w:i w:val="0"/>
                <w:iCs w:val="0"/>
                <w:color w:val="auto"/>
                <w:kern w:val="0"/>
                <w:sz w:val="21"/>
                <w:szCs w:val="21"/>
                <w:highlight w:val="none"/>
                <w:u w:val="none"/>
                <w:lang w:val="en-US" w:eastAsia="zh-CN" w:bidi="ar"/>
              </w:rPr>
              <w:t>t/a</w:t>
            </w:r>
          </w:p>
        </w:tc>
        <w:tc>
          <w:tcPr>
            <w:tcW w:w="132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r>
              <w:rPr>
                <w:rFonts w:hint="default" w:ascii="Times New Roman" w:hAnsi="Times New Roman" w:cs="Times New Roman"/>
                <w:i w:val="0"/>
                <w:iCs w:val="0"/>
                <w:color w:val="auto"/>
                <w:kern w:val="0"/>
                <w:sz w:val="21"/>
                <w:szCs w:val="21"/>
                <w:highlight w:val="none"/>
                <w:u w:val="none"/>
                <w:lang w:val="en-US" w:eastAsia="zh-CN" w:bidi="ar"/>
              </w:rPr>
              <w:t>t/a</w:t>
            </w:r>
          </w:p>
        </w:tc>
      </w:tr>
    </w:tbl>
    <w:p>
      <w:pPr>
        <w:pStyle w:val="57"/>
        <w:spacing w:before="192" w:beforeLines="80" w:after="24" w:line="360" w:lineRule="auto"/>
        <w:jc w:val="left"/>
        <w:rPr>
          <w:rFonts w:hint="default" w:ascii="Times New Roman" w:hAnsi="Times New Roman" w:eastAsia="宋体" w:cs="Times New Roman"/>
          <w:snapToGrid w:val="0"/>
          <w:color w:val="auto"/>
          <w:spacing w:val="0"/>
          <w:kern w:val="21"/>
          <w:szCs w:val="21"/>
          <w:highlight w:val="none"/>
        </w:rPr>
        <w:sectPr>
          <w:headerReference r:id="rId5" w:type="default"/>
          <w:footerReference r:id="rId6" w:type="default"/>
          <w:pgSz w:w="16838" w:h="11906" w:orient="landscape"/>
          <w:pgMar w:top="1134" w:right="1531" w:bottom="1134" w:left="1531" w:header="851" w:footer="1077" w:gutter="0"/>
          <w:pgBorders>
            <w:top w:val="none" w:sz="0" w:space="0"/>
            <w:left w:val="none" w:sz="0" w:space="0"/>
            <w:bottom w:val="none" w:sz="0" w:space="0"/>
            <w:right w:val="none" w:sz="0" w:space="0"/>
          </w:pgBorders>
          <w:pgNumType w:fmt="decimal"/>
          <w:cols w:space="0" w:num="1"/>
          <w:rtlGutter w:val="0"/>
          <w:docGrid w:linePitch="321" w:charSpace="0"/>
        </w:sectPr>
      </w:pPr>
      <w:r>
        <w:rPr>
          <w:rFonts w:hint="default" w:ascii="Times New Roman" w:hAnsi="Times New Roman" w:eastAsia="宋体" w:cs="Times New Roman"/>
          <w:snapToGrid w:val="0"/>
          <w:color w:val="auto"/>
          <w:spacing w:val="0"/>
          <w:kern w:val="21"/>
          <w:szCs w:val="21"/>
          <w:highlight w:val="none"/>
        </w:rPr>
        <w:t>注：</w:t>
      </w:r>
      <w:r>
        <w:rPr>
          <w:rFonts w:hint="default" w:ascii="Times New Roman" w:hAnsi="Times New Roman" w:eastAsia="宋体" w:cs="Times New Roman"/>
          <w:snapToGrid w:val="0"/>
          <w:color w:val="auto"/>
          <w:spacing w:val="0"/>
          <w:kern w:val="21"/>
          <w:szCs w:val="21"/>
          <w:highlight w:val="none"/>
        </w:rPr>
        <w:fldChar w:fldCharType="begin"/>
      </w:r>
      <w:r>
        <w:rPr>
          <w:rFonts w:hint="default" w:ascii="Times New Roman" w:hAnsi="Times New Roman" w:eastAsia="宋体" w:cs="Times New Roman"/>
          <w:snapToGrid w:val="0"/>
          <w:color w:val="auto"/>
          <w:spacing w:val="0"/>
          <w:kern w:val="21"/>
          <w:szCs w:val="21"/>
          <w:highlight w:val="none"/>
        </w:rPr>
        <w:instrText xml:space="preserve"> = 6 \* GB3 \* MERGEFORMAT </w:instrText>
      </w:r>
      <w:r>
        <w:rPr>
          <w:rFonts w:hint="default" w:ascii="Times New Roman" w:hAnsi="Times New Roman" w:eastAsia="宋体" w:cs="Times New Roman"/>
          <w:snapToGrid w:val="0"/>
          <w:color w:val="auto"/>
          <w:spacing w:val="0"/>
          <w:kern w:val="21"/>
          <w:szCs w:val="21"/>
          <w:highlight w:val="none"/>
        </w:rPr>
        <w:fldChar w:fldCharType="separate"/>
      </w:r>
      <w:r>
        <w:rPr>
          <w:rFonts w:hint="default" w:ascii="Times New Roman" w:hAnsi="Times New Roman" w:eastAsia="宋体" w:cs="Times New Roman"/>
          <w:color w:val="auto"/>
          <w:spacing w:val="0"/>
          <w:szCs w:val="21"/>
          <w:highlight w:val="none"/>
        </w:rPr>
        <w:t>⑥</w:t>
      </w:r>
      <w:r>
        <w:rPr>
          <w:rFonts w:hint="default" w:ascii="Times New Roman" w:hAnsi="Times New Roman" w:eastAsia="宋体" w:cs="Times New Roman"/>
          <w:snapToGrid w:val="0"/>
          <w:color w:val="auto"/>
          <w:spacing w:val="0"/>
          <w:kern w:val="21"/>
          <w:szCs w:val="21"/>
          <w:highlight w:val="none"/>
        </w:rPr>
        <w:fldChar w:fldCharType="end"/>
      </w:r>
      <w:r>
        <w:rPr>
          <w:rFonts w:hint="default" w:ascii="Times New Roman" w:hAnsi="Times New Roman" w:eastAsia="宋体" w:cs="Times New Roman"/>
          <w:snapToGrid w:val="0"/>
          <w:color w:val="auto"/>
          <w:spacing w:val="0"/>
          <w:kern w:val="21"/>
          <w:szCs w:val="21"/>
          <w:highlight w:val="none"/>
        </w:rPr>
        <w:t>=</w:t>
      </w:r>
      <w:r>
        <w:rPr>
          <w:rFonts w:hint="default" w:ascii="Times New Roman" w:hAnsi="Times New Roman" w:eastAsia="宋体" w:cs="Times New Roman"/>
          <w:snapToGrid w:val="0"/>
          <w:color w:val="auto"/>
          <w:spacing w:val="0"/>
          <w:kern w:val="21"/>
          <w:szCs w:val="21"/>
          <w:highlight w:val="none"/>
        </w:rPr>
        <w:fldChar w:fldCharType="begin"/>
      </w:r>
      <w:r>
        <w:rPr>
          <w:rFonts w:hint="default" w:ascii="Times New Roman" w:hAnsi="Times New Roman" w:eastAsia="宋体" w:cs="Times New Roman"/>
          <w:snapToGrid w:val="0"/>
          <w:color w:val="auto"/>
          <w:spacing w:val="0"/>
          <w:kern w:val="21"/>
          <w:szCs w:val="21"/>
          <w:highlight w:val="none"/>
        </w:rPr>
        <w:instrText xml:space="preserve"> = 1 \* GB3 \* MERGEFORMAT </w:instrText>
      </w:r>
      <w:r>
        <w:rPr>
          <w:rFonts w:hint="default" w:ascii="Times New Roman" w:hAnsi="Times New Roman" w:eastAsia="宋体" w:cs="Times New Roman"/>
          <w:snapToGrid w:val="0"/>
          <w:color w:val="auto"/>
          <w:spacing w:val="0"/>
          <w:kern w:val="21"/>
          <w:szCs w:val="21"/>
          <w:highlight w:val="none"/>
        </w:rPr>
        <w:fldChar w:fldCharType="separate"/>
      </w:r>
      <w:r>
        <w:rPr>
          <w:rFonts w:hint="default" w:ascii="Times New Roman" w:hAnsi="Times New Roman" w:eastAsia="宋体" w:cs="Times New Roman"/>
          <w:color w:val="auto"/>
          <w:spacing w:val="0"/>
          <w:szCs w:val="21"/>
          <w:highlight w:val="none"/>
        </w:rPr>
        <w:t>①</w:t>
      </w:r>
      <w:r>
        <w:rPr>
          <w:rFonts w:hint="default" w:ascii="Times New Roman" w:hAnsi="Times New Roman" w:eastAsia="宋体" w:cs="Times New Roman"/>
          <w:snapToGrid w:val="0"/>
          <w:color w:val="auto"/>
          <w:spacing w:val="0"/>
          <w:kern w:val="21"/>
          <w:szCs w:val="21"/>
          <w:highlight w:val="none"/>
        </w:rPr>
        <w:fldChar w:fldCharType="end"/>
      </w:r>
      <w:r>
        <w:rPr>
          <w:rFonts w:hint="default" w:ascii="Times New Roman" w:hAnsi="Times New Roman" w:eastAsia="宋体" w:cs="Times New Roman"/>
          <w:snapToGrid w:val="0"/>
          <w:color w:val="auto"/>
          <w:spacing w:val="0"/>
          <w:kern w:val="21"/>
          <w:szCs w:val="21"/>
          <w:highlight w:val="none"/>
        </w:rPr>
        <w:t>+</w:t>
      </w:r>
      <w:r>
        <w:rPr>
          <w:rFonts w:hint="default" w:ascii="Times New Roman" w:hAnsi="Times New Roman" w:eastAsia="宋体" w:cs="Times New Roman"/>
          <w:snapToGrid w:val="0"/>
          <w:color w:val="auto"/>
          <w:spacing w:val="0"/>
          <w:kern w:val="21"/>
          <w:szCs w:val="21"/>
          <w:highlight w:val="none"/>
        </w:rPr>
        <w:fldChar w:fldCharType="begin"/>
      </w:r>
      <w:r>
        <w:rPr>
          <w:rFonts w:hint="default" w:ascii="Times New Roman" w:hAnsi="Times New Roman" w:eastAsia="宋体" w:cs="Times New Roman"/>
          <w:snapToGrid w:val="0"/>
          <w:color w:val="auto"/>
          <w:spacing w:val="0"/>
          <w:kern w:val="21"/>
          <w:szCs w:val="21"/>
          <w:highlight w:val="none"/>
        </w:rPr>
        <w:instrText xml:space="preserve"> = 3 \* GB3 \* MERGEFORMAT </w:instrText>
      </w:r>
      <w:r>
        <w:rPr>
          <w:rFonts w:hint="default" w:ascii="Times New Roman" w:hAnsi="Times New Roman" w:eastAsia="宋体" w:cs="Times New Roman"/>
          <w:snapToGrid w:val="0"/>
          <w:color w:val="auto"/>
          <w:spacing w:val="0"/>
          <w:kern w:val="21"/>
          <w:szCs w:val="21"/>
          <w:highlight w:val="none"/>
        </w:rPr>
        <w:fldChar w:fldCharType="separate"/>
      </w:r>
      <w:r>
        <w:rPr>
          <w:rFonts w:hint="default" w:ascii="Times New Roman" w:hAnsi="Times New Roman" w:eastAsia="宋体" w:cs="Times New Roman"/>
          <w:color w:val="auto"/>
          <w:spacing w:val="0"/>
          <w:szCs w:val="21"/>
          <w:highlight w:val="none"/>
        </w:rPr>
        <w:t>③</w:t>
      </w:r>
      <w:r>
        <w:rPr>
          <w:rFonts w:hint="default" w:ascii="Times New Roman" w:hAnsi="Times New Roman" w:eastAsia="宋体" w:cs="Times New Roman"/>
          <w:snapToGrid w:val="0"/>
          <w:color w:val="auto"/>
          <w:spacing w:val="0"/>
          <w:kern w:val="21"/>
          <w:szCs w:val="21"/>
          <w:highlight w:val="none"/>
        </w:rPr>
        <w:fldChar w:fldCharType="end"/>
      </w:r>
      <w:r>
        <w:rPr>
          <w:rFonts w:hint="default" w:ascii="Times New Roman" w:hAnsi="Times New Roman" w:eastAsia="宋体" w:cs="Times New Roman"/>
          <w:snapToGrid w:val="0"/>
          <w:color w:val="auto"/>
          <w:spacing w:val="0"/>
          <w:kern w:val="21"/>
          <w:szCs w:val="21"/>
          <w:highlight w:val="none"/>
        </w:rPr>
        <w:t>+</w:t>
      </w:r>
      <w:r>
        <w:rPr>
          <w:rFonts w:hint="default" w:ascii="Times New Roman" w:hAnsi="Times New Roman" w:eastAsia="宋体" w:cs="Times New Roman"/>
          <w:snapToGrid w:val="0"/>
          <w:color w:val="auto"/>
          <w:spacing w:val="0"/>
          <w:kern w:val="21"/>
          <w:szCs w:val="21"/>
          <w:highlight w:val="none"/>
        </w:rPr>
        <w:fldChar w:fldCharType="begin"/>
      </w:r>
      <w:r>
        <w:rPr>
          <w:rFonts w:hint="default" w:ascii="Times New Roman" w:hAnsi="Times New Roman" w:eastAsia="宋体" w:cs="Times New Roman"/>
          <w:snapToGrid w:val="0"/>
          <w:color w:val="auto"/>
          <w:spacing w:val="0"/>
          <w:kern w:val="21"/>
          <w:szCs w:val="21"/>
          <w:highlight w:val="none"/>
        </w:rPr>
        <w:instrText xml:space="preserve"> = 4 \* GB3 \* MERGEFORMAT </w:instrText>
      </w:r>
      <w:r>
        <w:rPr>
          <w:rFonts w:hint="default" w:ascii="Times New Roman" w:hAnsi="Times New Roman" w:eastAsia="宋体" w:cs="Times New Roman"/>
          <w:snapToGrid w:val="0"/>
          <w:color w:val="auto"/>
          <w:spacing w:val="0"/>
          <w:kern w:val="21"/>
          <w:szCs w:val="21"/>
          <w:highlight w:val="none"/>
        </w:rPr>
        <w:fldChar w:fldCharType="separate"/>
      </w:r>
      <w:r>
        <w:rPr>
          <w:rFonts w:hint="default" w:ascii="Times New Roman" w:hAnsi="Times New Roman" w:eastAsia="宋体" w:cs="Times New Roman"/>
          <w:color w:val="auto"/>
          <w:spacing w:val="0"/>
          <w:szCs w:val="21"/>
          <w:highlight w:val="none"/>
        </w:rPr>
        <w:t>④</w:t>
      </w:r>
      <w:r>
        <w:rPr>
          <w:rFonts w:hint="default" w:ascii="Times New Roman" w:hAnsi="Times New Roman" w:eastAsia="宋体" w:cs="Times New Roman"/>
          <w:snapToGrid w:val="0"/>
          <w:color w:val="auto"/>
          <w:spacing w:val="0"/>
          <w:kern w:val="21"/>
          <w:szCs w:val="21"/>
          <w:highlight w:val="none"/>
        </w:rPr>
        <w:fldChar w:fldCharType="end"/>
      </w:r>
      <w:r>
        <w:rPr>
          <w:rFonts w:hint="default" w:ascii="Times New Roman" w:hAnsi="Times New Roman" w:eastAsia="宋体" w:cs="Times New Roman"/>
          <w:snapToGrid w:val="0"/>
          <w:color w:val="auto"/>
          <w:spacing w:val="0"/>
          <w:kern w:val="21"/>
          <w:szCs w:val="21"/>
          <w:highlight w:val="none"/>
        </w:rPr>
        <w:t>-</w:t>
      </w:r>
      <w:r>
        <w:rPr>
          <w:rFonts w:hint="default" w:ascii="Times New Roman" w:hAnsi="Times New Roman" w:eastAsia="宋体" w:cs="Times New Roman"/>
          <w:snapToGrid w:val="0"/>
          <w:color w:val="auto"/>
          <w:spacing w:val="0"/>
          <w:kern w:val="21"/>
          <w:szCs w:val="21"/>
          <w:highlight w:val="none"/>
        </w:rPr>
        <w:fldChar w:fldCharType="begin"/>
      </w:r>
      <w:r>
        <w:rPr>
          <w:rFonts w:hint="default" w:ascii="Times New Roman" w:hAnsi="Times New Roman" w:eastAsia="宋体" w:cs="Times New Roman"/>
          <w:snapToGrid w:val="0"/>
          <w:color w:val="auto"/>
          <w:spacing w:val="0"/>
          <w:kern w:val="21"/>
          <w:szCs w:val="21"/>
          <w:highlight w:val="none"/>
        </w:rPr>
        <w:instrText xml:space="preserve"> = 5 \* GB3 \* MERGEFORMAT </w:instrText>
      </w:r>
      <w:r>
        <w:rPr>
          <w:rFonts w:hint="default" w:ascii="Times New Roman" w:hAnsi="Times New Roman" w:eastAsia="宋体" w:cs="Times New Roman"/>
          <w:snapToGrid w:val="0"/>
          <w:color w:val="auto"/>
          <w:spacing w:val="0"/>
          <w:kern w:val="21"/>
          <w:szCs w:val="21"/>
          <w:highlight w:val="none"/>
        </w:rPr>
        <w:fldChar w:fldCharType="separate"/>
      </w:r>
      <w:r>
        <w:rPr>
          <w:rFonts w:hint="default" w:ascii="Times New Roman" w:hAnsi="Times New Roman" w:eastAsia="宋体" w:cs="Times New Roman"/>
          <w:color w:val="auto"/>
          <w:spacing w:val="0"/>
          <w:szCs w:val="21"/>
          <w:highlight w:val="none"/>
        </w:rPr>
        <w:t>⑤</w:t>
      </w:r>
      <w:r>
        <w:rPr>
          <w:rFonts w:hint="default" w:ascii="Times New Roman" w:hAnsi="Times New Roman" w:eastAsia="宋体" w:cs="Times New Roman"/>
          <w:snapToGrid w:val="0"/>
          <w:color w:val="auto"/>
          <w:spacing w:val="0"/>
          <w:kern w:val="21"/>
          <w:szCs w:val="21"/>
          <w:highlight w:val="none"/>
        </w:rPr>
        <w:fldChar w:fldCharType="end"/>
      </w:r>
      <w:r>
        <w:rPr>
          <w:rFonts w:hint="default" w:ascii="Times New Roman" w:hAnsi="Times New Roman" w:eastAsia="宋体" w:cs="Times New Roman"/>
          <w:snapToGrid w:val="0"/>
          <w:color w:val="auto"/>
          <w:spacing w:val="0"/>
          <w:kern w:val="21"/>
          <w:szCs w:val="21"/>
          <w:highlight w:val="none"/>
        </w:rPr>
        <w:t>；</w:t>
      </w:r>
      <w:r>
        <w:rPr>
          <w:rFonts w:hint="default" w:ascii="Times New Roman" w:hAnsi="Times New Roman" w:eastAsia="宋体" w:cs="Times New Roman"/>
          <w:snapToGrid w:val="0"/>
          <w:color w:val="auto"/>
          <w:spacing w:val="0"/>
          <w:kern w:val="21"/>
          <w:szCs w:val="21"/>
          <w:highlight w:val="none"/>
        </w:rPr>
        <w:fldChar w:fldCharType="begin"/>
      </w:r>
      <w:r>
        <w:rPr>
          <w:rFonts w:hint="default" w:ascii="Times New Roman" w:hAnsi="Times New Roman" w:eastAsia="宋体" w:cs="Times New Roman"/>
          <w:snapToGrid w:val="0"/>
          <w:color w:val="auto"/>
          <w:spacing w:val="0"/>
          <w:kern w:val="21"/>
          <w:szCs w:val="21"/>
          <w:highlight w:val="none"/>
        </w:rPr>
        <w:instrText xml:space="preserve"> = 7 \* GB3 \* MERGEFORMAT </w:instrText>
      </w:r>
      <w:r>
        <w:rPr>
          <w:rFonts w:hint="default" w:ascii="Times New Roman" w:hAnsi="Times New Roman" w:eastAsia="宋体" w:cs="Times New Roman"/>
          <w:snapToGrid w:val="0"/>
          <w:color w:val="auto"/>
          <w:spacing w:val="0"/>
          <w:kern w:val="21"/>
          <w:szCs w:val="21"/>
          <w:highlight w:val="none"/>
        </w:rPr>
        <w:fldChar w:fldCharType="separate"/>
      </w:r>
      <w:r>
        <w:rPr>
          <w:rFonts w:hint="default" w:ascii="Times New Roman" w:hAnsi="Times New Roman" w:eastAsia="宋体" w:cs="Times New Roman"/>
          <w:color w:val="auto"/>
          <w:spacing w:val="0"/>
          <w:szCs w:val="21"/>
          <w:highlight w:val="none"/>
        </w:rPr>
        <w:t>⑦</w:t>
      </w:r>
      <w:r>
        <w:rPr>
          <w:rFonts w:hint="default" w:ascii="Times New Roman" w:hAnsi="Times New Roman" w:eastAsia="宋体" w:cs="Times New Roman"/>
          <w:snapToGrid w:val="0"/>
          <w:color w:val="auto"/>
          <w:spacing w:val="0"/>
          <w:kern w:val="21"/>
          <w:szCs w:val="21"/>
          <w:highlight w:val="none"/>
        </w:rPr>
        <w:fldChar w:fldCharType="end"/>
      </w:r>
      <w:r>
        <w:rPr>
          <w:rFonts w:hint="default" w:ascii="Times New Roman" w:hAnsi="Times New Roman" w:eastAsia="宋体" w:cs="Times New Roman"/>
          <w:snapToGrid w:val="0"/>
          <w:color w:val="auto"/>
          <w:spacing w:val="0"/>
          <w:kern w:val="21"/>
          <w:szCs w:val="21"/>
          <w:highlight w:val="none"/>
        </w:rPr>
        <w:t>=</w:t>
      </w:r>
      <w:r>
        <w:rPr>
          <w:rFonts w:hint="default" w:ascii="Times New Roman" w:hAnsi="Times New Roman" w:eastAsia="宋体" w:cs="Times New Roman"/>
          <w:snapToGrid w:val="0"/>
          <w:color w:val="auto"/>
          <w:spacing w:val="0"/>
          <w:kern w:val="21"/>
          <w:szCs w:val="21"/>
          <w:highlight w:val="none"/>
        </w:rPr>
        <w:fldChar w:fldCharType="begin"/>
      </w:r>
      <w:r>
        <w:rPr>
          <w:rFonts w:hint="default" w:ascii="Times New Roman" w:hAnsi="Times New Roman" w:eastAsia="宋体" w:cs="Times New Roman"/>
          <w:snapToGrid w:val="0"/>
          <w:color w:val="auto"/>
          <w:spacing w:val="0"/>
          <w:kern w:val="21"/>
          <w:szCs w:val="21"/>
          <w:highlight w:val="none"/>
        </w:rPr>
        <w:instrText xml:space="preserve"> = 6 \* GB3 \* MERGEFORMAT </w:instrText>
      </w:r>
      <w:r>
        <w:rPr>
          <w:rFonts w:hint="default" w:ascii="Times New Roman" w:hAnsi="Times New Roman" w:eastAsia="宋体" w:cs="Times New Roman"/>
          <w:snapToGrid w:val="0"/>
          <w:color w:val="auto"/>
          <w:spacing w:val="0"/>
          <w:kern w:val="21"/>
          <w:szCs w:val="21"/>
          <w:highlight w:val="none"/>
        </w:rPr>
        <w:fldChar w:fldCharType="separate"/>
      </w:r>
      <w:r>
        <w:rPr>
          <w:rFonts w:hint="default" w:ascii="Times New Roman" w:hAnsi="Times New Roman" w:eastAsia="宋体" w:cs="Times New Roman"/>
          <w:color w:val="auto"/>
          <w:spacing w:val="0"/>
          <w:szCs w:val="21"/>
          <w:highlight w:val="none"/>
        </w:rPr>
        <w:t>⑥</w:t>
      </w:r>
      <w:r>
        <w:rPr>
          <w:rFonts w:hint="default" w:ascii="Times New Roman" w:hAnsi="Times New Roman" w:eastAsia="宋体" w:cs="Times New Roman"/>
          <w:snapToGrid w:val="0"/>
          <w:color w:val="auto"/>
          <w:spacing w:val="0"/>
          <w:kern w:val="21"/>
          <w:szCs w:val="21"/>
          <w:highlight w:val="none"/>
        </w:rPr>
        <w:fldChar w:fldCharType="end"/>
      </w:r>
      <w:r>
        <w:rPr>
          <w:rFonts w:hint="default" w:ascii="Times New Roman" w:hAnsi="Times New Roman" w:eastAsia="宋体" w:cs="Times New Roman"/>
          <w:snapToGrid w:val="0"/>
          <w:color w:val="auto"/>
          <w:spacing w:val="0"/>
          <w:kern w:val="21"/>
          <w:szCs w:val="21"/>
          <w:highlight w:val="none"/>
        </w:rPr>
        <w:t>-</w:t>
      </w:r>
      <w:r>
        <w:rPr>
          <w:rFonts w:hint="default" w:ascii="Times New Roman" w:hAnsi="Times New Roman" w:eastAsia="宋体" w:cs="Times New Roman"/>
          <w:snapToGrid w:val="0"/>
          <w:color w:val="auto"/>
          <w:spacing w:val="0"/>
          <w:kern w:val="21"/>
          <w:szCs w:val="21"/>
          <w:highlight w:val="none"/>
        </w:rPr>
        <w:fldChar w:fldCharType="begin"/>
      </w:r>
      <w:r>
        <w:rPr>
          <w:rFonts w:hint="default" w:ascii="Times New Roman" w:hAnsi="Times New Roman" w:eastAsia="宋体" w:cs="Times New Roman"/>
          <w:snapToGrid w:val="0"/>
          <w:color w:val="auto"/>
          <w:spacing w:val="0"/>
          <w:kern w:val="21"/>
          <w:szCs w:val="21"/>
          <w:highlight w:val="none"/>
        </w:rPr>
        <w:instrText xml:space="preserve"> = 1 \* GB3 \* MERGEFORMAT </w:instrText>
      </w:r>
      <w:r>
        <w:rPr>
          <w:rFonts w:hint="default" w:ascii="Times New Roman" w:hAnsi="Times New Roman" w:eastAsia="宋体" w:cs="Times New Roman"/>
          <w:snapToGrid w:val="0"/>
          <w:color w:val="auto"/>
          <w:spacing w:val="0"/>
          <w:kern w:val="21"/>
          <w:szCs w:val="21"/>
          <w:highlight w:val="none"/>
        </w:rPr>
        <w:fldChar w:fldCharType="separate"/>
      </w:r>
      <w:r>
        <w:rPr>
          <w:rFonts w:hint="default" w:ascii="Times New Roman" w:hAnsi="Times New Roman" w:eastAsia="宋体" w:cs="Times New Roman"/>
          <w:color w:val="auto"/>
          <w:spacing w:val="0"/>
          <w:szCs w:val="21"/>
          <w:highlight w:val="none"/>
        </w:rPr>
        <w:t>①</w:t>
      </w:r>
      <w:r>
        <w:rPr>
          <w:rFonts w:hint="default" w:ascii="Times New Roman" w:hAnsi="Times New Roman" w:eastAsia="宋体" w:cs="Times New Roman"/>
          <w:snapToGrid w:val="0"/>
          <w:color w:val="auto"/>
          <w:spacing w:val="0"/>
          <w:kern w:val="21"/>
          <w:szCs w:val="21"/>
          <w:highlight w:val="none"/>
        </w:rPr>
        <w:fldChar w:fldCharType="end"/>
      </w:r>
    </w:p>
    <w:p>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both"/>
        <w:textAlignment w:val="auto"/>
        <w:outlineLvl w:val="0"/>
        <w:rPr>
          <w:rFonts w:hint="default" w:ascii="Times New Roman" w:hAnsi="Times New Roman" w:cs="Times New Roman"/>
          <w:b/>
          <w:bCs/>
          <w:snapToGrid w:val="0"/>
          <w:color w:val="auto"/>
          <w:kern w:val="21"/>
          <w:highlight w:val="none"/>
          <w:lang w:val="en-US" w:eastAsia="zh-CN"/>
        </w:rPr>
      </w:pPr>
      <w:bookmarkStart w:id="53" w:name="_Toc30388"/>
      <w:r>
        <w:rPr>
          <w:rFonts w:hint="default" w:ascii="Times New Roman" w:hAnsi="Times New Roman" w:cs="Times New Roman"/>
          <w:b/>
          <w:bCs/>
          <w:snapToGrid w:val="0"/>
          <w:color w:val="auto"/>
          <w:kern w:val="21"/>
          <w:highlight w:val="none"/>
          <w:lang w:val="en-US" w:eastAsia="zh-CN"/>
        </w:rPr>
        <w:t>附件1 委托书</w:t>
      </w:r>
      <w:bookmarkEnd w:id="53"/>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rPr>
      </w:pPr>
    </w:p>
    <w:p>
      <w:pPr>
        <w:bidi w:val="0"/>
        <w:jc w:val="center"/>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委  托  书</w:t>
      </w:r>
    </w:p>
    <w:p>
      <w:pPr>
        <w:bidi w:val="0"/>
        <w:rPr>
          <w:rFonts w:hint="default" w:ascii="Times New Roman" w:hAnsi="Times New Roman" w:cs="Times New Roman"/>
          <w:b/>
          <w:bCs/>
          <w:color w:val="auto"/>
          <w:sz w:val="32"/>
          <w:szCs w:val="32"/>
          <w:highlight w:val="none"/>
        </w:rPr>
      </w:pPr>
    </w:p>
    <w:p>
      <w:pPr>
        <w:bidi w:val="0"/>
        <w:spacing w:line="480" w:lineRule="auto"/>
        <w:rPr>
          <w:rFonts w:hint="default" w:ascii="Times New Roman" w:hAnsi="Times New Roman" w:cs="Times New Roman"/>
          <w:b w:val="0"/>
          <w:bCs w:val="0"/>
          <w:color w:val="auto"/>
          <w:sz w:val="32"/>
          <w:szCs w:val="32"/>
          <w:highlight w:val="none"/>
        </w:rPr>
      </w:pPr>
      <w:r>
        <w:rPr>
          <w:rFonts w:hint="default" w:ascii="Times New Roman" w:hAnsi="Times New Roman" w:cs="Times New Roman"/>
          <w:b w:val="0"/>
          <w:bCs w:val="0"/>
          <w:color w:val="auto"/>
          <w:sz w:val="32"/>
          <w:szCs w:val="32"/>
          <w:highlight w:val="none"/>
          <w:lang w:val="en-US" w:eastAsia="zh-CN"/>
        </w:rPr>
        <w:t>山东玄机技术服务有限公司</w:t>
      </w:r>
      <w:r>
        <w:rPr>
          <w:rFonts w:hint="default" w:ascii="Times New Roman" w:hAnsi="Times New Roman" w:cs="Times New Roman"/>
          <w:b w:val="0"/>
          <w:bCs w:val="0"/>
          <w:color w:val="auto"/>
          <w:sz w:val="32"/>
          <w:szCs w:val="32"/>
          <w:highlight w:val="none"/>
        </w:rPr>
        <w:t>：</w:t>
      </w:r>
    </w:p>
    <w:p>
      <w:pPr>
        <w:bidi w:val="0"/>
        <w:spacing w:line="480" w:lineRule="auto"/>
        <w:ind w:firstLine="640" w:firstLineChars="200"/>
        <w:rPr>
          <w:rFonts w:hint="default" w:ascii="Times New Roman" w:hAnsi="Times New Roman" w:cs="Times New Roman"/>
          <w:b w:val="0"/>
          <w:bCs w:val="0"/>
          <w:color w:val="auto"/>
          <w:sz w:val="32"/>
          <w:szCs w:val="32"/>
          <w:highlight w:val="none"/>
        </w:rPr>
      </w:pPr>
      <w:r>
        <w:rPr>
          <w:rFonts w:hint="default" w:ascii="Times New Roman" w:hAnsi="Times New Roman" w:cs="Times New Roman"/>
          <w:b w:val="0"/>
          <w:bCs w:val="0"/>
          <w:color w:val="auto"/>
          <w:sz w:val="32"/>
          <w:szCs w:val="32"/>
          <w:highlight w:val="none"/>
        </w:rPr>
        <w:t>根据国家《建设项目环境保护管理条例》和当地环保部门的要求，</w:t>
      </w:r>
      <w:r>
        <w:rPr>
          <w:rFonts w:hint="default" w:ascii="Times New Roman" w:hAnsi="Times New Roman" w:cs="Times New Roman"/>
          <w:b w:val="0"/>
          <w:bCs w:val="0"/>
          <w:color w:val="auto"/>
          <w:sz w:val="32"/>
          <w:szCs w:val="32"/>
          <w:highlight w:val="none"/>
          <w:u w:val="single"/>
          <w:lang w:val="en-US" w:eastAsia="zh-CN"/>
        </w:rPr>
        <w:t>年产3000万米印染布设备升级改造项目</w:t>
      </w:r>
      <w:r>
        <w:rPr>
          <w:rFonts w:hint="default" w:ascii="Times New Roman" w:hAnsi="Times New Roman" w:cs="Times New Roman"/>
          <w:b w:val="0"/>
          <w:bCs w:val="0"/>
          <w:color w:val="auto"/>
          <w:sz w:val="32"/>
          <w:szCs w:val="32"/>
          <w:highlight w:val="none"/>
        </w:rPr>
        <w:t>需执行环境影响评价制度，今委托贵公司承担该项目环境影响报告表的编制</w:t>
      </w:r>
      <w:r>
        <w:rPr>
          <w:rFonts w:hint="default" w:ascii="Times New Roman" w:hAnsi="Times New Roman" w:cs="Times New Roman"/>
          <w:b w:val="0"/>
          <w:bCs w:val="0"/>
          <w:color w:val="auto"/>
          <w:sz w:val="32"/>
          <w:szCs w:val="32"/>
          <w:highlight w:val="none"/>
          <w:lang w:eastAsia="zh-CN"/>
        </w:rPr>
        <w:t>工作</w:t>
      </w:r>
      <w:r>
        <w:rPr>
          <w:rFonts w:hint="default" w:ascii="Times New Roman" w:hAnsi="Times New Roman" w:cs="Times New Roman"/>
          <w:b w:val="0"/>
          <w:bCs w:val="0"/>
          <w:color w:val="auto"/>
          <w:sz w:val="32"/>
          <w:szCs w:val="32"/>
          <w:highlight w:val="none"/>
        </w:rPr>
        <w:t>。</w:t>
      </w:r>
    </w:p>
    <w:p>
      <w:pPr>
        <w:bidi w:val="0"/>
        <w:spacing w:line="480" w:lineRule="auto"/>
        <w:rPr>
          <w:rFonts w:hint="default" w:ascii="Times New Roman" w:hAnsi="Times New Roman" w:cs="Times New Roman"/>
          <w:b w:val="0"/>
          <w:bCs w:val="0"/>
          <w:color w:val="auto"/>
          <w:sz w:val="32"/>
          <w:szCs w:val="32"/>
          <w:highlight w:val="none"/>
        </w:rPr>
      </w:pPr>
      <w:r>
        <w:rPr>
          <w:rFonts w:hint="default" w:ascii="Times New Roman" w:hAnsi="Times New Roman" w:cs="Times New Roman"/>
          <w:b w:val="0"/>
          <w:bCs w:val="0"/>
          <w:color w:val="auto"/>
          <w:sz w:val="32"/>
          <w:szCs w:val="32"/>
          <w:highlight w:val="none"/>
        </w:rPr>
        <w:t xml:space="preserve"> </w:t>
      </w:r>
    </w:p>
    <w:p>
      <w:pPr>
        <w:bidi w:val="0"/>
        <w:rPr>
          <w:rFonts w:hint="default" w:ascii="Times New Roman" w:hAnsi="Times New Roman" w:cs="Times New Roman"/>
          <w:b w:val="0"/>
          <w:bCs w:val="0"/>
          <w:color w:val="auto"/>
          <w:highlight w:val="none"/>
        </w:rPr>
      </w:pPr>
    </w:p>
    <w:p>
      <w:pPr>
        <w:bidi w:val="0"/>
        <w:rPr>
          <w:rFonts w:hint="default" w:ascii="Times New Roman" w:hAnsi="Times New Roman" w:cs="Times New Roman"/>
          <w:b w:val="0"/>
          <w:bCs w:val="0"/>
          <w:color w:val="auto"/>
          <w:highlight w:val="none"/>
        </w:rPr>
      </w:pPr>
    </w:p>
    <w:p>
      <w:pPr>
        <w:bidi w:val="0"/>
        <w:rPr>
          <w:rFonts w:hint="default" w:ascii="Times New Roman" w:hAnsi="Times New Roman" w:cs="Times New Roman"/>
          <w:b w:val="0"/>
          <w:bCs w:val="0"/>
          <w:color w:val="auto"/>
          <w:highlight w:val="none"/>
        </w:rPr>
      </w:pPr>
    </w:p>
    <w:p>
      <w:pPr>
        <w:bidi w:val="0"/>
        <w:rPr>
          <w:rFonts w:hint="default" w:ascii="Times New Roman" w:hAnsi="Times New Roman" w:cs="Times New Roman"/>
          <w:b w:val="0"/>
          <w:bCs w:val="0"/>
          <w:color w:val="auto"/>
          <w:highlight w:val="none"/>
        </w:rPr>
      </w:pPr>
    </w:p>
    <w:p>
      <w:pPr>
        <w:bidi w:val="0"/>
        <w:rPr>
          <w:rFonts w:hint="default" w:ascii="Times New Roman" w:hAnsi="Times New Roman" w:cs="Times New Roman"/>
          <w:b w:val="0"/>
          <w:bCs w:val="0"/>
          <w:color w:val="auto"/>
          <w:highlight w:val="none"/>
        </w:rPr>
      </w:pPr>
    </w:p>
    <w:p>
      <w:pPr>
        <w:bidi w:val="0"/>
        <w:jc w:val="right"/>
        <w:rPr>
          <w:rFonts w:hint="default" w:ascii="Times New Roman" w:hAnsi="Times New Roman" w:cs="Times New Roman"/>
          <w:b w:val="0"/>
          <w:bCs w:val="0"/>
          <w:color w:val="auto"/>
          <w:sz w:val="32"/>
          <w:szCs w:val="48"/>
          <w:highlight w:val="none"/>
        </w:rPr>
      </w:pPr>
      <w:r>
        <w:rPr>
          <w:rFonts w:hint="default" w:ascii="Times New Roman" w:hAnsi="Times New Roman" w:cs="Times New Roman"/>
          <w:b w:val="0"/>
          <w:bCs w:val="0"/>
          <w:color w:val="auto"/>
          <w:sz w:val="32"/>
          <w:szCs w:val="48"/>
          <w:highlight w:val="none"/>
          <w:lang w:val="en-US" w:eastAsia="zh-CN"/>
        </w:rPr>
        <w:t>淄博市周村雅曼印染厂</w:t>
      </w:r>
    </w:p>
    <w:p>
      <w:pPr>
        <w:wordWrap w:val="0"/>
        <w:spacing w:line="800" w:lineRule="exact"/>
        <w:ind w:right="164" w:rightChars="78" w:firstLine="640" w:firstLineChars="200"/>
        <w:jc w:val="right"/>
        <w:rPr>
          <w:rFonts w:hint="default" w:ascii="Times New Roman" w:hAnsi="Times New Roman" w:eastAsia="宋体" w:cs="Times New Roman"/>
          <w:b w:val="0"/>
          <w:bCs w:val="0"/>
          <w:color w:val="auto"/>
          <w:sz w:val="32"/>
          <w:szCs w:val="32"/>
          <w:highlight w:val="none"/>
          <w:lang w:val="en-US" w:eastAsia="zh-CN"/>
        </w:rPr>
      </w:pPr>
      <w:r>
        <w:rPr>
          <w:rFonts w:hint="default" w:ascii="Times New Roman" w:hAnsi="Times New Roman" w:cs="Times New Roman"/>
          <w:b w:val="0"/>
          <w:bCs w:val="0"/>
          <w:color w:val="auto"/>
          <w:sz w:val="32"/>
          <w:szCs w:val="32"/>
          <w:highlight w:val="none"/>
          <w:lang w:val="en-US" w:eastAsia="zh-CN"/>
        </w:rPr>
        <w:t>2025</w:t>
      </w:r>
      <w:r>
        <w:rPr>
          <w:rFonts w:hint="default" w:ascii="Times New Roman" w:hAnsi="Times New Roman" w:cs="Times New Roman"/>
          <w:b w:val="0"/>
          <w:bCs w:val="0"/>
          <w:color w:val="auto"/>
          <w:sz w:val="32"/>
          <w:szCs w:val="32"/>
          <w:highlight w:val="none"/>
        </w:rPr>
        <w:t>年</w:t>
      </w:r>
      <w:r>
        <w:rPr>
          <w:rFonts w:hint="default"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rPr>
        <w:t>月</w:t>
      </w:r>
      <w:r>
        <w:rPr>
          <w:rFonts w:hint="default" w:ascii="Times New Roman" w:hAnsi="Times New Roman" w:cs="Times New Roman"/>
          <w:b w:val="0"/>
          <w:bCs w:val="0"/>
          <w:color w:val="auto"/>
          <w:sz w:val="32"/>
          <w:szCs w:val="32"/>
          <w:highlight w:val="none"/>
          <w:lang w:val="en-US" w:eastAsia="zh-CN"/>
        </w:rPr>
        <w:t xml:space="preserve">    </w:t>
      </w:r>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lang w:val="en-US" w:eastAsia="zh-CN"/>
        </w:rPr>
      </w:pPr>
    </w:p>
    <w:p>
      <w:pPr>
        <w:bidi w:val="0"/>
        <w:rPr>
          <w:rFonts w:hint="default" w:ascii="Times New Roman" w:hAnsi="Times New Roman" w:cs="Times New Roman"/>
          <w:color w:val="auto"/>
          <w:highlight w:val="none"/>
          <w:lang w:val="en-US" w:eastAsia="zh-CN"/>
        </w:rPr>
        <w:sectPr>
          <w:footerReference r:id="rId7" w:type="default"/>
          <w:pgSz w:w="11906" w:h="16838"/>
          <w:pgMar w:top="1701" w:right="1531" w:bottom="1701" w:left="1531"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both"/>
        <w:textAlignment w:val="auto"/>
        <w:outlineLvl w:val="0"/>
        <w:rPr>
          <w:rFonts w:hint="default" w:ascii="Times New Roman" w:hAnsi="Times New Roman" w:cs="Times New Roman"/>
          <w:b/>
          <w:bCs/>
          <w:snapToGrid w:val="0"/>
          <w:color w:val="auto"/>
          <w:kern w:val="21"/>
          <w:highlight w:val="none"/>
          <w:lang w:val="en-US" w:eastAsia="zh-CN"/>
        </w:rPr>
      </w:pPr>
      <w:bookmarkStart w:id="54" w:name="_Toc729"/>
      <w:r>
        <w:rPr>
          <w:rFonts w:hint="default" w:ascii="Times New Roman" w:hAnsi="Times New Roman" w:cs="Times New Roman"/>
          <w:b/>
          <w:bCs/>
          <w:snapToGrid w:val="0"/>
          <w:color w:val="auto"/>
          <w:kern w:val="21"/>
          <w:highlight w:val="none"/>
          <w:lang w:val="en-US" w:eastAsia="zh-CN"/>
        </w:rPr>
        <w:t>附件2 关于资料提供和环评内容的确认承诺函</w:t>
      </w:r>
      <w:bookmarkEnd w:id="54"/>
    </w:p>
    <w:p>
      <w:pPr>
        <w:tabs>
          <w:tab w:val="left" w:pos="1589"/>
          <w:tab w:val="center" w:pos="4213"/>
        </w:tabs>
        <w:adjustRightInd w:val="0"/>
        <w:spacing w:line="800" w:lineRule="exact"/>
        <w:ind w:left="0" w:leftChars="0" w:right="0" w:rightChars="0" w:firstLine="0" w:firstLineChars="0"/>
        <w:jc w:val="center"/>
        <w:textAlignment w:val="baseline"/>
        <w:rPr>
          <w:rFonts w:hint="default" w:ascii="Times New Roman" w:hAnsi="Times New Roman" w:cs="Times New Roman"/>
          <w:b/>
          <w:color w:val="auto"/>
          <w:kern w:val="0"/>
          <w:sz w:val="44"/>
          <w:szCs w:val="44"/>
          <w:highlight w:val="none"/>
        </w:rPr>
      </w:pPr>
    </w:p>
    <w:p>
      <w:pPr>
        <w:tabs>
          <w:tab w:val="left" w:pos="1589"/>
          <w:tab w:val="center" w:pos="4213"/>
        </w:tabs>
        <w:adjustRightInd w:val="0"/>
        <w:spacing w:line="800" w:lineRule="exact"/>
        <w:ind w:left="0" w:leftChars="0" w:right="0" w:rightChars="0" w:firstLine="0" w:firstLineChars="0"/>
        <w:jc w:val="center"/>
        <w:textAlignment w:val="baseline"/>
        <w:rPr>
          <w:rFonts w:hint="default" w:ascii="Times New Roman" w:hAnsi="Times New Roman" w:cs="Times New Roman"/>
          <w:b/>
          <w:color w:val="auto"/>
          <w:kern w:val="0"/>
          <w:sz w:val="44"/>
          <w:szCs w:val="44"/>
          <w:highlight w:val="none"/>
        </w:rPr>
      </w:pPr>
      <w:r>
        <w:rPr>
          <w:rFonts w:hint="default" w:ascii="Times New Roman" w:hAnsi="Times New Roman" w:cs="Times New Roman"/>
          <w:b/>
          <w:color w:val="auto"/>
          <w:kern w:val="0"/>
          <w:sz w:val="44"/>
          <w:szCs w:val="44"/>
          <w:highlight w:val="none"/>
        </w:rPr>
        <w:t>关于资料提供和环评内容的确认承诺函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cs="Times New Roman"/>
          <w:color w:val="auto"/>
          <w:sz w:val="24"/>
          <w:szCs w:val="2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4"/>
          <w:highlight w:val="none"/>
          <w:lang w:eastAsia="zh-CN"/>
        </w:rPr>
      </w:pPr>
      <w:r>
        <w:rPr>
          <w:rFonts w:hint="default" w:ascii="Times New Roman" w:hAnsi="Times New Roman" w:cs="Times New Roman"/>
          <w:color w:val="auto"/>
          <w:sz w:val="28"/>
          <w:szCs w:val="24"/>
          <w:highlight w:val="none"/>
          <w:lang w:val="en-US" w:eastAsia="zh-CN"/>
        </w:rPr>
        <w:t>山东玄机技术服务有限公司：</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hint="default" w:ascii="Times New Roman" w:hAnsi="Times New Roman" w:cs="Times New Roman"/>
          <w:color w:val="auto"/>
          <w:sz w:val="28"/>
          <w:szCs w:val="24"/>
          <w:highlight w:val="none"/>
        </w:rPr>
      </w:pPr>
      <w:r>
        <w:rPr>
          <w:rFonts w:hint="default" w:ascii="Times New Roman" w:hAnsi="Times New Roman" w:cs="Times New Roman"/>
          <w:color w:val="auto"/>
          <w:sz w:val="28"/>
          <w:szCs w:val="24"/>
          <w:highlight w:val="none"/>
        </w:rPr>
        <w:t>依据双方签订的《</w:t>
      </w:r>
      <w:r>
        <w:rPr>
          <w:rFonts w:hint="default" w:ascii="Times New Roman" w:hAnsi="Times New Roman" w:cs="Times New Roman"/>
          <w:color w:val="auto"/>
          <w:sz w:val="28"/>
          <w:szCs w:val="24"/>
          <w:highlight w:val="none"/>
          <w:lang w:eastAsia="zh-CN"/>
        </w:rPr>
        <w:t>年产3000万米印染布设备升级改造项目</w:t>
      </w:r>
      <w:r>
        <w:rPr>
          <w:rFonts w:hint="default" w:ascii="Times New Roman" w:hAnsi="Times New Roman" w:eastAsia="宋体" w:cs="Times New Roman"/>
          <w:color w:val="auto"/>
          <w:sz w:val="28"/>
          <w:szCs w:val="24"/>
          <w:highlight w:val="none"/>
          <w:lang w:eastAsia="zh-CN"/>
        </w:rPr>
        <w:t>环境</w:t>
      </w:r>
      <w:r>
        <w:rPr>
          <w:rFonts w:hint="default" w:ascii="Times New Roman" w:hAnsi="Times New Roman" w:cs="Times New Roman"/>
          <w:color w:val="auto"/>
          <w:sz w:val="28"/>
          <w:szCs w:val="24"/>
          <w:highlight w:val="none"/>
        </w:rPr>
        <w:t>影响评价技术服务合同书》约定</w:t>
      </w:r>
      <w:r>
        <w:rPr>
          <w:rFonts w:hint="default" w:ascii="Times New Roman" w:hAnsi="Times New Roman" w:cs="Times New Roman"/>
          <w:color w:val="auto"/>
          <w:sz w:val="28"/>
          <w:szCs w:val="24"/>
          <w:highlight w:val="none"/>
          <w:lang w:eastAsia="zh-CN"/>
        </w:rPr>
        <w:t>，</w:t>
      </w:r>
      <w:r>
        <w:rPr>
          <w:rFonts w:hint="default" w:ascii="Times New Roman" w:hAnsi="Times New Roman" w:cs="Times New Roman"/>
          <w:color w:val="auto"/>
          <w:sz w:val="28"/>
          <w:szCs w:val="24"/>
          <w:highlight w:val="none"/>
        </w:rPr>
        <w:t>我单位承诺提供给贵单位的材料均为真实、合法的。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hint="default" w:ascii="Times New Roman" w:hAnsi="Times New Roman" w:cs="Times New Roman"/>
          <w:color w:val="auto"/>
          <w:sz w:val="28"/>
          <w:szCs w:val="24"/>
          <w:highlight w:val="none"/>
        </w:rPr>
      </w:pPr>
      <w:r>
        <w:rPr>
          <w:rFonts w:hint="default" w:ascii="Times New Roman" w:hAnsi="Times New Roman" w:cs="Times New Roman"/>
          <w:color w:val="auto"/>
          <w:sz w:val="28"/>
          <w:szCs w:val="24"/>
          <w:highlight w:val="none"/>
        </w:rPr>
        <w:t>由贵单位编制的《</w:t>
      </w:r>
      <w:r>
        <w:rPr>
          <w:rFonts w:hint="default" w:ascii="Times New Roman" w:hAnsi="Times New Roman" w:cs="Times New Roman"/>
          <w:color w:val="auto"/>
          <w:sz w:val="28"/>
          <w:szCs w:val="24"/>
          <w:highlight w:val="none"/>
          <w:lang w:eastAsia="zh-CN"/>
        </w:rPr>
        <w:t>年产3000万米印染布设备升级改造项目</w:t>
      </w:r>
      <w:r>
        <w:rPr>
          <w:rFonts w:hint="default" w:ascii="Times New Roman" w:hAnsi="Times New Roman" w:cs="Times New Roman"/>
          <w:color w:val="auto"/>
          <w:sz w:val="28"/>
          <w:szCs w:val="24"/>
          <w:highlight w:val="none"/>
        </w:rPr>
        <w:t>环境影响报告表》已收悉，经对报告内容认真核对，我单位确认相关技术资料及支撑性文件均为我方提供</w:t>
      </w:r>
      <w:r>
        <w:rPr>
          <w:rFonts w:hint="default" w:ascii="Times New Roman" w:hAnsi="Times New Roman" w:cs="Times New Roman"/>
          <w:color w:val="auto"/>
          <w:sz w:val="28"/>
          <w:szCs w:val="24"/>
          <w:highlight w:val="none"/>
          <w:lang w:eastAsia="zh-CN"/>
        </w:rPr>
        <w:t>，</w:t>
      </w:r>
      <w:r>
        <w:rPr>
          <w:rFonts w:hint="default" w:ascii="Times New Roman" w:hAnsi="Times New Roman" w:cs="Times New Roman"/>
          <w:color w:val="auto"/>
          <w:sz w:val="28"/>
          <w:szCs w:val="24"/>
          <w:highlight w:val="none"/>
        </w:rPr>
        <w:t>环评内容符合本项目合同规定的要求，可以上报主管部门审查。由于我方提供资料的真实性、合法性引起的法律责任，由我方承担。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hint="default" w:ascii="Times New Roman" w:hAnsi="Times New Roman" w:eastAsia="宋体" w:cs="Times New Roman"/>
          <w:color w:val="auto"/>
          <w:sz w:val="28"/>
          <w:szCs w:val="24"/>
          <w:highlight w:val="none"/>
          <w:lang w:eastAsia="zh-CN"/>
        </w:rPr>
      </w:pPr>
      <w:r>
        <w:rPr>
          <w:rFonts w:hint="default" w:ascii="Times New Roman" w:hAnsi="Times New Roman" w:cs="Times New Roman"/>
          <w:color w:val="auto"/>
          <w:sz w:val="28"/>
          <w:szCs w:val="24"/>
          <w:highlight w:val="none"/>
        </w:rPr>
        <w:t>特此承诺</w:t>
      </w:r>
      <w:r>
        <w:rPr>
          <w:rFonts w:hint="default" w:ascii="Times New Roman" w:hAnsi="Times New Roman" w:cs="Times New Roman"/>
          <w:color w:val="auto"/>
          <w:sz w:val="28"/>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cs="Times New Roman"/>
          <w:color w:val="auto"/>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jc w:val="right"/>
        <w:textAlignment w:val="auto"/>
        <w:rPr>
          <w:rFonts w:hint="default" w:ascii="Times New Roman" w:hAnsi="Times New Roman" w:cs="Times New Roman"/>
          <w:color w:val="auto"/>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jc w:val="right"/>
        <w:textAlignment w:val="auto"/>
        <w:rPr>
          <w:rFonts w:hint="default" w:ascii="Times New Roman" w:hAnsi="Times New Roman" w:cs="Times New Roman"/>
          <w:color w:val="auto"/>
          <w:sz w:val="28"/>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right"/>
        <w:textAlignment w:val="auto"/>
        <w:rPr>
          <w:rFonts w:hint="default" w:ascii="Times New Roman" w:hAnsi="Times New Roman" w:eastAsia="宋体" w:cs="Times New Roman"/>
          <w:color w:val="auto"/>
          <w:sz w:val="28"/>
          <w:szCs w:val="24"/>
          <w:highlight w:val="none"/>
          <w:lang w:val="en-US" w:eastAsia="zh-CN"/>
        </w:rPr>
      </w:pPr>
      <w:r>
        <w:rPr>
          <w:rFonts w:hint="default" w:ascii="Times New Roman" w:hAnsi="Times New Roman" w:cs="Times New Roman"/>
          <w:color w:val="auto"/>
          <w:sz w:val="28"/>
          <w:szCs w:val="24"/>
          <w:highlight w:val="none"/>
        </w:rPr>
        <w:t>建设单位</w:t>
      </w:r>
      <w:r>
        <w:rPr>
          <w:rFonts w:hint="default" w:ascii="Times New Roman" w:hAnsi="Times New Roman" w:cs="Times New Roman"/>
          <w:color w:val="auto"/>
          <w:sz w:val="28"/>
          <w:szCs w:val="24"/>
          <w:highlight w:val="none"/>
          <w:lang w:eastAsia="zh-CN"/>
        </w:rPr>
        <w:t>（</w:t>
      </w:r>
      <w:r>
        <w:rPr>
          <w:rFonts w:hint="default" w:ascii="Times New Roman" w:hAnsi="Times New Roman" w:cs="Times New Roman"/>
          <w:color w:val="auto"/>
          <w:sz w:val="28"/>
          <w:szCs w:val="24"/>
          <w:highlight w:val="none"/>
        </w:rPr>
        <w:t>公章</w:t>
      </w:r>
      <w:r>
        <w:rPr>
          <w:rFonts w:hint="default" w:ascii="Times New Roman" w:hAnsi="Times New Roman" w:cs="Times New Roman"/>
          <w:color w:val="auto"/>
          <w:sz w:val="28"/>
          <w:szCs w:val="24"/>
          <w:highlight w:val="none"/>
          <w:lang w:eastAsia="zh-CN"/>
        </w:rPr>
        <w:t>）</w:t>
      </w:r>
    </w:p>
    <w:p>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jc w:val="right"/>
        <w:textAlignment w:val="auto"/>
        <w:rPr>
          <w:rFonts w:hint="default" w:ascii="Times New Roman" w:hAnsi="Times New Roman" w:eastAsia="宋体" w:cs="Times New Roman"/>
          <w:color w:val="auto"/>
          <w:sz w:val="28"/>
          <w:szCs w:val="24"/>
          <w:highlight w:val="none"/>
          <w:lang w:val="en-US" w:eastAsia="zh-CN"/>
        </w:rPr>
      </w:pPr>
      <w:r>
        <w:rPr>
          <w:rFonts w:hint="default" w:ascii="Times New Roman" w:hAnsi="Times New Roman" w:cs="Times New Roman"/>
          <w:color w:val="auto"/>
          <w:sz w:val="28"/>
          <w:szCs w:val="24"/>
          <w:highlight w:val="none"/>
        </w:rPr>
        <w:t>202</w:t>
      </w:r>
      <w:r>
        <w:rPr>
          <w:rFonts w:hint="default" w:ascii="Times New Roman" w:hAnsi="Times New Roman" w:cs="Times New Roman"/>
          <w:color w:val="auto"/>
          <w:sz w:val="28"/>
          <w:szCs w:val="24"/>
          <w:highlight w:val="none"/>
          <w:lang w:val="en-US" w:eastAsia="zh-CN"/>
        </w:rPr>
        <w:t>5</w:t>
      </w:r>
      <w:r>
        <w:rPr>
          <w:rFonts w:hint="default" w:ascii="Times New Roman" w:hAnsi="Times New Roman" w:cs="Times New Roman"/>
          <w:color w:val="auto"/>
          <w:sz w:val="28"/>
          <w:szCs w:val="24"/>
          <w:highlight w:val="none"/>
        </w:rPr>
        <w:t>年</w:t>
      </w:r>
      <w:r>
        <w:rPr>
          <w:rFonts w:hint="default" w:ascii="Times New Roman" w:hAnsi="Times New Roman" w:cs="Times New Roman"/>
          <w:color w:val="auto"/>
          <w:sz w:val="28"/>
          <w:szCs w:val="24"/>
          <w:highlight w:val="none"/>
          <w:lang w:val="en-US" w:eastAsia="zh-CN"/>
        </w:rPr>
        <w:t>10</w:t>
      </w:r>
      <w:r>
        <w:rPr>
          <w:rFonts w:hint="default" w:ascii="Times New Roman" w:hAnsi="Times New Roman" w:cs="Times New Roman"/>
          <w:color w:val="auto"/>
          <w:sz w:val="28"/>
          <w:szCs w:val="24"/>
          <w:highlight w:val="none"/>
        </w:rPr>
        <w:t>月</w:t>
      </w:r>
      <w:r>
        <w:rPr>
          <w:rFonts w:hint="default" w:ascii="Times New Roman" w:hAnsi="Times New Roman" w:cs="Times New Roman"/>
          <w:color w:val="auto"/>
          <w:sz w:val="28"/>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color w:val="auto"/>
          <w:sz w:val="28"/>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color w:val="auto"/>
          <w:sz w:val="28"/>
          <w:szCs w:val="24"/>
          <w:highlight w:val="none"/>
        </w:rPr>
        <w:sectPr>
          <w:footerReference r:id="rId9" w:type="first"/>
          <w:footerReference r:id="rId8" w:type="default"/>
          <w:pgSz w:w="11906" w:h="16838"/>
          <w:pgMar w:top="1701" w:right="1531" w:bottom="1701" w:left="1531"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both"/>
        <w:textAlignment w:val="auto"/>
        <w:outlineLvl w:val="0"/>
        <w:rPr>
          <w:rFonts w:hint="default" w:ascii="Times New Roman" w:hAnsi="Times New Roman" w:cs="Times New Roman"/>
          <w:b/>
          <w:bCs/>
          <w:snapToGrid w:val="0"/>
          <w:color w:val="auto"/>
          <w:kern w:val="21"/>
          <w:highlight w:val="none"/>
          <w:lang w:val="en-US" w:eastAsia="zh-CN"/>
        </w:rPr>
      </w:pPr>
      <w:bookmarkStart w:id="55" w:name="_Toc10594"/>
      <w:r>
        <w:rPr>
          <w:rFonts w:hint="default" w:ascii="Times New Roman" w:hAnsi="Times New Roman" w:cs="Times New Roman"/>
          <w:b/>
          <w:bCs/>
          <w:snapToGrid w:val="0"/>
          <w:color w:val="auto"/>
          <w:kern w:val="21"/>
          <w:highlight w:val="none"/>
          <w:lang w:val="en-US" w:eastAsia="zh-CN"/>
        </w:rPr>
        <w:t>附件3 信息公开承诺</w:t>
      </w:r>
      <w:bookmarkEnd w:id="55"/>
      <w:r>
        <w:rPr>
          <w:rFonts w:hint="default" w:ascii="Times New Roman" w:hAnsi="Times New Roman" w:cs="Times New Roman"/>
          <w:b/>
          <w:bCs/>
          <w:snapToGrid w:val="0"/>
          <w:color w:val="auto"/>
          <w:kern w:val="21"/>
          <w:highlight w:val="none"/>
          <w:lang w:val="en-US" w:eastAsia="zh-CN"/>
        </w:rPr>
        <w:t>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b/>
          <w:bCs/>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环境影响评价信息公开承诺书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cs="Times New Roman"/>
          <w:b w:val="0"/>
          <w:bCs w:val="0"/>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default" w:ascii="Times New Roman" w:hAnsi="Times New Roman" w:cs="Times New Roman"/>
          <w:b w:val="0"/>
          <w:bCs w:val="0"/>
          <w:color w:val="auto"/>
          <w:sz w:val="28"/>
          <w:szCs w:val="28"/>
          <w:highlight w:val="none"/>
          <w:lang w:eastAsia="zh-CN"/>
        </w:rPr>
      </w:pPr>
      <w:r>
        <w:rPr>
          <w:rFonts w:hint="default" w:ascii="Times New Roman" w:hAnsi="Times New Roman" w:cs="Times New Roman"/>
          <w:b w:val="0"/>
          <w:bCs w:val="0"/>
          <w:color w:val="auto"/>
          <w:sz w:val="28"/>
          <w:szCs w:val="28"/>
          <w:highlight w:val="none"/>
        </w:rPr>
        <w:t>文昌湖区安监环保局</w:t>
      </w:r>
      <w:r>
        <w:rPr>
          <w:rFonts w:hint="default" w:ascii="Times New Roman" w:hAnsi="Times New Roman" w:cs="Times New Roman"/>
          <w:b w:val="0"/>
          <w:bCs w:val="0"/>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560" w:firstLineChars="200"/>
        <w:textAlignment w:val="auto"/>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rPr>
        <w:t>我单位</w:t>
      </w:r>
      <w:r>
        <w:rPr>
          <w:rFonts w:hint="default" w:ascii="Times New Roman" w:hAnsi="Times New Roman" w:cs="Times New Roman"/>
          <w:b w:val="0"/>
          <w:bCs w:val="0"/>
          <w:color w:val="auto"/>
          <w:sz w:val="28"/>
          <w:szCs w:val="28"/>
          <w:highlight w:val="none"/>
          <w:u w:val="single"/>
          <w:lang w:val="en-US" w:eastAsia="zh-CN"/>
        </w:rPr>
        <w:t>年产3000万米印染布设备升级改造项目</w:t>
      </w:r>
      <w:r>
        <w:rPr>
          <w:rFonts w:hint="default" w:ascii="Times New Roman" w:hAnsi="Times New Roman" w:cs="Times New Roman"/>
          <w:b w:val="0"/>
          <w:bCs w:val="0"/>
          <w:color w:val="auto"/>
          <w:sz w:val="28"/>
          <w:szCs w:val="28"/>
          <w:highlight w:val="none"/>
        </w:rPr>
        <w:t>已达到受理条件，按照环保部《建设项目环境影响评价政府信息公开指南</w:t>
      </w:r>
      <w:r>
        <w:rPr>
          <w:rFonts w:hint="default" w:ascii="Times New Roman" w:hAnsi="Times New Roman" w:cs="Times New Roman"/>
          <w:b w:val="0"/>
          <w:bCs w:val="0"/>
          <w:color w:val="auto"/>
          <w:sz w:val="28"/>
          <w:szCs w:val="28"/>
          <w:highlight w:val="none"/>
          <w:lang w:eastAsia="zh-CN"/>
        </w:rPr>
        <w:t>（</w:t>
      </w:r>
      <w:r>
        <w:rPr>
          <w:rFonts w:hint="default" w:ascii="Times New Roman" w:hAnsi="Times New Roman" w:cs="Times New Roman"/>
          <w:b w:val="0"/>
          <w:bCs w:val="0"/>
          <w:color w:val="auto"/>
          <w:sz w:val="28"/>
          <w:szCs w:val="28"/>
          <w:highlight w:val="none"/>
        </w:rPr>
        <w:t>试行</w:t>
      </w:r>
      <w:r>
        <w:rPr>
          <w:rFonts w:hint="default" w:ascii="Times New Roman" w:hAnsi="Times New Roman" w:cs="Times New Roman"/>
          <w:b w:val="0"/>
          <w:bCs w:val="0"/>
          <w:color w:val="auto"/>
          <w:sz w:val="28"/>
          <w:szCs w:val="28"/>
          <w:highlight w:val="none"/>
          <w:lang w:eastAsia="zh-CN"/>
        </w:rPr>
        <w:t>）</w:t>
      </w:r>
      <w:r>
        <w:rPr>
          <w:rFonts w:hint="default" w:ascii="Times New Roman" w:hAnsi="Times New Roman" w:cs="Times New Roman"/>
          <w:b w:val="0"/>
          <w:bCs w:val="0"/>
          <w:color w:val="auto"/>
          <w:sz w:val="28"/>
          <w:szCs w:val="28"/>
          <w:highlight w:val="none"/>
        </w:rPr>
        <w:t>》</w:t>
      </w:r>
      <w:r>
        <w:rPr>
          <w:rFonts w:hint="default" w:ascii="Times New Roman" w:hAnsi="Times New Roman" w:cs="Times New Roman"/>
          <w:b w:val="0"/>
          <w:bCs w:val="0"/>
          <w:color w:val="auto"/>
          <w:sz w:val="28"/>
          <w:szCs w:val="28"/>
          <w:highlight w:val="none"/>
          <w:lang w:eastAsia="zh-CN"/>
        </w:rPr>
        <w:t>（</w:t>
      </w:r>
      <w:r>
        <w:rPr>
          <w:rFonts w:hint="default" w:ascii="Times New Roman" w:hAnsi="Times New Roman" w:cs="Times New Roman"/>
          <w:b w:val="0"/>
          <w:bCs w:val="0"/>
          <w:color w:val="auto"/>
          <w:sz w:val="28"/>
          <w:szCs w:val="28"/>
          <w:highlight w:val="none"/>
        </w:rPr>
        <w:t>环办</w:t>
      </w:r>
      <w:r>
        <w:rPr>
          <w:rFonts w:hint="default" w:ascii="Times New Roman" w:hAnsi="Times New Roman" w:cs="Times New Roman"/>
          <w:b w:val="0"/>
          <w:bCs w:val="0"/>
          <w:color w:val="auto"/>
          <w:sz w:val="28"/>
          <w:szCs w:val="28"/>
          <w:highlight w:val="none"/>
          <w:lang w:eastAsia="zh-CN"/>
        </w:rPr>
        <w:t>〔2013〕103号）</w:t>
      </w:r>
      <w:r>
        <w:rPr>
          <w:rFonts w:hint="default" w:ascii="Times New Roman" w:hAnsi="Times New Roman" w:cs="Times New Roman"/>
          <w:b w:val="0"/>
          <w:bCs w:val="0"/>
          <w:color w:val="auto"/>
          <w:sz w:val="28"/>
          <w:szCs w:val="28"/>
          <w:highlight w:val="none"/>
        </w:rPr>
        <w:t>文件要求，为认真履行企业职责，自愿依法主动公开建设项目环境影响报告表全本信息</w:t>
      </w:r>
      <w:r>
        <w:rPr>
          <w:rFonts w:hint="default" w:ascii="Times New Roman" w:hAnsi="Times New Roman" w:cs="Times New Roman"/>
          <w:b w:val="0"/>
          <w:bCs w:val="0"/>
          <w:color w:val="auto"/>
          <w:sz w:val="28"/>
          <w:szCs w:val="28"/>
          <w:highlight w:val="none"/>
          <w:lang w:eastAsia="zh-CN"/>
        </w:rPr>
        <w:t>（</w:t>
      </w:r>
      <w:r>
        <w:rPr>
          <w:rFonts w:hint="default" w:ascii="Times New Roman" w:hAnsi="Times New Roman" w:cs="Times New Roman"/>
          <w:b w:val="0"/>
          <w:bCs w:val="0"/>
          <w:color w:val="auto"/>
          <w:sz w:val="28"/>
          <w:szCs w:val="28"/>
          <w:highlight w:val="none"/>
        </w:rPr>
        <w:t>同时附删除涉及国家秘密、商业秘密等内容及删除依据和理由说明报告</w:t>
      </w:r>
      <w:r>
        <w:rPr>
          <w:rFonts w:hint="default" w:ascii="Times New Roman" w:hAnsi="Times New Roman" w:cs="Times New Roman"/>
          <w:b w:val="0"/>
          <w:bCs w:val="0"/>
          <w:color w:val="auto"/>
          <w:sz w:val="28"/>
          <w:szCs w:val="28"/>
          <w:highlight w:val="none"/>
          <w:lang w:eastAsia="zh-CN"/>
        </w:rPr>
        <w:t>）</w:t>
      </w:r>
      <w:r>
        <w:rPr>
          <w:rFonts w:hint="default" w:ascii="Times New Roman" w:hAnsi="Times New Roman" w:cs="Times New Roman"/>
          <w:b w:val="0"/>
          <w:bCs w:val="0"/>
          <w:color w:val="auto"/>
          <w:sz w:val="28"/>
          <w:szCs w:val="28"/>
          <w:highlight w:val="none"/>
        </w:rPr>
        <w:t>，并依法承担因信息公开带来的后果。</w:t>
      </w:r>
    </w:p>
    <w:p>
      <w:pPr>
        <w:adjustRightInd w:val="0"/>
        <w:snapToGrid w:val="0"/>
        <w:spacing w:line="480" w:lineRule="auto"/>
        <w:ind w:firstLine="560" w:firstLineChars="2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特此承诺！</w:t>
      </w:r>
    </w:p>
    <w:p>
      <w:pPr>
        <w:adjustRightInd w:val="0"/>
        <w:snapToGrid w:val="0"/>
        <w:spacing w:line="480" w:lineRule="auto"/>
        <w:ind w:firstLine="560" w:firstLineChars="200"/>
        <w:jc w:val="both"/>
        <w:rPr>
          <w:rFonts w:hint="default" w:ascii="Times New Roman" w:hAnsi="Times New Roman" w:cs="Times New Roman"/>
          <w:color w:val="auto"/>
          <w:sz w:val="28"/>
          <w:szCs w:val="28"/>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right"/>
        <w:textAlignment w:val="auto"/>
        <w:rPr>
          <w:rFonts w:hint="default" w:ascii="Times New Roman" w:hAnsi="Times New Roman" w:cs="Times New Roman"/>
          <w:color w:val="auto"/>
          <w:sz w:val="28"/>
          <w:szCs w:val="36"/>
          <w:highlight w:val="none"/>
          <w:lang w:val="en-US" w:eastAsia="zh-CN"/>
        </w:rPr>
      </w:pPr>
      <w:r>
        <w:rPr>
          <w:rFonts w:hint="default" w:ascii="Times New Roman" w:hAnsi="Times New Roman" w:cs="Times New Roman"/>
          <w:color w:val="auto"/>
          <w:sz w:val="28"/>
          <w:szCs w:val="24"/>
          <w:highlight w:val="none"/>
        </w:rPr>
        <w:t>建设单位</w:t>
      </w:r>
      <w:r>
        <w:rPr>
          <w:rFonts w:hint="default" w:ascii="Times New Roman" w:hAnsi="Times New Roman" w:cs="Times New Roman"/>
          <w:color w:val="auto"/>
          <w:sz w:val="28"/>
          <w:szCs w:val="24"/>
          <w:highlight w:val="none"/>
          <w:lang w:eastAsia="zh-CN"/>
        </w:rPr>
        <w:t>（</w:t>
      </w:r>
      <w:r>
        <w:rPr>
          <w:rFonts w:hint="default" w:ascii="Times New Roman" w:hAnsi="Times New Roman" w:cs="Times New Roman"/>
          <w:color w:val="auto"/>
          <w:sz w:val="28"/>
          <w:szCs w:val="24"/>
          <w:highlight w:val="none"/>
        </w:rPr>
        <w:t>公章</w:t>
      </w:r>
      <w:r>
        <w:rPr>
          <w:rFonts w:hint="default" w:ascii="Times New Roman" w:hAnsi="Times New Roman" w:cs="Times New Roman"/>
          <w:color w:val="auto"/>
          <w:sz w:val="28"/>
          <w:szCs w:val="24"/>
          <w:highlight w:val="none"/>
          <w:lang w:eastAsia="zh-CN"/>
        </w:rPr>
        <w:t>）</w:t>
      </w:r>
    </w:p>
    <w:p>
      <w:pPr>
        <w:wordWrap w:val="0"/>
        <w:bidi w:val="0"/>
        <w:jc w:val="right"/>
        <w:rPr>
          <w:rFonts w:hint="default" w:ascii="Times New Roman" w:hAnsi="Times New Roman" w:eastAsia="宋体" w:cs="Times New Roman"/>
          <w:b/>
          <w:bCs/>
          <w:color w:val="auto"/>
          <w:sz w:val="21"/>
          <w:szCs w:val="21"/>
          <w:highlight w:val="none"/>
          <w:lang w:val="en-US" w:eastAsia="zh-CN"/>
        </w:rPr>
        <w:sectPr>
          <w:headerReference r:id="rId10" w:type="default"/>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sz w:val="28"/>
          <w:szCs w:val="36"/>
          <w:highlight w:val="none"/>
          <w:lang w:val="en-US" w:eastAsia="zh-CN"/>
        </w:rPr>
        <w:t>2025</w:t>
      </w:r>
      <w:r>
        <w:rPr>
          <w:rFonts w:hint="default" w:ascii="Times New Roman" w:hAnsi="Times New Roman" w:cs="Times New Roman"/>
          <w:color w:val="auto"/>
          <w:sz w:val="28"/>
          <w:szCs w:val="36"/>
          <w:highlight w:val="none"/>
        </w:rPr>
        <w:t>年</w:t>
      </w:r>
      <w:r>
        <w:rPr>
          <w:rFonts w:hint="default" w:ascii="Times New Roman" w:hAnsi="Times New Roman" w:cs="Times New Roman"/>
          <w:color w:val="auto"/>
          <w:sz w:val="28"/>
          <w:szCs w:val="36"/>
          <w:highlight w:val="none"/>
          <w:lang w:val="en-US" w:eastAsia="zh-CN"/>
        </w:rPr>
        <w:t>10</w:t>
      </w:r>
      <w:r>
        <w:rPr>
          <w:rFonts w:hint="default" w:ascii="Times New Roman" w:hAnsi="Times New Roman" w:cs="Times New Roman"/>
          <w:color w:val="auto"/>
          <w:sz w:val="28"/>
          <w:szCs w:val="36"/>
          <w:highlight w:val="none"/>
        </w:rPr>
        <w:t>月</w:t>
      </w:r>
      <w:r>
        <w:rPr>
          <w:rFonts w:hint="default" w:ascii="Times New Roman" w:hAnsi="Times New Roman" w:cs="Times New Roman"/>
          <w:color w:val="auto"/>
          <w:sz w:val="28"/>
          <w:szCs w:val="36"/>
          <w:highlight w:val="none"/>
          <w:lang w:val="en-US" w:eastAsia="zh-CN"/>
        </w:rPr>
        <w:t>10日</w:t>
      </w:r>
    </w:p>
    <w:p>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both"/>
        <w:textAlignment w:val="auto"/>
        <w:outlineLvl w:val="0"/>
        <w:rPr>
          <w:rFonts w:hint="default" w:ascii="Times New Roman" w:hAnsi="Times New Roman" w:cs="Times New Roman"/>
          <w:b/>
          <w:bCs/>
          <w:snapToGrid w:val="0"/>
          <w:color w:val="auto"/>
          <w:kern w:val="21"/>
          <w:highlight w:val="none"/>
          <w:lang w:val="en-US" w:eastAsia="zh-CN"/>
        </w:rPr>
      </w:pPr>
      <w:r>
        <w:rPr>
          <w:rFonts w:hint="default" w:ascii="Times New Roman" w:hAnsi="Times New Roman" w:cs="Times New Roman"/>
          <w:b/>
          <w:bCs/>
          <w:snapToGrid w:val="0"/>
          <w:color w:val="auto"/>
          <w:kern w:val="21"/>
          <w:highlight w:val="none"/>
          <w:lang w:val="en-US" w:eastAsia="zh-CN"/>
        </w:rPr>
        <w:t>附件4 营业执照</w:t>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cs="Times New Roman"/>
          <w:color w:val="auto"/>
          <w:highlight w:val="none"/>
          <w:lang w:val="en-US" w:eastAsia="zh-CN"/>
        </w:rPr>
      </w:pPr>
    </w:p>
    <w:p>
      <w:pPr>
        <w:jc w:val="both"/>
        <w:rPr>
          <w:rFonts w:hint="default" w:ascii="Times New Roman" w:hAnsi="Times New Roman" w:cs="Times New Roman"/>
          <w:color w:val="auto"/>
          <w:highlight w:val="none"/>
          <w:lang w:val="en-US" w:eastAsia="zh-CN"/>
        </w:rPr>
      </w:pPr>
    </w:p>
    <w:p>
      <w:pPr>
        <w:pStyle w:val="2"/>
        <w:ind w:left="0" w:leftChars="0" w:firstLine="0" w:firstLineChars="0"/>
        <w:jc w:val="center"/>
        <w:rPr>
          <w:rFonts w:hint="default" w:ascii="Times New Roman" w:hAnsi="Times New Roman" w:cs="Times New Roman"/>
          <w:color w:val="auto"/>
          <w:highlight w:val="none"/>
          <w:lang w:val="en-US" w:eastAsia="zh-CN"/>
        </w:rPr>
        <w:sectPr>
          <w:headerReference r:id="rId11" w:type="default"/>
          <w:pgSz w:w="16838" w:h="11906" w:orient="landscape"/>
          <w:pgMar w:top="1417" w:right="1417" w:bottom="1417" w:left="1417"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highlight w:val="none"/>
          <w:lang w:val="en-US" w:eastAsia="zh-CN"/>
        </w:rPr>
        <w:drawing>
          <wp:inline distT="0" distB="0" distL="114300" distR="114300">
            <wp:extent cx="5128895" cy="8348345"/>
            <wp:effectExtent l="9525" t="9525" r="24130" b="12700"/>
            <wp:docPr id="16" name="图片 16" descr="微信图片_20250919180850_9_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50919180850_9_206"/>
                    <pic:cNvPicPr>
                      <a:picLocks noChangeAspect="1"/>
                    </pic:cNvPicPr>
                  </pic:nvPicPr>
                  <pic:blipFill>
                    <a:blip r:embed="rId25"/>
                    <a:srcRect t="8448"/>
                    <a:stretch>
                      <a:fillRect/>
                    </a:stretch>
                  </pic:blipFill>
                  <pic:spPr>
                    <a:xfrm rot="16200000">
                      <a:off x="0" y="0"/>
                      <a:ext cx="5128895" cy="8348345"/>
                    </a:xfrm>
                    <a:prstGeom prst="rect">
                      <a:avLst/>
                    </a:prstGeom>
                    <a:noFill/>
                    <a:ln>
                      <a:solidFill>
                        <a:schemeClr val="tx1"/>
                      </a:solidFill>
                    </a:ln>
                  </pic:spPr>
                </pic:pic>
              </a:graphicData>
            </a:graphic>
          </wp:inline>
        </w:drawing>
      </w:r>
    </w:p>
    <w:p>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both"/>
        <w:textAlignment w:val="auto"/>
        <w:outlineLvl w:val="0"/>
        <w:rPr>
          <w:rFonts w:hint="default" w:ascii="Times New Roman" w:hAnsi="Times New Roman" w:cs="Times New Roman"/>
          <w:b/>
          <w:bCs/>
          <w:snapToGrid w:val="0"/>
          <w:color w:val="auto"/>
          <w:kern w:val="21"/>
          <w:highlight w:val="none"/>
          <w:lang w:val="en-US" w:eastAsia="zh-CN"/>
        </w:rPr>
      </w:pPr>
      <w:r>
        <w:rPr>
          <w:rFonts w:hint="default" w:ascii="Times New Roman" w:hAnsi="Times New Roman" w:cs="Times New Roman"/>
          <w:b/>
          <w:bCs/>
          <w:snapToGrid w:val="0"/>
          <w:color w:val="auto"/>
          <w:kern w:val="21"/>
          <w:highlight w:val="none"/>
          <w:lang w:val="en-US" w:eastAsia="zh-CN"/>
        </w:rPr>
        <w:t>附件5 项目备案证明</w:t>
      </w:r>
    </w:p>
    <w:p>
      <w:pPr>
        <w:pStyle w:val="2"/>
        <w:ind w:left="0" w:leftChars="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drawing>
          <wp:inline distT="0" distB="0" distL="114300" distR="114300">
            <wp:extent cx="5594350" cy="7459345"/>
            <wp:effectExtent l="9525" t="9525" r="19685" b="13970"/>
            <wp:docPr id="22" name="图片 22" descr="IMG_20250927_14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0250927_140252"/>
                    <pic:cNvPicPr>
                      <a:picLocks noChangeAspect="1"/>
                    </pic:cNvPicPr>
                  </pic:nvPicPr>
                  <pic:blipFill>
                    <a:blip r:embed="rId26"/>
                    <a:stretch>
                      <a:fillRect/>
                    </a:stretch>
                  </pic:blipFill>
                  <pic:spPr>
                    <a:xfrm>
                      <a:off x="0" y="0"/>
                      <a:ext cx="5594350" cy="7459345"/>
                    </a:xfrm>
                    <a:prstGeom prst="rect">
                      <a:avLst/>
                    </a:prstGeom>
                    <a:noFill/>
                    <a:ln>
                      <a:solidFill>
                        <a:schemeClr val="tx1"/>
                      </a:solidFill>
                    </a:ln>
                  </pic:spPr>
                </pic:pic>
              </a:graphicData>
            </a:graphic>
          </wp:inline>
        </w:drawing>
      </w:r>
    </w:p>
    <w:p>
      <w:pPr>
        <w:jc w:val="both"/>
        <w:rPr>
          <w:rFonts w:hint="default" w:ascii="Times New Roman" w:hAnsi="Times New Roman" w:eastAsia="宋体"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p>
    <w:p>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both"/>
        <w:textAlignment w:val="auto"/>
        <w:outlineLvl w:val="0"/>
        <w:rPr>
          <w:rFonts w:hint="default" w:ascii="Times New Roman" w:hAnsi="Times New Roman" w:cs="Times New Roman"/>
          <w:b/>
          <w:bCs/>
          <w:snapToGrid w:val="0"/>
          <w:color w:val="auto"/>
          <w:kern w:val="21"/>
          <w:highlight w:val="none"/>
          <w:lang w:val="en-US" w:eastAsia="zh-CN"/>
        </w:rPr>
      </w:pPr>
      <w:r>
        <w:rPr>
          <w:rFonts w:hint="default" w:ascii="Times New Roman" w:hAnsi="Times New Roman" w:cs="Times New Roman"/>
          <w:b/>
          <w:bCs/>
          <w:snapToGrid w:val="0"/>
          <w:color w:val="auto"/>
          <w:kern w:val="21"/>
          <w:highlight w:val="none"/>
          <w:lang w:val="en-US" w:eastAsia="zh-CN"/>
        </w:rPr>
        <w:t>附件6 厂房租赁合同</w:t>
      </w:r>
    </w:p>
    <w:p>
      <w:pPr>
        <w:pStyle w:val="67"/>
        <w:tabs>
          <w:tab w:val="left" w:pos="2340"/>
          <w:tab w:val="left" w:pos="4320"/>
        </w:tabs>
        <w:ind w:left="0" w:leftChars="0" w:firstLine="0" w:firstLineChars="0"/>
        <w:jc w:val="center"/>
        <w:rPr>
          <w:rFonts w:hint="default" w:ascii="Times New Roman" w:hAnsi="Times New Roman" w:eastAsia="宋体"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b/>
          <w:bCs/>
          <w:color w:val="auto"/>
          <w:sz w:val="24"/>
          <w:szCs w:val="24"/>
          <w:highlight w:val="none"/>
          <w:lang w:val="en-US" w:eastAsia="zh-CN"/>
        </w:rPr>
        <w:drawing>
          <wp:inline distT="0" distB="0" distL="114300" distR="114300">
            <wp:extent cx="7472045" cy="5604510"/>
            <wp:effectExtent l="9525" t="9525" r="9525" b="16510"/>
            <wp:docPr id="23" name="图片 23" descr="IMG_20250927_13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0250927_135936"/>
                    <pic:cNvPicPr>
                      <a:picLocks noChangeAspect="1"/>
                    </pic:cNvPicPr>
                  </pic:nvPicPr>
                  <pic:blipFill>
                    <a:blip r:embed="rId27"/>
                    <a:stretch>
                      <a:fillRect/>
                    </a:stretch>
                  </pic:blipFill>
                  <pic:spPr>
                    <a:xfrm rot="16200000">
                      <a:off x="0" y="0"/>
                      <a:ext cx="7472045" cy="560451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7472045" cy="5604510"/>
            <wp:effectExtent l="9525" t="9525" r="9525" b="16510"/>
            <wp:docPr id="24" name="图片 24" descr="IMG_20250927_135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0250927_135945"/>
                    <pic:cNvPicPr>
                      <a:picLocks noChangeAspect="1"/>
                    </pic:cNvPicPr>
                  </pic:nvPicPr>
                  <pic:blipFill>
                    <a:blip r:embed="rId28"/>
                    <a:stretch>
                      <a:fillRect/>
                    </a:stretch>
                  </pic:blipFill>
                  <pic:spPr>
                    <a:xfrm rot="16200000">
                      <a:off x="0" y="0"/>
                      <a:ext cx="7472045" cy="5604510"/>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现有项目环评及验收意见</w:t>
      </w:r>
    </w:p>
    <w:p>
      <w:pPr>
        <w:pStyle w:val="67"/>
        <w:tabs>
          <w:tab w:val="left" w:pos="2340"/>
          <w:tab w:val="left" w:pos="4320"/>
        </w:tabs>
        <w:ind w:left="0" w:leftChars="0" w:firstLine="0" w:firstLineChars="0"/>
        <w:outlineLvl w:val="0"/>
        <w:rPr>
          <w:rFonts w:hint="default" w:ascii="Times New Roman" w:hAnsi="Times New Roman"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b/>
          <w:bCs/>
          <w:color w:val="auto"/>
          <w:sz w:val="24"/>
          <w:szCs w:val="24"/>
          <w:highlight w:val="none"/>
          <w:lang w:val="en-US" w:eastAsia="zh-CN"/>
        </w:rPr>
        <w:drawing>
          <wp:inline distT="0" distB="0" distL="114300" distR="114300">
            <wp:extent cx="7491095" cy="5618480"/>
            <wp:effectExtent l="9525" t="9525" r="10795" b="12700"/>
            <wp:docPr id="31" name="图片 31" descr="IMG_20250927_14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MG_20250927_140525"/>
                    <pic:cNvPicPr>
                      <a:picLocks noChangeAspect="1"/>
                    </pic:cNvPicPr>
                  </pic:nvPicPr>
                  <pic:blipFill>
                    <a:blip r:embed="rId29"/>
                    <a:stretch>
                      <a:fillRect/>
                    </a:stretch>
                  </pic:blipFill>
                  <pic:spPr>
                    <a:xfrm rot="16200000">
                      <a:off x="0" y="0"/>
                      <a:ext cx="7491095" cy="561848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1495" cy="7717790"/>
            <wp:effectExtent l="9525" t="9525" r="17780" b="14605"/>
            <wp:docPr id="41" name="图片 4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001"/>
                    <pic:cNvPicPr>
                      <a:picLocks noChangeAspect="1"/>
                    </pic:cNvPicPr>
                  </pic:nvPicPr>
                  <pic:blipFill>
                    <a:blip r:embed="rId30"/>
                    <a:stretch>
                      <a:fillRect/>
                    </a:stretch>
                  </pic:blipFill>
                  <pic:spPr>
                    <a:xfrm>
                      <a:off x="0" y="0"/>
                      <a:ext cx="5611495" cy="771779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1495" cy="7717790"/>
            <wp:effectExtent l="9525" t="9525" r="17780" b="14605"/>
            <wp:docPr id="42" name="图片 42"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002"/>
                    <pic:cNvPicPr>
                      <a:picLocks noChangeAspect="1"/>
                    </pic:cNvPicPr>
                  </pic:nvPicPr>
                  <pic:blipFill>
                    <a:blip r:embed="rId31"/>
                    <a:stretch>
                      <a:fillRect/>
                    </a:stretch>
                  </pic:blipFill>
                  <pic:spPr>
                    <a:xfrm>
                      <a:off x="0" y="0"/>
                      <a:ext cx="5611495" cy="771779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1495" cy="7717790"/>
            <wp:effectExtent l="9525" t="9525" r="17780" b="14605"/>
            <wp:docPr id="45" name="图片 45"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003"/>
                    <pic:cNvPicPr>
                      <a:picLocks noChangeAspect="1"/>
                    </pic:cNvPicPr>
                  </pic:nvPicPr>
                  <pic:blipFill>
                    <a:blip r:embed="rId32"/>
                    <a:stretch>
                      <a:fillRect/>
                    </a:stretch>
                  </pic:blipFill>
                  <pic:spPr>
                    <a:xfrm>
                      <a:off x="0" y="0"/>
                      <a:ext cx="5611495" cy="771779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7234555" cy="5426075"/>
            <wp:effectExtent l="9525" t="9525" r="20320" b="10160"/>
            <wp:docPr id="25" name="图片 25" descr="IMG_20250927_13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0250927_135837"/>
                    <pic:cNvPicPr>
                      <a:picLocks noChangeAspect="1"/>
                    </pic:cNvPicPr>
                  </pic:nvPicPr>
                  <pic:blipFill>
                    <a:blip r:embed="rId33"/>
                    <a:stretch>
                      <a:fillRect/>
                    </a:stretch>
                  </pic:blipFill>
                  <pic:spPr>
                    <a:xfrm rot="16200000">
                      <a:off x="0" y="0"/>
                      <a:ext cx="7234555" cy="5426075"/>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7643495" cy="5732780"/>
            <wp:effectExtent l="9525" t="9525" r="18415" b="12700"/>
            <wp:docPr id="26" name="图片 26" descr="IMG_20250927_13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IMG_20250927_135842"/>
                    <pic:cNvPicPr>
                      <a:picLocks noChangeAspect="1"/>
                    </pic:cNvPicPr>
                  </pic:nvPicPr>
                  <pic:blipFill>
                    <a:blip r:embed="rId34"/>
                    <a:stretch>
                      <a:fillRect/>
                    </a:stretch>
                  </pic:blipFill>
                  <pic:spPr>
                    <a:xfrm rot="16200000">
                      <a:off x="0" y="0"/>
                      <a:ext cx="7643495" cy="573278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7653020" cy="5740400"/>
            <wp:effectExtent l="9525" t="9525" r="10795" b="18415"/>
            <wp:docPr id="28" name="图片 28" descr="IMG_20250927_13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20250927_135845"/>
                    <pic:cNvPicPr>
                      <a:picLocks noChangeAspect="1"/>
                    </pic:cNvPicPr>
                  </pic:nvPicPr>
                  <pic:blipFill>
                    <a:blip r:embed="rId35"/>
                    <a:stretch>
                      <a:fillRect/>
                    </a:stretch>
                  </pic:blipFill>
                  <pic:spPr>
                    <a:xfrm rot="16200000">
                      <a:off x="0" y="0"/>
                      <a:ext cx="7653020" cy="574040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7434580" cy="5576570"/>
            <wp:effectExtent l="9525" t="9525" r="22225" b="23495"/>
            <wp:docPr id="29" name="图片 29" descr="IMG_20250927_13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0250927_135850"/>
                    <pic:cNvPicPr>
                      <a:picLocks noChangeAspect="1"/>
                    </pic:cNvPicPr>
                  </pic:nvPicPr>
                  <pic:blipFill>
                    <a:blip r:embed="rId36"/>
                    <a:stretch>
                      <a:fillRect/>
                    </a:stretch>
                  </pic:blipFill>
                  <pic:spPr>
                    <a:xfrm rot="16200000">
                      <a:off x="0" y="0"/>
                      <a:ext cx="7434580" cy="557657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7310120" cy="5483225"/>
            <wp:effectExtent l="9525" t="10160" r="24130" b="10160"/>
            <wp:docPr id="32" name="图片 32" descr="IMG_20250927_14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IMG_20250927_140538"/>
                    <pic:cNvPicPr>
                      <a:picLocks noChangeAspect="1"/>
                    </pic:cNvPicPr>
                  </pic:nvPicPr>
                  <pic:blipFill>
                    <a:blip r:embed="rId37"/>
                    <a:stretch>
                      <a:fillRect/>
                    </a:stretch>
                  </pic:blipFill>
                  <pic:spPr>
                    <a:xfrm rot="16200000">
                      <a:off x="0" y="0"/>
                      <a:ext cx="7310120" cy="5483225"/>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7491095" cy="5618480"/>
            <wp:effectExtent l="9525" t="9525" r="10795" b="12700"/>
            <wp:docPr id="35" name="图片 35" descr="IMG_20250927_14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IMG_20250927_140733"/>
                    <pic:cNvPicPr>
                      <a:picLocks noChangeAspect="1"/>
                    </pic:cNvPicPr>
                  </pic:nvPicPr>
                  <pic:blipFill>
                    <a:blip r:embed="rId38"/>
                    <a:stretch>
                      <a:fillRect/>
                    </a:stretch>
                  </pic:blipFill>
                  <pic:spPr>
                    <a:xfrm rot="16200000">
                      <a:off x="0" y="0"/>
                      <a:ext cx="7491095" cy="561848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1495" cy="7717790"/>
            <wp:effectExtent l="9525" t="9525" r="17780" b="14605"/>
            <wp:docPr id="46" name="图片 46" descr="技改验收01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技改验收01 001"/>
                    <pic:cNvPicPr>
                      <a:picLocks noChangeAspect="1"/>
                    </pic:cNvPicPr>
                  </pic:nvPicPr>
                  <pic:blipFill>
                    <a:blip r:embed="rId39"/>
                    <a:stretch>
                      <a:fillRect/>
                    </a:stretch>
                  </pic:blipFill>
                  <pic:spPr>
                    <a:xfrm>
                      <a:off x="0" y="0"/>
                      <a:ext cx="5611495" cy="771779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1495" cy="7717790"/>
            <wp:effectExtent l="9525" t="9525" r="17780" b="14605"/>
            <wp:docPr id="47" name="图片 47" descr="技改验收0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技改验收02 001"/>
                    <pic:cNvPicPr>
                      <a:picLocks noChangeAspect="1"/>
                    </pic:cNvPicPr>
                  </pic:nvPicPr>
                  <pic:blipFill>
                    <a:blip r:embed="rId40"/>
                    <a:stretch>
                      <a:fillRect/>
                    </a:stretch>
                  </pic:blipFill>
                  <pic:spPr>
                    <a:xfrm>
                      <a:off x="0" y="0"/>
                      <a:ext cx="5611495" cy="771779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1495" cy="7717790"/>
            <wp:effectExtent l="9525" t="9525" r="17780" b="14605"/>
            <wp:docPr id="48" name="图片 48" descr="技改验收0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技改验收03 001"/>
                    <pic:cNvPicPr>
                      <a:picLocks noChangeAspect="1"/>
                    </pic:cNvPicPr>
                  </pic:nvPicPr>
                  <pic:blipFill>
                    <a:blip r:embed="rId41"/>
                    <a:stretch>
                      <a:fillRect/>
                    </a:stretch>
                  </pic:blipFill>
                  <pic:spPr>
                    <a:xfrm>
                      <a:off x="0" y="0"/>
                      <a:ext cx="5611495" cy="771779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1495" cy="7717790"/>
            <wp:effectExtent l="9525" t="9525" r="17780" b="14605"/>
            <wp:docPr id="49" name="图片 49" descr="技改验收04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技改验收04 001"/>
                    <pic:cNvPicPr>
                      <a:picLocks noChangeAspect="1"/>
                    </pic:cNvPicPr>
                  </pic:nvPicPr>
                  <pic:blipFill>
                    <a:blip r:embed="rId42"/>
                    <a:stretch>
                      <a:fillRect/>
                    </a:stretch>
                  </pic:blipFill>
                  <pic:spPr>
                    <a:xfrm>
                      <a:off x="0" y="0"/>
                      <a:ext cx="5611495" cy="771779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1495" cy="7717790"/>
            <wp:effectExtent l="9525" t="9525" r="17780" b="14605"/>
            <wp:docPr id="50" name="图片 50" descr="技改验收05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技改验收05 001"/>
                    <pic:cNvPicPr>
                      <a:picLocks noChangeAspect="1"/>
                    </pic:cNvPicPr>
                  </pic:nvPicPr>
                  <pic:blipFill>
                    <a:blip r:embed="rId43"/>
                    <a:stretch>
                      <a:fillRect/>
                    </a:stretch>
                  </pic:blipFill>
                  <pic:spPr>
                    <a:xfrm>
                      <a:off x="0" y="0"/>
                      <a:ext cx="5611495" cy="7717790"/>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7719695" cy="5546090"/>
            <wp:effectExtent l="10160" t="10160" r="21590" b="12065"/>
            <wp:docPr id="30" name="图片 30" descr="IMG_20250927_14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20250927_140207"/>
                    <pic:cNvPicPr>
                      <a:picLocks noChangeAspect="1"/>
                    </pic:cNvPicPr>
                  </pic:nvPicPr>
                  <pic:blipFill>
                    <a:blip r:embed="rId44"/>
                    <a:srcRect l="7843" t="13866" r="10059" b="7501"/>
                    <a:stretch>
                      <a:fillRect/>
                    </a:stretch>
                  </pic:blipFill>
                  <pic:spPr>
                    <a:xfrm rot="16200000">
                      <a:off x="0" y="0"/>
                      <a:ext cx="7719695" cy="5546090"/>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现有项目危废协议</w:t>
      </w:r>
      <w:bookmarkStart w:id="56" w:name="OLE_LINK25"/>
    </w:p>
    <w:bookmarkEnd w:id="56"/>
    <w:p>
      <w:pPr>
        <w:pStyle w:val="67"/>
        <w:tabs>
          <w:tab w:val="left" w:pos="2340"/>
          <w:tab w:val="left" w:pos="4320"/>
        </w:tabs>
        <w:ind w:left="0" w:leftChars="0" w:firstLine="0" w:firstLineChars="0"/>
        <w:outlineLvl w:val="0"/>
        <w:rPr>
          <w:rFonts w:hint="default" w:ascii="Times New Roman" w:hAnsi="Times New Roman"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b/>
          <w:bCs/>
          <w:color w:val="auto"/>
          <w:sz w:val="24"/>
          <w:szCs w:val="24"/>
          <w:highlight w:val="none"/>
          <w:lang w:val="en-US" w:eastAsia="zh-CN"/>
        </w:rPr>
        <w:drawing>
          <wp:inline distT="0" distB="0" distL="114300" distR="114300">
            <wp:extent cx="5613400" cy="7944485"/>
            <wp:effectExtent l="9525" t="9525" r="15875" b="16510"/>
            <wp:docPr id="55" name="图片 55" descr="雅曼危险废物委托处置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雅曼危险废物委托处置_00"/>
                    <pic:cNvPicPr>
                      <a:picLocks noChangeAspect="1"/>
                    </pic:cNvPicPr>
                  </pic:nvPicPr>
                  <pic:blipFill>
                    <a:blip r:embed="rId45"/>
                    <a:stretch>
                      <a:fillRect/>
                    </a:stretch>
                  </pic:blipFill>
                  <pic:spPr>
                    <a:xfrm>
                      <a:off x="0" y="0"/>
                      <a:ext cx="5613400" cy="7944485"/>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3400" cy="7944485"/>
            <wp:effectExtent l="9525" t="9525" r="15875" b="16510"/>
            <wp:docPr id="56" name="图片 56" descr="雅曼危险废物委托处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雅曼危险废物委托处置_01"/>
                    <pic:cNvPicPr>
                      <a:picLocks noChangeAspect="1"/>
                    </pic:cNvPicPr>
                  </pic:nvPicPr>
                  <pic:blipFill>
                    <a:blip r:embed="rId46"/>
                    <a:stretch>
                      <a:fillRect/>
                    </a:stretch>
                  </pic:blipFill>
                  <pic:spPr>
                    <a:xfrm>
                      <a:off x="0" y="0"/>
                      <a:ext cx="5613400" cy="7944485"/>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3400" cy="7944485"/>
            <wp:effectExtent l="9525" t="9525" r="15875" b="16510"/>
            <wp:docPr id="57" name="图片 57" descr="雅曼危险废物委托处置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雅曼危险废物委托处置_02"/>
                    <pic:cNvPicPr>
                      <a:picLocks noChangeAspect="1"/>
                    </pic:cNvPicPr>
                  </pic:nvPicPr>
                  <pic:blipFill>
                    <a:blip r:embed="rId47"/>
                    <a:stretch>
                      <a:fillRect/>
                    </a:stretch>
                  </pic:blipFill>
                  <pic:spPr>
                    <a:xfrm>
                      <a:off x="0" y="0"/>
                      <a:ext cx="5613400" cy="7944485"/>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3400" cy="7944485"/>
            <wp:effectExtent l="9525" t="9525" r="15875" b="16510"/>
            <wp:docPr id="58" name="图片 58" descr="雅曼危险废物委托处置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雅曼危险废物委托处置_03"/>
                    <pic:cNvPicPr>
                      <a:picLocks noChangeAspect="1"/>
                    </pic:cNvPicPr>
                  </pic:nvPicPr>
                  <pic:blipFill>
                    <a:blip r:embed="rId48"/>
                    <a:stretch>
                      <a:fillRect/>
                    </a:stretch>
                  </pic:blipFill>
                  <pic:spPr>
                    <a:xfrm>
                      <a:off x="0" y="0"/>
                      <a:ext cx="5613400" cy="7944485"/>
                    </a:xfrm>
                    <a:prstGeom prst="rect">
                      <a:avLst/>
                    </a:prstGeom>
                    <a:noFill/>
                    <a:ln>
                      <a:solidFill>
                        <a:schemeClr val="tx1"/>
                      </a:solidFill>
                    </a:ln>
                  </pic:spPr>
                </pic:pic>
              </a:graphicData>
            </a:graphic>
          </wp:inline>
        </w:drawing>
      </w:r>
      <w:r>
        <w:rPr>
          <w:rFonts w:hint="default" w:ascii="Times New Roman" w:hAnsi="Times New Roman" w:cs="Times New Roman"/>
          <w:b/>
          <w:bCs/>
          <w:color w:val="auto"/>
          <w:sz w:val="24"/>
          <w:szCs w:val="24"/>
          <w:highlight w:val="none"/>
          <w:lang w:val="en-US" w:eastAsia="zh-CN"/>
        </w:rPr>
        <w:drawing>
          <wp:inline distT="0" distB="0" distL="114300" distR="114300">
            <wp:extent cx="5613400" cy="7944485"/>
            <wp:effectExtent l="9525" t="9525" r="15875" b="16510"/>
            <wp:docPr id="59" name="图片 59" descr="雅曼危险废物委托处置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雅曼危险废物委托处置_04"/>
                    <pic:cNvPicPr>
                      <a:picLocks noChangeAspect="1"/>
                    </pic:cNvPicPr>
                  </pic:nvPicPr>
                  <pic:blipFill>
                    <a:blip r:embed="rId49"/>
                    <a:stretch>
                      <a:fillRect/>
                    </a:stretch>
                  </pic:blipFill>
                  <pic:spPr>
                    <a:xfrm>
                      <a:off x="0" y="0"/>
                      <a:ext cx="5613400" cy="7944485"/>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9</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现有项目固废处置协议</w:t>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3400" cy="7944485"/>
            <wp:effectExtent l="9525" t="9525" r="15875" b="16510"/>
            <wp:docPr id="51" name="图片 51" descr="雅曼固废合同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雅曼固废合同_00"/>
                    <pic:cNvPicPr>
                      <a:picLocks noChangeAspect="1"/>
                    </pic:cNvPicPr>
                  </pic:nvPicPr>
                  <pic:blipFill>
                    <a:blip r:embed="rId50"/>
                    <a:stretch>
                      <a:fillRect/>
                    </a:stretch>
                  </pic:blipFill>
                  <pic:spPr>
                    <a:xfrm>
                      <a:off x="0" y="0"/>
                      <a:ext cx="5613400" cy="794448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3400" cy="7944485"/>
            <wp:effectExtent l="9525" t="9525" r="15875" b="16510"/>
            <wp:docPr id="52" name="图片 52" descr="雅曼固废合同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雅曼固废合同_01"/>
                    <pic:cNvPicPr>
                      <a:picLocks noChangeAspect="1"/>
                    </pic:cNvPicPr>
                  </pic:nvPicPr>
                  <pic:blipFill>
                    <a:blip r:embed="rId51"/>
                    <a:stretch>
                      <a:fillRect/>
                    </a:stretch>
                  </pic:blipFill>
                  <pic:spPr>
                    <a:xfrm>
                      <a:off x="0" y="0"/>
                      <a:ext cx="5613400" cy="794448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3400" cy="7944485"/>
            <wp:effectExtent l="9525" t="9525" r="15875" b="16510"/>
            <wp:docPr id="53" name="图片 53" descr="雅曼固废合同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雅曼固废合同_02"/>
                    <pic:cNvPicPr>
                      <a:picLocks noChangeAspect="1"/>
                    </pic:cNvPicPr>
                  </pic:nvPicPr>
                  <pic:blipFill>
                    <a:blip r:embed="rId52"/>
                    <a:stretch>
                      <a:fillRect/>
                    </a:stretch>
                  </pic:blipFill>
                  <pic:spPr>
                    <a:xfrm>
                      <a:off x="0" y="0"/>
                      <a:ext cx="5613400" cy="794448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3400" cy="7944485"/>
            <wp:effectExtent l="9525" t="9525" r="15875" b="16510"/>
            <wp:docPr id="54" name="图片 54" descr="雅曼固废合同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雅曼固废合同_03"/>
                    <pic:cNvPicPr>
                      <a:picLocks noChangeAspect="1"/>
                    </pic:cNvPicPr>
                  </pic:nvPicPr>
                  <pic:blipFill>
                    <a:blip r:embed="rId53"/>
                    <a:stretch>
                      <a:fillRect/>
                    </a:stretch>
                  </pic:blipFill>
                  <pic:spPr>
                    <a:xfrm>
                      <a:off x="0" y="0"/>
                      <a:ext cx="5613400" cy="7944485"/>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10</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现有项目排水协议</w:t>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b/>
          <w:bCs/>
          <w:color w:val="auto"/>
          <w:sz w:val="24"/>
          <w:szCs w:val="24"/>
          <w:highlight w:val="none"/>
          <w:lang w:val="en-US" w:eastAsia="zh-CN"/>
        </w:rPr>
        <w:drawing>
          <wp:inline distT="0" distB="0" distL="114300" distR="114300">
            <wp:extent cx="7160260" cy="5370830"/>
            <wp:effectExtent l="9525" t="9525" r="14605" b="23495"/>
            <wp:docPr id="36" name="图片 36" descr="IMG_20250927_14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IMG_20250927_140840"/>
                    <pic:cNvPicPr>
                      <a:picLocks noChangeAspect="1"/>
                    </pic:cNvPicPr>
                  </pic:nvPicPr>
                  <pic:blipFill>
                    <a:blip r:embed="rId54"/>
                    <a:stretch>
                      <a:fillRect/>
                    </a:stretch>
                  </pic:blipFill>
                  <pic:spPr>
                    <a:xfrm rot="16200000">
                      <a:off x="0" y="0"/>
                      <a:ext cx="7160260" cy="537083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7643495" cy="5732780"/>
            <wp:effectExtent l="9525" t="9525" r="18415" b="12700"/>
            <wp:docPr id="37" name="图片 37" descr="IMG_20250927_14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IMG_20250927_140847"/>
                    <pic:cNvPicPr>
                      <a:picLocks noChangeAspect="1"/>
                    </pic:cNvPicPr>
                  </pic:nvPicPr>
                  <pic:blipFill>
                    <a:blip r:embed="rId55"/>
                    <a:stretch>
                      <a:fillRect/>
                    </a:stretch>
                  </pic:blipFill>
                  <pic:spPr>
                    <a:xfrm rot="16200000">
                      <a:off x="0" y="0"/>
                      <a:ext cx="7643495" cy="573278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7539355" cy="5654675"/>
            <wp:effectExtent l="9525" t="9525" r="20320" b="10160"/>
            <wp:docPr id="40" name="图片 40" descr="IMG_20250927_14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IMG_20250927_140851"/>
                    <pic:cNvPicPr>
                      <a:picLocks noChangeAspect="1"/>
                    </pic:cNvPicPr>
                  </pic:nvPicPr>
                  <pic:blipFill>
                    <a:blip r:embed="rId56"/>
                    <a:stretch>
                      <a:fillRect/>
                    </a:stretch>
                  </pic:blipFill>
                  <pic:spPr>
                    <a:xfrm rot="16200000">
                      <a:off x="0" y="0"/>
                      <a:ext cx="7539355" cy="5654675"/>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11</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乡镇预审意见</w:t>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41340" cy="7852410"/>
            <wp:effectExtent l="9525" t="9525" r="18415" b="17145"/>
            <wp:docPr id="60" name="图片 60" descr="微信图片_20250919180842_8_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微信图片_20250919180842_8_206"/>
                    <pic:cNvPicPr>
                      <a:picLocks noChangeAspect="1"/>
                    </pic:cNvPicPr>
                  </pic:nvPicPr>
                  <pic:blipFill>
                    <a:blip r:embed="rId57"/>
                    <a:srcRect t="14964" r="3375" b="9381"/>
                    <a:stretch>
                      <a:fillRect/>
                    </a:stretch>
                  </pic:blipFill>
                  <pic:spPr>
                    <a:xfrm>
                      <a:off x="0" y="0"/>
                      <a:ext cx="5641340" cy="7852410"/>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12</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现有项目监测报告</w:t>
      </w:r>
    </w:p>
    <w:p>
      <w:pPr>
        <w:pStyle w:val="67"/>
        <w:tabs>
          <w:tab w:val="left" w:pos="2340"/>
          <w:tab w:val="left" w:pos="4320"/>
        </w:tabs>
        <w:ind w:left="0" w:leftChars="0" w:firstLine="0" w:firstLineChars="0"/>
        <w:jc w:val="center"/>
        <w:rPr>
          <w:rFonts w:hint="default" w:ascii="Times New Roman" w:hAnsi="Times New Roman" w:eastAsia="宋体"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3400" cy="7966075"/>
            <wp:effectExtent l="9525" t="9525" r="15875" b="10160"/>
            <wp:docPr id="13" name="图片 13" descr="202505028报告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505028报告_00"/>
                    <pic:cNvPicPr>
                      <a:picLocks noChangeAspect="1"/>
                    </pic:cNvPicPr>
                  </pic:nvPicPr>
                  <pic:blipFill>
                    <a:blip r:embed="rId58"/>
                    <a:stretch>
                      <a:fillRect/>
                    </a:stretch>
                  </pic:blipFill>
                  <pic:spPr>
                    <a:xfrm>
                      <a:off x="0" y="0"/>
                      <a:ext cx="5613400" cy="796607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670" cy="7934325"/>
            <wp:effectExtent l="9525" t="9525" r="14605" b="11430"/>
            <wp:docPr id="14" name="图片 14" descr="202505028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2505028报告_01"/>
                    <pic:cNvPicPr>
                      <a:picLocks noChangeAspect="1"/>
                    </pic:cNvPicPr>
                  </pic:nvPicPr>
                  <pic:blipFill>
                    <a:blip r:embed="rId59"/>
                    <a:stretch>
                      <a:fillRect/>
                    </a:stretch>
                  </pic:blipFill>
                  <pic:spPr>
                    <a:xfrm>
                      <a:off x="0" y="0"/>
                      <a:ext cx="5614670" cy="793432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20990"/>
            <wp:effectExtent l="9525" t="9525" r="17145" b="9525"/>
            <wp:docPr id="15" name="图片 15" descr="202505028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505028报告_02"/>
                    <pic:cNvPicPr>
                      <a:picLocks noChangeAspect="1"/>
                    </pic:cNvPicPr>
                  </pic:nvPicPr>
                  <pic:blipFill>
                    <a:blip r:embed="rId60"/>
                    <a:stretch>
                      <a:fillRect/>
                    </a:stretch>
                  </pic:blipFill>
                  <pic:spPr>
                    <a:xfrm>
                      <a:off x="0" y="0"/>
                      <a:ext cx="5612130" cy="792099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12735"/>
            <wp:effectExtent l="9525" t="9525" r="17145" b="17780"/>
            <wp:docPr id="17" name="图片 17" descr="202505028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2505028报告_03"/>
                    <pic:cNvPicPr>
                      <a:picLocks noChangeAspect="1"/>
                    </pic:cNvPicPr>
                  </pic:nvPicPr>
                  <pic:blipFill>
                    <a:blip r:embed="rId61"/>
                    <a:stretch>
                      <a:fillRect/>
                    </a:stretch>
                  </pic:blipFill>
                  <pic:spPr>
                    <a:xfrm>
                      <a:off x="0" y="0"/>
                      <a:ext cx="5612130" cy="791273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670" cy="7934325"/>
            <wp:effectExtent l="9525" t="9525" r="14605" b="11430"/>
            <wp:docPr id="20" name="图片 20" descr="202505028报告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2505028报告_04"/>
                    <pic:cNvPicPr>
                      <a:picLocks noChangeAspect="1"/>
                    </pic:cNvPicPr>
                  </pic:nvPicPr>
                  <pic:blipFill>
                    <a:blip r:embed="rId62"/>
                    <a:stretch>
                      <a:fillRect/>
                    </a:stretch>
                  </pic:blipFill>
                  <pic:spPr>
                    <a:xfrm>
                      <a:off x="0" y="0"/>
                      <a:ext cx="5614670" cy="793432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670" cy="7934325"/>
            <wp:effectExtent l="9525" t="9525" r="14605" b="11430"/>
            <wp:docPr id="21" name="图片 21" descr="202505028报告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02505028报告_05"/>
                    <pic:cNvPicPr>
                      <a:picLocks noChangeAspect="1"/>
                    </pic:cNvPicPr>
                  </pic:nvPicPr>
                  <pic:blipFill>
                    <a:blip r:embed="rId63"/>
                    <a:stretch>
                      <a:fillRect/>
                    </a:stretch>
                  </pic:blipFill>
                  <pic:spPr>
                    <a:xfrm>
                      <a:off x="0" y="0"/>
                      <a:ext cx="5614670" cy="793432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670" cy="7942580"/>
            <wp:effectExtent l="9525" t="9525" r="14605" b="18415"/>
            <wp:docPr id="33" name="图片 33" descr="202505028报告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02505028报告_06"/>
                    <pic:cNvPicPr>
                      <a:picLocks noChangeAspect="1"/>
                    </pic:cNvPicPr>
                  </pic:nvPicPr>
                  <pic:blipFill>
                    <a:blip r:embed="rId64"/>
                    <a:stretch>
                      <a:fillRect/>
                    </a:stretch>
                  </pic:blipFill>
                  <pic:spPr>
                    <a:xfrm>
                      <a:off x="0" y="0"/>
                      <a:ext cx="5614670" cy="794258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20990"/>
            <wp:effectExtent l="9525" t="9525" r="17145" b="9525"/>
            <wp:docPr id="34" name="图片 34" descr="202505028报告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02505028报告_07"/>
                    <pic:cNvPicPr>
                      <a:picLocks noChangeAspect="1"/>
                    </pic:cNvPicPr>
                  </pic:nvPicPr>
                  <pic:blipFill>
                    <a:blip r:embed="rId65"/>
                    <a:stretch>
                      <a:fillRect/>
                    </a:stretch>
                  </pic:blipFill>
                  <pic:spPr>
                    <a:xfrm>
                      <a:off x="0" y="0"/>
                      <a:ext cx="5612130" cy="792099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20990"/>
            <wp:effectExtent l="9525" t="9525" r="17145" b="9525"/>
            <wp:docPr id="66" name="图片 66" descr="202505028报告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202505028报告_08"/>
                    <pic:cNvPicPr>
                      <a:picLocks noChangeAspect="1"/>
                    </pic:cNvPicPr>
                  </pic:nvPicPr>
                  <pic:blipFill>
                    <a:blip r:embed="rId66"/>
                    <a:stretch>
                      <a:fillRect/>
                    </a:stretch>
                  </pic:blipFill>
                  <pic:spPr>
                    <a:xfrm>
                      <a:off x="0" y="0"/>
                      <a:ext cx="5612130" cy="792099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670" cy="7963535"/>
            <wp:effectExtent l="9525" t="9525" r="14605" b="12700"/>
            <wp:docPr id="83" name="图片 83" descr="202507099报告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202507099报告_00"/>
                    <pic:cNvPicPr>
                      <a:picLocks noChangeAspect="1"/>
                    </pic:cNvPicPr>
                  </pic:nvPicPr>
                  <pic:blipFill>
                    <a:blip r:embed="rId67"/>
                    <a:stretch>
                      <a:fillRect/>
                    </a:stretch>
                  </pic:blipFill>
                  <pic:spPr>
                    <a:xfrm>
                      <a:off x="0" y="0"/>
                      <a:ext cx="5614670" cy="796353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33690"/>
            <wp:effectExtent l="9525" t="9525" r="17145" b="12065"/>
            <wp:docPr id="84" name="图片 84" descr="202507099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202507099报告_01"/>
                    <pic:cNvPicPr>
                      <a:picLocks noChangeAspect="1"/>
                    </pic:cNvPicPr>
                  </pic:nvPicPr>
                  <pic:blipFill>
                    <a:blip r:embed="rId68"/>
                    <a:stretch>
                      <a:fillRect/>
                    </a:stretch>
                  </pic:blipFill>
                  <pic:spPr>
                    <a:xfrm>
                      <a:off x="0" y="0"/>
                      <a:ext cx="5612130" cy="793369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765" cy="7910195"/>
            <wp:effectExtent l="9525" t="9525" r="16510" b="20320"/>
            <wp:docPr id="86" name="图片 86" descr="202507099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202507099报告_02"/>
                    <pic:cNvPicPr>
                      <a:picLocks noChangeAspect="1"/>
                    </pic:cNvPicPr>
                  </pic:nvPicPr>
                  <pic:blipFill>
                    <a:blip r:embed="rId69"/>
                    <a:stretch>
                      <a:fillRect/>
                    </a:stretch>
                  </pic:blipFill>
                  <pic:spPr>
                    <a:xfrm>
                      <a:off x="0" y="0"/>
                      <a:ext cx="5612765" cy="791019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20990"/>
            <wp:effectExtent l="9525" t="9525" r="17145" b="9525"/>
            <wp:docPr id="89" name="图片 89" descr="202507099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202507099报告_03"/>
                    <pic:cNvPicPr>
                      <a:picLocks noChangeAspect="1"/>
                    </pic:cNvPicPr>
                  </pic:nvPicPr>
                  <pic:blipFill>
                    <a:blip r:embed="rId70"/>
                    <a:stretch>
                      <a:fillRect/>
                    </a:stretch>
                  </pic:blipFill>
                  <pic:spPr>
                    <a:xfrm>
                      <a:off x="0" y="0"/>
                      <a:ext cx="5612130" cy="792099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33690"/>
            <wp:effectExtent l="9525" t="9525" r="17145" b="12065"/>
            <wp:docPr id="90" name="图片 90" descr="202507099报告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202507099报告_04"/>
                    <pic:cNvPicPr>
                      <a:picLocks noChangeAspect="1"/>
                    </pic:cNvPicPr>
                  </pic:nvPicPr>
                  <pic:blipFill>
                    <a:blip r:embed="rId71"/>
                    <a:stretch>
                      <a:fillRect/>
                    </a:stretch>
                  </pic:blipFill>
                  <pic:spPr>
                    <a:xfrm>
                      <a:off x="0" y="0"/>
                      <a:ext cx="5612130" cy="793369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670" cy="7934325"/>
            <wp:effectExtent l="9525" t="9525" r="14605" b="11430"/>
            <wp:docPr id="92" name="图片 92" descr="202507102报告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202507102报告_00"/>
                    <pic:cNvPicPr>
                      <a:picLocks noChangeAspect="1"/>
                    </pic:cNvPicPr>
                  </pic:nvPicPr>
                  <pic:blipFill>
                    <a:blip r:embed="rId72"/>
                    <a:stretch>
                      <a:fillRect/>
                    </a:stretch>
                  </pic:blipFill>
                  <pic:spPr>
                    <a:xfrm>
                      <a:off x="0" y="0"/>
                      <a:ext cx="5614670" cy="793432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33690"/>
            <wp:effectExtent l="9525" t="9525" r="17145" b="12065"/>
            <wp:docPr id="93" name="图片 93" descr="202507102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202507102报告_01"/>
                    <pic:cNvPicPr>
                      <a:picLocks noChangeAspect="1"/>
                    </pic:cNvPicPr>
                  </pic:nvPicPr>
                  <pic:blipFill>
                    <a:blip r:embed="rId73"/>
                    <a:stretch>
                      <a:fillRect/>
                    </a:stretch>
                  </pic:blipFill>
                  <pic:spPr>
                    <a:xfrm>
                      <a:off x="0" y="0"/>
                      <a:ext cx="5612130" cy="793369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765" cy="7922895"/>
            <wp:effectExtent l="9525" t="9525" r="16510" b="22860"/>
            <wp:docPr id="97" name="图片 97" descr="202507102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202507102报告_02"/>
                    <pic:cNvPicPr>
                      <a:picLocks noChangeAspect="1"/>
                    </pic:cNvPicPr>
                  </pic:nvPicPr>
                  <pic:blipFill>
                    <a:blip r:embed="rId74"/>
                    <a:stretch>
                      <a:fillRect/>
                    </a:stretch>
                  </pic:blipFill>
                  <pic:spPr>
                    <a:xfrm>
                      <a:off x="0" y="0"/>
                      <a:ext cx="5612765" cy="792289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765" cy="7922895"/>
            <wp:effectExtent l="9525" t="9525" r="16510" b="22860"/>
            <wp:docPr id="109" name="图片 109" descr="202507102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202507102报告_03"/>
                    <pic:cNvPicPr>
                      <a:picLocks noChangeAspect="1"/>
                    </pic:cNvPicPr>
                  </pic:nvPicPr>
                  <pic:blipFill>
                    <a:blip r:embed="rId75"/>
                    <a:stretch>
                      <a:fillRect/>
                    </a:stretch>
                  </pic:blipFill>
                  <pic:spPr>
                    <a:xfrm>
                      <a:off x="0" y="0"/>
                      <a:ext cx="5612765" cy="792289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765" cy="7901940"/>
            <wp:effectExtent l="9525" t="9525" r="16510" b="13335"/>
            <wp:docPr id="110" name="图片 110" descr="202507102报告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202507102报告_04"/>
                    <pic:cNvPicPr>
                      <a:picLocks noChangeAspect="1"/>
                    </pic:cNvPicPr>
                  </pic:nvPicPr>
                  <pic:blipFill>
                    <a:blip r:embed="rId76"/>
                    <a:stretch>
                      <a:fillRect/>
                    </a:stretch>
                  </pic:blipFill>
                  <pic:spPr>
                    <a:xfrm>
                      <a:off x="0" y="0"/>
                      <a:ext cx="5612765" cy="790194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670" cy="7942580"/>
            <wp:effectExtent l="9525" t="9525" r="14605" b="18415"/>
            <wp:docPr id="114" name="图片 114" descr="202509001-01报告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202509001-01报告_00"/>
                    <pic:cNvPicPr>
                      <a:picLocks noChangeAspect="1"/>
                    </pic:cNvPicPr>
                  </pic:nvPicPr>
                  <pic:blipFill>
                    <a:blip r:embed="rId77"/>
                    <a:stretch>
                      <a:fillRect/>
                    </a:stretch>
                  </pic:blipFill>
                  <pic:spPr>
                    <a:xfrm>
                      <a:off x="0" y="0"/>
                      <a:ext cx="5614670" cy="7942580"/>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3400" cy="7953375"/>
            <wp:effectExtent l="9525" t="9525" r="15875" b="22860"/>
            <wp:docPr id="115" name="图片 115" descr="202509001-01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202509001-01报告_01"/>
                    <pic:cNvPicPr>
                      <a:picLocks noChangeAspect="1"/>
                    </pic:cNvPicPr>
                  </pic:nvPicPr>
                  <pic:blipFill>
                    <a:blip r:embed="rId78"/>
                    <a:stretch>
                      <a:fillRect/>
                    </a:stretch>
                  </pic:blipFill>
                  <pic:spPr>
                    <a:xfrm>
                      <a:off x="0" y="0"/>
                      <a:ext cx="5613400" cy="795337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670" cy="7942580"/>
            <wp:effectExtent l="9525" t="9525" r="14605" b="18415"/>
            <wp:docPr id="116" name="图片 116" descr="202509001-01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202509001-01报告_02"/>
                    <pic:cNvPicPr>
                      <a:picLocks noChangeAspect="1"/>
                    </pic:cNvPicPr>
                  </pic:nvPicPr>
                  <pic:blipFill>
                    <a:blip r:embed="rId79"/>
                    <a:stretch>
                      <a:fillRect/>
                    </a:stretch>
                  </pic:blipFill>
                  <pic:spPr>
                    <a:xfrm>
                      <a:off x="0" y="0"/>
                      <a:ext cx="5614670" cy="7942580"/>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13</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敏感点噪声监测报告</w:t>
      </w:r>
    </w:p>
    <w:p>
      <w:pPr>
        <w:pStyle w:val="67"/>
        <w:tabs>
          <w:tab w:val="left" w:pos="2340"/>
          <w:tab w:val="left" w:pos="4320"/>
        </w:tabs>
        <w:ind w:left="0" w:leftChars="0" w:firstLine="0" w:firstLineChars="0"/>
        <w:jc w:val="center"/>
        <w:rPr>
          <w:rFonts w:hint="default" w:ascii="Times New Roman" w:hAnsi="Times New Roman" w:eastAsia="宋体"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2130" cy="7950835"/>
            <wp:effectExtent l="9525" t="9525" r="17145" b="10160"/>
            <wp:docPr id="2" name="图片 2" descr="202510126报告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510126报告_00"/>
                    <pic:cNvPicPr>
                      <a:picLocks noChangeAspect="1"/>
                    </pic:cNvPicPr>
                  </pic:nvPicPr>
                  <pic:blipFill>
                    <a:blip r:embed="rId80"/>
                    <a:stretch>
                      <a:fillRect/>
                    </a:stretch>
                  </pic:blipFill>
                  <pic:spPr>
                    <a:xfrm>
                      <a:off x="0" y="0"/>
                      <a:ext cx="5612130" cy="795083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035" cy="7929245"/>
            <wp:effectExtent l="9525" t="9525" r="15240" b="16510"/>
            <wp:docPr id="6" name="图片 6" descr="202510126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510126报告_01"/>
                    <pic:cNvPicPr>
                      <a:picLocks noChangeAspect="1"/>
                    </pic:cNvPicPr>
                  </pic:nvPicPr>
                  <pic:blipFill>
                    <a:blip r:embed="rId81"/>
                    <a:stretch>
                      <a:fillRect/>
                    </a:stretch>
                  </pic:blipFill>
                  <pic:spPr>
                    <a:xfrm>
                      <a:off x="0" y="0"/>
                      <a:ext cx="5614035" cy="792924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035" cy="7929245"/>
            <wp:effectExtent l="9525" t="9525" r="15240" b="16510"/>
            <wp:docPr id="7" name="图片 7" descr="202510126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2510126报告_02"/>
                    <pic:cNvPicPr>
                      <a:picLocks noChangeAspect="1"/>
                    </pic:cNvPicPr>
                  </pic:nvPicPr>
                  <pic:blipFill>
                    <a:blip r:embed="rId82"/>
                    <a:stretch>
                      <a:fillRect/>
                    </a:stretch>
                  </pic:blipFill>
                  <pic:spPr>
                    <a:xfrm>
                      <a:off x="0" y="0"/>
                      <a:ext cx="5614035" cy="792924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sz w:val="24"/>
          <w:szCs w:val="24"/>
          <w:highlight w:val="none"/>
          <w:lang w:val="en-US" w:eastAsia="zh-CN"/>
        </w:rPr>
        <w:drawing>
          <wp:inline distT="0" distB="0" distL="114300" distR="114300">
            <wp:extent cx="5614035" cy="7912100"/>
            <wp:effectExtent l="9525" t="9525" r="15240" b="18415"/>
            <wp:docPr id="9" name="图片 9" descr="202510126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510126报告_03"/>
                    <pic:cNvPicPr>
                      <a:picLocks noChangeAspect="1"/>
                    </pic:cNvPicPr>
                  </pic:nvPicPr>
                  <pic:blipFill>
                    <a:blip r:embed="rId83"/>
                    <a:stretch>
                      <a:fillRect/>
                    </a:stretch>
                  </pic:blipFill>
                  <pic:spPr>
                    <a:xfrm>
                      <a:off x="0" y="0"/>
                      <a:ext cx="5614035" cy="7912100"/>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pPr>
      <w:bookmarkStart w:id="57" w:name="_Toc8204"/>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14</w:t>
      </w:r>
      <w:r>
        <w:rPr>
          <w:rFonts w:hint="default" w:ascii="Times New Roman" w:hAnsi="Times New Roman" w:eastAsia="宋体" w:cs="Times New Roman"/>
          <w:b/>
          <w:bCs/>
          <w:color w:val="auto"/>
          <w:sz w:val="24"/>
          <w:szCs w:val="24"/>
          <w:highlight w:val="none"/>
          <w:lang w:val="en-US" w:eastAsia="zh-CN"/>
        </w:rPr>
        <w:t xml:space="preserve"> 关于划定萌水镇、商家镇工业集聚区的意见</w:t>
      </w:r>
      <w:bookmarkEnd w:id="57"/>
    </w:p>
    <w:p>
      <w:pPr>
        <w:pStyle w:val="67"/>
        <w:tabs>
          <w:tab w:val="left" w:pos="2340"/>
          <w:tab w:val="left" w:pos="4320"/>
        </w:tabs>
        <w:ind w:left="0" w:leftChars="0" w:firstLine="0" w:firstLineChars="0"/>
        <w:rPr>
          <w:rFonts w:hint="default" w:ascii="Times New Roman" w:hAnsi="Times New Roman" w:cs="Times New Roman"/>
          <w:color w:val="auto"/>
          <w:highlight w:val="none"/>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highlight w:val="none"/>
        </w:rPr>
        <w:drawing>
          <wp:inline distT="0" distB="0" distL="114300" distR="114300">
            <wp:extent cx="8117840" cy="5615305"/>
            <wp:effectExtent l="10160" t="9525" r="13335" b="10795"/>
            <wp:docPr id="1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
                    <pic:cNvPicPr>
                      <a:picLocks noChangeAspect="1"/>
                    </pic:cNvPicPr>
                  </pic:nvPicPr>
                  <pic:blipFill>
                    <a:blip r:embed="rId84"/>
                    <a:srcRect t="1070" b="1056"/>
                    <a:stretch>
                      <a:fillRect/>
                    </a:stretch>
                  </pic:blipFill>
                  <pic:spPr>
                    <a:xfrm rot="-5400000">
                      <a:off x="0" y="0"/>
                      <a:ext cx="8117840" cy="5615305"/>
                    </a:xfrm>
                    <a:prstGeom prst="rect">
                      <a:avLst/>
                    </a:prstGeom>
                    <a:noFill/>
                    <a:ln>
                      <a:solidFill>
                        <a:schemeClr val="tx1"/>
                      </a:solidFill>
                    </a:ln>
                  </pic:spPr>
                </pic:pic>
              </a:graphicData>
            </a:graphic>
          </wp:inline>
        </w:drawing>
      </w:r>
      <w:r>
        <w:rPr>
          <w:rFonts w:hint="default" w:ascii="Times New Roman" w:hAnsi="Times New Roman" w:cs="Times New Roman"/>
          <w:color w:val="auto"/>
          <w:highlight w:val="none"/>
        </w:rPr>
        <w:drawing>
          <wp:inline distT="0" distB="0" distL="114300" distR="114300">
            <wp:extent cx="8101330" cy="5615305"/>
            <wp:effectExtent l="9525" t="9525" r="13970" b="12065"/>
            <wp:docPr id="1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
                    <pic:cNvPicPr>
                      <a:picLocks noChangeAspect="1"/>
                    </pic:cNvPicPr>
                  </pic:nvPicPr>
                  <pic:blipFill>
                    <a:blip r:embed="rId85"/>
                    <a:srcRect t="1941"/>
                    <a:stretch>
                      <a:fillRect/>
                    </a:stretch>
                  </pic:blipFill>
                  <pic:spPr>
                    <a:xfrm rot="-5400000">
                      <a:off x="0" y="0"/>
                      <a:ext cx="8101330" cy="5615305"/>
                    </a:xfrm>
                    <a:prstGeom prst="rect">
                      <a:avLst/>
                    </a:prstGeom>
                    <a:noFill/>
                    <a:ln>
                      <a:solidFill>
                        <a:schemeClr val="tx1"/>
                      </a:solidFill>
                    </a:ln>
                  </pic:spPr>
                </pic:pic>
              </a:graphicData>
            </a:graphic>
          </wp:inline>
        </w:drawing>
      </w:r>
      <w:r>
        <w:rPr>
          <w:rFonts w:hint="default" w:ascii="Times New Roman" w:hAnsi="Times New Roman" w:cs="Times New Roman"/>
          <w:color w:val="auto"/>
          <w:highlight w:val="none"/>
        </w:rPr>
        <w:drawing>
          <wp:inline distT="0" distB="0" distL="114300" distR="114300">
            <wp:extent cx="8085455" cy="5607050"/>
            <wp:effectExtent l="9525" t="9525" r="22225" b="12700"/>
            <wp:docPr id="10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6"/>
                    <pic:cNvPicPr>
                      <a:picLocks noChangeAspect="1"/>
                    </pic:cNvPicPr>
                  </pic:nvPicPr>
                  <pic:blipFill>
                    <a:blip r:embed="rId86"/>
                    <a:srcRect t="1183" b="708"/>
                    <a:stretch>
                      <a:fillRect/>
                    </a:stretch>
                  </pic:blipFill>
                  <pic:spPr>
                    <a:xfrm rot="-5400000">
                      <a:off x="0" y="0"/>
                      <a:ext cx="8085455" cy="5607050"/>
                    </a:xfrm>
                    <a:prstGeom prst="rect">
                      <a:avLst/>
                    </a:prstGeom>
                    <a:noFill/>
                    <a:ln>
                      <a:solidFill>
                        <a:schemeClr val="tx1"/>
                      </a:solidFill>
                    </a:ln>
                  </pic:spPr>
                </pic:pic>
              </a:graphicData>
            </a:graphic>
          </wp:inline>
        </w:drawing>
      </w:r>
      <w:r>
        <w:rPr>
          <w:rFonts w:hint="default" w:ascii="Times New Roman" w:hAnsi="Times New Roman" w:cs="Times New Roman"/>
          <w:color w:val="auto"/>
          <w:highlight w:val="none"/>
        </w:rPr>
        <w:drawing>
          <wp:inline distT="0" distB="0" distL="114300" distR="114300">
            <wp:extent cx="8100060" cy="5668010"/>
            <wp:effectExtent l="9525" t="9525" r="22225" b="13335"/>
            <wp:docPr id="1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7"/>
                    <pic:cNvPicPr>
                      <a:picLocks noChangeAspect="1"/>
                    </pic:cNvPicPr>
                  </pic:nvPicPr>
                  <pic:blipFill>
                    <a:blip r:embed="rId87"/>
                    <a:srcRect t="993"/>
                    <a:stretch>
                      <a:fillRect/>
                    </a:stretch>
                  </pic:blipFill>
                  <pic:spPr>
                    <a:xfrm rot="-5400000">
                      <a:off x="0" y="0"/>
                      <a:ext cx="8100060" cy="5668010"/>
                    </a:xfrm>
                    <a:prstGeom prst="rect">
                      <a:avLst/>
                    </a:prstGeom>
                    <a:noFill/>
                    <a:ln>
                      <a:solidFill>
                        <a:schemeClr val="tx1"/>
                      </a:solidFill>
                    </a:ln>
                  </pic:spPr>
                </pic:pic>
              </a:graphicData>
            </a:graphic>
          </wp:inline>
        </w:drawing>
      </w:r>
    </w:p>
    <w:p>
      <w:pPr>
        <w:pStyle w:val="67"/>
        <w:tabs>
          <w:tab w:val="left" w:pos="2340"/>
          <w:tab w:val="left" w:pos="4320"/>
        </w:tabs>
        <w:ind w:left="0" w:leftChars="0" w:firstLine="0" w:firstLineChars="0"/>
        <w:outlineLvl w:val="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r>
        <w:rPr>
          <w:rFonts w:hint="default" w:ascii="Times New Roman" w:hAnsi="Times New Roman" w:cs="Times New Roman"/>
          <w:b/>
          <w:bCs/>
          <w:color w:val="auto"/>
          <w:sz w:val="24"/>
          <w:szCs w:val="24"/>
          <w:highlight w:val="none"/>
          <w:lang w:val="en-US" w:eastAsia="zh-CN"/>
        </w:rPr>
        <w:t>15</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水性油墨成分检测报告</w:t>
      </w:r>
    </w:p>
    <w:p>
      <w:pPr>
        <w:pStyle w:val="67"/>
        <w:tabs>
          <w:tab w:val="left" w:pos="2340"/>
          <w:tab w:val="left" w:pos="4320"/>
        </w:tabs>
        <w:ind w:left="0" w:leftChars="0" w:firstLine="0" w:firstLineChars="0"/>
        <w:rPr>
          <w:rFonts w:hint="default" w:ascii="Times New Roman" w:hAnsi="Times New Roman" w:eastAsia="宋体" w:cs="Times New Roman"/>
          <w:color w:val="auto"/>
          <w:highlight w:val="none"/>
          <w:lang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color w:val="auto"/>
          <w:highlight w:val="none"/>
          <w:lang w:eastAsia="zh-CN"/>
        </w:rPr>
        <w:drawing>
          <wp:inline distT="0" distB="0" distL="114300" distR="114300">
            <wp:extent cx="5610225" cy="7929880"/>
            <wp:effectExtent l="9525" t="9525" r="19050" b="15875"/>
            <wp:docPr id="71" name="图片 71" descr="13_MSDS-水性喷墨墨水（通用KCMYW)202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13_MSDS-水性喷墨墨水（通用KCMYW)2025_00"/>
                    <pic:cNvPicPr>
                      <a:picLocks noChangeAspect="1"/>
                    </pic:cNvPicPr>
                  </pic:nvPicPr>
                  <pic:blipFill>
                    <a:blip r:embed="rId88"/>
                    <a:stretch>
                      <a:fillRect/>
                    </a:stretch>
                  </pic:blipFill>
                  <pic:spPr>
                    <a:xfrm>
                      <a:off x="0" y="0"/>
                      <a:ext cx="5610225" cy="7929880"/>
                    </a:xfrm>
                    <a:prstGeom prst="rect">
                      <a:avLst/>
                    </a:prstGeom>
                    <a:noFill/>
                    <a:ln w="9525" cap="flat" cmpd="sng">
                      <a:solidFill>
                        <a:srgbClr val="000000"/>
                      </a:solidFill>
                      <a:prstDash val="solid"/>
                      <a:miter/>
                      <a:headEnd type="none" w="med" len="med"/>
                      <a:tailEnd type="none" w="med" len="med"/>
                    </a:ln>
                  </pic:spPr>
                </pic:pic>
              </a:graphicData>
            </a:graphic>
          </wp:inline>
        </w:drawing>
      </w:r>
      <w:r>
        <w:rPr>
          <w:rFonts w:hint="default" w:ascii="Times New Roman" w:hAnsi="Times New Roman" w:eastAsia="宋体" w:cs="Times New Roman"/>
          <w:color w:val="auto"/>
          <w:highlight w:val="none"/>
          <w:lang w:eastAsia="zh-CN"/>
        </w:rPr>
        <w:drawing>
          <wp:inline distT="0" distB="0" distL="114300" distR="114300">
            <wp:extent cx="5610225" cy="7929880"/>
            <wp:effectExtent l="9525" t="9525" r="19050" b="15875"/>
            <wp:docPr id="76" name="图片 76" descr="13_MSDS-水性喷墨墨水（通用KCMYW)202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13_MSDS-水性喷墨墨水（通用KCMYW)2025_01"/>
                    <pic:cNvPicPr>
                      <a:picLocks noChangeAspect="1"/>
                    </pic:cNvPicPr>
                  </pic:nvPicPr>
                  <pic:blipFill>
                    <a:blip r:embed="rId89"/>
                    <a:stretch>
                      <a:fillRect/>
                    </a:stretch>
                  </pic:blipFill>
                  <pic:spPr>
                    <a:xfrm>
                      <a:off x="0" y="0"/>
                      <a:ext cx="5610225" cy="7929880"/>
                    </a:xfrm>
                    <a:prstGeom prst="rect">
                      <a:avLst/>
                    </a:prstGeom>
                    <a:noFill/>
                    <a:ln w="9525" cap="flat" cmpd="sng">
                      <a:solidFill>
                        <a:srgbClr val="000000"/>
                      </a:solidFill>
                      <a:prstDash val="solid"/>
                      <a:miter/>
                      <a:headEnd type="none" w="med" len="med"/>
                      <a:tailEnd type="none" w="med" len="med"/>
                    </a:ln>
                  </pic:spPr>
                </pic:pic>
              </a:graphicData>
            </a:graphic>
          </wp:inline>
        </w:drawing>
      </w:r>
      <w:r>
        <w:rPr>
          <w:rFonts w:hint="default" w:ascii="Times New Roman" w:hAnsi="Times New Roman" w:eastAsia="宋体" w:cs="Times New Roman"/>
          <w:color w:val="auto"/>
          <w:highlight w:val="none"/>
          <w:lang w:eastAsia="zh-CN"/>
        </w:rPr>
        <w:drawing>
          <wp:inline distT="0" distB="0" distL="114300" distR="114300">
            <wp:extent cx="5610225" cy="7929880"/>
            <wp:effectExtent l="9525" t="9525" r="19050" b="15875"/>
            <wp:docPr id="80" name="图片 80" descr="13_MSDS-水性喷墨墨水（通用KCMYW)2025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13_MSDS-水性喷墨墨水（通用KCMYW)2025_02"/>
                    <pic:cNvPicPr>
                      <a:picLocks noChangeAspect="1"/>
                    </pic:cNvPicPr>
                  </pic:nvPicPr>
                  <pic:blipFill>
                    <a:blip r:embed="rId90"/>
                    <a:stretch>
                      <a:fillRect/>
                    </a:stretch>
                  </pic:blipFill>
                  <pic:spPr>
                    <a:xfrm>
                      <a:off x="0" y="0"/>
                      <a:ext cx="5610225" cy="7929880"/>
                    </a:xfrm>
                    <a:prstGeom prst="rect">
                      <a:avLst/>
                    </a:prstGeom>
                    <a:noFill/>
                    <a:ln w="9525" cap="flat" cmpd="sng">
                      <a:solidFill>
                        <a:srgbClr val="000000"/>
                      </a:solidFill>
                      <a:prstDash val="solid"/>
                      <a:miter/>
                      <a:headEnd type="none" w="med" len="med"/>
                      <a:tailEnd type="none" w="med" len="med"/>
                    </a:ln>
                  </pic:spPr>
                </pic:pic>
              </a:graphicData>
            </a:graphic>
          </wp:inline>
        </w:drawing>
      </w:r>
      <w:r>
        <w:rPr>
          <w:rFonts w:hint="default" w:ascii="Times New Roman" w:hAnsi="Times New Roman" w:eastAsia="宋体" w:cs="Times New Roman"/>
          <w:color w:val="auto"/>
          <w:highlight w:val="none"/>
          <w:lang w:eastAsia="zh-CN"/>
        </w:rPr>
        <w:drawing>
          <wp:inline distT="0" distB="0" distL="114300" distR="114300">
            <wp:extent cx="5610225" cy="7929880"/>
            <wp:effectExtent l="9525" t="9525" r="19050" b="15875"/>
            <wp:docPr id="111" name="图片 111" descr="13_MSDS-水性喷墨墨水（通用KCMYW)2025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13_MSDS-水性喷墨墨水（通用KCMYW)2025_03"/>
                    <pic:cNvPicPr>
                      <a:picLocks noChangeAspect="1"/>
                    </pic:cNvPicPr>
                  </pic:nvPicPr>
                  <pic:blipFill>
                    <a:blip r:embed="rId91"/>
                    <a:stretch>
                      <a:fillRect/>
                    </a:stretch>
                  </pic:blipFill>
                  <pic:spPr>
                    <a:xfrm>
                      <a:off x="0" y="0"/>
                      <a:ext cx="5610225" cy="7929880"/>
                    </a:xfrm>
                    <a:prstGeom prst="rect">
                      <a:avLst/>
                    </a:prstGeom>
                    <a:noFill/>
                    <a:ln w="9525" cap="flat" cmpd="sng">
                      <a:solidFill>
                        <a:srgbClr val="000000"/>
                      </a:solidFill>
                      <a:prstDash val="solid"/>
                      <a:miter/>
                      <a:headEnd type="none" w="med" len="med"/>
                      <a:tailEnd type="none" w="med" len="med"/>
                    </a:ln>
                  </pic:spPr>
                </pic:pic>
              </a:graphicData>
            </a:graphic>
          </wp:inline>
        </w:drawing>
      </w:r>
    </w:p>
    <w:p>
      <w:pPr>
        <w:pStyle w:val="67"/>
        <w:tabs>
          <w:tab w:val="left" w:pos="2340"/>
          <w:tab w:val="left" w:pos="4320"/>
        </w:tabs>
        <w:ind w:left="0" w:leftChars="0" w:firstLine="0" w:firstLineChars="0"/>
        <w:rPr>
          <w:rFonts w:hint="default" w:ascii="Times New Roman" w:hAnsi="Times New Roman" w:eastAsia="黑体" w:cs="Times New Roman"/>
          <w:color w:val="auto"/>
          <w:sz w:val="21"/>
          <w:highlight w:val="none"/>
        </w:rPr>
      </w:pPr>
      <w:r>
        <w:rPr>
          <w:rFonts w:hint="default" w:ascii="Times New Roman" w:hAnsi="Times New Roman" w:cs="Times New Roman"/>
          <w:color w:val="auto"/>
          <w:sz w:val="24"/>
          <w:highlight w:val="none"/>
        </w:rPr>
        <mc:AlternateContent>
          <mc:Choice Requires="wps">
            <w:drawing>
              <wp:anchor distT="0" distB="0" distL="114300" distR="114300" simplePos="0" relativeHeight="251670528" behindDoc="1" locked="0" layoutInCell="1" allowOverlap="1">
                <wp:simplePos x="0" y="0"/>
                <wp:positionH relativeFrom="column">
                  <wp:posOffset>1458595</wp:posOffset>
                </wp:positionH>
                <wp:positionV relativeFrom="paragraph">
                  <wp:posOffset>7705090</wp:posOffset>
                </wp:positionV>
                <wp:extent cx="1828800" cy="1828800"/>
                <wp:effectExtent l="4445" t="4445" r="10795" b="10795"/>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67"/>
                              <w:tabs>
                                <w:tab w:val="left" w:pos="2340"/>
                                <w:tab w:val="left" w:pos="4320"/>
                              </w:tabs>
                              <w:ind w:left="0" w:leftChars="0" w:firstLine="0" w:firstLineChars="0"/>
                              <w:jc w:val="both"/>
                              <w:outlineLvl w:val="0"/>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附图1  项目地理位置图（1</w:t>
                            </w:r>
                            <w:r>
                              <w:rPr>
                                <w:rFonts w:hint="eastAsia" w:ascii="Times New Roman" w:hAnsi="Times New Roman" w:eastAsia="宋体" w:cs="Times New Roman"/>
                                <w:b/>
                                <w:bCs/>
                                <w:color w:val="auto"/>
                                <w:kern w:val="2"/>
                                <w:sz w:val="24"/>
                                <w:szCs w:val="24"/>
                                <w:lang w:val="en-US" w:eastAsia="zh-CN" w:bidi="ar-SA"/>
                              </w:rPr>
                              <w:t>：</w:t>
                            </w:r>
                            <w:r>
                              <w:rPr>
                                <w:rFonts w:hint="default" w:ascii="Times New Roman" w:hAnsi="Times New Roman" w:eastAsia="宋体" w:cs="Times New Roman"/>
                                <w:b/>
                                <w:bCs/>
                                <w:color w:val="auto"/>
                                <w:kern w:val="2"/>
                                <w:sz w:val="24"/>
                                <w:szCs w:val="24"/>
                                <w:lang w:val="en-US" w:eastAsia="zh-CN" w:bidi="ar-SA"/>
                              </w:rPr>
                              <w:t>100000）</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14.85pt;margin-top:606.7pt;height:144pt;width:144pt;mso-wrap-style:none;z-index:-251645952;mso-width-relative:page;mso-height-relative:page;" fillcolor="#FFFFFF [3201]" filled="t" stroked="t" coordsize="21600,21600" o:gfxdata="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dqpy+2QAAAA0B&#10;AAAPAAAAAAAAAAEAIAAAACIAAABkcnMvZG93bnJldi54bWxQSwECFAAUAAAACACHTuJAtUWlHlMC&#10;AAC4BAAADgAAAAAAAAABACAAAAAoAQAAZHJzL2Uyb0RvYy54bWxQSwUGAAAAAAYABgBZAQAA7QUA&#10;AAAA&#10;">
                <v:fill on="t" focussize="0,0"/>
                <v:stroke weight="0.5pt" color="#000000 [3204]" joinstyle="round"/>
                <v:imagedata o:title=""/>
                <o:lock v:ext="edit" aspectratio="f"/>
                <v:textbox style="mso-fit-shape-to-text:t;">
                  <w:txbxContent>
                    <w:p>
                      <w:pPr>
                        <w:pStyle w:val="67"/>
                        <w:tabs>
                          <w:tab w:val="left" w:pos="2340"/>
                          <w:tab w:val="left" w:pos="4320"/>
                        </w:tabs>
                        <w:ind w:left="0" w:leftChars="0" w:firstLine="0" w:firstLineChars="0"/>
                        <w:jc w:val="both"/>
                        <w:outlineLvl w:val="0"/>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附图1  项目地理位置图（1</w:t>
                      </w:r>
                      <w:r>
                        <w:rPr>
                          <w:rFonts w:hint="eastAsia" w:ascii="Times New Roman" w:hAnsi="Times New Roman" w:eastAsia="宋体" w:cs="Times New Roman"/>
                          <w:b/>
                          <w:bCs/>
                          <w:color w:val="auto"/>
                          <w:kern w:val="2"/>
                          <w:sz w:val="24"/>
                          <w:szCs w:val="24"/>
                          <w:lang w:val="en-US" w:eastAsia="zh-CN" w:bidi="ar-SA"/>
                        </w:rPr>
                        <w:t>：</w:t>
                      </w:r>
                      <w:r>
                        <w:rPr>
                          <w:rFonts w:hint="default" w:ascii="Times New Roman" w:hAnsi="Times New Roman" w:eastAsia="宋体" w:cs="Times New Roman"/>
                          <w:b/>
                          <w:bCs/>
                          <w:color w:val="auto"/>
                          <w:kern w:val="2"/>
                          <w:sz w:val="24"/>
                          <w:szCs w:val="24"/>
                          <w:lang w:val="en-US" w:eastAsia="zh-CN" w:bidi="ar-SA"/>
                        </w:rPr>
                        <w:t>100000）</w:t>
                      </w:r>
                    </w:p>
                  </w:txbxContent>
                </v:textbox>
              </v:shape>
            </w:pict>
          </mc:Fallback>
        </mc:AlternateContent>
      </w:r>
      <w:r>
        <w:rPr>
          <w:rFonts w:hint="default" w:ascii="Times New Roman" w:hAnsi="Times New Roman" w:cs="Times New Roman"/>
          <w:color w:val="auto"/>
          <w:sz w:val="21"/>
          <w:highlight w:val="none"/>
        </w:rPr>
        <mc:AlternateContent>
          <mc:Choice Requires="wpg">
            <w:drawing>
              <wp:anchor distT="0" distB="0" distL="114300" distR="114300" simplePos="0" relativeHeight="251662336" behindDoc="0" locked="0" layoutInCell="1" allowOverlap="1">
                <wp:simplePos x="0" y="0"/>
                <wp:positionH relativeFrom="column">
                  <wp:posOffset>3592830</wp:posOffset>
                </wp:positionH>
                <wp:positionV relativeFrom="paragraph">
                  <wp:posOffset>3077210</wp:posOffset>
                </wp:positionV>
                <wp:extent cx="1106170" cy="793115"/>
                <wp:effectExtent l="4445" t="6350" r="13335" b="19685"/>
                <wp:wrapNone/>
                <wp:docPr id="72" name="组合 72"/>
                <wp:cNvGraphicFramePr/>
                <a:graphic xmlns:a="http://schemas.openxmlformats.org/drawingml/2006/main">
                  <a:graphicData uri="http://schemas.microsoft.com/office/word/2010/wordprocessingGroup">
                    <wpg:wgp>
                      <wpg:cNvGrpSpPr/>
                      <wpg:grpSpPr>
                        <a:xfrm>
                          <a:off x="0" y="0"/>
                          <a:ext cx="1106170" cy="793115"/>
                          <a:chOff x="8771" y="1380905"/>
                          <a:chExt cx="1742" cy="1249"/>
                        </a:xfrm>
                      </wpg:grpSpPr>
                      <wps:wsp>
                        <wps:cNvPr id="11" name="圆角矩形标注 11"/>
                        <wps:cNvSpPr/>
                        <wps:spPr>
                          <a:xfrm>
                            <a:off x="9281" y="1380905"/>
                            <a:ext cx="1233" cy="480"/>
                          </a:xfrm>
                          <a:prstGeom prst="wedgeRoundRectCallout">
                            <a:avLst>
                              <a:gd name="adj1" fmla="val -78953"/>
                              <a:gd name="adj2" fmla="val 181458"/>
                              <a:gd name="adj3" fmla="val 16667"/>
                            </a:avLst>
                          </a:prstGeom>
                          <a:solidFill>
                            <a:schemeClr val="accent2">
                              <a:lumMod val="20000"/>
                              <a:lumOff val="80000"/>
                            </a:schemeClr>
                          </a:solidFill>
                          <a:ln w="12700" cap="flat" cmpd="sng">
                            <a:solidFill>
                              <a:srgbClr val="FF0000"/>
                            </a:solidFill>
                            <a:prstDash val="solid"/>
                            <a:miter/>
                            <a:headEnd type="none" w="med" len="med"/>
                            <a:tailEnd type="none" w="med" len="med"/>
                          </a:ln>
                        </wps:spPr>
                        <wps:txbx>
                          <w:txbxContent>
                            <w:p>
                              <w:pPr>
                                <w:snapToGrid w:val="0"/>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eastAsia="zh-CN"/>
                                </w:rPr>
                                <w:t>位置</w:t>
                              </w:r>
                            </w:p>
                          </w:txbxContent>
                        </wps:txbx>
                        <wps:bodyPr anchor="ctr" anchorCtr="0" upright="1"/>
                      </wps:wsp>
                      <wps:wsp>
                        <wps:cNvPr id="19" name="椭圆 19"/>
                        <wps:cNvSpPr/>
                        <wps:spPr>
                          <a:xfrm>
                            <a:off x="8771" y="1382034"/>
                            <a:ext cx="120" cy="120"/>
                          </a:xfrm>
                          <a:prstGeom prst="ellipse">
                            <a:avLst/>
                          </a:prstGeom>
                          <a:solidFill>
                            <a:srgbClr val="FF0000"/>
                          </a:solidFill>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82.9pt;margin-top:242.3pt;height:62.45pt;width:87.1pt;z-index:251662336;mso-width-relative:page;mso-height-relative:page;" coordorigin="8771,1380905" coordsize="1742,1249" o:gfxdata="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RsJR89sAAAALAQAADwAAAAAAAAABACAAAAAiAAAAZHJzL2Rvd25yZXYueG1sUEsB&#10;AhQAFAAAAAgAh07iQMSDtWFIAwAAiQgAAA4AAAAAAAAAAQAgAAAAKgEAAGRycy9lMm9Eb2MueG1s&#10;UEsFBgAAAAAGAAYAWQEAAOQGAAAAAA==&#10;">
                <o:lock v:ext="edit" aspectratio="f"/>
                <v:shape id="_x0000_s1026" o:spid="_x0000_s1026" o:spt="62" type="#_x0000_t62" style="position:absolute;left:9281;top:1380905;height:480;width:1233;v-text-anchor:middle;" fillcolor="#FBE5D6 [661]" filled="t" stroked="t" coordsize="21600,21600" o:gfxdata="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IJx3LsAAADb&#10;AAAADwAAAAAAAAABACAAAAAiAAAAZHJzL2Rvd25yZXYueG1sUEsBAhQAFAAAAAgAh07iQDMvBZ47&#10;AAAAOQAAABAAAAAAAAAAAQAgAAAACgEAAGRycy9zaGFwZXhtbC54bWxQSwUGAAAAAAYABgBbAQAA&#10;tAMAAAAA&#10;" adj="-6254,49995,14400">
                  <v:fill on="t" focussize="0,0"/>
                  <v:stroke weight="1pt" color="#FF0000" joinstyle="miter"/>
                  <v:imagedata o:title=""/>
                  <o:lock v:ext="edit" aspectratio="f"/>
                  <v:textbox>
                    <w:txbxContent>
                      <w:p>
                        <w:pPr>
                          <w:snapToGrid w:val="0"/>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eastAsia="zh-CN"/>
                          </w:rPr>
                          <w:t>位置</w:t>
                        </w:r>
                      </w:p>
                    </w:txbxContent>
                  </v:textbox>
                </v:shape>
                <v:shape id="_x0000_s1026" o:spid="_x0000_s1026" o:spt="3" type="#_x0000_t3" style="position:absolute;left:8771;top:1382034;height:120;width:120;" fillcolor="#FF0000" filled="t" stroked="t" coordsize="21600,21600" o:gfxdata="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FqBmS5AAAA2wAA&#10;AA8AAAAAAAAAAQAgAAAAIgAAAGRycy9kb3ducmV2LnhtbFBLAQIUABQAAAAIAIdO4kAzLwWeOwAA&#10;ADkAAAAQAAAAAAAAAAEAIAAAAAgBAABkcnMvc2hhcGV4bWwueG1sUEsFBgAAAAAGAAYAWwEAALID&#10;AAAAAA==&#10;">
                  <v:fill on="t" focussize="0,0"/>
                  <v:stroke color="#FF0000" joinstyle="round"/>
                  <v:imagedata o:title=""/>
                  <o:lock v:ext="edit" aspectratio="f"/>
                </v:shape>
              </v:group>
            </w:pict>
          </mc:Fallback>
        </mc:AlternateContent>
      </w:r>
      <w:r>
        <w:rPr>
          <w:rFonts w:hint="default" w:ascii="Times New Roman" w:hAnsi="Times New Roman" w:cs="Times New Roman"/>
          <w:color w:val="auto"/>
          <w:highlight w:val="none"/>
        </w:rPr>
        <w:drawing>
          <wp:anchor distT="0" distB="0" distL="114300" distR="114300" simplePos="0" relativeHeight="251661312" behindDoc="0" locked="0" layoutInCell="1" allowOverlap="1">
            <wp:simplePos x="0" y="0"/>
            <wp:positionH relativeFrom="column">
              <wp:posOffset>4495800</wp:posOffset>
            </wp:positionH>
            <wp:positionV relativeFrom="paragraph">
              <wp:posOffset>89535</wp:posOffset>
            </wp:positionV>
            <wp:extent cx="945515" cy="1004570"/>
            <wp:effectExtent l="0" t="0" r="14605" b="127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2"/>
                    <a:stretch>
                      <a:fillRect/>
                    </a:stretch>
                  </pic:blipFill>
                  <pic:spPr>
                    <a:xfrm>
                      <a:off x="0" y="0"/>
                      <a:ext cx="945515" cy="1004570"/>
                    </a:xfrm>
                    <a:prstGeom prst="rect">
                      <a:avLst/>
                    </a:prstGeom>
                    <a:noFill/>
                    <a:ln>
                      <a:noFill/>
                    </a:ln>
                  </pic:spPr>
                </pic:pic>
              </a:graphicData>
            </a:graphic>
          </wp:anchor>
        </w:drawing>
      </w:r>
      <w:r>
        <w:rPr>
          <w:rFonts w:hint="default" w:ascii="Times New Roman" w:hAnsi="Times New Roman" w:eastAsia="黑体" w:cs="Times New Roman"/>
          <w:color w:val="auto"/>
          <w:sz w:val="21"/>
          <w:highlight w:val="none"/>
        </w:rPr>
        <w:drawing>
          <wp:inline distT="0" distB="0" distL="114300" distR="114300">
            <wp:extent cx="5440680" cy="7552055"/>
            <wp:effectExtent l="9525" t="9525" r="20955" b="12700"/>
            <wp:docPr id="8" name="图片 6" descr="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附图"/>
                    <pic:cNvPicPr>
                      <a:picLocks noChangeAspect="1"/>
                    </pic:cNvPicPr>
                  </pic:nvPicPr>
                  <pic:blipFill>
                    <a:blip r:embed="rId93"/>
                    <a:stretch>
                      <a:fillRect/>
                    </a:stretch>
                  </pic:blipFill>
                  <pic:spPr>
                    <a:xfrm>
                      <a:off x="0" y="0"/>
                      <a:ext cx="5440680" cy="7552055"/>
                    </a:xfrm>
                    <a:prstGeom prst="rect">
                      <a:avLst/>
                    </a:prstGeom>
                    <a:noFill/>
                    <a:ln w="9525" cap="flat" cmpd="sng">
                      <a:solidFill>
                        <a:srgbClr val="000000"/>
                      </a:solidFill>
                      <a:prstDash val="solid"/>
                      <a:miter/>
                      <a:headEnd type="none" w="med" len="med"/>
                      <a:tailEnd type="none" w="med" len="med"/>
                    </a:ln>
                  </pic:spPr>
                </pic:pic>
              </a:graphicData>
            </a:graphic>
          </wp:inline>
        </w:drawing>
      </w:r>
    </w:p>
    <w:p>
      <w:pPr>
        <w:pStyle w:val="67"/>
        <w:tabs>
          <w:tab w:val="left" w:pos="2340"/>
          <w:tab w:val="left" w:pos="4320"/>
        </w:tabs>
        <w:ind w:left="0" w:leftChars="0" w:firstLine="0" w:firstLineChars="0"/>
        <w:jc w:val="center"/>
        <w:outlineLvl w:val="0"/>
        <w:rPr>
          <w:rFonts w:hint="default" w:ascii="Times New Roman" w:hAnsi="Times New Roman" w:eastAsia="宋体" w:cs="Times New Roman"/>
          <w:b/>
          <w:bCs/>
          <w:color w:val="auto"/>
          <w:sz w:val="24"/>
          <w:szCs w:val="24"/>
          <w:highlight w:val="none"/>
          <w:lang w:val="en-US" w:eastAsia="zh-CN"/>
        </w:rPr>
      </w:pPr>
    </w:p>
    <w:p>
      <w:pPr>
        <w:pStyle w:val="67"/>
        <w:tabs>
          <w:tab w:val="left" w:pos="2340"/>
          <w:tab w:val="left" w:pos="4320"/>
        </w:tabs>
        <w:ind w:left="0" w:leftChars="0" w:firstLine="0" w:firstLineChars="0"/>
        <w:rPr>
          <w:rFonts w:hint="default" w:ascii="Times New Roman" w:hAnsi="Times New Roman" w:eastAsia="宋体" w:cs="Times New Roman"/>
          <w:b/>
          <w:bCs/>
          <w:color w:val="auto"/>
          <w:sz w:val="24"/>
          <w:szCs w:val="24"/>
          <w:highlight w:val="none"/>
          <w:lang w:val="en-US" w:eastAsia="zh-CN"/>
        </w:rPr>
      </w:pPr>
    </w:p>
    <w:p>
      <w:pPr>
        <w:pStyle w:val="67"/>
        <w:tabs>
          <w:tab w:val="left" w:pos="2340"/>
          <w:tab w:val="left" w:pos="4320"/>
        </w:tabs>
        <w:ind w:left="0" w:leftChars="0" w:firstLine="0" w:firstLineChars="0"/>
        <w:rPr>
          <w:rFonts w:hint="default" w:ascii="Times New Roman" w:hAnsi="Times New Roman" w:eastAsia="宋体" w:cs="Times New Roman"/>
          <w:b/>
          <w:bCs/>
          <w:color w:val="auto"/>
          <w:sz w:val="24"/>
          <w:szCs w:val="24"/>
          <w:highlight w:val="none"/>
          <w:lang w:val="en-US" w:eastAsia="zh-CN"/>
        </w:rPr>
      </w:pPr>
    </w:p>
    <w:p>
      <w:pPr>
        <w:pStyle w:val="67"/>
        <w:tabs>
          <w:tab w:val="left" w:pos="2340"/>
          <w:tab w:val="left" w:pos="4320"/>
        </w:tabs>
        <w:ind w:left="0" w:leftChars="0" w:firstLine="0" w:firstLineChars="0"/>
        <w:rPr>
          <w:rFonts w:hint="default" w:ascii="Times New Roman" w:hAnsi="Times New Roman" w:eastAsia="宋体" w:cs="Times New Roman"/>
          <w:b/>
          <w:bCs/>
          <w:color w:val="auto"/>
          <w:sz w:val="24"/>
          <w:szCs w:val="24"/>
          <w:highlight w:val="none"/>
          <w:lang w:val="en-US" w:eastAsia="zh-CN"/>
        </w:rPr>
        <w:sectPr>
          <w:pgSz w:w="11906" w:h="16838"/>
          <w:pgMar w:top="1701" w:right="1531" w:bottom="1701" w:left="1531" w:header="510" w:footer="794" w:gutter="0"/>
          <w:pgBorders>
            <w:top w:val="none" w:sz="0" w:space="0"/>
            <w:left w:val="none" w:sz="0" w:space="0"/>
            <w:bottom w:val="none" w:sz="0" w:space="0"/>
            <w:right w:val="none" w:sz="0" w:space="0"/>
          </w:pgBorders>
          <w:pgNumType w:fmt="decimal"/>
          <w:cols w:space="720" w:num="1"/>
          <w:docGrid w:type="lines" w:linePitch="312" w:charSpace="0"/>
        </w:sectPr>
      </w:pPr>
    </w:p>
    <w:p>
      <w:pPr>
        <w:jc w:val="both"/>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drawing>
          <wp:anchor distT="0" distB="0" distL="114300" distR="114300" simplePos="0" relativeHeight="251665408" behindDoc="0" locked="0" layoutInCell="1" allowOverlap="1">
            <wp:simplePos x="0" y="0"/>
            <wp:positionH relativeFrom="column">
              <wp:posOffset>7838440</wp:posOffset>
            </wp:positionH>
            <wp:positionV relativeFrom="paragraph">
              <wp:posOffset>-42545</wp:posOffset>
            </wp:positionV>
            <wp:extent cx="945515" cy="1004570"/>
            <wp:effectExtent l="0" t="0" r="14605" b="127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92"/>
                    <a:stretch>
                      <a:fillRect/>
                    </a:stretch>
                  </pic:blipFill>
                  <pic:spPr>
                    <a:xfrm>
                      <a:off x="0" y="0"/>
                      <a:ext cx="945515" cy="1004570"/>
                    </a:xfrm>
                    <a:prstGeom prst="rect">
                      <a:avLst/>
                    </a:prstGeom>
                    <a:noFill/>
                    <a:ln>
                      <a:noFill/>
                    </a:ln>
                  </pic:spPr>
                </pic:pic>
              </a:graphicData>
            </a:graphic>
          </wp:anchor>
        </w:drawing>
      </w:r>
      <w:r>
        <w:rPr>
          <w:rFonts w:hint="default" w:ascii="Times New Roman" w:hAnsi="Times New Roman" w:cs="Times New Roman"/>
          <w:color w:val="auto"/>
          <w:highlight w:val="none"/>
        </w:rPr>
        <w:drawing>
          <wp:anchor distT="0" distB="0" distL="114300" distR="114300" simplePos="0" relativeHeight="251666432" behindDoc="1" locked="0" layoutInCell="1" allowOverlap="1">
            <wp:simplePos x="0" y="0"/>
            <wp:positionH relativeFrom="column">
              <wp:posOffset>-65405</wp:posOffset>
            </wp:positionH>
            <wp:positionV relativeFrom="paragraph">
              <wp:posOffset>-29210</wp:posOffset>
            </wp:positionV>
            <wp:extent cx="8860790" cy="5993130"/>
            <wp:effectExtent l="0" t="0" r="8890" b="11430"/>
            <wp:wrapNone/>
            <wp:docPr id="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1"/>
                    </pic:cNvPicPr>
                  </pic:nvPicPr>
                  <pic:blipFill>
                    <a:blip r:embed="rId94"/>
                    <a:stretch>
                      <a:fillRect/>
                    </a:stretch>
                  </pic:blipFill>
                  <pic:spPr>
                    <a:xfrm>
                      <a:off x="0" y="0"/>
                      <a:ext cx="8860790" cy="5993130"/>
                    </a:xfrm>
                    <a:prstGeom prst="rect">
                      <a:avLst/>
                    </a:prstGeom>
                    <a:noFill/>
                    <a:ln>
                      <a:noFill/>
                    </a:ln>
                  </pic:spPr>
                </pic:pic>
              </a:graphicData>
            </a:graphic>
          </wp:anchor>
        </w:drawing>
      </w:r>
    </w:p>
    <w:p>
      <w:pPr>
        <w:jc w:val="both"/>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 w:val="21"/>
          <w:highlight w:val="none"/>
        </w:rPr>
        <mc:AlternateContent>
          <mc:Choice Requires="wps">
            <w:drawing>
              <wp:anchor distT="0" distB="0" distL="114300" distR="114300" simplePos="0" relativeHeight="251660288" behindDoc="0" locked="0" layoutInCell="1" allowOverlap="1">
                <wp:simplePos x="0" y="0"/>
                <wp:positionH relativeFrom="column">
                  <wp:posOffset>1168400</wp:posOffset>
                </wp:positionH>
                <wp:positionV relativeFrom="paragraph">
                  <wp:posOffset>158750</wp:posOffset>
                </wp:positionV>
                <wp:extent cx="5359400" cy="4437380"/>
                <wp:effectExtent l="7620" t="6350" r="12700" b="6350"/>
                <wp:wrapNone/>
                <wp:docPr id="95" name="任意多边形 95"/>
                <wp:cNvGraphicFramePr/>
                <a:graphic xmlns:a="http://schemas.openxmlformats.org/drawingml/2006/main">
                  <a:graphicData uri="http://schemas.microsoft.com/office/word/2010/wordprocessingShape">
                    <wps:wsp>
                      <wps:cNvSpPr/>
                      <wps:spPr>
                        <a:xfrm>
                          <a:off x="2082800" y="1271270"/>
                          <a:ext cx="5359400" cy="4437380"/>
                        </a:xfrm>
                        <a:custGeom>
                          <a:avLst/>
                          <a:gdLst>
                            <a:gd name="connisteX0" fmla="*/ 2506345 w 5359400"/>
                            <a:gd name="connsiteY0" fmla="*/ 0 h 4876800"/>
                            <a:gd name="connisteX1" fmla="*/ 5359400 w 5359400"/>
                            <a:gd name="connsiteY1" fmla="*/ 59690 h 4876800"/>
                            <a:gd name="connisteX2" fmla="*/ 5080000 w 5359400"/>
                            <a:gd name="connsiteY2" fmla="*/ 4876800 h 4876800"/>
                            <a:gd name="connisteX3" fmla="*/ 0 w 5359400"/>
                            <a:gd name="connsiteY3" fmla="*/ 4876800 h 4876800"/>
                            <a:gd name="connisteX4" fmla="*/ 558800 w 5359400"/>
                            <a:gd name="connsiteY4" fmla="*/ 1075690 h 4876800"/>
                            <a:gd name="connisteX5" fmla="*/ 2506345 w 5359400"/>
                            <a:gd name="connsiteY5" fmla="*/ 0 h 48768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5359400" h="4876800">
                              <a:moveTo>
                                <a:pt x="2506345" y="0"/>
                              </a:moveTo>
                              <a:lnTo>
                                <a:pt x="5359400" y="59690"/>
                              </a:lnTo>
                              <a:lnTo>
                                <a:pt x="5080000" y="4876800"/>
                              </a:lnTo>
                              <a:lnTo>
                                <a:pt x="0" y="4876800"/>
                              </a:lnTo>
                              <a:lnTo>
                                <a:pt x="558800" y="1075690"/>
                              </a:lnTo>
                              <a:lnTo>
                                <a:pt x="2506345" y="0"/>
                              </a:lnTo>
                              <a:close/>
                            </a:path>
                          </a:pathLst>
                        </a:custGeom>
                        <a:solidFill>
                          <a:srgbClr val="FF0000">
                            <a:alpha val="28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92pt;margin-top:12.5pt;height:349.4pt;width:422pt;z-index:251660288;mso-width-relative:page;mso-height-relative:page;" fillcolor="#FF0000" filled="t" stroked="t" coordsize="5359400,4876800" o:gfxdata="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5WTMr9sAAAALAQAADwAAAAAAAAABACAAAAAiAAAAZHJzL2Rvd25yZXYu&#10;eG1sUEsBAhQAFAAAAAgAh07iQOQDazZOAwAAhQkAAA4AAAAAAAAAAQAgAAAAKgEAAGRycy9lMm9E&#10;b2MueG1sUEsFBgAAAAAGAAYAWQEAAOoGAAAAAA==&#10;" path="m2506345,0l5359400,59690,5080000,4876800,0,4876800,558800,1075690,2506345,0xe">
                <v:path o:connectlocs="2506345,0;5359400,54311;5080000,4437380;0,4437380;558800,978765;2506345,0" o:connectangles="0,0,0,0,0,0"/>
                <v:fill on="t" opacity="18350f" focussize="0,0"/>
                <v:stroke weight="1pt" color="#FF0000 [3204]" miterlimit="8" joinstyle="miter"/>
                <v:imagedata o:title=""/>
                <o:lock v:ext="edit" aspectratio="f"/>
              </v:shape>
            </w:pict>
          </mc:Fallback>
        </mc:AlternateContent>
      </w:r>
    </w:p>
    <w:p>
      <w:pPr>
        <w:jc w:val="both"/>
        <w:rPr>
          <w:rFonts w:hint="default" w:ascii="Times New Roman" w:hAnsi="Times New Roman" w:eastAsia="宋体" w:cs="Times New Roman"/>
          <w:color w:val="auto"/>
          <w:highlight w:val="none"/>
          <w:lang w:eastAsia="zh-CN"/>
        </w:rPr>
      </w:pPr>
    </w:p>
    <w:p>
      <w:pPr>
        <w:pStyle w:val="67"/>
        <w:tabs>
          <w:tab w:val="left" w:pos="2340"/>
          <w:tab w:val="left" w:pos="4320"/>
        </w:tabs>
        <w:ind w:left="0" w:leftChars="0" w:firstLine="0" w:firstLineChars="0"/>
        <w:jc w:val="center"/>
        <w:outlineLvl w:val="9"/>
        <w:rPr>
          <w:rFonts w:hint="default" w:ascii="Times New Roman" w:hAnsi="Times New Roman" w:eastAsia="宋体" w:cs="Times New Roman"/>
          <w:b/>
          <w:bCs/>
          <w:color w:val="auto"/>
          <w:kern w:val="2"/>
          <w:sz w:val="24"/>
          <w:szCs w:val="24"/>
          <w:highlight w:val="none"/>
          <w:lang w:val="en-US" w:eastAsia="zh-CN" w:bidi="ar-SA"/>
        </w:rPr>
      </w:pPr>
    </w:p>
    <w:p>
      <w:pPr>
        <w:pStyle w:val="67"/>
        <w:tabs>
          <w:tab w:val="left" w:pos="2340"/>
          <w:tab w:val="left" w:pos="4320"/>
        </w:tabs>
        <w:ind w:left="0" w:leftChars="0" w:firstLine="0" w:firstLineChars="0"/>
        <w:jc w:val="center"/>
        <w:outlineLvl w:val="0"/>
        <w:rPr>
          <w:rFonts w:hint="default" w:ascii="Times New Roman" w:hAnsi="Times New Roman" w:eastAsia="宋体" w:cs="Times New Roman"/>
          <w:b/>
          <w:bCs/>
          <w:color w:val="auto"/>
          <w:sz w:val="24"/>
          <w:szCs w:val="24"/>
          <w:highlight w:val="none"/>
          <w:lang w:eastAsia="zh-CN"/>
        </w:rPr>
        <w:sectPr>
          <w:pgSz w:w="16838" w:h="11906" w:orient="landscape"/>
          <w:pgMar w:top="1440" w:right="1440" w:bottom="1440" w:left="1440"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sz w:val="24"/>
          <w:highlight w:val="none"/>
        </w:rPr>
        <mc:AlternateContent>
          <mc:Choice Requires="wps">
            <w:drawing>
              <wp:anchor distT="0" distB="0" distL="114300" distR="114300" simplePos="0" relativeHeight="251681792" behindDoc="1" locked="0" layoutInCell="1" allowOverlap="1">
                <wp:simplePos x="0" y="0"/>
                <wp:positionH relativeFrom="column">
                  <wp:posOffset>3296285</wp:posOffset>
                </wp:positionH>
                <wp:positionV relativeFrom="paragraph">
                  <wp:posOffset>4862195</wp:posOffset>
                </wp:positionV>
                <wp:extent cx="1828800" cy="1828800"/>
                <wp:effectExtent l="4445" t="4445" r="10795" b="10795"/>
                <wp:wrapTight wrapText="bothSides">
                  <wp:wrapPolygon>
                    <wp:start x="-33" y="-324"/>
                    <wp:lineTo x="-33" y="20812"/>
                    <wp:lineTo x="21481" y="20812"/>
                    <wp:lineTo x="21481" y="-324"/>
                    <wp:lineTo x="-33" y="-324"/>
                  </wp:wrapPolygon>
                </wp:wrapTight>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67"/>
                              <w:tabs>
                                <w:tab w:val="left" w:pos="2340"/>
                                <w:tab w:val="left" w:pos="4320"/>
                              </w:tabs>
                              <w:ind w:left="0" w:leftChars="0" w:firstLine="0" w:firstLineChars="0"/>
                              <w:jc w:val="center"/>
                              <w:outlineLvl w:val="0"/>
                              <w:rPr>
                                <w:rFonts w:hint="eastAsia" w:ascii="Times New Roman" w:hAnsi="Times New Roman"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附图2  项目敏感目标关系图</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59.55pt;margin-top:382.85pt;height:144pt;width:144pt;mso-wrap-distance-left:9pt;mso-wrap-distance-right:9pt;mso-wrap-style:none;z-index:-251634688;mso-width-relative:page;mso-height-relative:page;" fillcolor="#FFFFFF [3201]" filled="t" stroked="t" coordsize="21600,21600" wrapcoords="-33 -324 -33 20812 21481 20812 21481 -324 -33 -324" o:gfxdata="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J8n5DZAAAADAEA&#10;AA8AAAAAAAAAAQAgAAAAIgAAAGRycy9kb3ducmV2LnhtbFBLAQIUABQAAAAIAIdO4kBm8sOvUgIA&#10;ALgEAAAOAAAAAAAAAAEAIAAAACgBAABkcnMvZTJvRG9jLnhtbFBLBQYAAAAABgAGAFkBAADsBQAA&#10;AAA=&#10;">
                <v:fill on="t" focussize="0,0"/>
                <v:stroke weight="0.5pt" color="#000000 [3204]" joinstyle="round"/>
                <v:imagedata o:title=""/>
                <o:lock v:ext="edit" aspectratio="f"/>
                <v:textbox style="mso-fit-shape-to-text:t;">
                  <w:txbxContent>
                    <w:p>
                      <w:pPr>
                        <w:pStyle w:val="67"/>
                        <w:tabs>
                          <w:tab w:val="left" w:pos="2340"/>
                          <w:tab w:val="left" w:pos="4320"/>
                        </w:tabs>
                        <w:ind w:left="0" w:leftChars="0" w:firstLine="0" w:firstLineChars="0"/>
                        <w:jc w:val="center"/>
                        <w:outlineLvl w:val="0"/>
                        <w:rPr>
                          <w:rFonts w:hint="eastAsia" w:ascii="Times New Roman" w:hAnsi="Times New Roman"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附图2  项目敏感目标关系图</w:t>
                      </w:r>
                    </w:p>
                  </w:txbxContent>
                </v:textbox>
                <w10:wrap type="tight"/>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4121785</wp:posOffset>
                </wp:positionH>
                <wp:positionV relativeFrom="paragraph">
                  <wp:posOffset>1141730</wp:posOffset>
                </wp:positionV>
                <wp:extent cx="669290" cy="277495"/>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669290" cy="277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color w:val="FFFF00"/>
                                <w:lang w:val="en-US" w:eastAsia="zh-CN"/>
                              </w:rPr>
                            </w:pPr>
                            <w:r>
                              <w:rPr>
                                <w:rFonts w:hint="eastAsia"/>
                                <w:color w:val="FFFF00"/>
                                <w:lang w:val="en-US" w:eastAsia="zh-CN"/>
                              </w:rPr>
                              <w:t>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55pt;margin-top:89.9pt;height:21.85pt;width:52.7pt;z-index:251680768;mso-width-relative:page;mso-height-relative:page;" filled="f" stroked="f" coordsize="21600,21600" o:gfxdata="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&#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pdAO03AAAAAsBAAAPAAAAAAAAAAEAIAAAACIAAABk&#10;cnMvZG93bnJldi54bWxQSwECFAAUAAAACACHTuJAZqKQ6DsCAABnBAAADgAAAAAAAAABACAAAAAr&#10;AQAAZHJzL2Uyb0RvYy54bWxQSwUGAAAAAAYABgBZAQAA2AUAAAAA&#10;">
                <v:fill on="f" focussize="0,0"/>
                <v:stroke on="f" weight="0.5pt"/>
                <v:imagedata o:title=""/>
                <o:lock v:ext="edit" aspectratio="f"/>
                <v:textbox>
                  <w:txbxContent>
                    <w:p>
                      <w:pPr>
                        <w:jc w:val="center"/>
                        <w:rPr>
                          <w:rFonts w:hint="default" w:eastAsia="宋体"/>
                          <w:color w:val="FFFF00"/>
                          <w:lang w:val="en-US" w:eastAsia="zh-CN"/>
                        </w:rPr>
                      </w:pPr>
                      <w:r>
                        <w:rPr>
                          <w:rFonts w:hint="eastAsia"/>
                          <w:color w:val="FFFF00"/>
                          <w:lang w:val="en-US" w:eastAsia="zh-CN"/>
                        </w:rPr>
                        <w:t>5m</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2962275</wp:posOffset>
                </wp:positionH>
                <wp:positionV relativeFrom="paragraph">
                  <wp:posOffset>1887855</wp:posOffset>
                </wp:positionV>
                <wp:extent cx="669290" cy="277495"/>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669290" cy="277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color w:val="FFFF00"/>
                                <w:lang w:val="en-US" w:eastAsia="zh-CN"/>
                              </w:rPr>
                            </w:pPr>
                            <w:r>
                              <w:rPr>
                                <w:rFonts w:hint="eastAsia"/>
                                <w:color w:val="FFFF00"/>
                                <w:lang w:val="en-US" w:eastAsia="zh-CN"/>
                              </w:rPr>
                              <w:t>170m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3.25pt;margin-top:148.65pt;height:21.85pt;width:52.7pt;z-index:251679744;mso-width-relative:page;mso-height-relative:page;" filled="f" stroked="f" coordsize="21600,21600" o:gfxdata="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Jm2rzeAAAACwEAAA8AAAAAAAAAAQAgAAAAIgAA&#10;AGRycy9kb3ducmV2LnhtbFBLAQIUABQAAAAIAIdO4kDWLLwVOwIAAGcEAAAOAAAAAAAAAAEAIAAA&#10;AC0BAABkcnMvZTJvRG9jLnhtbFBLBQYAAAAABgAGAFkBAADaBQAAAAA=&#10;">
                <v:fill on="f" focussize="0,0"/>
                <v:stroke on="f" weight="0.5pt"/>
                <v:imagedata o:title=""/>
                <o:lock v:ext="edit" aspectratio="f"/>
                <v:textbox>
                  <w:txbxContent>
                    <w:p>
                      <w:pPr>
                        <w:jc w:val="center"/>
                        <w:rPr>
                          <w:rFonts w:hint="default" w:eastAsia="宋体"/>
                          <w:color w:val="FFFF00"/>
                          <w:lang w:val="en-US" w:eastAsia="zh-CN"/>
                        </w:rPr>
                      </w:pPr>
                      <w:r>
                        <w:rPr>
                          <w:rFonts w:hint="eastAsia"/>
                          <w:color w:val="FFFF00"/>
                          <w:lang w:val="en-US" w:eastAsia="zh-CN"/>
                        </w:rPr>
                        <w:t>170m</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8720" behindDoc="0" locked="0" layoutInCell="1" allowOverlap="1">
                <wp:simplePos x="0" y="0"/>
                <wp:positionH relativeFrom="column">
                  <wp:posOffset>1688465</wp:posOffset>
                </wp:positionH>
                <wp:positionV relativeFrom="paragraph">
                  <wp:posOffset>2181225</wp:posOffset>
                </wp:positionV>
                <wp:extent cx="669290" cy="277495"/>
                <wp:effectExtent l="4445" t="4445" r="12065" b="7620"/>
                <wp:wrapNone/>
                <wp:docPr id="88" name="文本框 88"/>
                <wp:cNvGraphicFramePr/>
                <a:graphic xmlns:a="http://schemas.openxmlformats.org/drawingml/2006/main">
                  <a:graphicData uri="http://schemas.microsoft.com/office/word/2010/wordprocessingShape">
                    <wps:wsp>
                      <wps:cNvSpPr txBox="1"/>
                      <wps:spPr>
                        <a:xfrm>
                          <a:off x="0" y="0"/>
                          <a:ext cx="669290" cy="277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仁和村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95pt;margin-top:171.75pt;height:21.85pt;width:52.7pt;z-index:251678720;mso-width-relative:page;mso-height-relative:page;" fillcolor="#FFFFFF [3201]" filled="t" stroked="t" coordsize="21600,21600" o:gfxdata="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TfZ0+2AAA&#10;AAsBAAAPAAAAAAAAAAEAIAAAACIAAABkcnMvZG93bnJldi54bWxQSwECFAAUAAAACACHTuJALTGk&#10;0FcCAAC4BAAADgAAAAAAAAABACAAAAAnAQAAZHJzL2Uyb0RvYy54bWxQSwUGAAAAAAYABgBZAQAA&#10;8AU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仁和村</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7696" behindDoc="0" locked="0" layoutInCell="1" allowOverlap="1">
                <wp:simplePos x="0" y="0"/>
                <wp:positionH relativeFrom="column">
                  <wp:posOffset>4791075</wp:posOffset>
                </wp:positionH>
                <wp:positionV relativeFrom="paragraph">
                  <wp:posOffset>1642110</wp:posOffset>
                </wp:positionV>
                <wp:extent cx="669290" cy="277495"/>
                <wp:effectExtent l="4445" t="4445" r="12065" b="7620"/>
                <wp:wrapNone/>
                <wp:docPr id="87" name="文本框 87"/>
                <wp:cNvGraphicFramePr/>
                <a:graphic xmlns:a="http://schemas.openxmlformats.org/drawingml/2006/main">
                  <a:graphicData uri="http://schemas.microsoft.com/office/word/2010/wordprocessingShape">
                    <wps:wsp>
                      <wps:cNvSpPr txBox="1"/>
                      <wps:spPr>
                        <a:xfrm>
                          <a:off x="5705475" y="3348990"/>
                          <a:ext cx="669290" cy="277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水磨村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7.25pt;margin-top:129.3pt;height:21.85pt;width:52.7pt;z-index:251677696;mso-width-relative:page;mso-height-relative:page;" fillcolor="#FFFFFF [3201]" filled="t" stroked="t" coordsize="21600,21600" o:gfxdata="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MCRWG2QAAAAsBAAAPAAAAAAAAAAEAIAAAACIAAABkcnMvZG93bnJldi54bWxQSwEC&#10;FAAUAAAACACHTuJAWk2NUGUCAADEBAAADgAAAAAAAAABACAAAAAoAQAAZHJzL2Uyb0RvYy54bWxQ&#10;SwUGAAAAAAYABgBZAQAA/wU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水磨村</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6672" behindDoc="0" locked="0" layoutInCell="1" allowOverlap="1">
                <wp:simplePos x="0" y="0"/>
                <wp:positionH relativeFrom="column">
                  <wp:posOffset>3611880</wp:posOffset>
                </wp:positionH>
                <wp:positionV relativeFrom="paragraph">
                  <wp:posOffset>2235200</wp:posOffset>
                </wp:positionV>
                <wp:extent cx="0" cy="4445"/>
                <wp:effectExtent l="48895" t="85725" r="57785" b="1270"/>
                <wp:wrapNone/>
                <wp:docPr id="85" name="直接箭头连接符 85"/>
                <wp:cNvGraphicFramePr/>
                <a:graphic xmlns:a="http://schemas.openxmlformats.org/drawingml/2006/main">
                  <a:graphicData uri="http://schemas.microsoft.com/office/word/2010/wordprocessingShape">
                    <wps:wsp>
                      <wps:cNvCnPr/>
                      <wps:spPr>
                        <a:xfrm>
                          <a:off x="4526280" y="3942080"/>
                          <a:ext cx="0" cy="4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84.4pt;margin-top:176pt;height:0.35pt;width:0pt;z-index:251676672;mso-width-relative:page;mso-height-relative:page;" filled="f" stroked="t" coordsize="21600,21600" o:gfxdata="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trfdUAAAALAQAADwAAAAAAAAAB&#10;ACAAAAAiAAAAZHJzL2Rvd25yZXYueG1sUEsBAhQAFAAAAAgAh07iQKHDtswTAgAA6QMAAA4AAAAA&#10;AAAAAQAgAAAAJAEAAGRycy9lMm9Eb2MueG1sUEsFBgAAAAAGAAYAWQEAAKkFAAAAAA==&#10;">
                <v:fill on="f" focussize="0,0"/>
                <v:stroke weight="0.5pt" color="#5B9BD5 [3204]" miterlimit="8" joinstyle="miter" endarrow="open"/>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5648" behindDoc="0" locked="0" layoutInCell="1" allowOverlap="1">
                <wp:simplePos x="0" y="0"/>
                <wp:positionH relativeFrom="column">
                  <wp:posOffset>2854325</wp:posOffset>
                </wp:positionH>
                <wp:positionV relativeFrom="paragraph">
                  <wp:posOffset>2212340</wp:posOffset>
                </wp:positionV>
                <wp:extent cx="788035" cy="58420"/>
                <wp:effectExtent l="0" t="4445" r="4445" b="43815"/>
                <wp:wrapNone/>
                <wp:docPr id="82" name="直接箭头连接符 82"/>
                <wp:cNvGraphicFramePr/>
                <a:graphic xmlns:a="http://schemas.openxmlformats.org/drawingml/2006/main">
                  <a:graphicData uri="http://schemas.microsoft.com/office/word/2010/wordprocessingShape">
                    <wps:wsp>
                      <wps:cNvCnPr>
                        <a:stCxn id="68" idx="7"/>
                      </wps:cNvCnPr>
                      <wps:spPr>
                        <a:xfrm flipH="1">
                          <a:off x="4556760" y="3919220"/>
                          <a:ext cx="788035" cy="5842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4.75pt;margin-top:174.2pt;height:4.6pt;width:62.05pt;z-index:251675648;mso-width-relative:page;mso-height-relative:page;" filled="f" stroked="t" coordsize="21600,21600" o:gfxdata="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M+Enx3QAAAAsBAAAPAAAAAAAAAAEAIAAAACIAAABkcnMvZG93bnJl&#10;di54bWxQSwECFAAUAAAACACHTuJAwEVQkDECAAAgBAAADgAAAAAAAAABACAAAAAsAQAAZHJzL2Uy&#10;b0RvYy54bWxQSwUGAAAAAAYABgBZAQAAzwUAAAAA&#10;">
                <v:fill on="f" focussize="0,0"/>
                <v:stroke weight="0.5pt" color="#FFFF00 [3204]" miterlimit="8" joinstyle="miter" endarrow="open"/>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4624" behindDoc="0" locked="0" layoutInCell="1" allowOverlap="1">
                <wp:simplePos x="0" y="0"/>
                <wp:positionH relativeFrom="column">
                  <wp:posOffset>4321175</wp:posOffset>
                </wp:positionH>
                <wp:positionV relativeFrom="paragraph">
                  <wp:posOffset>1776095</wp:posOffset>
                </wp:positionV>
                <wp:extent cx="19050" cy="0"/>
                <wp:effectExtent l="71120" t="48895" r="1270" b="57785"/>
                <wp:wrapNone/>
                <wp:docPr id="81" name="直接箭头连接符 81"/>
                <wp:cNvGraphicFramePr/>
                <a:graphic xmlns:a="http://schemas.openxmlformats.org/drawingml/2006/main">
                  <a:graphicData uri="http://schemas.microsoft.com/office/word/2010/wordprocessingShape">
                    <wps:wsp>
                      <wps:cNvCnPr/>
                      <wps:spPr>
                        <a:xfrm>
                          <a:off x="5235575" y="3482975"/>
                          <a:ext cx="19050" cy="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0.25pt;margin-top:139.85pt;height:0pt;width:1.5pt;z-index:251674624;mso-width-relative:page;mso-height-relative:page;" filled="f" stroked="t" coordsize="21600,21600" o:gfxdata="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tIPBDaAAAACwEAAA8AAAAA&#10;AAAAAQAgAAAAIgAAAGRycy9kb3ducmV2LnhtbFBLAQIUABQAAAAIAIdO4kAMs7x4EgIAAOoDAAAO&#10;AAAAAAAAAAEAIAAAACkBAABkcnMvZTJvRG9jLnhtbFBLBQYAAAAABgAGAFkBAACtBQAAAAA=&#10;">
                <v:fill on="f" focussize="0,0"/>
                <v:stroke weight="0.5pt" color="#FFFF00 [3204]" miterlimit="8" joinstyle="miter" endarrow="open"/>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3600" behindDoc="0" locked="0" layoutInCell="1" allowOverlap="1">
                <wp:simplePos x="0" y="0"/>
                <wp:positionH relativeFrom="column">
                  <wp:posOffset>566420</wp:posOffset>
                </wp:positionH>
                <wp:positionV relativeFrom="paragraph">
                  <wp:posOffset>1381760</wp:posOffset>
                </wp:positionV>
                <wp:extent cx="2386330" cy="1968500"/>
                <wp:effectExtent l="6985" t="6350" r="14605" b="21590"/>
                <wp:wrapNone/>
                <wp:docPr id="70" name="任意多边形 70"/>
                <wp:cNvGraphicFramePr/>
                <a:graphic xmlns:a="http://schemas.openxmlformats.org/drawingml/2006/main">
                  <a:graphicData uri="http://schemas.microsoft.com/office/word/2010/wordprocessingShape">
                    <wps:wsp>
                      <wps:cNvSpPr/>
                      <wps:spPr>
                        <a:xfrm>
                          <a:off x="1480820" y="3088640"/>
                          <a:ext cx="2386330" cy="1968500"/>
                        </a:xfrm>
                        <a:custGeom>
                          <a:avLst/>
                          <a:gdLst>
                            <a:gd name="connisteX0" fmla="*/ 1403985 w 2386330"/>
                            <a:gd name="connsiteY0" fmla="*/ 27305 h 1968500"/>
                            <a:gd name="connisteX1" fmla="*/ 2193925 w 2386330"/>
                            <a:gd name="connsiteY1" fmla="*/ 0 h 1968500"/>
                            <a:gd name="connisteX2" fmla="*/ 2270125 w 2386330"/>
                            <a:gd name="connsiteY2" fmla="*/ 428625 h 1968500"/>
                            <a:gd name="connisteX3" fmla="*/ 1973580 w 2386330"/>
                            <a:gd name="connsiteY3" fmla="*/ 444500 h 1968500"/>
                            <a:gd name="connisteX4" fmla="*/ 1889125 w 2386330"/>
                            <a:gd name="connsiteY4" fmla="*/ 665480 h 1968500"/>
                            <a:gd name="connisteX5" fmla="*/ 2294255 w 2386330"/>
                            <a:gd name="connsiteY5" fmla="*/ 730250 h 1968500"/>
                            <a:gd name="connisteX6" fmla="*/ 2386330 w 2386330"/>
                            <a:gd name="connsiteY6" fmla="*/ 1968500 h 1968500"/>
                            <a:gd name="connisteX7" fmla="*/ 2129790 w 2386330"/>
                            <a:gd name="connsiteY7" fmla="*/ 1936750 h 1968500"/>
                            <a:gd name="connisteX8" fmla="*/ 2141855 w 2386330"/>
                            <a:gd name="connsiteY8" fmla="*/ 1708150 h 1968500"/>
                            <a:gd name="connisteX9" fmla="*/ 1688465 w 2386330"/>
                            <a:gd name="connsiteY9" fmla="*/ 1684655 h 1968500"/>
                            <a:gd name="connisteX10" fmla="*/ 1431925 w 2386330"/>
                            <a:gd name="connsiteY10" fmla="*/ 1716405 h 1968500"/>
                            <a:gd name="connisteX11" fmla="*/ 1263650 w 2386330"/>
                            <a:gd name="connsiteY11" fmla="*/ 1808480 h 1968500"/>
                            <a:gd name="connisteX12" fmla="*/ 1078865 w 2386330"/>
                            <a:gd name="connsiteY12" fmla="*/ 1831975 h 1968500"/>
                            <a:gd name="connisteX13" fmla="*/ 966470 w 2386330"/>
                            <a:gd name="connsiteY13" fmla="*/ 1755775 h 1968500"/>
                            <a:gd name="connisteX14" fmla="*/ 946785 w 2386330"/>
                            <a:gd name="connsiteY14" fmla="*/ 1179195 h 1968500"/>
                            <a:gd name="connisteX15" fmla="*/ 886460 w 2386330"/>
                            <a:gd name="connsiteY15" fmla="*/ 1114425 h 1968500"/>
                            <a:gd name="connisteX16" fmla="*/ 629920 w 2386330"/>
                            <a:gd name="connsiteY16" fmla="*/ 1138555 h 1968500"/>
                            <a:gd name="connisteX17" fmla="*/ 52070 w 2386330"/>
                            <a:gd name="connsiteY17" fmla="*/ 1311275 h 1968500"/>
                            <a:gd name="connisteX18" fmla="*/ 0 w 2386330"/>
                            <a:gd name="connsiteY18" fmla="*/ 465455 h 1968500"/>
                            <a:gd name="connisteX19" fmla="*/ 473710 w 2386330"/>
                            <a:gd name="connsiteY19" fmla="*/ 457200 h 1968500"/>
                            <a:gd name="connisteX20" fmla="*/ 469265 w 2386330"/>
                            <a:gd name="connsiteY20" fmla="*/ 360680 h 1968500"/>
                            <a:gd name="connisteX21" fmla="*/ 681990 w 2386330"/>
                            <a:gd name="connsiteY21" fmla="*/ 373380 h 1968500"/>
                            <a:gd name="connisteX22" fmla="*/ 794385 w 2386330"/>
                            <a:gd name="connsiteY22" fmla="*/ 520700 h 1968500"/>
                            <a:gd name="connisteX23" fmla="*/ 1010920 w 2386330"/>
                            <a:gd name="connsiteY23" fmla="*/ 533400 h 1968500"/>
                            <a:gd name="connisteX24" fmla="*/ 1102995 w 2386330"/>
                            <a:gd name="connsiteY24" fmla="*/ 436880 h 1968500"/>
                            <a:gd name="connisteX25" fmla="*/ 1383665 w 2386330"/>
                            <a:gd name="connsiteY25" fmla="*/ 421005 h 1968500"/>
                            <a:gd name="connisteX26" fmla="*/ 1403985 w 2386330"/>
                            <a:gd name="connsiteY26" fmla="*/ 27305 h 19685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Lst>
                          <a:rect l="l" t="t" r="r" b="b"/>
                          <a:pathLst>
                            <a:path w="2386330" h="1968500">
                              <a:moveTo>
                                <a:pt x="1403985" y="27305"/>
                              </a:moveTo>
                              <a:lnTo>
                                <a:pt x="2193925" y="0"/>
                              </a:lnTo>
                              <a:lnTo>
                                <a:pt x="2270125" y="428625"/>
                              </a:lnTo>
                              <a:lnTo>
                                <a:pt x="1973580" y="444500"/>
                              </a:lnTo>
                              <a:lnTo>
                                <a:pt x="1889125" y="665480"/>
                              </a:lnTo>
                              <a:lnTo>
                                <a:pt x="2294255" y="730250"/>
                              </a:lnTo>
                              <a:lnTo>
                                <a:pt x="2386330" y="1968500"/>
                              </a:lnTo>
                              <a:lnTo>
                                <a:pt x="2129790" y="1936750"/>
                              </a:lnTo>
                              <a:lnTo>
                                <a:pt x="2141855" y="1708150"/>
                              </a:lnTo>
                              <a:lnTo>
                                <a:pt x="1688465" y="1684655"/>
                              </a:lnTo>
                              <a:lnTo>
                                <a:pt x="1431925" y="1716405"/>
                              </a:lnTo>
                              <a:lnTo>
                                <a:pt x="1263650" y="1808480"/>
                              </a:lnTo>
                              <a:lnTo>
                                <a:pt x="1078865" y="1831975"/>
                              </a:lnTo>
                              <a:lnTo>
                                <a:pt x="966470" y="1755775"/>
                              </a:lnTo>
                              <a:lnTo>
                                <a:pt x="946785" y="1179195"/>
                              </a:lnTo>
                              <a:lnTo>
                                <a:pt x="886460" y="1114425"/>
                              </a:lnTo>
                              <a:lnTo>
                                <a:pt x="629920" y="1138555"/>
                              </a:lnTo>
                              <a:lnTo>
                                <a:pt x="52070" y="1311275"/>
                              </a:lnTo>
                              <a:lnTo>
                                <a:pt x="0" y="465455"/>
                              </a:lnTo>
                              <a:lnTo>
                                <a:pt x="473710" y="457200"/>
                              </a:lnTo>
                              <a:lnTo>
                                <a:pt x="469265" y="360680"/>
                              </a:lnTo>
                              <a:lnTo>
                                <a:pt x="681990" y="373380"/>
                              </a:lnTo>
                              <a:lnTo>
                                <a:pt x="794385" y="520700"/>
                              </a:lnTo>
                              <a:lnTo>
                                <a:pt x="1010920" y="533400"/>
                              </a:lnTo>
                              <a:lnTo>
                                <a:pt x="1102995" y="436880"/>
                              </a:lnTo>
                              <a:lnTo>
                                <a:pt x="1383665" y="421005"/>
                              </a:lnTo>
                              <a:lnTo>
                                <a:pt x="1403985" y="27305"/>
                              </a:lnTo>
                              <a:close/>
                            </a:path>
                          </a:pathLst>
                        </a:custGeom>
                        <a:pattFill prst="wdDnDiag">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44.6pt;margin-top:108.8pt;height:155pt;width:187.9pt;z-index:251673600;mso-width-relative:page;mso-height-relative:page;" fillcolor="#5B9BD5 [3204]" filled="t" stroked="t" coordsize="2386330,1968500" o:gfxdata="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" path="m1403985,27305l2193925,0,2270125,428625,1973580,444500,1889125,665480,2294255,730250,2386330,1968500,2129790,1936750,2141855,1708150,1688465,1684655,1431925,1716405,1263650,1808480,1078865,1831975,966470,1755775,946785,1179195,886460,1114425,629920,1138555,52070,1311275,0,465455,473710,457200,469265,360680,681990,373380,794385,520700,1010920,533400,1102995,436880,1383665,421005,1403985,27305xe">
                <v:path o:connectlocs="1403985,27305;2193925,0;2270125,428625;1973580,444500;1889125,665480;2294255,730250;2386330,1968500;2129790,1936750;2141855,1708150;1688465,1684655;1431925,1716405;1263650,1808480;1078865,1831975;966470,1755775;946785,1179195;886460,1114425;629920,1138555;52070,1311275;0,465455;473710,457200;469265,360680;681990,373380;794385,520700;1010920,533400;1102995,436880;1383665,421005;1403985,27305" o:connectangles="0,0,0,0,0,0,0,0,0,0,0,0,0,0,0,0,0,0,0,0,0,0,0,0,0,0,0"/>
                <v:fill type="pattern" on="t" color2="#FFFFFF [3212]" o:title="宽下对角线" focussize="0,0" r:id="rId95"/>
                <v:stroke weight="1pt" color="#41719C [3204]" miterlimit="8" joinstyle="miter"/>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2576" behindDoc="0" locked="0" layoutInCell="1" allowOverlap="1">
                <wp:simplePos x="0" y="0"/>
                <wp:positionH relativeFrom="column">
                  <wp:posOffset>4332605</wp:posOffset>
                </wp:positionH>
                <wp:positionV relativeFrom="paragraph">
                  <wp:posOffset>1345565</wp:posOffset>
                </wp:positionV>
                <wp:extent cx="1555750" cy="1006475"/>
                <wp:effectExtent l="6350" t="6350" r="7620" b="8255"/>
                <wp:wrapNone/>
                <wp:docPr id="69" name="任意多边形 69"/>
                <wp:cNvGraphicFramePr/>
                <a:graphic xmlns:a="http://schemas.openxmlformats.org/drawingml/2006/main">
                  <a:graphicData uri="http://schemas.microsoft.com/office/word/2010/wordprocessingShape">
                    <wps:wsp>
                      <wps:cNvSpPr/>
                      <wps:spPr>
                        <a:xfrm>
                          <a:off x="5247005" y="3052445"/>
                          <a:ext cx="1555750" cy="1006475"/>
                        </a:xfrm>
                        <a:custGeom>
                          <a:avLst/>
                          <a:gdLst>
                            <a:gd name="connisteX0" fmla="*/ 24130 w 1555750"/>
                            <a:gd name="connsiteY0" fmla="*/ 56515 h 1006475"/>
                            <a:gd name="connisteX1" fmla="*/ 0 w 1555750"/>
                            <a:gd name="connsiteY1" fmla="*/ 730250 h 1006475"/>
                            <a:gd name="connisteX2" fmla="*/ 3810 w 1555750"/>
                            <a:gd name="connsiteY2" fmla="*/ 1006475 h 1006475"/>
                            <a:gd name="connisteX3" fmla="*/ 1223010 w 1555750"/>
                            <a:gd name="connsiteY3" fmla="*/ 962025 h 1006475"/>
                            <a:gd name="connisteX4" fmla="*/ 1555750 w 1555750"/>
                            <a:gd name="connsiteY4" fmla="*/ 549275 h 1006475"/>
                            <a:gd name="connisteX5" fmla="*/ 1471930 w 1555750"/>
                            <a:gd name="connsiteY5" fmla="*/ 0 h 1006475"/>
                            <a:gd name="connisteX6" fmla="*/ 24130 w 1555750"/>
                            <a:gd name="connsiteY6" fmla="*/ 56515 h 10064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1555750" h="1006475">
                              <a:moveTo>
                                <a:pt x="24130" y="56515"/>
                              </a:moveTo>
                              <a:lnTo>
                                <a:pt x="0" y="730250"/>
                              </a:lnTo>
                              <a:lnTo>
                                <a:pt x="3810" y="1006475"/>
                              </a:lnTo>
                              <a:lnTo>
                                <a:pt x="1223010" y="962025"/>
                              </a:lnTo>
                              <a:lnTo>
                                <a:pt x="1555750" y="549275"/>
                              </a:lnTo>
                              <a:lnTo>
                                <a:pt x="1471930" y="0"/>
                              </a:lnTo>
                              <a:lnTo>
                                <a:pt x="24130" y="56515"/>
                              </a:lnTo>
                              <a:close/>
                            </a:path>
                          </a:pathLst>
                        </a:custGeom>
                        <a:pattFill prst="wdDnDiag">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41.15pt;margin-top:105.95pt;height:79.25pt;width:122.5pt;z-index:251672576;mso-width-relative:page;mso-height-relative:page;" fillcolor="#5B9BD5 [3204]" filled="t" stroked="t" coordsize="1555750,1006475" o:gfxdata="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" path="m24130,56515l0,730250,3810,1006475,1223010,962025,1555750,549275,1471930,0,24130,56515xe">
                <v:path o:connectlocs="24130,56515;0,730250;3810,1006475;1223010,962025;1555750,549275;1471930,0;24130,56515" o:connectangles="0,0,0,0,0,0,0"/>
                <v:fill type="pattern" on="t" color2="#FFFFFF [3212]" o:title="宽下对角线" focussize="0,0" r:id="rId95"/>
                <v:stroke weight="1pt" color="#41719C [3204]" miterlimit="8" joinstyle="miter"/>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71552" behindDoc="0" locked="0" layoutInCell="1" allowOverlap="1">
                <wp:simplePos x="0" y="0"/>
                <wp:positionH relativeFrom="column">
                  <wp:posOffset>3642360</wp:posOffset>
                </wp:positionH>
                <wp:positionV relativeFrom="paragraph">
                  <wp:posOffset>1377315</wp:posOffset>
                </wp:positionV>
                <wp:extent cx="678180" cy="958850"/>
                <wp:effectExtent l="6985" t="6985" r="15875" b="9525"/>
                <wp:wrapNone/>
                <wp:docPr id="68" name="任意多边形 68"/>
                <wp:cNvGraphicFramePr/>
                <a:graphic xmlns:a="http://schemas.openxmlformats.org/drawingml/2006/main">
                  <a:graphicData uri="http://schemas.microsoft.com/office/word/2010/wordprocessingShape">
                    <wps:wsp>
                      <wps:cNvSpPr/>
                      <wps:spPr>
                        <a:xfrm>
                          <a:off x="4556760" y="3084195"/>
                          <a:ext cx="678180" cy="958850"/>
                        </a:xfrm>
                        <a:custGeom>
                          <a:avLst/>
                          <a:gdLst>
                            <a:gd name="connisteX0" fmla="*/ 521970 w 678180"/>
                            <a:gd name="connsiteY0" fmla="*/ 0 h 958850"/>
                            <a:gd name="connisteX1" fmla="*/ 678180 w 678180"/>
                            <a:gd name="connsiteY1" fmla="*/ 15875 h 958850"/>
                            <a:gd name="connisteX2" fmla="*/ 626110 w 678180"/>
                            <a:gd name="connsiteY2" fmla="*/ 958850 h 958850"/>
                            <a:gd name="connisteX3" fmla="*/ 429260 w 678180"/>
                            <a:gd name="connsiteY3" fmla="*/ 958850 h 958850"/>
                            <a:gd name="connisteX4" fmla="*/ 437515 w 678180"/>
                            <a:gd name="connsiteY4" fmla="*/ 842645 h 958850"/>
                            <a:gd name="connisteX5" fmla="*/ 68580 w 678180"/>
                            <a:gd name="connsiteY5" fmla="*/ 810895 h 958850"/>
                            <a:gd name="connisteX6" fmla="*/ 68580 w 678180"/>
                            <a:gd name="connsiteY6" fmla="*/ 838200 h 958850"/>
                            <a:gd name="connisteX7" fmla="*/ 0 w 678180"/>
                            <a:gd name="connsiteY7" fmla="*/ 835025 h 958850"/>
                            <a:gd name="connisteX8" fmla="*/ 68580 w 678180"/>
                            <a:gd name="connsiteY8" fmla="*/ 220345 h 958850"/>
                            <a:gd name="connisteX9" fmla="*/ 304800 w 678180"/>
                            <a:gd name="connsiteY9" fmla="*/ 244475 h 958850"/>
                            <a:gd name="connisteX10" fmla="*/ 325120 w 678180"/>
                            <a:gd name="connsiteY10" fmla="*/ 76200 h 958850"/>
                            <a:gd name="connisteX11" fmla="*/ 485775 w 678180"/>
                            <a:gd name="connsiteY11" fmla="*/ 92075 h 958850"/>
                            <a:gd name="connisteX12" fmla="*/ 521970 w 678180"/>
                            <a:gd name="connsiteY12" fmla="*/ 0 h 9588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678180" h="958850">
                              <a:moveTo>
                                <a:pt x="521970" y="0"/>
                              </a:moveTo>
                              <a:lnTo>
                                <a:pt x="678180" y="15875"/>
                              </a:lnTo>
                              <a:lnTo>
                                <a:pt x="626110" y="958850"/>
                              </a:lnTo>
                              <a:lnTo>
                                <a:pt x="429260" y="958850"/>
                              </a:lnTo>
                              <a:lnTo>
                                <a:pt x="437515" y="842645"/>
                              </a:lnTo>
                              <a:lnTo>
                                <a:pt x="68580" y="810895"/>
                              </a:lnTo>
                              <a:lnTo>
                                <a:pt x="68580" y="838200"/>
                              </a:lnTo>
                              <a:lnTo>
                                <a:pt x="0" y="835025"/>
                              </a:lnTo>
                              <a:lnTo>
                                <a:pt x="68580" y="220345"/>
                              </a:lnTo>
                              <a:lnTo>
                                <a:pt x="304800" y="244475"/>
                              </a:lnTo>
                              <a:lnTo>
                                <a:pt x="325120" y="76200"/>
                              </a:lnTo>
                              <a:lnTo>
                                <a:pt x="485775" y="92075"/>
                              </a:lnTo>
                              <a:lnTo>
                                <a:pt x="521970" y="0"/>
                              </a:lnTo>
                              <a:close/>
                            </a:path>
                          </a:pathLst>
                        </a:custGeom>
                        <a:solidFill>
                          <a:srgbClr val="FFFF00">
                            <a:alpha val="37000"/>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86.8pt;margin-top:108.45pt;height:75.5pt;width:53.4pt;z-index:251671552;mso-width-relative:page;mso-height-relative:page;" fillcolor="#FFFF00" filled="t" stroked="t" coordsize="678180,958850" o:gfxdata="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" path="m521970,0l678180,15875,626110,958850,429260,958850,437515,842645,68580,810895,68580,838200,0,835025,68580,220345,304800,244475,325120,76200,485775,92075,521970,0xe">
                <v:path o:connectlocs="521970,0;678180,15875;626110,958850;429260,958850;437515,842645;68580,810895;68580,838200;0,835025;68580,220345;304800,244475;325120,76200;485775,92075;521970,0" o:connectangles="0,0,0,0,0,0,0,0,0,0,0,0,0"/>
                <v:fill on="t" opacity="24248f" focussize="0,0"/>
                <v:stroke weight="1pt" color="#FFFF00 [3204]" miterlimit="8" joinstyle="miter"/>
                <v:imagedata o:title=""/>
                <o:lock v:ext="edit" aspectratio="f"/>
              </v:shape>
            </w:pict>
          </mc:Fallback>
        </mc:AlternateContent>
      </w:r>
    </w:p>
    <w:p>
      <w:pPr>
        <w:pStyle w:val="67"/>
        <w:tabs>
          <w:tab w:val="left" w:pos="2340"/>
          <w:tab w:val="left" w:pos="4320"/>
        </w:tabs>
        <w:ind w:left="0" w:leftChars="0" w:firstLine="0" w:firstLineChars="0"/>
        <w:jc w:val="center"/>
        <w:rPr>
          <w:rFonts w:hint="default" w:ascii="Times New Roman" w:hAnsi="Times New Roman" w:cs="Times New Roman"/>
          <w:color w:val="auto"/>
          <w:highlight w:val="none"/>
          <w:lang w:eastAsia="zh-CN"/>
        </w:rPr>
        <w:sectPr>
          <w:pgSz w:w="16838" w:h="11906" w:orient="landscape"/>
          <w:pgMar w:top="1701" w:right="1800" w:bottom="1701" w:left="1800"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sz w:val="28"/>
          <w:highlight w:val="none"/>
        </w:rPr>
        <mc:AlternateContent>
          <mc:Choice Requires="wps">
            <w:drawing>
              <wp:anchor distT="0" distB="0" distL="114300" distR="114300" simplePos="0" relativeHeight="251687936" behindDoc="0" locked="0" layoutInCell="1" allowOverlap="1">
                <wp:simplePos x="0" y="0"/>
                <wp:positionH relativeFrom="column">
                  <wp:posOffset>3344545</wp:posOffset>
                </wp:positionH>
                <wp:positionV relativeFrom="paragraph">
                  <wp:posOffset>4124960</wp:posOffset>
                </wp:positionV>
                <wp:extent cx="1159510" cy="1194435"/>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159510" cy="1194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color w:val="FFFF00"/>
                                <w:sz w:val="32"/>
                                <w:szCs w:val="40"/>
                                <w:lang w:val="en-US" w:eastAsia="zh-CN"/>
                              </w:rPr>
                            </w:pPr>
                            <w:r>
                              <w:rPr>
                                <w:rFonts w:hint="eastAsia"/>
                                <w:color w:val="FFFF00"/>
                                <w:sz w:val="32"/>
                                <w:szCs w:val="40"/>
                                <w:lang w:val="en-US" w:eastAsia="zh-CN"/>
                              </w:rPr>
                              <w:t>水磨村村委会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35pt;margin-top:324.8pt;height:94.05pt;width:91.3pt;z-index:251687936;mso-width-relative:page;mso-height-relative:page;" filled="f" stroked="f" coordsize="21600,21600" o:gfxdata="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79Xax3QAAAAsBAAAPAAAAAAAAAAEAIAAAACIA&#10;AABkcnMvZG93bnJldi54bWxQSwECFAAUAAAACACHTuJA9BGVwT0CAABrBAAADgAAAAAAAAABACAA&#10;AAAsAQAAZHJzL2Uyb0RvYy54bWxQSwUGAAAAAAYABgBZAQAA2wUAAAAA&#10;">
                <v:fill on="f" focussize="0,0"/>
                <v:stroke on="f" weight="0.5pt"/>
                <v:imagedata o:title=""/>
                <o:lock v:ext="edit" aspectratio="f"/>
                <v:textbox>
                  <w:txbxContent>
                    <w:p>
                      <w:pPr>
                        <w:rPr>
                          <w:rFonts w:hint="default" w:eastAsia="宋体"/>
                          <w:color w:val="FFFF00"/>
                          <w:sz w:val="32"/>
                          <w:szCs w:val="40"/>
                          <w:lang w:val="en-US" w:eastAsia="zh-CN"/>
                        </w:rPr>
                      </w:pPr>
                      <w:r>
                        <w:rPr>
                          <w:rFonts w:hint="eastAsia"/>
                          <w:color w:val="FFFF00"/>
                          <w:sz w:val="32"/>
                          <w:szCs w:val="40"/>
                          <w:lang w:val="en-US" w:eastAsia="zh-CN"/>
                        </w:rPr>
                        <w:t>水磨村村委会</w:t>
                      </w:r>
                    </w:p>
                  </w:txbxContent>
                </v:textbox>
              </v:shape>
            </w:pict>
          </mc:Fallback>
        </mc:AlternateContent>
      </w:r>
      <w:r>
        <w:rPr>
          <w:rFonts w:hint="default" w:ascii="Times New Roman" w:hAnsi="Times New Roman" w:cs="Times New Roman"/>
          <w:color w:val="auto"/>
          <w:sz w:val="28"/>
          <w:highlight w:val="none"/>
        </w:rPr>
        <mc:AlternateContent>
          <mc:Choice Requires="wps">
            <w:drawing>
              <wp:anchor distT="0" distB="0" distL="114300" distR="114300" simplePos="0" relativeHeight="251686912" behindDoc="0" locked="0" layoutInCell="1" allowOverlap="1">
                <wp:simplePos x="0" y="0"/>
                <wp:positionH relativeFrom="column">
                  <wp:posOffset>2853690</wp:posOffset>
                </wp:positionH>
                <wp:positionV relativeFrom="paragraph">
                  <wp:posOffset>628650</wp:posOffset>
                </wp:positionV>
                <wp:extent cx="1159510" cy="1194435"/>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159510" cy="1194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color w:val="FFFF00"/>
                                <w:sz w:val="32"/>
                                <w:szCs w:val="40"/>
                                <w:lang w:val="en-US" w:eastAsia="zh-CN"/>
                              </w:rPr>
                            </w:pPr>
                            <w:r>
                              <w:rPr>
                                <w:rFonts w:hint="eastAsia"/>
                                <w:color w:val="FFFF00"/>
                                <w:sz w:val="32"/>
                                <w:szCs w:val="40"/>
                                <w:lang w:val="en-US" w:eastAsia="zh-CN"/>
                              </w:rPr>
                              <w:t>废旧资源回收企业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7pt;margin-top:49.5pt;height:94.05pt;width:91.3pt;z-index:251686912;mso-width-relative:page;mso-height-relative:page;" filled="f" stroked="f" coordsize="21600,21600" o:gfxdata="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R1o2vbAAAACgEAAA8AAAAAAAAAAQAgAAAAIgAA&#10;AGRycy9kb3ducmV2LnhtbFBLAQIUABQAAAAIAIdO4kAhHf9sPgIAAGsEAAAOAAAAAAAAAAEAIAAA&#10;ACoBAABkcnMvZTJvRG9jLnhtbFBLBQYAAAAABgAGAFkBAADaBQAAAAA=&#10;">
                <v:fill on="f" focussize="0,0"/>
                <v:stroke on="f" weight="0.5pt"/>
                <v:imagedata o:title=""/>
                <o:lock v:ext="edit" aspectratio="f"/>
                <v:textbox>
                  <w:txbxContent>
                    <w:p>
                      <w:pPr>
                        <w:rPr>
                          <w:rFonts w:hint="default" w:eastAsia="宋体"/>
                          <w:color w:val="FFFF00"/>
                          <w:sz w:val="32"/>
                          <w:szCs w:val="40"/>
                          <w:lang w:val="en-US" w:eastAsia="zh-CN"/>
                        </w:rPr>
                      </w:pPr>
                      <w:r>
                        <w:rPr>
                          <w:rFonts w:hint="eastAsia"/>
                          <w:color w:val="FFFF00"/>
                          <w:sz w:val="32"/>
                          <w:szCs w:val="40"/>
                          <w:lang w:val="en-US" w:eastAsia="zh-CN"/>
                        </w:rPr>
                        <w:t>废旧资源回收企业</w:t>
                      </w:r>
                    </w:p>
                  </w:txbxContent>
                </v:textbox>
              </v:shape>
            </w:pict>
          </mc:Fallback>
        </mc:AlternateContent>
      </w:r>
      <w:r>
        <w:rPr>
          <w:rFonts w:hint="default" w:ascii="Times New Roman" w:hAnsi="Times New Roman" w:cs="Times New Roman"/>
          <w:color w:val="auto"/>
          <w:sz w:val="28"/>
          <w:highlight w:val="none"/>
        </w:rPr>
        <mc:AlternateContent>
          <mc:Choice Requires="wps">
            <w:drawing>
              <wp:anchor distT="0" distB="0" distL="114300" distR="114300" simplePos="0" relativeHeight="251685888" behindDoc="0" locked="0" layoutInCell="1" allowOverlap="1">
                <wp:simplePos x="0" y="0"/>
                <wp:positionH relativeFrom="column">
                  <wp:posOffset>5664200</wp:posOffset>
                </wp:positionH>
                <wp:positionV relativeFrom="paragraph">
                  <wp:posOffset>2254250</wp:posOffset>
                </wp:positionV>
                <wp:extent cx="677545" cy="119443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677545" cy="1194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color w:val="FFFF00"/>
                                <w:sz w:val="32"/>
                                <w:szCs w:val="40"/>
                                <w:lang w:val="en-US" w:eastAsia="zh-CN"/>
                              </w:rPr>
                            </w:pPr>
                            <w:r>
                              <w:rPr>
                                <w:rFonts w:hint="eastAsia"/>
                                <w:color w:val="FFFF00"/>
                                <w:sz w:val="32"/>
                                <w:szCs w:val="40"/>
                                <w:lang w:val="en-US" w:eastAsia="zh-CN"/>
                              </w:rPr>
                              <w:t>水磨村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6pt;margin-top:177.5pt;height:94.05pt;width:53.35pt;z-index:251685888;mso-width-relative:page;mso-height-relative:page;" filled="f" stroked="f" coordsize="21600,21600" o:gfxdata="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EtkdN0AAAALAQAADwAAAAAAAAABACAAAAAi&#10;AAAAZHJzL2Rvd25yZXYueG1sUEsBAhQAFAAAAAgAh07iQD0z5ic+AgAAagQAAA4AAAAAAAAAAQAg&#10;AAAALAEAAGRycy9lMm9Eb2MueG1sUEsFBgAAAAAGAAYAWQEAANwFAAAAAA==&#10;">
                <v:fill on="f" focussize="0,0"/>
                <v:stroke on="f" weight="0.5pt"/>
                <v:imagedata o:title=""/>
                <o:lock v:ext="edit" aspectratio="f"/>
                <v:textbox>
                  <w:txbxContent>
                    <w:p>
                      <w:pPr>
                        <w:rPr>
                          <w:rFonts w:hint="default" w:eastAsia="宋体"/>
                          <w:color w:val="FFFF00"/>
                          <w:sz w:val="32"/>
                          <w:szCs w:val="40"/>
                          <w:lang w:val="en-US" w:eastAsia="zh-CN"/>
                        </w:rPr>
                      </w:pPr>
                      <w:r>
                        <w:rPr>
                          <w:rFonts w:hint="eastAsia"/>
                          <w:color w:val="FFFF00"/>
                          <w:sz w:val="32"/>
                          <w:szCs w:val="40"/>
                          <w:lang w:val="en-US" w:eastAsia="zh-CN"/>
                        </w:rPr>
                        <w:t>水磨村</w:t>
                      </w:r>
                    </w:p>
                  </w:txbxContent>
                </v:textbox>
              </v:shape>
            </w:pict>
          </mc:Fallback>
        </mc:AlternateContent>
      </w:r>
      <w:r>
        <w:rPr>
          <w:rFonts w:hint="default" w:ascii="Times New Roman" w:hAnsi="Times New Roman" w:cs="Times New Roman"/>
          <w:color w:val="auto"/>
          <w:sz w:val="28"/>
          <w:highlight w:val="none"/>
        </w:rPr>
        <mc:AlternateContent>
          <mc:Choice Requires="wps">
            <w:drawing>
              <wp:anchor distT="0" distB="0" distL="114300" distR="114300" simplePos="0" relativeHeight="251684864" behindDoc="0" locked="0" layoutInCell="1" allowOverlap="1">
                <wp:simplePos x="0" y="0"/>
                <wp:positionH relativeFrom="column">
                  <wp:posOffset>2429510</wp:posOffset>
                </wp:positionH>
                <wp:positionV relativeFrom="paragraph">
                  <wp:posOffset>2296795</wp:posOffset>
                </wp:positionV>
                <wp:extent cx="677545" cy="1194435"/>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677545" cy="1194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color w:val="FFFF00"/>
                                <w:sz w:val="32"/>
                                <w:szCs w:val="40"/>
                                <w:lang w:val="en-US" w:eastAsia="zh-CN"/>
                              </w:rPr>
                            </w:pPr>
                            <w:r>
                              <w:rPr>
                                <w:rFonts w:hint="eastAsia"/>
                                <w:color w:val="FFFF00"/>
                                <w:sz w:val="32"/>
                                <w:szCs w:val="40"/>
                                <w:lang w:val="en-US" w:eastAsia="zh-CN"/>
                              </w:rPr>
                              <w:t>道路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1.3pt;margin-top:180.85pt;height:94.05pt;width:53.35pt;z-index:251684864;mso-width-relative:page;mso-height-relative:page;" filled="f" stroked="f" coordsize="21600,21600" o:gfxdata="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MlNdX3QAAAAsBAAAPAAAAAAAAAAEAIAAAACIA&#10;AABkcnMvZG93bnJldi54bWxQSwECFAAUAAAACACHTuJAr9TZtD0CAABqBAAADgAAAAAAAAABACAA&#10;AAAsAQAAZHJzL2Uyb0RvYy54bWxQSwUGAAAAAAYABgBZAQAA2wUAAAAA&#10;">
                <v:fill on="f" focussize="0,0"/>
                <v:stroke on="f" weight="0.5pt"/>
                <v:imagedata o:title=""/>
                <o:lock v:ext="edit" aspectratio="f"/>
                <v:textbox>
                  <w:txbxContent>
                    <w:p>
                      <w:pPr>
                        <w:rPr>
                          <w:rFonts w:hint="default" w:eastAsia="宋体"/>
                          <w:color w:val="FFFF00"/>
                          <w:sz w:val="32"/>
                          <w:szCs w:val="40"/>
                          <w:lang w:val="en-US" w:eastAsia="zh-CN"/>
                        </w:rPr>
                      </w:pPr>
                      <w:r>
                        <w:rPr>
                          <w:rFonts w:hint="eastAsia"/>
                          <w:color w:val="FFFF00"/>
                          <w:sz w:val="32"/>
                          <w:szCs w:val="40"/>
                          <w:lang w:val="en-US" w:eastAsia="zh-CN"/>
                        </w:rPr>
                        <w:t>道路</w:t>
                      </w:r>
                    </w:p>
                  </w:txbxContent>
                </v:textbox>
              </v:shape>
            </w:pict>
          </mc:Fallback>
        </mc:AlternateContent>
      </w:r>
      <w:r>
        <w:rPr>
          <w:rFonts w:hint="default" w:ascii="Times New Roman" w:hAnsi="Times New Roman" w:cs="Times New Roman"/>
          <w:color w:val="auto"/>
          <w:sz w:val="28"/>
          <w:highlight w:val="none"/>
        </w:rPr>
        <mc:AlternateContent>
          <mc:Choice Requires="wps">
            <w:drawing>
              <wp:anchor distT="0" distB="0" distL="114300" distR="114300" simplePos="0" relativeHeight="251683840" behindDoc="0" locked="0" layoutInCell="1" allowOverlap="1">
                <wp:simplePos x="0" y="0"/>
                <wp:positionH relativeFrom="column">
                  <wp:posOffset>3581400</wp:posOffset>
                </wp:positionH>
                <wp:positionV relativeFrom="paragraph">
                  <wp:posOffset>2288540</wp:posOffset>
                </wp:positionV>
                <wp:extent cx="1117600" cy="1228090"/>
                <wp:effectExtent l="0" t="0" r="0" b="0"/>
                <wp:wrapNone/>
                <wp:docPr id="99" name="文本框 99"/>
                <wp:cNvGraphicFramePr/>
                <a:graphic xmlns:a="http://schemas.openxmlformats.org/drawingml/2006/main">
                  <a:graphicData uri="http://schemas.microsoft.com/office/word/2010/wordprocessingShape">
                    <wps:wsp>
                      <wps:cNvSpPr txBox="1"/>
                      <wps:spPr>
                        <a:xfrm>
                          <a:off x="4724400" y="3368675"/>
                          <a:ext cx="1117600" cy="1228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color w:val="FFFF00"/>
                                <w:sz w:val="32"/>
                                <w:szCs w:val="40"/>
                                <w:lang w:val="en-US" w:eastAsia="zh-CN"/>
                              </w:rPr>
                            </w:pPr>
                            <w:r>
                              <w:rPr>
                                <w:rFonts w:hint="eastAsia"/>
                                <w:color w:val="FFFF00"/>
                                <w:sz w:val="32"/>
                                <w:szCs w:val="40"/>
                                <w:lang w:val="en-US" w:eastAsia="zh-CN"/>
                              </w:rPr>
                              <w:t>项目厂区范围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pt;margin-top:180.2pt;height:96.7pt;width:88pt;z-index:251683840;mso-width-relative:page;mso-height-relative:page;" filled="f" stroked="f" coordsize="21600,21600" o:gfxdata="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oQ+IE3AAAAAsBAAAPAAAA&#10;AAAAAAEAIAAAACIAAABkcnMvZG93bnJldi54bWxQSwECFAAUAAAACACHTuJAasjJOUoCAAB1BAAA&#10;DgAAAAAAAAABACAAAAArAQAAZHJzL2Uyb0RvYy54bWxQSwUGAAAAAAYABgBZAQAA5wUAAAAA&#10;">
                <v:fill on="f" focussize="0,0"/>
                <v:stroke on="f" weight="0.5pt"/>
                <v:imagedata o:title=""/>
                <o:lock v:ext="edit" aspectratio="f"/>
                <v:textbox>
                  <w:txbxContent>
                    <w:p>
                      <w:pPr>
                        <w:rPr>
                          <w:rFonts w:hint="default" w:eastAsia="宋体"/>
                          <w:color w:val="FFFF00"/>
                          <w:sz w:val="32"/>
                          <w:szCs w:val="40"/>
                          <w:lang w:val="en-US" w:eastAsia="zh-CN"/>
                        </w:rPr>
                      </w:pPr>
                      <w:r>
                        <w:rPr>
                          <w:rFonts w:hint="eastAsia"/>
                          <w:color w:val="FFFF00"/>
                          <w:sz w:val="32"/>
                          <w:szCs w:val="40"/>
                          <w:lang w:val="en-US" w:eastAsia="zh-CN"/>
                        </w:rPr>
                        <w:t>项目厂区范围</w:t>
                      </w:r>
                    </w:p>
                  </w:txbxContent>
                </v:textbox>
              </v:shape>
            </w:pict>
          </mc:Fallback>
        </mc:AlternateContent>
      </w:r>
      <w:r>
        <w:rPr>
          <w:rFonts w:hint="default" w:ascii="Times New Roman" w:hAnsi="Times New Roman" w:cs="Times New Roman"/>
          <w:color w:val="auto"/>
          <w:sz w:val="28"/>
          <w:highlight w:val="none"/>
        </w:rPr>
        <mc:AlternateContent>
          <mc:Choice Requires="wps">
            <w:drawing>
              <wp:anchor distT="0" distB="0" distL="114300" distR="114300" simplePos="0" relativeHeight="251682816" behindDoc="0" locked="0" layoutInCell="1" allowOverlap="1">
                <wp:simplePos x="0" y="0"/>
                <wp:positionH relativeFrom="column">
                  <wp:posOffset>2802255</wp:posOffset>
                </wp:positionH>
                <wp:positionV relativeFrom="paragraph">
                  <wp:posOffset>657860</wp:posOffset>
                </wp:positionV>
                <wp:extent cx="2548890" cy="3479800"/>
                <wp:effectExtent l="16510" t="13970" r="25400" b="26670"/>
                <wp:wrapNone/>
                <wp:docPr id="98" name="任意多边形 98"/>
                <wp:cNvGraphicFramePr/>
                <a:graphic xmlns:a="http://schemas.openxmlformats.org/drawingml/2006/main">
                  <a:graphicData uri="http://schemas.microsoft.com/office/word/2010/wordprocessingShape">
                    <wps:wsp>
                      <wps:cNvSpPr/>
                      <wps:spPr>
                        <a:xfrm>
                          <a:off x="3945255" y="1737995"/>
                          <a:ext cx="2548890" cy="3479800"/>
                        </a:xfrm>
                        <a:custGeom>
                          <a:avLst/>
                          <a:gdLst>
                            <a:gd name="connisteX0" fmla="*/ 1947545 w 2548890"/>
                            <a:gd name="connsiteY0" fmla="*/ 41910 h 3479800"/>
                            <a:gd name="connisteX1" fmla="*/ 2548890 w 2548890"/>
                            <a:gd name="connsiteY1" fmla="*/ 41910 h 3479800"/>
                            <a:gd name="connisteX2" fmla="*/ 2311400 w 2548890"/>
                            <a:gd name="connsiteY2" fmla="*/ 3479800 h 3479800"/>
                            <a:gd name="connisteX3" fmla="*/ 1541145 w 2548890"/>
                            <a:gd name="connsiteY3" fmla="*/ 3411855 h 3479800"/>
                            <a:gd name="connisteX4" fmla="*/ 1566545 w 2548890"/>
                            <a:gd name="connsiteY4" fmla="*/ 3166110 h 3479800"/>
                            <a:gd name="connisteX5" fmla="*/ 0 w 2548890"/>
                            <a:gd name="connsiteY5" fmla="*/ 3140710 h 3479800"/>
                            <a:gd name="connisteX6" fmla="*/ 304800 w 2548890"/>
                            <a:gd name="connsiteY6" fmla="*/ 965200 h 3479800"/>
                            <a:gd name="connisteX7" fmla="*/ 1117600 w 2548890"/>
                            <a:gd name="connsiteY7" fmla="*/ 1024255 h 3479800"/>
                            <a:gd name="connisteX8" fmla="*/ 1185545 w 2548890"/>
                            <a:gd name="connsiteY8" fmla="*/ 321310 h 3479800"/>
                            <a:gd name="connisteX9" fmla="*/ 1888490 w 2548890"/>
                            <a:gd name="connsiteY9" fmla="*/ 372110 h 3479800"/>
                            <a:gd name="connisteX10" fmla="*/ 1930400 w 2548890"/>
                            <a:gd name="connsiteY10" fmla="*/ 0 h 3479800"/>
                            <a:gd name="connisteX11" fmla="*/ 1930400 w 2548890"/>
                            <a:gd name="connsiteY11" fmla="*/ 0 h 3479800"/>
                            <a:gd name="connisteX12" fmla="*/ 1964690 w 2548890"/>
                            <a:gd name="connsiteY12" fmla="*/ 0 h 34798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2548890" h="3479800">
                              <a:moveTo>
                                <a:pt x="1947545" y="41910"/>
                              </a:moveTo>
                              <a:lnTo>
                                <a:pt x="2548890" y="41910"/>
                              </a:lnTo>
                              <a:lnTo>
                                <a:pt x="2311400" y="3479800"/>
                              </a:lnTo>
                              <a:lnTo>
                                <a:pt x="1541145" y="3411855"/>
                              </a:lnTo>
                              <a:lnTo>
                                <a:pt x="1566545" y="3166110"/>
                              </a:lnTo>
                              <a:lnTo>
                                <a:pt x="0" y="3140710"/>
                              </a:lnTo>
                              <a:lnTo>
                                <a:pt x="304800" y="965200"/>
                              </a:lnTo>
                              <a:lnTo>
                                <a:pt x="1117600" y="1024255"/>
                              </a:lnTo>
                              <a:lnTo>
                                <a:pt x="1185545" y="321310"/>
                              </a:lnTo>
                              <a:lnTo>
                                <a:pt x="1888490" y="372110"/>
                              </a:lnTo>
                              <a:lnTo>
                                <a:pt x="1930400" y="0"/>
                              </a:lnTo>
                              <a:lnTo>
                                <a:pt x="1964690" y="0"/>
                              </a:lnTo>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20.65pt;margin-top:51.8pt;height:274pt;width:200.7pt;z-index:251682816;mso-width-relative:page;mso-height-relative:page;" filled="f" stroked="t" coordsize="2548890,3479800" o:gfxdata="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" path="m1947545,41910l2548890,41910,2311400,3479800,1541145,3411855,1566545,3166110,0,3140710,304800,965200,1117600,1024255,1185545,321310,1888490,372110,1930400,0,1964690,0e">
                <v:path o:connectlocs="1947545,41910;2548890,41910;2311400,3479800;1541145,3411855;1566545,3166110;0,3140710;304800,965200;1117600,1024255;1185545,321310;1888490,372110;1930400,0;1930400,0;1964690,0" o:connectangles="0,0,0,0,0,0,0,0,0,0,0,0,0"/>
                <v:fill on="f" focussize="0,0"/>
                <v:stroke weight="2.25pt" color="#FFFF00 [3204]" miterlimit="8" joinstyle="miter"/>
                <v:imagedata o:title=""/>
                <o:lock v:ext="edit" aspectratio="f"/>
              </v:shape>
            </w:pict>
          </mc:Fallback>
        </mc:AlternateContent>
      </w:r>
      <w:r>
        <w:rPr>
          <w:rFonts w:hint="default" w:ascii="Times New Roman" w:hAnsi="Times New Roman" w:cs="Times New Roman"/>
          <w:color w:val="auto"/>
          <w:highlight w:val="none"/>
        </w:rPr>
        <w:drawing>
          <wp:anchor distT="0" distB="0" distL="114300" distR="114300" simplePos="0" relativeHeight="251663360" behindDoc="0" locked="0" layoutInCell="1" allowOverlap="1">
            <wp:simplePos x="0" y="0"/>
            <wp:positionH relativeFrom="column">
              <wp:posOffset>7449185</wp:posOffset>
            </wp:positionH>
            <wp:positionV relativeFrom="paragraph">
              <wp:posOffset>-24765</wp:posOffset>
            </wp:positionV>
            <wp:extent cx="945515" cy="1004570"/>
            <wp:effectExtent l="0" t="0" r="14605" b="127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92"/>
                    <a:stretch>
                      <a:fillRect/>
                    </a:stretch>
                  </pic:blipFill>
                  <pic:spPr>
                    <a:xfrm>
                      <a:off x="0" y="0"/>
                      <a:ext cx="945515" cy="1004570"/>
                    </a:xfrm>
                    <a:prstGeom prst="rect">
                      <a:avLst/>
                    </a:prstGeom>
                    <a:noFill/>
                    <a:ln>
                      <a:noFill/>
                    </a:ln>
                  </pic:spPr>
                </pic:pic>
              </a:graphicData>
            </a:graphic>
          </wp:anchor>
        </w:drawing>
      </w:r>
      <w:r>
        <w:rPr>
          <w:rFonts w:hint="default" w:ascii="Times New Roman" w:hAnsi="Times New Roman" w:cs="Times New Roman"/>
          <w:color w:val="auto"/>
          <w:highlight w:val="none"/>
        </w:rPr>
        <w:drawing>
          <wp:anchor distT="0" distB="0" distL="114300" distR="114300" simplePos="0" relativeHeight="251682816" behindDoc="1" locked="0" layoutInCell="1" allowOverlap="1">
            <wp:simplePos x="0" y="0"/>
            <wp:positionH relativeFrom="column">
              <wp:posOffset>0</wp:posOffset>
            </wp:positionH>
            <wp:positionV relativeFrom="paragraph">
              <wp:posOffset>0</wp:posOffset>
            </wp:positionV>
            <wp:extent cx="8397875" cy="5146675"/>
            <wp:effectExtent l="0" t="0" r="14605" b="4445"/>
            <wp:wrapNone/>
            <wp:docPr id="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
                    <pic:cNvPicPr>
                      <a:picLocks noChangeAspect="1"/>
                    </pic:cNvPicPr>
                  </pic:nvPicPr>
                  <pic:blipFill>
                    <a:blip r:embed="rId96"/>
                    <a:stretch>
                      <a:fillRect/>
                    </a:stretch>
                  </pic:blipFill>
                  <pic:spPr>
                    <a:xfrm>
                      <a:off x="0" y="0"/>
                      <a:ext cx="8397875" cy="5146675"/>
                    </a:xfrm>
                    <a:prstGeom prst="rect">
                      <a:avLst/>
                    </a:prstGeom>
                    <a:noFill/>
                    <a:ln>
                      <a:noFill/>
                    </a:ln>
                  </pic:spPr>
                </pic:pic>
              </a:graphicData>
            </a:graphic>
          </wp:anchor>
        </w:drawing>
      </w:r>
      <w:r>
        <w:rPr>
          <w:rFonts w:hint="default" w:ascii="Times New Roman" w:hAnsi="Times New Roman" w:cs="Times New Roman"/>
          <w:color w:val="auto"/>
          <w:sz w:val="28"/>
          <w:highlight w:val="none"/>
        </w:rPr>
        <mc:AlternateContent>
          <mc:Choice Requires="wps">
            <w:drawing>
              <wp:anchor distT="0" distB="0" distL="114300" distR="114300" simplePos="0" relativeHeight="251668480" behindDoc="1" locked="0" layoutInCell="1" allowOverlap="1">
                <wp:simplePos x="0" y="0"/>
                <wp:positionH relativeFrom="column">
                  <wp:posOffset>3036570</wp:posOffset>
                </wp:positionH>
                <wp:positionV relativeFrom="paragraph">
                  <wp:posOffset>5318125</wp:posOffset>
                </wp:positionV>
                <wp:extent cx="1828800" cy="1828800"/>
                <wp:effectExtent l="4445" t="4445" r="10795" b="10795"/>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67"/>
                              <w:tabs>
                                <w:tab w:val="left" w:pos="2340"/>
                                <w:tab w:val="left" w:pos="4320"/>
                              </w:tabs>
                              <w:ind w:left="0" w:leftChars="0" w:firstLine="0" w:firstLineChars="0"/>
                              <w:jc w:val="center"/>
                              <w:outlineLvl w:val="0"/>
                              <w:rPr>
                                <w:rFonts w:hint="eastAsia" w:ascii="Times New Roman" w:hAnsi="Times New Roman"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附图3  项目周边关系图</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39.1pt;margin-top:418.75pt;height:144pt;width:144pt;mso-wrap-style:none;z-index:-251648000;mso-width-relative:page;mso-height-relative:page;" fillcolor="#FFFFFF [3201]" filled="t" stroked="t" coordsize="21600,21600" o:gfxdata="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wIF9l9gAAAAMAQAA&#10;DwAAAAAAAAABACAAAAAiAAAAZHJzL2Rvd25yZXYueG1sUEsBAhQAFAAAAAgAh07iQOtF9a1SAgAA&#10;uAQAAA4AAAAAAAAAAQAgAAAAJwEAAGRycy9lMm9Eb2MueG1sUEsFBgAAAAAGAAYAWQEAAOsFAAAA&#10;AA==&#10;">
                <v:fill on="t" focussize="0,0"/>
                <v:stroke weight="0.5pt" color="#000000 [3204]" joinstyle="round"/>
                <v:imagedata o:title=""/>
                <o:lock v:ext="edit" aspectratio="f"/>
                <v:textbox style="mso-fit-shape-to-text:t;">
                  <w:txbxContent>
                    <w:p>
                      <w:pPr>
                        <w:pStyle w:val="67"/>
                        <w:tabs>
                          <w:tab w:val="left" w:pos="2340"/>
                          <w:tab w:val="left" w:pos="4320"/>
                        </w:tabs>
                        <w:ind w:left="0" w:leftChars="0" w:firstLine="0" w:firstLineChars="0"/>
                        <w:jc w:val="center"/>
                        <w:outlineLvl w:val="0"/>
                        <w:rPr>
                          <w:rFonts w:hint="eastAsia" w:ascii="Times New Roman" w:hAnsi="Times New Roman"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附图3  项目周边关系图</w:t>
                      </w:r>
                    </w:p>
                  </w:txbxContent>
                </v:textbox>
              </v:shape>
            </w:pict>
          </mc:Fallback>
        </mc:AlternateContent>
      </w:r>
    </w:p>
    <w:p>
      <w:pPr>
        <w:pStyle w:val="67"/>
        <w:tabs>
          <w:tab w:val="left" w:pos="2340"/>
          <w:tab w:val="left" w:pos="4320"/>
        </w:tabs>
        <w:ind w:left="0" w:leftChars="0" w:firstLine="0" w:firstLineChars="0"/>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sz w:val="28"/>
          <w:highlight w:val="none"/>
        </w:rPr>
        <w:pict>
          <v:shape id="_x0000_s1026" o:spid="_x0000_s1026" o:spt="75" type="#_x0000_t75" style="position:absolute;left:0pt;margin-left:-54.55pt;margin-top:-2.4pt;height:662.25pt;width:424.3pt;z-index:-251627520;mso-width-relative:page;mso-height-relative:page;" o:ole="t" filled="f" o:preferrelative="t" stroked="f" coordsize="21600,21600">
            <v:path/>
            <v:fill on="f" focussize="0,0"/>
            <v:stroke on="f"/>
            <v:imagedata r:id="rId98" o:title=""/>
            <o:lock v:ext="edit" aspectratio="f"/>
          </v:shape>
          <o:OLEObject Type="Embed" ProgID="Visio.Drawing.15" ShapeID="_x0000_s1026" DrawAspect="Content" ObjectID="_1468075729" r:id="rId97">
            <o:LockedField>false</o:LockedField>
          </o:OLEObject>
        </w:pict>
      </w:r>
      <w:r>
        <w:rPr>
          <w:rFonts w:hint="default" w:ascii="Times New Roman" w:hAnsi="Times New Roman" w:cs="Times New Roman"/>
          <w:color w:val="auto"/>
          <w:highlight w:val="none"/>
        </w:rPr>
        <w:drawing>
          <wp:anchor distT="0" distB="0" distL="114300" distR="114300" simplePos="0" relativeHeight="251670528" behindDoc="0" locked="0" layoutInCell="1" allowOverlap="1">
            <wp:simplePos x="0" y="0"/>
            <wp:positionH relativeFrom="column">
              <wp:posOffset>4763135</wp:posOffset>
            </wp:positionH>
            <wp:positionV relativeFrom="paragraph">
              <wp:posOffset>19050</wp:posOffset>
            </wp:positionV>
            <wp:extent cx="945515" cy="1004570"/>
            <wp:effectExtent l="0" t="0" r="14605" b="1270"/>
            <wp:wrapNone/>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92"/>
                    <a:stretch>
                      <a:fillRect/>
                    </a:stretch>
                  </pic:blipFill>
                  <pic:spPr>
                    <a:xfrm>
                      <a:off x="0" y="0"/>
                      <a:ext cx="945515" cy="1004570"/>
                    </a:xfrm>
                    <a:prstGeom prst="rect">
                      <a:avLst/>
                    </a:prstGeom>
                    <a:noFill/>
                    <a:ln>
                      <a:noFill/>
                    </a:ln>
                  </pic:spPr>
                </pic:pic>
              </a:graphicData>
            </a:graphic>
          </wp:anchor>
        </w:drawing>
      </w:r>
    </w:p>
    <w:p>
      <w:pPr>
        <w:pStyle w:val="67"/>
        <w:tabs>
          <w:tab w:val="left" w:pos="2340"/>
          <w:tab w:val="left" w:pos="4320"/>
        </w:tabs>
        <w:ind w:left="0" w:leftChars="0" w:firstLine="0" w:firstLineChars="0"/>
        <w:jc w:val="center"/>
        <w:rPr>
          <w:rFonts w:hint="default" w:ascii="Times New Roman" w:hAnsi="Times New Roman" w:eastAsia="宋体" w:cs="Times New Roman"/>
          <w:b/>
          <w:bCs/>
          <w:color w:val="auto"/>
          <w:sz w:val="24"/>
          <w:szCs w:val="24"/>
          <w:highlight w:val="none"/>
          <w:lang w:eastAsia="zh-CN"/>
        </w:rPr>
      </w:pPr>
      <w:r>
        <w:rPr>
          <w:rFonts w:hint="default" w:ascii="Times New Roman" w:hAnsi="Times New Roman" w:cs="Times New Roman"/>
          <w:color w:val="auto"/>
          <w:sz w:val="28"/>
          <w:highlight w:val="none"/>
        </w:rPr>
        <mc:AlternateContent>
          <mc:Choice Requires="wps">
            <w:drawing>
              <wp:anchor distT="0" distB="0" distL="114300" distR="114300" simplePos="0" relativeHeight="251669504" behindDoc="1" locked="0" layoutInCell="1" allowOverlap="1">
                <wp:simplePos x="0" y="0"/>
                <wp:positionH relativeFrom="column">
                  <wp:posOffset>1250315</wp:posOffset>
                </wp:positionH>
                <wp:positionV relativeFrom="paragraph">
                  <wp:posOffset>8144510</wp:posOffset>
                </wp:positionV>
                <wp:extent cx="1828800" cy="1828800"/>
                <wp:effectExtent l="4445" t="4445" r="10795" b="10795"/>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67"/>
                              <w:tabs>
                                <w:tab w:val="left" w:pos="2340"/>
                                <w:tab w:val="left" w:pos="4320"/>
                              </w:tabs>
                              <w:ind w:left="0" w:leftChars="0" w:firstLine="0" w:firstLineChars="0"/>
                              <w:jc w:val="center"/>
                              <w:outlineLvl w:val="0"/>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附图4</w:t>
                            </w:r>
                            <w:r>
                              <w:rPr>
                                <w:rFonts w:hint="eastAsia" w:ascii="Times New Roman" w:hAnsi="Times New Roman" w:cs="Times New Roman"/>
                                <w:b/>
                                <w:bCs/>
                                <w:color w:val="auto"/>
                                <w:kern w:val="2"/>
                                <w:sz w:val="24"/>
                                <w:szCs w:val="24"/>
                                <w:lang w:val="en-US" w:eastAsia="zh-CN" w:bidi="ar-SA"/>
                              </w:rPr>
                              <w:t>-1</w:t>
                            </w:r>
                            <w:r>
                              <w:rPr>
                                <w:rFonts w:hint="default" w:ascii="Times New Roman" w:hAnsi="Times New Roman" w:eastAsia="宋体" w:cs="Times New Roman"/>
                                <w:b/>
                                <w:bCs/>
                                <w:color w:val="auto"/>
                                <w:kern w:val="2"/>
                                <w:sz w:val="24"/>
                                <w:szCs w:val="24"/>
                                <w:lang w:val="en-US" w:eastAsia="zh-CN" w:bidi="ar-SA"/>
                              </w:rPr>
                              <w:t xml:space="preserve">  项目平面布置图（1</w:t>
                            </w:r>
                            <w:r>
                              <w:rPr>
                                <w:rFonts w:hint="eastAsia" w:ascii="Times New Roman" w:hAnsi="Times New Roman" w:eastAsia="宋体" w:cs="Times New Roman"/>
                                <w:b/>
                                <w:bCs/>
                                <w:color w:val="auto"/>
                                <w:kern w:val="2"/>
                                <w:sz w:val="24"/>
                                <w:szCs w:val="24"/>
                                <w:lang w:val="en-US" w:eastAsia="zh-CN" w:bidi="ar-SA"/>
                              </w:rPr>
                              <w:t>：</w:t>
                            </w:r>
                            <w:r>
                              <w:rPr>
                                <w:rFonts w:hint="default" w:ascii="Times New Roman" w:hAnsi="Times New Roman" w:eastAsia="宋体" w:cs="Times New Roman"/>
                                <w:b/>
                                <w:bCs/>
                                <w:color w:val="auto"/>
                                <w:kern w:val="2"/>
                                <w:sz w:val="24"/>
                                <w:szCs w:val="24"/>
                                <w:lang w:val="en-US" w:eastAsia="zh-CN" w:bidi="ar-SA"/>
                              </w:rPr>
                              <w:t>350）</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98.45pt;margin-top:641.3pt;height:144pt;width:144pt;mso-wrap-style:none;z-index:-251646976;mso-width-relative:page;mso-height-relative:page;" fillcolor="#FFFFFF [3201]" filled="t" stroked="t" coordsize="21600,21600" o:gfxdata="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ItAUbZAAAADQEA&#10;AA8AAAAAAAAAAQAgAAAAIgAAAGRycy9kb3ducmV2LnhtbFBLAQIUABQAAAAIAIdO4kCvKsgaUgIA&#10;ALgEAAAOAAAAAAAAAAEAIAAAACgBAABkcnMvZTJvRG9jLnhtbFBLBQYAAAAABgAGAFkBAADsBQAA&#10;AAA=&#10;">
                <v:fill on="t" focussize="0,0"/>
                <v:stroke weight="0.5pt" color="#000000 [3204]" joinstyle="round"/>
                <v:imagedata o:title=""/>
                <o:lock v:ext="edit" aspectratio="f"/>
                <v:textbox style="mso-fit-shape-to-text:t;">
                  <w:txbxContent>
                    <w:p>
                      <w:pPr>
                        <w:pStyle w:val="67"/>
                        <w:tabs>
                          <w:tab w:val="left" w:pos="2340"/>
                          <w:tab w:val="left" w:pos="4320"/>
                        </w:tabs>
                        <w:ind w:left="0" w:leftChars="0" w:firstLine="0" w:firstLineChars="0"/>
                        <w:jc w:val="center"/>
                        <w:outlineLvl w:val="0"/>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附图4</w:t>
                      </w:r>
                      <w:r>
                        <w:rPr>
                          <w:rFonts w:hint="eastAsia" w:ascii="Times New Roman" w:hAnsi="Times New Roman" w:cs="Times New Roman"/>
                          <w:b/>
                          <w:bCs/>
                          <w:color w:val="auto"/>
                          <w:kern w:val="2"/>
                          <w:sz w:val="24"/>
                          <w:szCs w:val="24"/>
                          <w:lang w:val="en-US" w:eastAsia="zh-CN" w:bidi="ar-SA"/>
                        </w:rPr>
                        <w:t>-1</w:t>
                      </w:r>
                      <w:r>
                        <w:rPr>
                          <w:rFonts w:hint="default" w:ascii="Times New Roman" w:hAnsi="Times New Roman" w:eastAsia="宋体" w:cs="Times New Roman"/>
                          <w:b/>
                          <w:bCs/>
                          <w:color w:val="auto"/>
                          <w:kern w:val="2"/>
                          <w:sz w:val="24"/>
                          <w:szCs w:val="24"/>
                          <w:lang w:val="en-US" w:eastAsia="zh-CN" w:bidi="ar-SA"/>
                        </w:rPr>
                        <w:t xml:space="preserve">  项目平面布置图（1</w:t>
                      </w:r>
                      <w:r>
                        <w:rPr>
                          <w:rFonts w:hint="eastAsia" w:ascii="Times New Roman" w:hAnsi="Times New Roman" w:eastAsia="宋体" w:cs="Times New Roman"/>
                          <w:b/>
                          <w:bCs/>
                          <w:color w:val="auto"/>
                          <w:kern w:val="2"/>
                          <w:sz w:val="24"/>
                          <w:szCs w:val="24"/>
                          <w:lang w:val="en-US" w:eastAsia="zh-CN" w:bidi="ar-SA"/>
                        </w:rPr>
                        <w:t>：</w:t>
                      </w:r>
                      <w:r>
                        <w:rPr>
                          <w:rFonts w:hint="default" w:ascii="Times New Roman" w:hAnsi="Times New Roman" w:eastAsia="宋体" w:cs="Times New Roman"/>
                          <w:b/>
                          <w:bCs/>
                          <w:color w:val="auto"/>
                          <w:kern w:val="2"/>
                          <w:sz w:val="24"/>
                          <w:szCs w:val="24"/>
                          <w:lang w:val="en-US" w:eastAsia="zh-CN" w:bidi="ar-SA"/>
                        </w:rPr>
                        <w:t>350）</w:t>
                      </w:r>
                    </w:p>
                  </w:txbxContent>
                </v:textbox>
              </v:shape>
            </w:pict>
          </mc:Fallback>
        </mc:AlternateContent>
      </w:r>
    </w:p>
    <w:p>
      <w:pPr>
        <w:pStyle w:val="67"/>
        <w:tabs>
          <w:tab w:val="left" w:pos="2340"/>
          <w:tab w:val="left" w:pos="4320"/>
        </w:tabs>
        <w:ind w:left="0" w:leftChars="0" w:firstLine="0" w:firstLineChars="0"/>
        <w:jc w:val="center"/>
        <w:outlineLvl w:val="0"/>
        <w:rPr>
          <w:rFonts w:hint="default" w:ascii="Times New Roman" w:hAnsi="Times New Roman" w:cs="Times New Roman"/>
          <w:color w:val="auto"/>
          <w:highlight w:val="none"/>
        </w:rPr>
        <w:sectPr>
          <w:pgSz w:w="11906" w:h="16838"/>
          <w:pgMar w:top="1800" w:right="1701" w:bottom="1800" w:left="1701"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highlight w:val="none"/>
        </w:rPr>
        <w:pict>
          <v:shape id="_x0000_s1027" o:spid="_x0000_s1027" o:spt="75" type="#_x0000_t75" style="position:absolute;left:0pt;margin-left:359.35pt;margin-top:436.8pt;height:130.75pt;width:133.5pt;z-index:-251627520;mso-width-relative:page;mso-height-relative:page;" o:ole="t" filled="f" o:preferrelative="t" stroked="f" coordsize="21600,21600">
            <v:path/>
            <v:fill on="f" focussize="0,0"/>
            <v:stroke on="f"/>
            <v:imagedata r:id="rId100" o:title=""/>
            <o:lock v:ext="edit" aspectratio="f"/>
          </v:shape>
          <o:OLEObject Type="Embed" ProgID="Visio.Drawing.15" ShapeID="_x0000_s1027" DrawAspect="Content" ObjectID="_1468075730" r:id="rId99">
            <o:LockedField>false</o:LockedField>
          </o:OLEObject>
        </w:pic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highlight w:val="none"/>
          <w:lang w:eastAsia="zh-CN"/>
        </w:rPr>
      </w:pPr>
    </w:p>
    <w:p>
      <w:pPr>
        <w:pStyle w:val="67"/>
        <w:tabs>
          <w:tab w:val="left" w:pos="2340"/>
          <w:tab w:val="left" w:pos="4320"/>
        </w:tabs>
        <w:ind w:left="0" w:leftChars="0" w:firstLine="0" w:firstLineChars="0"/>
        <w:jc w:val="center"/>
        <w:outlineLvl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pict>
          <v:shape id="_x0000_s1028" o:spid="_x0000_s1028" o:spt="75" type="#_x0000_t75" style="position:absolute;left:0pt;margin-left:87.7pt;margin-top:2.85pt;height:379.5pt;width:566.3pt;z-index:-251627520;mso-width-relative:page;mso-height-relative:page;" o:ole="t" filled="f" o:preferrelative="t" stroked="f" coordsize="21600,21600">
            <v:path/>
            <v:fill on="f" focussize="0,0"/>
            <v:stroke on="f"/>
            <v:imagedata r:id="rId102" o:title=""/>
            <o:lock v:ext="edit" aspectratio="f"/>
          </v:shape>
          <o:OLEObject Type="Embed" ProgID="Visio.Drawing.15" ShapeID="_x0000_s1028" DrawAspect="Content" ObjectID="_1468075731" r:id="rId101">
            <o:LockedField>false</o:LockedField>
          </o:OLEObject>
        </w:pict>
      </w:r>
    </w:p>
    <w:p>
      <w:pPr>
        <w:pStyle w:val="67"/>
        <w:tabs>
          <w:tab w:val="left" w:pos="2340"/>
          <w:tab w:val="left" w:pos="4320"/>
        </w:tabs>
        <w:ind w:left="0" w:leftChars="0" w:firstLine="0" w:firstLineChars="0"/>
        <w:rPr>
          <w:rFonts w:hint="default" w:ascii="Times New Roman" w:hAnsi="Times New Roman" w:eastAsia="宋体" w:cs="Times New Roman"/>
          <w:b/>
          <w:bCs/>
          <w:color w:val="auto"/>
          <w:sz w:val="21"/>
          <w:szCs w:val="21"/>
          <w:highlight w:val="none"/>
          <w:lang w:val="en-US" w:eastAsia="zh-CN"/>
        </w:rPr>
        <w:sectPr>
          <w:pgSz w:w="16838" w:h="11906" w:orient="landscape"/>
          <w:pgMar w:top="1440" w:right="1440" w:bottom="1440" w:left="1440"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sz w:val="28"/>
          <w:highlight w:val="none"/>
        </w:rPr>
        <mc:AlternateContent>
          <mc:Choice Requires="wps">
            <w:drawing>
              <wp:anchor distT="0" distB="0" distL="114300" distR="114300" simplePos="0" relativeHeight="251689984" behindDoc="1" locked="0" layoutInCell="1" allowOverlap="1">
                <wp:simplePos x="0" y="0"/>
                <wp:positionH relativeFrom="column">
                  <wp:posOffset>2676525</wp:posOffset>
                </wp:positionH>
                <wp:positionV relativeFrom="paragraph">
                  <wp:posOffset>5055235</wp:posOffset>
                </wp:positionV>
                <wp:extent cx="1828800" cy="1828800"/>
                <wp:effectExtent l="4445" t="4445" r="10795" b="10795"/>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67"/>
                              <w:tabs>
                                <w:tab w:val="left" w:pos="2340"/>
                                <w:tab w:val="left" w:pos="4320"/>
                              </w:tabs>
                              <w:ind w:left="0" w:leftChars="0" w:firstLine="0" w:firstLineChars="0"/>
                              <w:jc w:val="center"/>
                              <w:outlineLvl w:val="0"/>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附图4</w:t>
                            </w:r>
                            <w:r>
                              <w:rPr>
                                <w:rFonts w:hint="eastAsia" w:ascii="Times New Roman" w:hAnsi="Times New Roman" w:cs="Times New Roman"/>
                                <w:b/>
                                <w:bCs/>
                                <w:color w:val="auto"/>
                                <w:kern w:val="2"/>
                                <w:sz w:val="24"/>
                                <w:szCs w:val="24"/>
                                <w:lang w:val="en-US" w:eastAsia="zh-CN" w:bidi="ar-SA"/>
                              </w:rPr>
                              <w:t>-2</w:t>
                            </w:r>
                            <w:r>
                              <w:rPr>
                                <w:rFonts w:hint="default" w:ascii="Times New Roman" w:hAnsi="Times New Roman" w:eastAsia="宋体" w:cs="Times New Roman"/>
                                <w:b/>
                                <w:bCs/>
                                <w:color w:val="auto"/>
                                <w:kern w:val="2"/>
                                <w:sz w:val="24"/>
                                <w:szCs w:val="24"/>
                                <w:lang w:val="en-US" w:eastAsia="zh-CN" w:bidi="ar-SA"/>
                              </w:rPr>
                              <w:t xml:space="preserve">  项目</w:t>
                            </w:r>
                            <w:r>
                              <w:rPr>
                                <w:rFonts w:hint="eastAsia" w:ascii="Times New Roman" w:hAnsi="Times New Roman" w:cs="Times New Roman"/>
                                <w:b/>
                                <w:bCs/>
                                <w:color w:val="auto"/>
                                <w:kern w:val="2"/>
                                <w:sz w:val="24"/>
                                <w:szCs w:val="24"/>
                                <w:lang w:val="en-US" w:eastAsia="zh-CN" w:bidi="ar-SA"/>
                              </w:rPr>
                              <w:t>生产车间、检验打包车间</w:t>
                            </w:r>
                            <w:r>
                              <w:rPr>
                                <w:rFonts w:hint="default" w:ascii="Times New Roman" w:hAnsi="Times New Roman" w:eastAsia="宋体" w:cs="Times New Roman"/>
                                <w:b/>
                                <w:bCs/>
                                <w:color w:val="auto"/>
                                <w:kern w:val="2"/>
                                <w:sz w:val="24"/>
                                <w:szCs w:val="24"/>
                                <w:lang w:val="en-US" w:eastAsia="zh-CN" w:bidi="ar-SA"/>
                              </w:rPr>
                              <w:t>平面布置图（1</w:t>
                            </w:r>
                            <w:r>
                              <w:rPr>
                                <w:rFonts w:hint="eastAsia" w:ascii="Times New Roman" w:hAnsi="Times New Roman" w:eastAsia="宋体" w:cs="Times New Roman"/>
                                <w:b/>
                                <w:bCs/>
                                <w:color w:val="auto"/>
                                <w:kern w:val="2"/>
                                <w:sz w:val="24"/>
                                <w:szCs w:val="24"/>
                                <w:lang w:val="en-US" w:eastAsia="zh-CN" w:bidi="ar-SA"/>
                              </w:rPr>
                              <w:t>：</w:t>
                            </w:r>
                            <w:r>
                              <w:rPr>
                                <w:rFonts w:hint="eastAsia" w:ascii="Times New Roman" w:hAnsi="Times New Roman" w:cs="Times New Roman"/>
                                <w:b/>
                                <w:bCs/>
                                <w:color w:val="auto"/>
                                <w:kern w:val="2"/>
                                <w:sz w:val="24"/>
                                <w:szCs w:val="24"/>
                                <w:lang w:val="en-US" w:eastAsia="zh-CN" w:bidi="ar-SA"/>
                              </w:rPr>
                              <w:t>40</w:t>
                            </w:r>
                            <w:r>
                              <w:rPr>
                                <w:rFonts w:hint="default" w:ascii="Times New Roman" w:hAnsi="Times New Roman" w:eastAsia="宋体" w:cs="Times New Roman"/>
                                <w:b/>
                                <w:bCs/>
                                <w:color w:val="auto"/>
                                <w:kern w:val="2"/>
                                <w:sz w:val="24"/>
                                <w:szCs w:val="24"/>
                                <w:lang w:val="en-US" w:eastAsia="zh-CN" w:bidi="ar-SA"/>
                              </w:rPr>
                              <w:t>0）</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10.75pt;margin-top:398.05pt;height:144pt;width:144pt;mso-wrap-style:none;z-index:-251626496;mso-width-relative:page;mso-height-relative:page;" fillcolor="#FFFFFF [3201]" filled="t" stroked="t" coordsize="21600,21600" o:gfxdata="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LATLt9gAAAAMAQAA&#10;DwAAAAAAAAABACAAAAAiAAAAZHJzL2Rvd25yZXYueG1sUEsBAhQAFAAAAAgAh07iQIz8ZXlSAgAA&#10;tgQAAA4AAAAAAAAAAQAgAAAAJwEAAGRycy9lMm9Eb2MueG1sUEsFBgAAAAAGAAYAWQEAAOsFAAAA&#10;AA==&#10;">
                <v:fill on="t" focussize="0,0"/>
                <v:stroke weight="0.5pt" color="#000000 [3204]" joinstyle="round"/>
                <v:imagedata o:title=""/>
                <o:lock v:ext="edit" aspectratio="f"/>
                <v:textbox style="mso-fit-shape-to-text:t;">
                  <w:txbxContent>
                    <w:p>
                      <w:pPr>
                        <w:pStyle w:val="67"/>
                        <w:tabs>
                          <w:tab w:val="left" w:pos="2340"/>
                          <w:tab w:val="left" w:pos="4320"/>
                        </w:tabs>
                        <w:ind w:left="0" w:leftChars="0" w:firstLine="0" w:firstLineChars="0"/>
                        <w:jc w:val="center"/>
                        <w:outlineLvl w:val="0"/>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附图4</w:t>
                      </w:r>
                      <w:r>
                        <w:rPr>
                          <w:rFonts w:hint="eastAsia" w:ascii="Times New Roman" w:hAnsi="Times New Roman" w:cs="Times New Roman"/>
                          <w:b/>
                          <w:bCs/>
                          <w:color w:val="auto"/>
                          <w:kern w:val="2"/>
                          <w:sz w:val="24"/>
                          <w:szCs w:val="24"/>
                          <w:lang w:val="en-US" w:eastAsia="zh-CN" w:bidi="ar-SA"/>
                        </w:rPr>
                        <w:t>-2</w:t>
                      </w:r>
                      <w:r>
                        <w:rPr>
                          <w:rFonts w:hint="default" w:ascii="Times New Roman" w:hAnsi="Times New Roman" w:eastAsia="宋体" w:cs="Times New Roman"/>
                          <w:b/>
                          <w:bCs/>
                          <w:color w:val="auto"/>
                          <w:kern w:val="2"/>
                          <w:sz w:val="24"/>
                          <w:szCs w:val="24"/>
                          <w:lang w:val="en-US" w:eastAsia="zh-CN" w:bidi="ar-SA"/>
                        </w:rPr>
                        <w:t xml:space="preserve">  项目</w:t>
                      </w:r>
                      <w:r>
                        <w:rPr>
                          <w:rFonts w:hint="eastAsia" w:ascii="Times New Roman" w:hAnsi="Times New Roman" w:cs="Times New Roman"/>
                          <w:b/>
                          <w:bCs/>
                          <w:color w:val="auto"/>
                          <w:kern w:val="2"/>
                          <w:sz w:val="24"/>
                          <w:szCs w:val="24"/>
                          <w:lang w:val="en-US" w:eastAsia="zh-CN" w:bidi="ar-SA"/>
                        </w:rPr>
                        <w:t>生产车间、检验打包车间</w:t>
                      </w:r>
                      <w:r>
                        <w:rPr>
                          <w:rFonts w:hint="default" w:ascii="Times New Roman" w:hAnsi="Times New Roman" w:eastAsia="宋体" w:cs="Times New Roman"/>
                          <w:b/>
                          <w:bCs/>
                          <w:color w:val="auto"/>
                          <w:kern w:val="2"/>
                          <w:sz w:val="24"/>
                          <w:szCs w:val="24"/>
                          <w:lang w:val="en-US" w:eastAsia="zh-CN" w:bidi="ar-SA"/>
                        </w:rPr>
                        <w:t>平面布置图（1</w:t>
                      </w:r>
                      <w:r>
                        <w:rPr>
                          <w:rFonts w:hint="eastAsia" w:ascii="Times New Roman" w:hAnsi="Times New Roman" w:eastAsia="宋体" w:cs="Times New Roman"/>
                          <w:b/>
                          <w:bCs/>
                          <w:color w:val="auto"/>
                          <w:kern w:val="2"/>
                          <w:sz w:val="24"/>
                          <w:szCs w:val="24"/>
                          <w:lang w:val="en-US" w:eastAsia="zh-CN" w:bidi="ar-SA"/>
                        </w:rPr>
                        <w:t>：</w:t>
                      </w:r>
                      <w:r>
                        <w:rPr>
                          <w:rFonts w:hint="eastAsia" w:ascii="Times New Roman" w:hAnsi="Times New Roman" w:cs="Times New Roman"/>
                          <w:b/>
                          <w:bCs/>
                          <w:color w:val="auto"/>
                          <w:kern w:val="2"/>
                          <w:sz w:val="24"/>
                          <w:szCs w:val="24"/>
                          <w:lang w:val="en-US" w:eastAsia="zh-CN" w:bidi="ar-SA"/>
                        </w:rPr>
                        <w:t>40</w:t>
                      </w:r>
                      <w:r>
                        <w:rPr>
                          <w:rFonts w:hint="default" w:ascii="Times New Roman" w:hAnsi="Times New Roman" w:eastAsia="宋体" w:cs="Times New Roman"/>
                          <w:b/>
                          <w:bCs/>
                          <w:color w:val="auto"/>
                          <w:kern w:val="2"/>
                          <w:sz w:val="24"/>
                          <w:szCs w:val="24"/>
                          <w:lang w:val="en-US" w:eastAsia="zh-CN" w:bidi="ar-SA"/>
                        </w:rPr>
                        <w:t>0）</w:t>
                      </w:r>
                    </w:p>
                  </w:txbxContent>
                </v:textbox>
              </v:shape>
            </w:pict>
          </mc:Fallback>
        </mc:AlternateContent>
      </w:r>
    </w:p>
    <w:p>
      <w:pPr>
        <w:jc w:val="center"/>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mc:AlternateContent>
          <mc:Choice Requires="wpg">
            <w:drawing>
              <wp:anchor distT="0" distB="0" distL="114300" distR="114300" simplePos="0" relativeHeight="251667456" behindDoc="0" locked="0" layoutInCell="1" allowOverlap="1">
                <wp:simplePos x="0" y="0"/>
                <wp:positionH relativeFrom="column">
                  <wp:posOffset>2541270</wp:posOffset>
                </wp:positionH>
                <wp:positionV relativeFrom="paragraph">
                  <wp:posOffset>2723515</wp:posOffset>
                </wp:positionV>
                <wp:extent cx="1106170" cy="793115"/>
                <wp:effectExtent l="4445" t="6350" r="13335" b="19685"/>
                <wp:wrapNone/>
                <wp:docPr id="73" name="组合 73"/>
                <wp:cNvGraphicFramePr/>
                <a:graphic xmlns:a="http://schemas.openxmlformats.org/drawingml/2006/main">
                  <a:graphicData uri="http://schemas.microsoft.com/office/word/2010/wordprocessingGroup">
                    <wpg:wgp>
                      <wpg:cNvGrpSpPr/>
                      <wpg:grpSpPr>
                        <a:xfrm>
                          <a:off x="0" y="0"/>
                          <a:ext cx="1106170" cy="793115"/>
                          <a:chOff x="8771" y="1380905"/>
                          <a:chExt cx="1742" cy="1249"/>
                        </a:xfrm>
                      </wpg:grpSpPr>
                      <wps:wsp>
                        <wps:cNvPr id="74" name="圆角矩形标注 11"/>
                        <wps:cNvSpPr/>
                        <wps:spPr>
                          <a:xfrm>
                            <a:off x="9281" y="1380905"/>
                            <a:ext cx="1233" cy="480"/>
                          </a:xfrm>
                          <a:prstGeom prst="wedgeRoundRectCallout">
                            <a:avLst>
                              <a:gd name="adj1" fmla="val -78953"/>
                              <a:gd name="adj2" fmla="val 181458"/>
                              <a:gd name="adj3" fmla="val 16667"/>
                            </a:avLst>
                          </a:prstGeom>
                          <a:solidFill>
                            <a:schemeClr val="accent2">
                              <a:lumMod val="20000"/>
                              <a:lumOff val="80000"/>
                            </a:schemeClr>
                          </a:solidFill>
                          <a:ln w="12700" cap="flat" cmpd="sng">
                            <a:solidFill>
                              <a:srgbClr val="FF0000"/>
                            </a:solidFill>
                            <a:prstDash val="solid"/>
                            <a:miter/>
                            <a:headEnd type="none" w="med" len="med"/>
                            <a:tailEnd type="none" w="med" len="med"/>
                          </a:ln>
                        </wps:spPr>
                        <wps:txbx>
                          <w:txbxContent>
                            <w:p>
                              <w:pPr>
                                <w:snapToGrid w:val="0"/>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eastAsia="zh-CN"/>
                                </w:rPr>
                                <w:t>位置</w:t>
                              </w:r>
                            </w:p>
                          </w:txbxContent>
                        </wps:txbx>
                        <wps:bodyPr anchor="ctr" anchorCtr="0" upright="1"/>
                      </wps:wsp>
                      <wps:wsp>
                        <wps:cNvPr id="75" name="椭圆 19"/>
                        <wps:cNvSpPr/>
                        <wps:spPr>
                          <a:xfrm>
                            <a:off x="8771" y="1382034"/>
                            <a:ext cx="120" cy="120"/>
                          </a:xfrm>
                          <a:prstGeom prst="ellipse">
                            <a:avLst/>
                          </a:prstGeom>
                          <a:solidFill>
                            <a:srgbClr val="FF0000"/>
                          </a:solidFill>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00.1pt;margin-top:214.45pt;height:62.45pt;width:87.1pt;z-index:251667456;mso-width-relative:page;mso-height-relative:page;" coordorigin="8771,1380905" coordsize="1742,1249" o:gfxdata="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M+7Qg3bAAAACwEAAA8AAAAAAAAAAQAgAAAAIgAAAGRycy9kb3ducmV2Lnht&#10;bFBLAQIUABQAAAAIAIdO4kCRmEEjTAMAAIkIAAAOAAAAAAAAAAEAIAAAACoBAABkcnMvZTJvRG9j&#10;LnhtbFBLBQYAAAAABgAGAFkBAADoBgAAAAA=&#10;">
                <o:lock v:ext="edit" aspectratio="f"/>
                <v:shape id="圆角矩形标注 11" o:spid="_x0000_s1026" o:spt="62" type="#_x0000_t62" style="position:absolute;left:9281;top:1380905;height:480;width:1233;v-text-anchor:middle;" fillcolor="#FBE5D6 [661]" filled="t" stroked="t" coordsize="21600,21600" o:gfxdata="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So35L4A&#10;AADbAAAADwAAAAAAAAABACAAAAAiAAAAZHJzL2Rvd25yZXYueG1sUEsBAhQAFAAAAAgAh07iQDMv&#10;BZ47AAAAOQAAABAAAAAAAAAAAQAgAAAADQEAAGRycy9zaGFwZXhtbC54bWxQSwUGAAAAAAYABgBb&#10;AQAAtwMAAAAA&#10;" adj="-6254,49995,14400">
                  <v:fill on="t" focussize="0,0"/>
                  <v:stroke weight="1pt" color="#FF0000" joinstyle="miter"/>
                  <v:imagedata o:title=""/>
                  <o:lock v:ext="edit" aspectratio="f"/>
                  <v:textbox>
                    <w:txbxContent>
                      <w:p>
                        <w:pPr>
                          <w:snapToGrid w:val="0"/>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eastAsia="zh-CN"/>
                          </w:rPr>
                          <w:t>位置</w:t>
                        </w:r>
                      </w:p>
                    </w:txbxContent>
                  </v:textbox>
                </v:shape>
                <v:shape id="椭圆 19" o:spid="_x0000_s1026" o:spt="3" type="#_x0000_t3" style="position:absolute;left:8771;top:1382034;height:120;width:120;" fillcolor="#FF0000" filled="t" stroked="t" coordsize="21600,21600" o:gfxdata="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OnBvQAA&#10;ANsAAAAPAAAAAAAAAAEAIAAAACIAAABkcnMvZG93bnJldi54bWxQSwECFAAUAAAACACHTuJAMy8F&#10;njsAAAA5AAAAEAAAAAAAAAABACAAAAAMAQAAZHJzL3NoYXBleG1sLnhtbFBLBQYAAAAABgAGAFsB&#10;AAC2AwAAAAA=&#10;">
                  <v:fill on="t" focussize="0,0"/>
                  <v:stroke color="#FF0000" joinstyle="round"/>
                  <v:imagedata o:title=""/>
                  <o:lock v:ext="edit" aspectratio="f"/>
                </v:shape>
              </v:group>
            </w:pict>
          </mc:Fallback>
        </mc:AlternateContent>
      </w:r>
      <w:r>
        <w:rPr>
          <w:rFonts w:hint="default" w:ascii="Times New Roman" w:hAnsi="Times New Roman" w:eastAsia="方正小标宋简体" w:cs="Times New Roman"/>
          <w:color w:val="auto"/>
          <w:sz w:val="44"/>
          <w:szCs w:val="44"/>
          <w:highlight w:val="none"/>
          <w:lang w:val="en-US" w:eastAsia="zh-CN"/>
        </w:rPr>
        <w:drawing>
          <wp:inline distT="0" distB="0" distL="114300" distR="114300">
            <wp:extent cx="5752465" cy="7867015"/>
            <wp:effectExtent l="0" t="0" r="8255" b="12065"/>
            <wp:docPr id="106" name="图片 6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65" descr="图片1"/>
                    <pic:cNvPicPr>
                      <a:picLocks noChangeAspect="1"/>
                    </pic:cNvPicPr>
                  </pic:nvPicPr>
                  <pic:blipFill>
                    <a:blip r:embed="rId103"/>
                    <a:stretch>
                      <a:fillRect/>
                    </a:stretch>
                  </pic:blipFill>
                  <pic:spPr>
                    <a:xfrm>
                      <a:off x="0" y="0"/>
                      <a:ext cx="5752465" cy="7867015"/>
                    </a:xfrm>
                    <a:prstGeom prst="rect">
                      <a:avLst/>
                    </a:prstGeom>
                    <a:noFill/>
                    <a:ln>
                      <a:noFill/>
                    </a:ln>
                  </pic:spPr>
                </pic:pic>
              </a:graphicData>
            </a:graphic>
          </wp:inline>
        </w:drawing>
      </w:r>
    </w:p>
    <w:p>
      <w:pPr>
        <w:pStyle w:val="67"/>
        <w:tabs>
          <w:tab w:val="left" w:pos="2340"/>
          <w:tab w:val="left" w:pos="4320"/>
        </w:tabs>
        <w:ind w:left="0" w:leftChars="0" w:firstLine="0" w:firstLineChars="0"/>
        <w:jc w:val="center"/>
        <w:outlineLvl w:val="0"/>
        <w:rPr>
          <w:rFonts w:hint="default" w:ascii="Times New Roman" w:hAnsi="Times New Roman" w:cs="Times New Roman"/>
          <w:b/>
          <w:bCs/>
          <w:color w:val="auto"/>
          <w:sz w:val="24"/>
          <w:szCs w:val="28"/>
          <w:highlight w:val="none"/>
        </w:rPr>
        <w:sectPr>
          <w:pgSz w:w="11906" w:h="16838"/>
          <w:pgMar w:top="1440" w:right="1440" w:bottom="1440" w:left="1440" w:header="510" w:footer="79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b/>
          <w:bCs/>
          <w:color w:val="auto"/>
          <w:kern w:val="2"/>
          <w:sz w:val="24"/>
          <w:szCs w:val="24"/>
          <w:highlight w:val="none"/>
          <w:lang w:val="en-US" w:eastAsia="zh-CN" w:bidi="ar-SA"/>
        </w:rPr>
        <w:t>附图5  淄博市环境管控单元图</w:t>
      </w:r>
    </w:p>
    <w:p>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1"/>
          <w:highlight w:val="none"/>
        </w:rPr>
        <mc:AlternateContent>
          <mc:Choice Requires="wpg">
            <w:drawing>
              <wp:anchor distT="0" distB="0" distL="114300" distR="114300" simplePos="0" relativeHeight="251668480" behindDoc="0" locked="0" layoutInCell="1" allowOverlap="1">
                <wp:simplePos x="0" y="0"/>
                <wp:positionH relativeFrom="column">
                  <wp:posOffset>6150610</wp:posOffset>
                </wp:positionH>
                <wp:positionV relativeFrom="paragraph">
                  <wp:posOffset>963930</wp:posOffset>
                </wp:positionV>
                <wp:extent cx="1216025" cy="648970"/>
                <wp:effectExtent l="4445" t="4445" r="17780" b="13335"/>
                <wp:wrapNone/>
                <wp:docPr id="79" name="组合 79"/>
                <wp:cNvGraphicFramePr/>
                <a:graphic xmlns:a="http://schemas.openxmlformats.org/drawingml/2006/main">
                  <a:graphicData uri="http://schemas.microsoft.com/office/word/2010/wordprocessingGroup">
                    <wpg:wgp>
                      <wpg:cNvGrpSpPr/>
                      <wpg:grpSpPr>
                        <a:xfrm>
                          <a:off x="0" y="0"/>
                          <a:ext cx="1216025" cy="648970"/>
                          <a:chOff x="11431" y="1447907"/>
                          <a:chExt cx="1915" cy="1022"/>
                        </a:xfrm>
                      </wpg:grpSpPr>
                      <wps:wsp>
                        <wps:cNvPr id="77" name="圆角矩形标注 11"/>
                        <wps:cNvSpPr/>
                        <wps:spPr>
                          <a:xfrm>
                            <a:off x="12114" y="1448449"/>
                            <a:ext cx="1233" cy="480"/>
                          </a:xfrm>
                          <a:prstGeom prst="wedgeRoundRectCallout">
                            <a:avLst>
                              <a:gd name="adj1" fmla="val -87469"/>
                              <a:gd name="adj2" fmla="val -127916"/>
                              <a:gd name="adj3" fmla="val 16667"/>
                            </a:avLst>
                          </a:prstGeom>
                          <a:solidFill>
                            <a:schemeClr val="accent2">
                              <a:lumMod val="20000"/>
                              <a:lumOff val="80000"/>
                            </a:schemeClr>
                          </a:solidFill>
                          <a:ln w="12700" cap="flat" cmpd="sng">
                            <a:solidFill>
                              <a:srgbClr val="FF0000"/>
                            </a:solidFill>
                            <a:prstDash val="solid"/>
                            <a:miter/>
                            <a:headEnd type="none" w="med" len="med"/>
                            <a:tailEnd type="none" w="med" len="med"/>
                          </a:ln>
                        </wps:spPr>
                        <wps:txbx>
                          <w:txbxContent>
                            <w:p>
                              <w:pPr>
                                <w:snapToGrid w:val="0"/>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eastAsia="zh-CN"/>
                                </w:rPr>
                                <w:t>位置</w:t>
                              </w:r>
                            </w:p>
                          </w:txbxContent>
                        </wps:txbx>
                        <wps:bodyPr anchor="ctr" anchorCtr="0" upright="1"/>
                      </wps:wsp>
                      <wps:wsp>
                        <wps:cNvPr id="78" name="椭圆 19"/>
                        <wps:cNvSpPr/>
                        <wps:spPr>
                          <a:xfrm>
                            <a:off x="11431" y="1447907"/>
                            <a:ext cx="120" cy="120"/>
                          </a:xfrm>
                          <a:prstGeom prst="ellipse">
                            <a:avLst/>
                          </a:prstGeom>
                          <a:solidFill>
                            <a:srgbClr val="FF0000"/>
                          </a:solidFill>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484.3pt;margin-top:75.9pt;height:51.1pt;width:95.75pt;z-index:251668480;mso-width-relative:page;mso-height-relative:page;" coordorigin="11431,1447907" coordsize="1915,1022" o:gfxdata="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ItXLtTaAAAADAEAAA8AAAAAAAAAAQAgAAAAIgAAAGRycy9kb3ducmV2Lnht&#10;bFBLAQIUABQAAAAIAIdO4kC4bs6OTQMAAI0IAAAOAAAAAAAAAAEAIAAAACkBAABkcnMvZTJvRG9j&#10;LnhtbFBLBQYAAAAABgAGAFkBAADoBgAAAAA=&#10;">
                <o:lock v:ext="edit" aspectratio="f"/>
                <v:shape id="圆角矩形标注 11" o:spid="_x0000_s1026" o:spt="62" type="#_x0000_t62" style="position:absolute;left:12114;top:1448449;height:480;width:1233;v-text-anchor:middle;" fillcolor="#FBE5D6 [661]" filled="t" stroked="t" coordsize="21600,21600" o:gfxdata="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CUN74A&#10;AADbAAAADwAAAAAAAAABACAAAAAiAAAAZHJzL2Rvd25yZXYueG1sUEsBAhQAFAAAAAgAh07iQDMv&#10;BZ47AAAAOQAAABAAAAAAAAAAAQAgAAAADQEAAGRycy9zaGFwZXhtbC54bWxQSwUGAAAAAAYABgBb&#10;AQAAtwMAAAAA&#10;" adj="-8093,-16830,14400">
                  <v:fill on="t" focussize="0,0"/>
                  <v:stroke weight="1pt" color="#FF0000" joinstyle="miter"/>
                  <v:imagedata o:title=""/>
                  <o:lock v:ext="edit" aspectratio="f"/>
                  <v:textbox>
                    <w:txbxContent>
                      <w:p>
                        <w:pPr>
                          <w:snapToGrid w:val="0"/>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eastAsia="zh-CN"/>
                          </w:rPr>
                          <w:t>位置</w:t>
                        </w:r>
                      </w:p>
                    </w:txbxContent>
                  </v:textbox>
                </v:shape>
                <v:shape id="椭圆 19" o:spid="_x0000_s1026" o:spt="3" type="#_x0000_t3" style="position:absolute;left:11431;top:1447907;height:120;width:120;" fillcolor="#FF0000" filled="t" stroked="t" coordsize="21600,21600" o:gfxdata="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UZfugAAANsA&#10;AAAPAAAAAAAAAAEAIAAAACIAAABkcnMvZG93bnJldi54bWxQSwECFAAUAAAACACHTuJAMy8FnjsA&#10;AAA5AAAAEAAAAAAAAAABACAAAAAJAQAAZHJzL3NoYXBleG1sLnhtbFBLBQYAAAAABgAGAFsBAACz&#10;AwAAAAA=&#10;">
                  <v:fill on="t" focussize="0,0"/>
                  <v:stroke color="#FF0000" joinstyle="round"/>
                  <v:imagedata o:title=""/>
                  <o:lock v:ext="edit" aspectratio="f"/>
                </v:shape>
              </v:group>
            </w:pict>
          </mc:Fallback>
        </mc:AlternateContent>
      </w:r>
      <w:r>
        <w:rPr>
          <w:rFonts w:hint="default" w:ascii="Times New Roman" w:hAnsi="Times New Roman" w:cs="Times New Roman"/>
          <w:color w:val="auto"/>
          <w:highlight w:val="none"/>
          <w:lang w:val="en-US" w:eastAsia="zh-CN"/>
        </w:rPr>
        <w:drawing>
          <wp:inline distT="0" distB="0" distL="114300" distR="114300">
            <wp:extent cx="6742430" cy="4961255"/>
            <wp:effectExtent l="0" t="0" r="1270" b="10795"/>
            <wp:docPr id="27" name="图片 3" descr="ef64cecbb15ae7e0ef2b62569e302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ef64cecbb15ae7e0ef2b62569e302b9"/>
                    <pic:cNvPicPr>
                      <a:picLocks noChangeAspect="1"/>
                    </pic:cNvPicPr>
                  </pic:nvPicPr>
                  <pic:blipFill>
                    <a:blip r:embed="rId104"/>
                    <a:stretch>
                      <a:fillRect/>
                    </a:stretch>
                  </pic:blipFill>
                  <pic:spPr>
                    <a:xfrm>
                      <a:off x="0" y="0"/>
                      <a:ext cx="6742430" cy="4961255"/>
                    </a:xfrm>
                    <a:prstGeom prst="rect">
                      <a:avLst/>
                    </a:prstGeom>
                    <a:noFill/>
                    <a:ln>
                      <a:noFill/>
                    </a:ln>
                  </pic:spPr>
                </pic:pic>
              </a:graphicData>
            </a:graphic>
          </wp:inline>
        </w:drawing>
      </w:r>
    </w:p>
    <w:p>
      <w:pPr>
        <w:pStyle w:val="67"/>
        <w:tabs>
          <w:tab w:val="left" w:pos="2340"/>
          <w:tab w:val="left" w:pos="4320"/>
        </w:tabs>
        <w:ind w:left="0" w:leftChars="0" w:firstLine="0" w:firstLineChars="0"/>
        <w:jc w:val="center"/>
        <w:outlineLvl w:val="0"/>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附图6  淄博文昌湖省级旅游度假区</w:t>
      </w:r>
      <w:r>
        <w:rPr>
          <w:rFonts w:hint="default" w:ascii="Times New Roman" w:hAnsi="Times New Roman" w:cs="Times New Roman"/>
          <w:b/>
          <w:bCs/>
          <w:color w:val="auto"/>
          <w:kern w:val="2"/>
          <w:sz w:val="24"/>
          <w:szCs w:val="24"/>
          <w:highlight w:val="none"/>
          <w:lang w:val="en-US" w:eastAsia="zh-CN" w:bidi="ar-SA"/>
        </w:rPr>
        <w:t>“</w:t>
      </w:r>
      <w:r>
        <w:rPr>
          <w:rFonts w:hint="default" w:ascii="Times New Roman" w:hAnsi="Times New Roman" w:eastAsia="宋体" w:cs="Times New Roman"/>
          <w:b/>
          <w:bCs/>
          <w:color w:val="auto"/>
          <w:kern w:val="2"/>
          <w:sz w:val="24"/>
          <w:szCs w:val="24"/>
          <w:highlight w:val="none"/>
          <w:lang w:val="en-US" w:eastAsia="zh-CN" w:bidi="ar-SA"/>
        </w:rPr>
        <w:t>三区三线</w:t>
      </w:r>
      <w:r>
        <w:rPr>
          <w:rFonts w:hint="default" w:ascii="Times New Roman" w:hAnsi="Times New Roman" w:cs="Times New Roman"/>
          <w:b/>
          <w:bCs/>
          <w:color w:val="auto"/>
          <w:kern w:val="2"/>
          <w:sz w:val="24"/>
          <w:szCs w:val="24"/>
          <w:highlight w:val="none"/>
          <w:lang w:val="en-US" w:eastAsia="zh-CN" w:bidi="ar-SA"/>
        </w:rPr>
        <w:t>”</w:t>
      </w:r>
      <w:r>
        <w:rPr>
          <w:rFonts w:hint="default" w:ascii="Times New Roman" w:hAnsi="Times New Roman" w:eastAsia="宋体" w:cs="Times New Roman"/>
          <w:b/>
          <w:bCs/>
          <w:color w:val="auto"/>
          <w:kern w:val="2"/>
          <w:sz w:val="24"/>
          <w:szCs w:val="24"/>
          <w:highlight w:val="none"/>
          <w:lang w:val="en-US" w:eastAsia="zh-CN" w:bidi="ar-SA"/>
        </w:rPr>
        <w:t>永久基本农田及城镇开发边界分布示意图</w:t>
      </w:r>
    </w:p>
    <w:p>
      <w:pPr>
        <w:pStyle w:val="67"/>
        <w:tabs>
          <w:tab w:val="left" w:pos="2340"/>
          <w:tab w:val="left" w:pos="4320"/>
        </w:tabs>
        <w:ind w:left="0" w:leftChars="0" w:firstLine="0" w:firstLineChars="0"/>
        <w:jc w:val="center"/>
        <w:outlineLvl w:val="9"/>
        <w:rPr>
          <w:rFonts w:hint="default" w:ascii="Times New Roman" w:hAnsi="Times New Roman" w:eastAsia="宋体" w:cs="Times New Roman"/>
          <w:b/>
          <w:bCs/>
          <w:color w:val="auto"/>
          <w:kern w:val="2"/>
          <w:sz w:val="24"/>
          <w:szCs w:val="24"/>
          <w:highlight w:val="none"/>
          <w:lang w:val="en-US" w:eastAsia="zh-CN" w:bidi="ar-SA"/>
        </w:rPr>
      </w:pPr>
    </w:p>
    <w:sectPr>
      <w:pgSz w:w="16838" w:h="11906" w:orient="landscape"/>
      <w:pgMar w:top="1440" w:right="1440" w:bottom="1440" w:left="1440" w:header="510" w:footer="794"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E59729-D510-4B9C-A3C1-6E86421130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D622603E-F4F0-473B-B964-D6852172C57A}"/>
  </w:font>
  <w:font w:name="Noto Sans CJK JP Regular">
    <w:altName w:val="Arial"/>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embedRegular r:id="rId3" w:fontKey="{A30AC92A-70AF-4298-82A4-7A3F754A526E}"/>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4" w:fontKey="{11BDC9F7-030F-4130-A117-DBB1E383FA55}"/>
  </w:font>
  <w:font w:name="华文仿宋">
    <w:panose1 w:val="02010600040101010101"/>
    <w:charset w:val="86"/>
    <w:family w:val="auto"/>
    <w:pitch w:val="default"/>
    <w:sig w:usb0="00000287" w:usb1="080F0000" w:usb2="00000000" w:usb3="00000000" w:csb0="0004009F" w:csb1="DFD70000"/>
    <w:embedRegular r:id="rId5" w:fontKey="{2E577057-78EE-41EB-ABE5-5A5AB18D7233}"/>
  </w:font>
  <w:font w:name="仿宋">
    <w:panose1 w:val="02010609060101010101"/>
    <w:charset w:val="86"/>
    <w:family w:val="auto"/>
    <w:pitch w:val="default"/>
    <w:sig w:usb0="800002BF" w:usb1="38CF7CFA" w:usb2="00000016" w:usb3="00000000" w:csb0="00040001" w:csb1="00000000"/>
    <w:embedRegular r:id="rId6" w:fontKey="{834714A3-C590-4E34-865B-4A54D8E47B84}"/>
  </w:font>
  <w:font w:name="Wingdings 2">
    <w:panose1 w:val="05020102010507070707"/>
    <w:charset w:val="02"/>
    <w:family w:val="auto"/>
    <w:pitch w:val="default"/>
    <w:sig w:usb0="00000000" w:usb1="00000000" w:usb2="00000000" w:usb3="00000000" w:csb0="80000000" w:csb1="00000000"/>
    <w:embedRegular r:id="rId7" w:fontKey="{F57D5F2E-F0F7-47C0-BA34-C7853FA68BF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5"/>
                          </w:pPr>
                          <w:r>
                            <w:fldChar w:fldCharType="begin"/>
                          </w:r>
                          <w:r>
                            <w:instrText xml:space="preserve"> PAGE  \* MERGEFORMAT </w:instrText>
                          </w:r>
                          <w:r>
                            <w:fldChar w:fldCharType="separate"/>
                          </w:r>
                          <w:r>
                            <w:t>40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2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4095"/>
      <w:rPr>
        <w:rFonts w:ascii="Times New Roman" w:hAnsi="Times New Roman" w:eastAsia="Times New Roman" w:cs="Times New Roman"/>
        <w:sz w:val="23"/>
        <w:szCs w:val="23"/>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17D33E"/>
    <w:multiLevelType w:val="singleLevel"/>
    <w:tmpl w:val="D017D33E"/>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1">
    <w:nsid w:val="1D625EC6"/>
    <w:multiLevelType w:val="multilevel"/>
    <w:tmpl w:val="1D625EC6"/>
    <w:lvl w:ilvl="0" w:tentative="0">
      <w:start w:val="1"/>
      <w:numFmt w:val="decimal"/>
      <w:pStyle w:val="56"/>
      <w:lvlText w:val="表%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E70020F"/>
    <w:multiLevelType w:val="singleLevel"/>
    <w:tmpl w:val="6E70020F"/>
    <w:lvl w:ilvl="0" w:tentative="0">
      <w:start w:val="1"/>
      <w:numFmt w:val="bullet"/>
      <w:pStyle w:val="20"/>
      <w:lvlText w:val=""/>
      <w:lvlJc w:val="left"/>
      <w:pPr>
        <w:tabs>
          <w:tab w:val="left" w:pos="2040"/>
        </w:tabs>
        <w:ind w:left="204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wMjhhOGQ2YTg5MTU2MjNiZDQ4NzViOWRlMDZlZmUifQ=="/>
  </w:docVars>
  <w:rsids>
    <w:rsidRoot w:val="00172A27"/>
    <w:rsid w:val="0009621F"/>
    <w:rsid w:val="00103897"/>
    <w:rsid w:val="00197E48"/>
    <w:rsid w:val="002630BB"/>
    <w:rsid w:val="00303F39"/>
    <w:rsid w:val="0035271D"/>
    <w:rsid w:val="003839FB"/>
    <w:rsid w:val="003A0914"/>
    <w:rsid w:val="003B643A"/>
    <w:rsid w:val="003C26A5"/>
    <w:rsid w:val="00475B4A"/>
    <w:rsid w:val="004E2611"/>
    <w:rsid w:val="0052764F"/>
    <w:rsid w:val="00612345"/>
    <w:rsid w:val="00655BCE"/>
    <w:rsid w:val="006B27B9"/>
    <w:rsid w:val="006E4A62"/>
    <w:rsid w:val="007A0AEE"/>
    <w:rsid w:val="00893649"/>
    <w:rsid w:val="008A28FC"/>
    <w:rsid w:val="009027ED"/>
    <w:rsid w:val="009B6DC5"/>
    <w:rsid w:val="00A437D3"/>
    <w:rsid w:val="00AB1812"/>
    <w:rsid w:val="00AF51AC"/>
    <w:rsid w:val="00B30718"/>
    <w:rsid w:val="00BF52BD"/>
    <w:rsid w:val="00C36B5B"/>
    <w:rsid w:val="00C5741B"/>
    <w:rsid w:val="00C823C4"/>
    <w:rsid w:val="00CD202B"/>
    <w:rsid w:val="00CD3536"/>
    <w:rsid w:val="00DC6906"/>
    <w:rsid w:val="00DE5743"/>
    <w:rsid w:val="00E40880"/>
    <w:rsid w:val="00E73B88"/>
    <w:rsid w:val="00E865C2"/>
    <w:rsid w:val="00EA058C"/>
    <w:rsid w:val="01001B5E"/>
    <w:rsid w:val="01066A48"/>
    <w:rsid w:val="010D79D9"/>
    <w:rsid w:val="011B0745"/>
    <w:rsid w:val="011D1076"/>
    <w:rsid w:val="011F4155"/>
    <w:rsid w:val="01203071"/>
    <w:rsid w:val="01253372"/>
    <w:rsid w:val="01253C12"/>
    <w:rsid w:val="0132214E"/>
    <w:rsid w:val="01323CE1"/>
    <w:rsid w:val="015123B9"/>
    <w:rsid w:val="0156177E"/>
    <w:rsid w:val="01715C4C"/>
    <w:rsid w:val="01791910"/>
    <w:rsid w:val="017A595B"/>
    <w:rsid w:val="01802C9E"/>
    <w:rsid w:val="0181217E"/>
    <w:rsid w:val="018207C5"/>
    <w:rsid w:val="018F2EE2"/>
    <w:rsid w:val="019052DF"/>
    <w:rsid w:val="01910F9C"/>
    <w:rsid w:val="019404F8"/>
    <w:rsid w:val="0194674A"/>
    <w:rsid w:val="01AA3877"/>
    <w:rsid w:val="01B34E22"/>
    <w:rsid w:val="01BB7833"/>
    <w:rsid w:val="01BD35AB"/>
    <w:rsid w:val="01C51F95"/>
    <w:rsid w:val="01C610E4"/>
    <w:rsid w:val="01CC7C92"/>
    <w:rsid w:val="01EB4108"/>
    <w:rsid w:val="01EC4963"/>
    <w:rsid w:val="01EE7C08"/>
    <w:rsid w:val="01F41614"/>
    <w:rsid w:val="01FA47FF"/>
    <w:rsid w:val="01FD7E4B"/>
    <w:rsid w:val="020B07BA"/>
    <w:rsid w:val="0213766F"/>
    <w:rsid w:val="02182ED7"/>
    <w:rsid w:val="02256A85"/>
    <w:rsid w:val="022C5CCC"/>
    <w:rsid w:val="022E31E6"/>
    <w:rsid w:val="02300221"/>
    <w:rsid w:val="02346E00"/>
    <w:rsid w:val="02377801"/>
    <w:rsid w:val="02482743"/>
    <w:rsid w:val="024A036C"/>
    <w:rsid w:val="024A534B"/>
    <w:rsid w:val="02532161"/>
    <w:rsid w:val="02656EC7"/>
    <w:rsid w:val="026B0005"/>
    <w:rsid w:val="026D240B"/>
    <w:rsid w:val="027520D7"/>
    <w:rsid w:val="02757A5F"/>
    <w:rsid w:val="027D71DE"/>
    <w:rsid w:val="027F4D04"/>
    <w:rsid w:val="0284056C"/>
    <w:rsid w:val="028440C8"/>
    <w:rsid w:val="028C7C69"/>
    <w:rsid w:val="029307AF"/>
    <w:rsid w:val="02945D2F"/>
    <w:rsid w:val="02986137"/>
    <w:rsid w:val="029F0F02"/>
    <w:rsid w:val="029F21E4"/>
    <w:rsid w:val="02B80216"/>
    <w:rsid w:val="02C1531D"/>
    <w:rsid w:val="02C30ACC"/>
    <w:rsid w:val="02C52C16"/>
    <w:rsid w:val="02C620A0"/>
    <w:rsid w:val="02CD74E8"/>
    <w:rsid w:val="02D976ED"/>
    <w:rsid w:val="02DB2550"/>
    <w:rsid w:val="02DE0DCE"/>
    <w:rsid w:val="02E85824"/>
    <w:rsid w:val="02EA1207"/>
    <w:rsid w:val="02EF1E8A"/>
    <w:rsid w:val="02F474A0"/>
    <w:rsid w:val="02F72AEC"/>
    <w:rsid w:val="02FC4DBB"/>
    <w:rsid w:val="03065425"/>
    <w:rsid w:val="03092820"/>
    <w:rsid w:val="030F2A78"/>
    <w:rsid w:val="031105E1"/>
    <w:rsid w:val="031A5554"/>
    <w:rsid w:val="031E43EA"/>
    <w:rsid w:val="03200295"/>
    <w:rsid w:val="032A3D5D"/>
    <w:rsid w:val="033250C0"/>
    <w:rsid w:val="03337D75"/>
    <w:rsid w:val="033A2042"/>
    <w:rsid w:val="034D6BB0"/>
    <w:rsid w:val="03506A76"/>
    <w:rsid w:val="03522419"/>
    <w:rsid w:val="03524774"/>
    <w:rsid w:val="035A307B"/>
    <w:rsid w:val="035C1ED6"/>
    <w:rsid w:val="035E20F9"/>
    <w:rsid w:val="035E700F"/>
    <w:rsid w:val="0361265C"/>
    <w:rsid w:val="0365214C"/>
    <w:rsid w:val="03655CA8"/>
    <w:rsid w:val="03705611"/>
    <w:rsid w:val="037D62FD"/>
    <w:rsid w:val="038720C2"/>
    <w:rsid w:val="038F541B"/>
    <w:rsid w:val="03A964DC"/>
    <w:rsid w:val="03B7227C"/>
    <w:rsid w:val="03B860E0"/>
    <w:rsid w:val="03B95FF4"/>
    <w:rsid w:val="03BC7892"/>
    <w:rsid w:val="03CB08EB"/>
    <w:rsid w:val="03D1333D"/>
    <w:rsid w:val="03D7019B"/>
    <w:rsid w:val="03E33071"/>
    <w:rsid w:val="03E87A34"/>
    <w:rsid w:val="03EC461B"/>
    <w:rsid w:val="03EE0393"/>
    <w:rsid w:val="03F86B1C"/>
    <w:rsid w:val="040000C7"/>
    <w:rsid w:val="04030F36"/>
    <w:rsid w:val="04107CF0"/>
    <w:rsid w:val="0414691A"/>
    <w:rsid w:val="04161698"/>
    <w:rsid w:val="041D4120"/>
    <w:rsid w:val="04212517"/>
    <w:rsid w:val="04233761"/>
    <w:rsid w:val="04290C7D"/>
    <w:rsid w:val="04313557"/>
    <w:rsid w:val="04357D70"/>
    <w:rsid w:val="043C48B1"/>
    <w:rsid w:val="044004C3"/>
    <w:rsid w:val="04446205"/>
    <w:rsid w:val="04483B5B"/>
    <w:rsid w:val="044C6E68"/>
    <w:rsid w:val="045B70AB"/>
    <w:rsid w:val="04654A29"/>
    <w:rsid w:val="046B19E4"/>
    <w:rsid w:val="04762137"/>
    <w:rsid w:val="047D48B1"/>
    <w:rsid w:val="048B5BE2"/>
    <w:rsid w:val="048C54B6"/>
    <w:rsid w:val="04976E80"/>
    <w:rsid w:val="04983E5B"/>
    <w:rsid w:val="0499531C"/>
    <w:rsid w:val="049F6132"/>
    <w:rsid w:val="04A3117E"/>
    <w:rsid w:val="04A86601"/>
    <w:rsid w:val="04A95352"/>
    <w:rsid w:val="04A95504"/>
    <w:rsid w:val="04B74C29"/>
    <w:rsid w:val="04BC223F"/>
    <w:rsid w:val="04C01703"/>
    <w:rsid w:val="04C2712A"/>
    <w:rsid w:val="04C81CC4"/>
    <w:rsid w:val="04C82992"/>
    <w:rsid w:val="04CE1F73"/>
    <w:rsid w:val="04D003A2"/>
    <w:rsid w:val="04E24897"/>
    <w:rsid w:val="04E75340"/>
    <w:rsid w:val="04ED064B"/>
    <w:rsid w:val="04F27594"/>
    <w:rsid w:val="04F548E2"/>
    <w:rsid w:val="04FC43EA"/>
    <w:rsid w:val="050551E7"/>
    <w:rsid w:val="050C54EF"/>
    <w:rsid w:val="050F05C1"/>
    <w:rsid w:val="05110BD1"/>
    <w:rsid w:val="052370B9"/>
    <w:rsid w:val="05241B93"/>
    <w:rsid w:val="052D6C99"/>
    <w:rsid w:val="053A648E"/>
    <w:rsid w:val="053F1F01"/>
    <w:rsid w:val="056075AE"/>
    <w:rsid w:val="05663F59"/>
    <w:rsid w:val="05687CD1"/>
    <w:rsid w:val="057161EE"/>
    <w:rsid w:val="05733AD2"/>
    <w:rsid w:val="057C3253"/>
    <w:rsid w:val="0585481F"/>
    <w:rsid w:val="05894107"/>
    <w:rsid w:val="058A40EC"/>
    <w:rsid w:val="058F411B"/>
    <w:rsid w:val="05917228"/>
    <w:rsid w:val="05945205"/>
    <w:rsid w:val="05946D18"/>
    <w:rsid w:val="059960DD"/>
    <w:rsid w:val="059D3E1F"/>
    <w:rsid w:val="05A21435"/>
    <w:rsid w:val="05A56B7F"/>
    <w:rsid w:val="05A978CA"/>
    <w:rsid w:val="05AA2098"/>
    <w:rsid w:val="05B4207D"/>
    <w:rsid w:val="05B60A3D"/>
    <w:rsid w:val="05B64EE1"/>
    <w:rsid w:val="05C713DA"/>
    <w:rsid w:val="05CA4813"/>
    <w:rsid w:val="05CC64B2"/>
    <w:rsid w:val="05D2339D"/>
    <w:rsid w:val="05D76C05"/>
    <w:rsid w:val="05DC421B"/>
    <w:rsid w:val="05DD246D"/>
    <w:rsid w:val="05DE1D42"/>
    <w:rsid w:val="05EA6938"/>
    <w:rsid w:val="05EC0902"/>
    <w:rsid w:val="05F2473E"/>
    <w:rsid w:val="06013D33"/>
    <w:rsid w:val="060317A8"/>
    <w:rsid w:val="06085010"/>
    <w:rsid w:val="06193E3C"/>
    <w:rsid w:val="06284D83"/>
    <w:rsid w:val="062956B3"/>
    <w:rsid w:val="06386023"/>
    <w:rsid w:val="064A48AD"/>
    <w:rsid w:val="06502F93"/>
    <w:rsid w:val="065169B7"/>
    <w:rsid w:val="06530982"/>
    <w:rsid w:val="06577474"/>
    <w:rsid w:val="065B3392"/>
    <w:rsid w:val="066F2892"/>
    <w:rsid w:val="06791DB6"/>
    <w:rsid w:val="068428E9"/>
    <w:rsid w:val="06857D9D"/>
    <w:rsid w:val="06897EFF"/>
    <w:rsid w:val="069C40D7"/>
    <w:rsid w:val="06A74829"/>
    <w:rsid w:val="06B6596B"/>
    <w:rsid w:val="06B869C0"/>
    <w:rsid w:val="06BA6F68"/>
    <w:rsid w:val="06C07A6C"/>
    <w:rsid w:val="06C158EB"/>
    <w:rsid w:val="06C62F02"/>
    <w:rsid w:val="06CF0127"/>
    <w:rsid w:val="06D02789"/>
    <w:rsid w:val="06D46400"/>
    <w:rsid w:val="06D5614F"/>
    <w:rsid w:val="06DF3FC3"/>
    <w:rsid w:val="06E13742"/>
    <w:rsid w:val="06E67100"/>
    <w:rsid w:val="06E97196"/>
    <w:rsid w:val="06EC66E0"/>
    <w:rsid w:val="06F22DDC"/>
    <w:rsid w:val="06F37A6F"/>
    <w:rsid w:val="06FB7A50"/>
    <w:rsid w:val="06FC4B75"/>
    <w:rsid w:val="070457D8"/>
    <w:rsid w:val="07077B4E"/>
    <w:rsid w:val="070D6D82"/>
    <w:rsid w:val="07133C6D"/>
    <w:rsid w:val="071B5655"/>
    <w:rsid w:val="071D71E1"/>
    <w:rsid w:val="07230DA0"/>
    <w:rsid w:val="072365A6"/>
    <w:rsid w:val="072D2ED3"/>
    <w:rsid w:val="07330DA5"/>
    <w:rsid w:val="07351E46"/>
    <w:rsid w:val="07463E60"/>
    <w:rsid w:val="074C3905"/>
    <w:rsid w:val="076170CE"/>
    <w:rsid w:val="07683FB9"/>
    <w:rsid w:val="076F489C"/>
    <w:rsid w:val="07774A91"/>
    <w:rsid w:val="07775550"/>
    <w:rsid w:val="077D2D56"/>
    <w:rsid w:val="079C1591"/>
    <w:rsid w:val="07A11279"/>
    <w:rsid w:val="07A24A1E"/>
    <w:rsid w:val="07A400C9"/>
    <w:rsid w:val="07A64AE1"/>
    <w:rsid w:val="07A86AAB"/>
    <w:rsid w:val="07AD40C1"/>
    <w:rsid w:val="07C368A9"/>
    <w:rsid w:val="07C65A38"/>
    <w:rsid w:val="07CC1A54"/>
    <w:rsid w:val="07D433FC"/>
    <w:rsid w:val="07DF16B0"/>
    <w:rsid w:val="07E436C5"/>
    <w:rsid w:val="07E55609"/>
    <w:rsid w:val="07E61B7B"/>
    <w:rsid w:val="07E775D3"/>
    <w:rsid w:val="07F7533D"/>
    <w:rsid w:val="07F95559"/>
    <w:rsid w:val="080C4A79"/>
    <w:rsid w:val="080F2686"/>
    <w:rsid w:val="08122176"/>
    <w:rsid w:val="081417E0"/>
    <w:rsid w:val="08161E3D"/>
    <w:rsid w:val="082442C2"/>
    <w:rsid w:val="0828199A"/>
    <w:rsid w:val="082D0D5E"/>
    <w:rsid w:val="082F0F7A"/>
    <w:rsid w:val="082F4AD6"/>
    <w:rsid w:val="08323B9F"/>
    <w:rsid w:val="08397C29"/>
    <w:rsid w:val="083D5BBF"/>
    <w:rsid w:val="083E2F6B"/>
    <w:rsid w:val="083E4D1A"/>
    <w:rsid w:val="084542FA"/>
    <w:rsid w:val="08577320"/>
    <w:rsid w:val="085E70A3"/>
    <w:rsid w:val="085F360E"/>
    <w:rsid w:val="086504F8"/>
    <w:rsid w:val="0869448C"/>
    <w:rsid w:val="086A1FB2"/>
    <w:rsid w:val="086B306E"/>
    <w:rsid w:val="08766BA9"/>
    <w:rsid w:val="08884249"/>
    <w:rsid w:val="088842BD"/>
    <w:rsid w:val="088C3CD7"/>
    <w:rsid w:val="088C41A3"/>
    <w:rsid w:val="089A2898"/>
    <w:rsid w:val="089D60FE"/>
    <w:rsid w:val="08A13C26"/>
    <w:rsid w:val="08A47208"/>
    <w:rsid w:val="08AC25CB"/>
    <w:rsid w:val="08BA6A96"/>
    <w:rsid w:val="08BB280E"/>
    <w:rsid w:val="08C1776C"/>
    <w:rsid w:val="08C2594B"/>
    <w:rsid w:val="08C401C2"/>
    <w:rsid w:val="08C47696"/>
    <w:rsid w:val="08CB0CA3"/>
    <w:rsid w:val="08CC0577"/>
    <w:rsid w:val="08CC2507"/>
    <w:rsid w:val="08CD7283"/>
    <w:rsid w:val="08CE3491"/>
    <w:rsid w:val="08D22256"/>
    <w:rsid w:val="08D7263E"/>
    <w:rsid w:val="08D94110"/>
    <w:rsid w:val="08DA7138"/>
    <w:rsid w:val="08E104C7"/>
    <w:rsid w:val="08E6788B"/>
    <w:rsid w:val="08E7715F"/>
    <w:rsid w:val="08EB6380"/>
    <w:rsid w:val="08F0070A"/>
    <w:rsid w:val="0900695D"/>
    <w:rsid w:val="09047D11"/>
    <w:rsid w:val="090D12BC"/>
    <w:rsid w:val="090D1A6E"/>
    <w:rsid w:val="091361A6"/>
    <w:rsid w:val="09187C60"/>
    <w:rsid w:val="091A12E3"/>
    <w:rsid w:val="091A12F2"/>
    <w:rsid w:val="091A4149"/>
    <w:rsid w:val="091A64C0"/>
    <w:rsid w:val="09267C87"/>
    <w:rsid w:val="092832A9"/>
    <w:rsid w:val="092E7F04"/>
    <w:rsid w:val="093920B1"/>
    <w:rsid w:val="093F28FF"/>
    <w:rsid w:val="09406E0B"/>
    <w:rsid w:val="09410F65"/>
    <w:rsid w:val="0943059A"/>
    <w:rsid w:val="094E37E3"/>
    <w:rsid w:val="094F1627"/>
    <w:rsid w:val="09575B78"/>
    <w:rsid w:val="09615163"/>
    <w:rsid w:val="0966277A"/>
    <w:rsid w:val="0970184A"/>
    <w:rsid w:val="097A6225"/>
    <w:rsid w:val="0992356F"/>
    <w:rsid w:val="09931095"/>
    <w:rsid w:val="09970B85"/>
    <w:rsid w:val="099C43EE"/>
    <w:rsid w:val="09A03EDE"/>
    <w:rsid w:val="09A3577C"/>
    <w:rsid w:val="09B951BE"/>
    <w:rsid w:val="09CC00E5"/>
    <w:rsid w:val="09D242DF"/>
    <w:rsid w:val="09DF683B"/>
    <w:rsid w:val="09EB0ED1"/>
    <w:rsid w:val="09FD6391"/>
    <w:rsid w:val="0A0124A3"/>
    <w:rsid w:val="0A06255C"/>
    <w:rsid w:val="0A0C1573"/>
    <w:rsid w:val="0A190B1C"/>
    <w:rsid w:val="0A19688D"/>
    <w:rsid w:val="0A2368BD"/>
    <w:rsid w:val="0A2B62A8"/>
    <w:rsid w:val="0A2D14EA"/>
    <w:rsid w:val="0A334D52"/>
    <w:rsid w:val="0A394A7D"/>
    <w:rsid w:val="0A3E7253"/>
    <w:rsid w:val="0A4074B7"/>
    <w:rsid w:val="0A434869"/>
    <w:rsid w:val="0A450D16"/>
    <w:rsid w:val="0A60366D"/>
    <w:rsid w:val="0A621193"/>
    <w:rsid w:val="0A716B04"/>
    <w:rsid w:val="0A776DBB"/>
    <w:rsid w:val="0A79028B"/>
    <w:rsid w:val="0A804AE5"/>
    <w:rsid w:val="0A865A33"/>
    <w:rsid w:val="0A893D4C"/>
    <w:rsid w:val="0A8A693C"/>
    <w:rsid w:val="0A9B46A5"/>
    <w:rsid w:val="0AA41D45"/>
    <w:rsid w:val="0AA90B70"/>
    <w:rsid w:val="0AA96DC2"/>
    <w:rsid w:val="0AAE262A"/>
    <w:rsid w:val="0AB17839"/>
    <w:rsid w:val="0ABB4D47"/>
    <w:rsid w:val="0ABB73E1"/>
    <w:rsid w:val="0ABD286D"/>
    <w:rsid w:val="0ABE2142"/>
    <w:rsid w:val="0AC87345"/>
    <w:rsid w:val="0ADE3BB0"/>
    <w:rsid w:val="0AE12D7D"/>
    <w:rsid w:val="0AE55920"/>
    <w:rsid w:val="0AEA7910"/>
    <w:rsid w:val="0AEB5F78"/>
    <w:rsid w:val="0AEC6CC4"/>
    <w:rsid w:val="0AF52007"/>
    <w:rsid w:val="0AF952AE"/>
    <w:rsid w:val="0B057D70"/>
    <w:rsid w:val="0B071D3B"/>
    <w:rsid w:val="0B100BEF"/>
    <w:rsid w:val="0B161F7E"/>
    <w:rsid w:val="0B2428ED"/>
    <w:rsid w:val="0B27418B"/>
    <w:rsid w:val="0B275F39"/>
    <w:rsid w:val="0B2C354F"/>
    <w:rsid w:val="0B3A2110"/>
    <w:rsid w:val="0B3A3EBE"/>
    <w:rsid w:val="0B420FC5"/>
    <w:rsid w:val="0B444D3D"/>
    <w:rsid w:val="0B460AB5"/>
    <w:rsid w:val="0B5A54BA"/>
    <w:rsid w:val="0B5F1B77"/>
    <w:rsid w:val="0B6947A3"/>
    <w:rsid w:val="0B6E5916"/>
    <w:rsid w:val="0B745DC1"/>
    <w:rsid w:val="0B837613"/>
    <w:rsid w:val="0B8B1410"/>
    <w:rsid w:val="0B8C3FEE"/>
    <w:rsid w:val="0B8E5FB8"/>
    <w:rsid w:val="0B91058F"/>
    <w:rsid w:val="0B9F6417"/>
    <w:rsid w:val="0BA1444E"/>
    <w:rsid w:val="0BAD643E"/>
    <w:rsid w:val="0BB16391"/>
    <w:rsid w:val="0BB17E69"/>
    <w:rsid w:val="0BB91DE3"/>
    <w:rsid w:val="0BB9501C"/>
    <w:rsid w:val="0BB9791B"/>
    <w:rsid w:val="0BBA2D56"/>
    <w:rsid w:val="0BBC2B25"/>
    <w:rsid w:val="0BBE03BA"/>
    <w:rsid w:val="0BBE689D"/>
    <w:rsid w:val="0BC02C20"/>
    <w:rsid w:val="0BC419DA"/>
    <w:rsid w:val="0BD079E7"/>
    <w:rsid w:val="0BD936D7"/>
    <w:rsid w:val="0BD95485"/>
    <w:rsid w:val="0BDA3A05"/>
    <w:rsid w:val="0BE45BD8"/>
    <w:rsid w:val="0BE65DF4"/>
    <w:rsid w:val="0BFE6C9A"/>
    <w:rsid w:val="0C0452F3"/>
    <w:rsid w:val="0C045443"/>
    <w:rsid w:val="0C083FBC"/>
    <w:rsid w:val="0C087B18"/>
    <w:rsid w:val="0C1464BD"/>
    <w:rsid w:val="0C22507E"/>
    <w:rsid w:val="0C247058"/>
    <w:rsid w:val="0C287643"/>
    <w:rsid w:val="0C2D757F"/>
    <w:rsid w:val="0C2E53DD"/>
    <w:rsid w:val="0C3B1C9C"/>
    <w:rsid w:val="0C3B6140"/>
    <w:rsid w:val="0C430B50"/>
    <w:rsid w:val="0C452B1A"/>
    <w:rsid w:val="0C472F61"/>
    <w:rsid w:val="0C4F0FDA"/>
    <w:rsid w:val="0C5114BF"/>
    <w:rsid w:val="0C517711"/>
    <w:rsid w:val="0C523489"/>
    <w:rsid w:val="0C5405A5"/>
    <w:rsid w:val="0C590374"/>
    <w:rsid w:val="0C652E00"/>
    <w:rsid w:val="0C6B7A2A"/>
    <w:rsid w:val="0C79480A"/>
    <w:rsid w:val="0C7B653C"/>
    <w:rsid w:val="0C7D22B4"/>
    <w:rsid w:val="0C7F2EFD"/>
    <w:rsid w:val="0C802642"/>
    <w:rsid w:val="0C8573BB"/>
    <w:rsid w:val="0C8A1C18"/>
    <w:rsid w:val="0C8C24F7"/>
    <w:rsid w:val="0C8F7AE3"/>
    <w:rsid w:val="0CA15669"/>
    <w:rsid w:val="0CA75EA8"/>
    <w:rsid w:val="0CAA5073"/>
    <w:rsid w:val="0CAA6B7A"/>
    <w:rsid w:val="0CAC68CB"/>
    <w:rsid w:val="0CB101B0"/>
    <w:rsid w:val="0CB3796A"/>
    <w:rsid w:val="0CC71A66"/>
    <w:rsid w:val="0CC954FA"/>
    <w:rsid w:val="0CD6135A"/>
    <w:rsid w:val="0CE642FD"/>
    <w:rsid w:val="0CEA36C2"/>
    <w:rsid w:val="0CEE69E3"/>
    <w:rsid w:val="0D116EA1"/>
    <w:rsid w:val="0D15043A"/>
    <w:rsid w:val="0D181646"/>
    <w:rsid w:val="0D18625A"/>
    <w:rsid w:val="0D1A26B9"/>
    <w:rsid w:val="0D1B110B"/>
    <w:rsid w:val="0D2C7836"/>
    <w:rsid w:val="0D336E17"/>
    <w:rsid w:val="0D340464"/>
    <w:rsid w:val="0D355D40"/>
    <w:rsid w:val="0D391E52"/>
    <w:rsid w:val="0D3D5EE8"/>
    <w:rsid w:val="0D3F57BC"/>
    <w:rsid w:val="0D42705A"/>
    <w:rsid w:val="0D4D649A"/>
    <w:rsid w:val="0D5A5044"/>
    <w:rsid w:val="0D6472D1"/>
    <w:rsid w:val="0D774F56"/>
    <w:rsid w:val="0D7A67F4"/>
    <w:rsid w:val="0D7F319B"/>
    <w:rsid w:val="0D8B27AF"/>
    <w:rsid w:val="0D8C53E5"/>
    <w:rsid w:val="0D927FE1"/>
    <w:rsid w:val="0D933D59"/>
    <w:rsid w:val="0DA25D4B"/>
    <w:rsid w:val="0DA675E9"/>
    <w:rsid w:val="0DAE649D"/>
    <w:rsid w:val="0DB53CD0"/>
    <w:rsid w:val="0DBA6F5E"/>
    <w:rsid w:val="0DBB07EB"/>
    <w:rsid w:val="0DBC5658"/>
    <w:rsid w:val="0DBC5B20"/>
    <w:rsid w:val="0DD00D0F"/>
    <w:rsid w:val="0DD8176C"/>
    <w:rsid w:val="0DD94CEB"/>
    <w:rsid w:val="0DE125EA"/>
    <w:rsid w:val="0DEF15F6"/>
    <w:rsid w:val="0DFE49A3"/>
    <w:rsid w:val="0DFF66CE"/>
    <w:rsid w:val="0E096FE7"/>
    <w:rsid w:val="0E0B1B42"/>
    <w:rsid w:val="0E0B38F0"/>
    <w:rsid w:val="0E0E69D0"/>
    <w:rsid w:val="0E146C48"/>
    <w:rsid w:val="0E1924B1"/>
    <w:rsid w:val="0E1B3CA7"/>
    <w:rsid w:val="0E1C78AB"/>
    <w:rsid w:val="0E1E364A"/>
    <w:rsid w:val="0E1F1DAC"/>
    <w:rsid w:val="0E2624D8"/>
    <w:rsid w:val="0E2A021A"/>
    <w:rsid w:val="0E2A646C"/>
    <w:rsid w:val="0E2B44FC"/>
    <w:rsid w:val="0E303356"/>
    <w:rsid w:val="0E3270CE"/>
    <w:rsid w:val="0E3C238E"/>
    <w:rsid w:val="0E4806A0"/>
    <w:rsid w:val="0E486767"/>
    <w:rsid w:val="0E5D47E5"/>
    <w:rsid w:val="0E5E2B23"/>
    <w:rsid w:val="0E713383"/>
    <w:rsid w:val="0E71409B"/>
    <w:rsid w:val="0E715E49"/>
    <w:rsid w:val="0E903B36"/>
    <w:rsid w:val="0E925DBF"/>
    <w:rsid w:val="0E927B6D"/>
    <w:rsid w:val="0E99714E"/>
    <w:rsid w:val="0EAA0E80"/>
    <w:rsid w:val="0EAA3109"/>
    <w:rsid w:val="0EAE04AE"/>
    <w:rsid w:val="0EB14497"/>
    <w:rsid w:val="0EBE272E"/>
    <w:rsid w:val="0ECA37AB"/>
    <w:rsid w:val="0ED668C1"/>
    <w:rsid w:val="0EDE5EF5"/>
    <w:rsid w:val="0EEA1757"/>
    <w:rsid w:val="0EF16890"/>
    <w:rsid w:val="0EF33893"/>
    <w:rsid w:val="0F1134DA"/>
    <w:rsid w:val="0F1262C4"/>
    <w:rsid w:val="0F1D7D7F"/>
    <w:rsid w:val="0F296023"/>
    <w:rsid w:val="0F2C7FC2"/>
    <w:rsid w:val="0F2E3D3A"/>
    <w:rsid w:val="0F3656AF"/>
    <w:rsid w:val="0F3A0931"/>
    <w:rsid w:val="0F4A5F69"/>
    <w:rsid w:val="0F4B669A"/>
    <w:rsid w:val="0F4E3F02"/>
    <w:rsid w:val="0F512292"/>
    <w:rsid w:val="0F5D3EBD"/>
    <w:rsid w:val="0F7B6853"/>
    <w:rsid w:val="0F7F4595"/>
    <w:rsid w:val="0F8A23F9"/>
    <w:rsid w:val="0F8E2A2A"/>
    <w:rsid w:val="0F97417B"/>
    <w:rsid w:val="0F9A151A"/>
    <w:rsid w:val="0F9D2C6D"/>
    <w:rsid w:val="0FA638D0"/>
    <w:rsid w:val="0FA66D6B"/>
    <w:rsid w:val="0FB35FED"/>
    <w:rsid w:val="0FBE4EB2"/>
    <w:rsid w:val="0FC14530"/>
    <w:rsid w:val="0FC24482"/>
    <w:rsid w:val="0FC81EC8"/>
    <w:rsid w:val="0FC97080"/>
    <w:rsid w:val="0FD85A54"/>
    <w:rsid w:val="0FDB7F9B"/>
    <w:rsid w:val="0FE5270E"/>
    <w:rsid w:val="0FF03111"/>
    <w:rsid w:val="0FF71AA5"/>
    <w:rsid w:val="10044A9B"/>
    <w:rsid w:val="10046AF1"/>
    <w:rsid w:val="10090303"/>
    <w:rsid w:val="10196764"/>
    <w:rsid w:val="101C03EA"/>
    <w:rsid w:val="103233B6"/>
    <w:rsid w:val="1034712E"/>
    <w:rsid w:val="10366EEB"/>
    <w:rsid w:val="103A059E"/>
    <w:rsid w:val="103E1E35"/>
    <w:rsid w:val="103E61FE"/>
    <w:rsid w:val="10444FAE"/>
    <w:rsid w:val="10520168"/>
    <w:rsid w:val="105477D0"/>
    <w:rsid w:val="107514F4"/>
    <w:rsid w:val="10765998"/>
    <w:rsid w:val="10775BF1"/>
    <w:rsid w:val="1082127B"/>
    <w:rsid w:val="10831E63"/>
    <w:rsid w:val="1088747A"/>
    <w:rsid w:val="10916DEC"/>
    <w:rsid w:val="10945E1E"/>
    <w:rsid w:val="109951E3"/>
    <w:rsid w:val="109C5E13"/>
    <w:rsid w:val="10A818CA"/>
    <w:rsid w:val="10AC33DF"/>
    <w:rsid w:val="10B71B0D"/>
    <w:rsid w:val="10BA11D4"/>
    <w:rsid w:val="10C23401"/>
    <w:rsid w:val="10D12BCF"/>
    <w:rsid w:val="10D206F5"/>
    <w:rsid w:val="10D450F9"/>
    <w:rsid w:val="10D821AF"/>
    <w:rsid w:val="10DA102E"/>
    <w:rsid w:val="10E8616A"/>
    <w:rsid w:val="10F832E5"/>
    <w:rsid w:val="110034B4"/>
    <w:rsid w:val="11056D1C"/>
    <w:rsid w:val="110765F0"/>
    <w:rsid w:val="110922F6"/>
    <w:rsid w:val="11182C7C"/>
    <w:rsid w:val="111D4CDB"/>
    <w:rsid w:val="112371A2"/>
    <w:rsid w:val="112A3FC9"/>
    <w:rsid w:val="112E7CD6"/>
    <w:rsid w:val="1135180D"/>
    <w:rsid w:val="113B44EC"/>
    <w:rsid w:val="113E12FF"/>
    <w:rsid w:val="11407D54"/>
    <w:rsid w:val="115630D4"/>
    <w:rsid w:val="115E01DA"/>
    <w:rsid w:val="11641C95"/>
    <w:rsid w:val="116B1D07"/>
    <w:rsid w:val="11806897"/>
    <w:rsid w:val="11915C95"/>
    <w:rsid w:val="11A93B4C"/>
    <w:rsid w:val="11AB7FA7"/>
    <w:rsid w:val="11AC0F46"/>
    <w:rsid w:val="11B232FE"/>
    <w:rsid w:val="11BC6EA1"/>
    <w:rsid w:val="11CC0BEA"/>
    <w:rsid w:val="11CC7B56"/>
    <w:rsid w:val="11E15093"/>
    <w:rsid w:val="11EC043D"/>
    <w:rsid w:val="11F34DC7"/>
    <w:rsid w:val="11F85BF4"/>
    <w:rsid w:val="11FC3C7B"/>
    <w:rsid w:val="12015736"/>
    <w:rsid w:val="12127531"/>
    <w:rsid w:val="12165C31"/>
    <w:rsid w:val="12170A79"/>
    <w:rsid w:val="122338FE"/>
    <w:rsid w:val="12266F4A"/>
    <w:rsid w:val="122B630F"/>
    <w:rsid w:val="122D17EC"/>
    <w:rsid w:val="122E4051"/>
    <w:rsid w:val="12303925"/>
    <w:rsid w:val="12380A2C"/>
    <w:rsid w:val="12411FD6"/>
    <w:rsid w:val="12445976"/>
    <w:rsid w:val="12477B58"/>
    <w:rsid w:val="124D097B"/>
    <w:rsid w:val="12505D75"/>
    <w:rsid w:val="125338C1"/>
    <w:rsid w:val="12543871"/>
    <w:rsid w:val="125746A8"/>
    <w:rsid w:val="125A718E"/>
    <w:rsid w:val="125E3EA9"/>
    <w:rsid w:val="1263675F"/>
    <w:rsid w:val="126D2DCB"/>
    <w:rsid w:val="126E447C"/>
    <w:rsid w:val="127203E1"/>
    <w:rsid w:val="1272218F"/>
    <w:rsid w:val="12795640"/>
    <w:rsid w:val="127F6859"/>
    <w:rsid w:val="128A110B"/>
    <w:rsid w:val="128E0BAC"/>
    <w:rsid w:val="12914583"/>
    <w:rsid w:val="12934EF8"/>
    <w:rsid w:val="12A91DFF"/>
    <w:rsid w:val="12AA36D7"/>
    <w:rsid w:val="12B91B6C"/>
    <w:rsid w:val="12BA7692"/>
    <w:rsid w:val="12BB58E4"/>
    <w:rsid w:val="12BE7183"/>
    <w:rsid w:val="12C549B5"/>
    <w:rsid w:val="12C83211"/>
    <w:rsid w:val="12CC6720"/>
    <w:rsid w:val="12CE2D24"/>
    <w:rsid w:val="12D152D7"/>
    <w:rsid w:val="12F928B1"/>
    <w:rsid w:val="12F952F5"/>
    <w:rsid w:val="130A686C"/>
    <w:rsid w:val="1312127D"/>
    <w:rsid w:val="13124A23"/>
    <w:rsid w:val="13141499"/>
    <w:rsid w:val="1315735E"/>
    <w:rsid w:val="13196AAF"/>
    <w:rsid w:val="132C055D"/>
    <w:rsid w:val="132D4308"/>
    <w:rsid w:val="132D68E2"/>
    <w:rsid w:val="132F0080"/>
    <w:rsid w:val="13303496"/>
    <w:rsid w:val="133F3A40"/>
    <w:rsid w:val="13453400"/>
    <w:rsid w:val="134E37C3"/>
    <w:rsid w:val="134E6759"/>
    <w:rsid w:val="13520721"/>
    <w:rsid w:val="1355783D"/>
    <w:rsid w:val="13566FAD"/>
    <w:rsid w:val="13580061"/>
    <w:rsid w:val="135E2714"/>
    <w:rsid w:val="13693592"/>
    <w:rsid w:val="13893C35"/>
    <w:rsid w:val="138A52B7"/>
    <w:rsid w:val="138E124B"/>
    <w:rsid w:val="138F0B1F"/>
    <w:rsid w:val="13900507"/>
    <w:rsid w:val="13912AE9"/>
    <w:rsid w:val="139454AD"/>
    <w:rsid w:val="139576C2"/>
    <w:rsid w:val="1398701B"/>
    <w:rsid w:val="139879D4"/>
    <w:rsid w:val="139F5747"/>
    <w:rsid w:val="13A0300C"/>
    <w:rsid w:val="13A4281C"/>
    <w:rsid w:val="13A97E33"/>
    <w:rsid w:val="13AA7707"/>
    <w:rsid w:val="13B33D27"/>
    <w:rsid w:val="13B3480E"/>
    <w:rsid w:val="13B946E4"/>
    <w:rsid w:val="13B966BF"/>
    <w:rsid w:val="13BA718A"/>
    <w:rsid w:val="13CC6575"/>
    <w:rsid w:val="13D1738A"/>
    <w:rsid w:val="13D34B93"/>
    <w:rsid w:val="13D4593D"/>
    <w:rsid w:val="13D6674E"/>
    <w:rsid w:val="13DB3B4A"/>
    <w:rsid w:val="13DF0740"/>
    <w:rsid w:val="13E64BE3"/>
    <w:rsid w:val="13F05A62"/>
    <w:rsid w:val="13FA068E"/>
    <w:rsid w:val="13FB082F"/>
    <w:rsid w:val="13FB7F63"/>
    <w:rsid w:val="1403423A"/>
    <w:rsid w:val="14052375"/>
    <w:rsid w:val="140908D1"/>
    <w:rsid w:val="140B554A"/>
    <w:rsid w:val="142501C2"/>
    <w:rsid w:val="142C636E"/>
    <w:rsid w:val="143A4F2F"/>
    <w:rsid w:val="1444190A"/>
    <w:rsid w:val="14454353"/>
    <w:rsid w:val="144759B3"/>
    <w:rsid w:val="1447741D"/>
    <w:rsid w:val="145204CA"/>
    <w:rsid w:val="145B76C9"/>
    <w:rsid w:val="145C0911"/>
    <w:rsid w:val="14606DC7"/>
    <w:rsid w:val="1467570A"/>
    <w:rsid w:val="146B333A"/>
    <w:rsid w:val="147246C9"/>
    <w:rsid w:val="14883EEC"/>
    <w:rsid w:val="148937C0"/>
    <w:rsid w:val="14913641"/>
    <w:rsid w:val="14942568"/>
    <w:rsid w:val="149A59CD"/>
    <w:rsid w:val="14A3268B"/>
    <w:rsid w:val="14A5684C"/>
    <w:rsid w:val="14A95C11"/>
    <w:rsid w:val="14B24AC5"/>
    <w:rsid w:val="14B4083D"/>
    <w:rsid w:val="14B613B0"/>
    <w:rsid w:val="14B823C0"/>
    <w:rsid w:val="14C173FE"/>
    <w:rsid w:val="14C842E9"/>
    <w:rsid w:val="14D42C8D"/>
    <w:rsid w:val="14D72A6E"/>
    <w:rsid w:val="14DB76F7"/>
    <w:rsid w:val="14F11A91"/>
    <w:rsid w:val="14F1572E"/>
    <w:rsid w:val="14F269CB"/>
    <w:rsid w:val="14F60DD0"/>
    <w:rsid w:val="14FB4921"/>
    <w:rsid w:val="14FC21E4"/>
    <w:rsid w:val="150400E7"/>
    <w:rsid w:val="15086875"/>
    <w:rsid w:val="150C0679"/>
    <w:rsid w:val="150D3BFD"/>
    <w:rsid w:val="150F0169"/>
    <w:rsid w:val="151B6B0E"/>
    <w:rsid w:val="15332574"/>
    <w:rsid w:val="15363948"/>
    <w:rsid w:val="153951E6"/>
    <w:rsid w:val="153B0F5F"/>
    <w:rsid w:val="15453B8B"/>
    <w:rsid w:val="15597637"/>
    <w:rsid w:val="155A14E1"/>
    <w:rsid w:val="155B073C"/>
    <w:rsid w:val="15610299"/>
    <w:rsid w:val="15634011"/>
    <w:rsid w:val="15655C97"/>
    <w:rsid w:val="15773146"/>
    <w:rsid w:val="15781D56"/>
    <w:rsid w:val="157B5F12"/>
    <w:rsid w:val="157F5F94"/>
    <w:rsid w:val="15830ED5"/>
    <w:rsid w:val="1586496F"/>
    <w:rsid w:val="15883A78"/>
    <w:rsid w:val="158A56D8"/>
    <w:rsid w:val="158E5532"/>
    <w:rsid w:val="159643E7"/>
    <w:rsid w:val="15A5287C"/>
    <w:rsid w:val="15B91E83"/>
    <w:rsid w:val="15C141F6"/>
    <w:rsid w:val="15D1541F"/>
    <w:rsid w:val="15DF1D7F"/>
    <w:rsid w:val="15E22455"/>
    <w:rsid w:val="15E86E4B"/>
    <w:rsid w:val="15ED1717"/>
    <w:rsid w:val="15F45C28"/>
    <w:rsid w:val="15FA3E92"/>
    <w:rsid w:val="16105F47"/>
    <w:rsid w:val="16135A37"/>
    <w:rsid w:val="16261A07"/>
    <w:rsid w:val="16297009"/>
    <w:rsid w:val="162E2871"/>
    <w:rsid w:val="16331B53"/>
    <w:rsid w:val="16445BF1"/>
    <w:rsid w:val="16481B85"/>
    <w:rsid w:val="1658169C"/>
    <w:rsid w:val="16610551"/>
    <w:rsid w:val="16775FC6"/>
    <w:rsid w:val="167D1412"/>
    <w:rsid w:val="16826719"/>
    <w:rsid w:val="168406E3"/>
    <w:rsid w:val="1685064F"/>
    <w:rsid w:val="168B3820"/>
    <w:rsid w:val="169200E1"/>
    <w:rsid w:val="1696100A"/>
    <w:rsid w:val="16976668"/>
    <w:rsid w:val="16983EEB"/>
    <w:rsid w:val="169923E1"/>
    <w:rsid w:val="16B234A2"/>
    <w:rsid w:val="16B26FFE"/>
    <w:rsid w:val="16B54D41"/>
    <w:rsid w:val="16BB0D42"/>
    <w:rsid w:val="16BC1AC2"/>
    <w:rsid w:val="16BD50B6"/>
    <w:rsid w:val="16E55626"/>
    <w:rsid w:val="16E9196E"/>
    <w:rsid w:val="16EE468D"/>
    <w:rsid w:val="16FB4D0D"/>
    <w:rsid w:val="1703785A"/>
    <w:rsid w:val="17041E1F"/>
    <w:rsid w:val="170516E6"/>
    <w:rsid w:val="17061A16"/>
    <w:rsid w:val="170A58FB"/>
    <w:rsid w:val="170B208F"/>
    <w:rsid w:val="17101F77"/>
    <w:rsid w:val="17175311"/>
    <w:rsid w:val="17231CAA"/>
    <w:rsid w:val="172509D1"/>
    <w:rsid w:val="1726179A"/>
    <w:rsid w:val="173023F6"/>
    <w:rsid w:val="17306175"/>
    <w:rsid w:val="17360893"/>
    <w:rsid w:val="173C4B1A"/>
    <w:rsid w:val="173D27FA"/>
    <w:rsid w:val="173E0892"/>
    <w:rsid w:val="1740460A"/>
    <w:rsid w:val="17481711"/>
    <w:rsid w:val="17486C88"/>
    <w:rsid w:val="174D31CB"/>
    <w:rsid w:val="174E307B"/>
    <w:rsid w:val="174F3A55"/>
    <w:rsid w:val="17577221"/>
    <w:rsid w:val="17654071"/>
    <w:rsid w:val="17730085"/>
    <w:rsid w:val="17742506"/>
    <w:rsid w:val="177B7D38"/>
    <w:rsid w:val="178A363A"/>
    <w:rsid w:val="178A3AD7"/>
    <w:rsid w:val="178C784F"/>
    <w:rsid w:val="179F0ECE"/>
    <w:rsid w:val="17A0779F"/>
    <w:rsid w:val="17B247A2"/>
    <w:rsid w:val="17BD6263"/>
    <w:rsid w:val="17BE19D3"/>
    <w:rsid w:val="17CC0594"/>
    <w:rsid w:val="17CD5E16"/>
    <w:rsid w:val="17D66D1D"/>
    <w:rsid w:val="17DF02C7"/>
    <w:rsid w:val="17E07B9B"/>
    <w:rsid w:val="17EA056C"/>
    <w:rsid w:val="17EB6C6C"/>
    <w:rsid w:val="17EC02EE"/>
    <w:rsid w:val="17EE050A"/>
    <w:rsid w:val="17F73608"/>
    <w:rsid w:val="17F90C5D"/>
    <w:rsid w:val="17FB2AFF"/>
    <w:rsid w:val="18075128"/>
    <w:rsid w:val="181461D3"/>
    <w:rsid w:val="18185A05"/>
    <w:rsid w:val="181B6E25"/>
    <w:rsid w:val="181C7063"/>
    <w:rsid w:val="182201B4"/>
    <w:rsid w:val="18254403"/>
    <w:rsid w:val="182757CA"/>
    <w:rsid w:val="18346906"/>
    <w:rsid w:val="183572F6"/>
    <w:rsid w:val="183703AF"/>
    <w:rsid w:val="183B68BE"/>
    <w:rsid w:val="183B7550"/>
    <w:rsid w:val="183B76B2"/>
    <w:rsid w:val="18420856"/>
    <w:rsid w:val="18491BE4"/>
    <w:rsid w:val="184E5C23"/>
    <w:rsid w:val="185C1C5E"/>
    <w:rsid w:val="185C3736"/>
    <w:rsid w:val="186B0DED"/>
    <w:rsid w:val="186B56B7"/>
    <w:rsid w:val="18705A7B"/>
    <w:rsid w:val="1888165F"/>
    <w:rsid w:val="188E6361"/>
    <w:rsid w:val="18934C0E"/>
    <w:rsid w:val="18985569"/>
    <w:rsid w:val="1899022C"/>
    <w:rsid w:val="18A565AA"/>
    <w:rsid w:val="18AC23B2"/>
    <w:rsid w:val="18B0756E"/>
    <w:rsid w:val="18B2778A"/>
    <w:rsid w:val="18BA580C"/>
    <w:rsid w:val="18BF3C55"/>
    <w:rsid w:val="18C44787"/>
    <w:rsid w:val="18D46408"/>
    <w:rsid w:val="18EB2C9C"/>
    <w:rsid w:val="18EC0CAB"/>
    <w:rsid w:val="18F22749"/>
    <w:rsid w:val="18F364AF"/>
    <w:rsid w:val="18F558C8"/>
    <w:rsid w:val="18F57676"/>
    <w:rsid w:val="18F670A7"/>
    <w:rsid w:val="190564B1"/>
    <w:rsid w:val="190F4FF3"/>
    <w:rsid w:val="19145D4E"/>
    <w:rsid w:val="19190FCE"/>
    <w:rsid w:val="191F46F3"/>
    <w:rsid w:val="19287A4C"/>
    <w:rsid w:val="192B12EA"/>
    <w:rsid w:val="192E2CD5"/>
    <w:rsid w:val="19331A5E"/>
    <w:rsid w:val="19457BE4"/>
    <w:rsid w:val="194A5C14"/>
    <w:rsid w:val="194D1260"/>
    <w:rsid w:val="194D1592"/>
    <w:rsid w:val="19526877"/>
    <w:rsid w:val="19550115"/>
    <w:rsid w:val="1956369E"/>
    <w:rsid w:val="195911DB"/>
    <w:rsid w:val="195D6994"/>
    <w:rsid w:val="195D6D4F"/>
    <w:rsid w:val="195E521C"/>
    <w:rsid w:val="196071E6"/>
    <w:rsid w:val="1968518A"/>
    <w:rsid w:val="196A223F"/>
    <w:rsid w:val="19762953"/>
    <w:rsid w:val="197E58BE"/>
    <w:rsid w:val="198F739A"/>
    <w:rsid w:val="19950014"/>
    <w:rsid w:val="19A54BF8"/>
    <w:rsid w:val="19AA66B3"/>
    <w:rsid w:val="19AD1CFF"/>
    <w:rsid w:val="19AF7E1E"/>
    <w:rsid w:val="19B1359D"/>
    <w:rsid w:val="19CC03D7"/>
    <w:rsid w:val="19D42605"/>
    <w:rsid w:val="19DC475A"/>
    <w:rsid w:val="19E03E83"/>
    <w:rsid w:val="19E0465A"/>
    <w:rsid w:val="19E73463"/>
    <w:rsid w:val="19E94800"/>
    <w:rsid w:val="19F416DC"/>
    <w:rsid w:val="19FB4003"/>
    <w:rsid w:val="1A0062D3"/>
    <w:rsid w:val="1A0538E9"/>
    <w:rsid w:val="1A075664"/>
    <w:rsid w:val="1A0933D9"/>
    <w:rsid w:val="1A0A7151"/>
    <w:rsid w:val="1A136204"/>
    <w:rsid w:val="1A141D7E"/>
    <w:rsid w:val="1A1D50D7"/>
    <w:rsid w:val="1A247381"/>
    <w:rsid w:val="1A2B77F4"/>
    <w:rsid w:val="1A2C70C8"/>
    <w:rsid w:val="1A2E4BEE"/>
    <w:rsid w:val="1A345F7C"/>
    <w:rsid w:val="1A366198"/>
    <w:rsid w:val="1A4C776A"/>
    <w:rsid w:val="1A622AE9"/>
    <w:rsid w:val="1A693E78"/>
    <w:rsid w:val="1A6A7BF0"/>
    <w:rsid w:val="1A732F49"/>
    <w:rsid w:val="1A736A32"/>
    <w:rsid w:val="1A75281D"/>
    <w:rsid w:val="1A765A93"/>
    <w:rsid w:val="1A7A6085"/>
    <w:rsid w:val="1A7B3BAB"/>
    <w:rsid w:val="1A824F3A"/>
    <w:rsid w:val="1A9058A9"/>
    <w:rsid w:val="1A911621"/>
    <w:rsid w:val="1A951BB2"/>
    <w:rsid w:val="1A9D7FC6"/>
    <w:rsid w:val="1A9F5AEC"/>
    <w:rsid w:val="1AA82C77"/>
    <w:rsid w:val="1AA94BBC"/>
    <w:rsid w:val="1AB9378E"/>
    <w:rsid w:val="1ABE4DC7"/>
    <w:rsid w:val="1AC90DBB"/>
    <w:rsid w:val="1ACE4623"/>
    <w:rsid w:val="1ADC4B36"/>
    <w:rsid w:val="1ADF72F8"/>
    <w:rsid w:val="1AE16BF2"/>
    <w:rsid w:val="1AE31E7C"/>
    <w:rsid w:val="1AE479A2"/>
    <w:rsid w:val="1AEB0D31"/>
    <w:rsid w:val="1AEE25CF"/>
    <w:rsid w:val="1AF44089"/>
    <w:rsid w:val="1AFA5418"/>
    <w:rsid w:val="1AFF47DC"/>
    <w:rsid w:val="1B043BA1"/>
    <w:rsid w:val="1B147D6F"/>
    <w:rsid w:val="1B157B5C"/>
    <w:rsid w:val="1B1D252F"/>
    <w:rsid w:val="1B244243"/>
    <w:rsid w:val="1B2A18D8"/>
    <w:rsid w:val="1B2B7ED3"/>
    <w:rsid w:val="1B367627"/>
    <w:rsid w:val="1B3C0B95"/>
    <w:rsid w:val="1B3C77DE"/>
    <w:rsid w:val="1B446E20"/>
    <w:rsid w:val="1B4548E5"/>
    <w:rsid w:val="1B4D379A"/>
    <w:rsid w:val="1B553EFF"/>
    <w:rsid w:val="1B56146E"/>
    <w:rsid w:val="1B5B7969"/>
    <w:rsid w:val="1B610FF3"/>
    <w:rsid w:val="1B615DCD"/>
    <w:rsid w:val="1B650AE3"/>
    <w:rsid w:val="1B6D7998"/>
    <w:rsid w:val="1B731AF6"/>
    <w:rsid w:val="1B7A6792"/>
    <w:rsid w:val="1B987507"/>
    <w:rsid w:val="1BA019CC"/>
    <w:rsid w:val="1BB76E65"/>
    <w:rsid w:val="1BB93B82"/>
    <w:rsid w:val="1BC31CAE"/>
    <w:rsid w:val="1BC36B1C"/>
    <w:rsid w:val="1BD33CD1"/>
    <w:rsid w:val="1BD421B0"/>
    <w:rsid w:val="1BD6553D"/>
    <w:rsid w:val="1BD712B5"/>
    <w:rsid w:val="1BDC1FF9"/>
    <w:rsid w:val="1BE66FEF"/>
    <w:rsid w:val="1BE7599C"/>
    <w:rsid w:val="1BE94F3D"/>
    <w:rsid w:val="1BED2887"/>
    <w:rsid w:val="1BFE4A94"/>
    <w:rsid w:val="1C1442B7"/>
    <w:rsid w:val="1C144E2A"/>
    <w:rsid w:val="1C166281"/>
    <w:rsid w:val="1C185B56"/>
    <w:rsid w:val="1C1A3990"/>
    <w:rsid w:val="1C280A5F"/>
    <w:rsid w:val="1C294ACB"/>
    <w:rsid w:val="1C2E5379"/>
    <w:rsid w:val="1C330BE1"/>
    <w:rsid w:val="1C366868"/>
    <w:rsid w:val="1C3E0D44"/>
    <w:rsid w:val="1C3E30E2"/>
    <w:rsid w:val="1C400033"/>
    <w:rsid w:val="1C44694B"/>
    <w:rsid w:val="1C54566D"/>
    <w:rsid w:val="1C5A0899"/>
    <w:rsid w:val="1C5B3ACB"/>
    <w:rsid w:val="1C6074FD"/>
    <w:rsid w:val="1C6C5EA1"/>
    <w:rsid w:val="1C7D61AA"/>
    <w:rsid w:val="1C821221"/>
    <w:rsid w:val="1CB33714"/>
    <w:rsid w:val="1CB6536F"/>
    <w:rsid w:val="1CBB64E0"/>
    <w:rsid w:val="1CBD27BF"/>
    <w:rsid w:val="1CC36E2B"/>
    <w:rsid w:val="1CCE4466"/>
    <w:rsid w:val="1CD312E0"/>
    <w:rsid w:val="1CD81789"/>
    <w:rsid w:val="1CD87093"/>
    <w:rsid w:val="1CDB4A11"/>
    <w:rsid w:val="1CDE4865"/>
    <w:rsid w:val="1CE26164"/>
    <w:rsid w:val="1CE7319D"/>
    <w:rsid w:val="1CE819CC"/>
    <w:rsid w:val="1CEF6B87"/>
    <w:rsid w:val="1CF34A30"/>
    <w:rsid w:val="1CFF6D16"/>
    <w:rsid w:val="1D036806"/>
    <w:rsid w:val="1D0460DA"/>
    <w:rsid w:val="1D0C4F8F"/>
    <w:rsid w:val="1D0C7C22"/>
    <w:rsid w:val="1D0D1DCA"/>
    <w:rsid w:val="1D2624F4"/>
    <w:rsid w:val="1D2E3157"/>
    <w:rsid w:val="1D331963"/>
    <w:rsid w:val="1D3369BF"/>
    <w:rsid w:val="1D3F35B6"/>
    <w:rsid w:val="1D412E8A"/>
    <w:rsid w:val="1D464944"/>
    <w:rsid w:val="1D507571"/>
    <w:rsid w:val="1D540E0F"/>
    <w:rsid w:val="1D5666C8"/>
    <w:rsid w:val="1D631052"/>
    <w:rsid w:val="1D65301C"/>
    <w:rsid w:val="1D686669"/>
    <w:rsid w:val="1D69418F"/>
    <w:rsid w:val="1D6F3E9B"/>
    <w:rsid w:val="1D7414B2"/>
    <w:rsid w:val="1D80496C"/>
    <w:rsid w:val="1D823B84"/>
    <w:rsid w:val="1D833C3B"/>
    <w:rsid w:val="1D8611E5"/>
    <w:rsid w:val="1D8773D9"/>
    <w:rsid w:val="1D8F3AD9"/>
    <w:rsid w:val="1D9343EC"/>
    <w:rsid w:val="1D9C27B6"/>
    <w:rsid w:val="1DA33D00"/>
    <w:rsid w:val="1DBC4C07"/>
    <w:rsid w:val="1DC75A85"/>
    <w:rsid w:val="1DCA7323"/>
    <w:rsid w:val="1DD41F50"/>
    <w:rsid w:val="1DEA3522"/>
    <w:rsid w:val="1DEA52D0"/>
    <w:rsid w:val="1DF0665E"/>
    <w:rsid w:val="1DFC14BE"/>
    <w:rsid w:val="1E0068A1"/>
    <w:rsid w:val="1E0839A8"/>
    <w:rsid w:val="1E0C3498"/>
    <w:rsid w:val="1E0F23C7"/>
    <w:rsid w:val="1E172819"/>
    <w:rsid w:val="1E1E35BE"/>
    <w:rsid w:val="1E1E766F"/>
    <w:rsid w:val="1E220F0E"/>
    <w:rsid w:val="1E2210EC"/>
    <w:rsid w:val="1E234C86"/>
    <w:rsid w:val="1E347AE2"/>
    <w:rsid w:val="1E3B3D7D"/>
    <w:rsid w:val="1E3D18A3"/>
    <w:rsid w:val="1E406590"/>
    <w:rsid w:val="1E4221AC"/>
    <w:rsid w:val="1E4638FF"/>
    <w:rsid w:val="1E4A0464"/>
    <w:rsid w:val="1E4A5D6E"/>
    <w:rsid w:val="1E522E75"/>
    <w:rsid w:val="1E5866DD"/>
    <w:rsid w:val="1E5D0198"/>
    <w:rsid w:val="1E676911"/>
    <w:rsid w:val="1E682698"/>
    <w:rsid w:val="1E6A4663"/>
    <w:rsid w:val="1E6C3F37"/>
    <w:rsid w:val="1E74103D"/>
    <w:rsid w:val="1E766B63"/>
    <w:rsid w:val="1E766E25"/>
    <w:rsid w:val="1E771628"/>
    <w:rsid w:val="1E7C18BE"/>
    <w:rsid w:val="1E8560A7"/>
    <w:rsid w:val="1E8F7C25"/>
    <w:rsid w:val="1E9B481C"/>
    <w:rsid w:val="1E9D1AAB"/>
    <w:rsid w:val="1EC43D73"/>
    <w:rsid w:val="1EC9494F"/>
    <w:rsid w:val="1ED0096A"/>
    <w:rsid w:val="1ED85A41"/>
    <w:rsid w:val="1EE3035C"/>
    <w:rsid w:val="1EE6018D"/>
    <w:rsid w:val="1EF3377B"/>
    <w:rsid w:val="1EFA3C4B"/>
    <w:rsid w:val="1F0C1276"/>
    <w:rsid w:val="1F122D30"/>
    <w:rsid w:val="1F170346"/>
    <w:rsid w:val="1F17459F"/>
    <w:rsid w:val="1F176598"/>
    <w:rsid w:val="1F1A3993"/>
    <w:rsid w:val="1F3637BC"/>
    <w:rsid w:val="1F464C99"/>
    <w:rsid w:val="1F4B7FF0"/>
    <w:rsid w:val="1F4C3235"/>
    <w:rsid w:val="1F501AAA"/>
    <w:rsid w:val="1F5E41C7"/>
    <w:rsid w:val="1F684E52"/>
    <w:rsid w:val="1F686DF4"/>
    <w:rsid w:val="1F697792"/>
    <w:rsid w:val="1F6D256E"/>
    <w:rsid w:val="1F6E1443"/>
    <w:rsid w:val="1F6E3CDF"/>
    <w:rsid w:val="1F704E08"/>
    <w:rsid w:val="1F7C289F"/>
    <w:rsid w:val="1F7F7C9A"/>
    <w:rsid w:val="1F8A4FBC"/>
    <w:rsid w:val="1F8C28BE"/>
    <w:rsid w:val="1F9065F0"/>
    <w:rsid w:val="1F9D7A5B"/>
    <w:rsid w:val="1FA7250C"/>
    <w:rsid w:val="1FA84C46"/>
    <w:rsid w:val="1FAD0CAB"/>
    <w:rsid w:val="1FAF77AA"/>
    <w:rsid w:val="1FB060A0"/>
    <w:rsid w:val="1FBC31B6"/>
    <w:rsid w:val="1FBD4EB0"/>
    <w:rsid w:val="1FC306E4"/>
    <w:rsid w:val="1FCA360B"/>
    <w:rsid w:val="1FD2426D"/>
    <w:rsid w:val="1FD955FC"/>
    <w:rsid w:val="1FDF7040"/>
    <w:rsid w:val="1FE10954"/>
    <w:rsid w:val="1FE355A3"/>
    <w:rsid w:val="1FE50445"/>
    <w:rsid w:val="1FE521F3"/>
    <w:rsid w:val="1FF266BE"/>
    <w:rsid w:val="1FFE004E"/>
    <w:rsid w:val="1FFE449D"/>
    <w:rsid w:val="20016901"/>
    <w:rsid w:val="201605FE"/>
    <w:rsid w:val="201A67EE"/>
    <w:rsid w:val="201B5C14"/>
    <w:rsid w:val="20222654"/>
    <w:rsid w:val="202A5E57"/>
    <w:rsid w:val="202C6073"/>
    <w:rsid w:val="20304F8E"/>
    <w:rsid w:val="20475A9E"/>
    <w:rsid w:val="204C078D"/>
    <w:rsid w:val="204C4020"/>
    <w:rsid w:val="20523600"/>
    <w:rsid w:val="20592BE1"/>
    <w:rsid w:val="206A26F8"/>
    <w:rsid w:val="206C021E"/>
    <w:rsid w:val="206D21E8"/>
    <w:rsid w:val="206F4619"/>
    <w:rsid w:val="20711637"/>
    <w:rsid w:val="207812B9"/>
    <w:rsid w:val="20783BE9"/>
    <w:rsid w:val="20801F1B"/>
    <w:rsid w:val="20875058"/>
    <w:rsid w:val="208E297D"/>
    <w:rsid w:val="20904D0E"/>
    <w:rsid w:val="209B4FA7"/>
    <w:rsid w:val="20AA6F98"/>
    <w:rsid w:val="20B35EED"/>
    <w:rsid w:val="20B53AC6"/>
    <w:rsid w:val="20BB472E"/>
    <w:rsid w:val="20C462AC"/>
    <w:rsid w:val="20C600D1"/>
    <w:rsid w:val="20CF0D93"/>
    <w:rsid w:val="20D00782"/>
    <w:rsid w:val="20D51B9E"/>
    <w:rsid w:val="20D81349"/>
    <w:rsid w:val="20D85693"/>
    <w:rsid w:val="20D9032F"/>
    <w:rsid w:val="20EC5803"/>
    <w:rsid w:val="20FB5A46"/>
    <w:rsid w:val="21026DD4"/>
    <w:rsid w:val="210617F6"/>
    <w:rsid w:val="210918A4"/>
    <w:rsid w:val="212862D1"/>
    <w:rsid w:val="212C60E2"/>
    <w:rsid w:val="212D20A3"/>
    <w:rsid w:val="21463165"/>
    <w:rsid w:val="214E201A"/>
    <w:rsid w:val="2151109E"/>
    <w:rsid w:val="21516822"/>
    <w:rsid w:val="215C0D30"/>
    <w:rsid w:val="215C4736"/>
    <w:rsid w:val="215D225D"/>
    <w:rsid w:val="215F7D83"/>
    <w:rsid w:val="2164183D"/>
    <w:rsid w:val="21696E53"/>
    <w:rsid w:val="21731FC6"/>
    <w:rsid w:val="217B0AEC"/>
    <w:rsid w:val="21817CF9"/>
    <w:rsid w:val="218912A4"/>
    <w:rsid w:val="219051E5"/>
    <w:rsid w:val="21920158"/>
    <w:rsid w:val="219752BD"/>
    <w:rsid w:val="21AF60DC"/>
    <w:rsid w:val="21BA6562"/>
    <w:rsid w:val="21C06379"/>
    <w:rsid w:val="21C1459A"/>
    <w:rsid w:val="21C4408A"/>
    <w:rsid w:val="21C55BC3"/>
    <w:rsid w:val="21C916A0"/>
    <w:rsid w:val="21CE7EC2"/>
    <w:rsid w:val="21D50045"/>
    <w:rsid w:val="21D56297"/>
    <w:rsid w:val="21EA7433"/>
    <w:rsid w:val="21EC1739"/>
    <w:rsid w:val="21EE1107"/>
    <w:rsid w:val="21F36849"/>
    <w:rsid w:val="21F735E1"/>
    <w:rsid w:val="220F4349"/>
    <w:rsid w:val="22157868"/>
    <w:rsid w:val="22193154"/>
    <w:rsid w:val="221B014E"/>
    <w:rsid w:val="222334A6"/>
    <w:rsid w:val="2234120F"/>
    <w:rsid w:val="224C47AB"/>
    <w:rsid w:val="2250591D"/>
    <w:rsid w:val="22600256"/>
    <w:rsid w:val="22615BFF"/>
    <w:rsid w:val="22617B2B"/>
    <w:rsid w:val="22631AF5"/>
    <w:rsid w:val="226C09A9"/>
    <w:rsid w:val="226C6BFB"/>
    <w:rsid w:val="226E2DA3"/>
    <w:rsid w:val="226E6E1B"/>
    <w:rsid w:val="226F3225"/>
    <w:rsid w:val="226F3FF6"/>
    <w:rsid w:val="22723AE6"/>
    <w:rsid w:val="227B299A"/>
    <w:rsid w:val="228850B7"/>
    <w:rsid w:val="228D75C4"/>
    <w:rsid w:val="22913607"/>
    <w:rsid w:val="22924990"/>
    <w:rsid w:val="22926996"/>
    <w:rsid w:val="229D5007"/>
    <w:rsid w:val="229E380E"/>
    <w:rsid w:val="22B365D8"/>
    <w:rsid w:val="22B70B00"/>
    <w:rsid w:val="22C5175E"/>
    <w:rsid w:val="22C82CCE"/>
    <w:rsid w:val="22C975F6"/>
    <w:rsid w:val="22CC769A"/>
    <w:rsid w:val="22CE3412"/>
    <w:rsid w:val="22CF0B5B"/>
    <w:rsid w:val="22D02771"/>
    <w:rsid w:val="22D13AA5"/>
    <w:rsid w:val="22D758AC"/>
    <w:rsid w:val="22DC66A1"/>
    <w:rsid w:val="22E05A7B"/>
    <w:rsid w:val="22E9024C"/>
    <w:rsid w:val="22EB42C7"/>
    <w:rsid w:val="22EC5646"/>
    <w:rsid w:val="22F0640A"/>
    <w:rsid w:val="22FD1B7D"/>
    <w:rsid w:val="23005595"/>
    <w:rsid w:val="230230BC"/>
    <w:rsid w:val="230961F8"/>
    <w:rsid w:val="231F5A1C"/>
    <w:rsid w:val="232079E6"/>
    <w:rsid w:val="233520D5"/>
    <w:rsid w:val="234027F4"/>
    <w:rsid w:val="234663D3"/>
    <w:rsid w:val="234C4337"/>
    <w:rsid w:val="23507DD7"/>
    <w:rsid w:val="23511E39"/>
    <w:rsid w:val="235356C5"/>
    <w:rsid w:val="235F7BF2"/>
    <w:rsid w:val="2365041A"/>
    <w:rsid w:val="23671171"/>
    <w:rsid w:val="237459C2"/>
    <w:rsid w:val="2378512C"/>
    <w:rsid w:val="23827D58"/>
    <w:rsid w:val="23863CED"/>
    <w:rsid w:val="2387194A"/>
    <w:rsid w:val="23887A65"/>
    <w:rsid w:val="2389558B"/>
    <w:rsid w:val="238B1303"/>
    <w:rsid w:val="239408B4"/>
    <w:rsid w:val="239527EE"/>
    <w:rsid w:val="23A423C5"/>
    <w:rsid w:val="23BA1BE8"/>
    <w:rsid w:val="23BC770E"/>
    <w:rsid w:val="23C40371"/>
    <w:rsid w:val="23CD2307"/>
    <w:rsid w:val="23D777AF"/>
    <w:rsid w:val="23E629DD"/>
    <w:rsid w:val="23F32A04"/>
    <w:rsid w:val="23F3766D"/>
    <w:rsid w:val="24090AFF"/>
    <w:rsid w:val="24180EFD"/>
    <w:rsid w:val="24215DEA"/>
    <w:rsid w:val="24262DDA"/>
    <w:rsid w:val="24305A06"/>
    <w:rsid w:val="243A2EF4"/>
    <w:rsid w:val="24457704"/>
    <w:rsid w:val="244A4D1A"/>
    <w:rsid w:val="244B0A92"/>
    <w:rsid w:val="244F7128"/>
    <w:rsid w:val="245132E1"/>
    <w:rsid w:val="2452597D"/>
    <w:rsid w:val="245E4322"/>
    <w:rsid w:val="24742EA5"/>
    <w:rsid w:val="24762C8E"/>
    <w:rsid w:val="24880AFD"/>
    <w:rsid w:val="24912949"/>
    <w:rsid w:val="249266C1"/>
    <w:rsid w:val="24997A50"/>
    <w:rsid w:val="249B5576"/>
    <w:rsid w:val="249C5741"/>
    <w:rsid w:val="249E5066"/>
    <w:rsid w:val="24A02B8C"/>
    <w:rsid w:val="24A12157"/>
    <w:rsid w:val="24A87C93"/>
    <w:rsid w:val="24AA57B9"/>
    <w:rsid w:val="24AD3762"/>
    <w:rsid w:val="24AF3C23"/>
    <w:rsid w:val="24B108F5"/>
    <w:rsid w:val="24BB5C18"/>
    <w:rsid w:val="24CD14A7"/>
    <w:rsid w:val="24CD3BD9"/>
    <w:rsid w:val="24D171E9"/>
    <w:rsid w:val="24E562E5"/>
    <w:rsid w:val="24E604BE"/>
    <w:rsid w:val="24E733F0"/>
    <w:rsid w:val="24F545B6"/>
    <w:rsid w:val="250255F5"/>
    <w:rsid w:val="25045644"/>
    <w:rsid w:val="250F4166"/>
    <w:rsid w:val="251315B0"/>
    <w:rsid w:val="25227A2A"/>
    <w:rsid w:val="2526749C"/>
    <w:rsid w:val="2533755C"/>
    <w:rsid w:val="253658F0"/>
    <w:rsid w:val="25376063"/>
    <w:rsid w:val="253A4D8F"/>
    <w:rsid w:val="253F05F7"/>
    <w:rsid w:val="25401C79"/>
    <w:rsid w:val="254259F1"/>
    <w:rsid w:val="254F4A0B"/>
    <w:rsid w:val="255C14CA"/>
    <w:rsid w:val="25643BBA"/>
    <w:rsid w:val="256908C0"/>
    <w:rsid w:val="256E4A38"/>
    <w:rsid w:val="25763311"/>
    <w:rsid w:val="257F27A2"/>
    <w:rsid w:val="25893A50"/>
    <w:rsid w:val="258C39E7"/>
    <w:rsid w:val="258D6542"/>
    <w:rsid w:val="259000A2"/>
    <w:rsid w:val="25916979"/>
    <w:rsid w:val="25957305"/>
    <w:rsid w:val="25986B4C"/>
    <w:rsid w:val="25A11049"/>
    <w:rsid w:val="25A42208"/>
    <w:rsid w:val="25AC5561"/>
    <w:rsid w:val="25B508B9"/>
    <w:rsid w:val="25BD776E"/>
    <w:rsid w:val="25C056FC"/>
    <w:rsid w:val="25C26B32"/>
    <w:rsid w:val="25C76C60"/>
    <w:rsid w:val="25D86356"/>
    <w:rsid w:val="25DE1BBE"/>
    <w:rsid w:val="25F25A30"/>
    <w:rsid w:val="25F72C80"/>
    <w:rsid w:val="2605050F"/>
    <w:rsid w:val="26105AEF"/>
    <w:rsid w:val="26182944"/>
    <w:rsid w:val="261B45E4"/>
    <w:rsid w:val="26250EA4"/>
    <w:rsid w:val="262670C1"/>
    <w:rsid w:val="2633129F"/>
    <w:rsid w:val="26377520"/>
    <w:rsid w:val="264019DF"/>
    <w:rsid w:val="265522A9"/>
    <w:rsid w:val="265E2CFF"/>
    <w:rsid w:val="265F25D3"/>
    <w:rsid w:val="26601CD1"/>
    <w:rsid w:val="266320C3"/>
    <w:rsid w:val="267918E7"/>
    <w:rsid w:val="268D3CB1"/>
    <w:rsid w:val="26911695"/>
    <w:rsid w:val="269229A8"/>
    <w:rsid w:val="26983D97"/>
    <w:rsid w:val="26997893"/>
    <w:rsid w:val="26A83F7A"/>
    <w:rsid w:val="26AE5FBD"/>
    <w:rsid w:val="26B27B4D"/>
    <w:rsid w:val="26B3099D"/>
    <w:rsid w:val="26B43C30"/>
    <w:rsid w:val="26B800B2"/>
    <w:rsid w:val="26B95302"/>
    <w:rsid w:val="26C03072"/>
    <w:rsid w:val="26D05483"/>
    <w:rsid w:val="26D548EF"/>
    <w:rsid w:val="26DB734F"/>
    <w:rsid w:val="26DC3C24"/>
    <w:rsid w:val="26E8507D"/>
    <w:rsid w:val="26EA27E4"/>
    <w:rsid w:val="26EA2AA5"/>
    <w:rsid w:val="26EF1BA9"/>
    <w:rsid w:val="26F41481"/>
    <w:rsid w:val="26F62F37"/>
    <w:rsid w:val="270D202F"/>
    <w:rsid w:val="271E5FEA"/>
    <w:rsid w:val="27220408"/>
    <w:rsid w:val="27310204"/>
    <w:rsid w:val="27565784"/>
    <w:rsid w:val="27627E00"/>
    <w:rsid w:val="27693709"/>
    <w:rsid w:val="27700796"/>
    <w:rsid w:val="27716A62"/>
    <w:rsid w:val="27962C63"/>
    <w:rsid w:val="27985D9D"/>
    <w:rsid w:val="279D1605"/>
    <w:rsid w:val="27A74232"/>
    <w:rsid w:val="27AC5CEC"/>
    <w:rsid w:val="27B30561"/>
    <w:rsid w:val="27B801ED"/>
    <w:rsid w:val="27BC40CB"/>
    <w:rsid w:val="27C070A1"/>
    <w:rsid w:val="27C26BE0"/>
    <w:rsid w:val="27C71DE4"/>
    <w:rsid w:val="27CC1AAA"/>
    <w:rsid w:val="27CC1EEA"/>
    <w:rsid w:val="27D63534"/>
    <w:rsid w:val="27D843EB"/>
    <w:rsid w:val="27DD0E3E"/>
    <w:rsid w:val="27E74118"/>
    <w:rsid w:val="27F154AD"/>
    <w:rsid w:val="27F32686"/>
    <w:rsid w:val="27F356C9"/>
    <w:rsid w:val="27F427FC"/>
    <w:rsid w:val="27F56862"/>
    <w:rsid w:val="27F8365E"/>
    <w:rsid w:val="28052EE7"/>
    <w:rsid w:val="280D678A"/>
    <w:rsid w:val="280F5F5B"/>
    <w:rsid w:val="28137B19"/>
    <w:rsid w:val="28173165"/>
    <w:rsid w:val="281F026C"/>
    <w:rsid w:val="281F0DCA"/>
    <w:rsid w:val="28240813"/>
    <w:rsid w:val="28245882"/>
    <w:rsid w:val="282C1C37"/>
    <w:rsid w:val="283D06F2"/>
    <w:rsid w:val="28420016"/>
    <w:rsid w:val="284B2E0F"/>
    <w:rsid w:val="285A5748"/>
    <w:rsid w:val="285A6AB8"/>
    <w:rsid w:val="285F4AFD"/>
    <w:rsid w:val="28673C13"/>
    <w:rsid w:val="286B1BCB"/>
    <w:rsid w:val="28725B96"/>
    <w:rsid w:val="28760383"/>
    <w:rsid w:val="287C74F6"/>
    <w:rsid w:val="28805B83"/>
    <w:rsid w:val="28814A83"/>
    <w:rsid w:val="28844573"/>
    <w:rsid w:val="288572E0"/>
    <w:rsid w:val="28892D09"/>
    <w:rsid w:val="288A7DDB"/>
    <w:rsid w:val="28902F18"/>
    <w:rsid w:val="2899001E"/>
    <w:rsid w:val="28A30E9D"/>
    <w:rsid w:val="28A644E9"/>
    <w:rsid w:val="28A95D87"/>
    <w:rsid w:val="28A97330"/>
    <w:rsid w:val="28B27007"/>
    <w:rsid w:val="28C02C26"/>
    <w:rsid w:val="28CC797D"/>
    <w:rsid w:val="28D61AB0"/>
    <w:rsid w:val="28D87132"/>
    <w:rsid w:val="28E05C4D"/>
    <w:rsid w:val="28E96EBB"/>
    <w:rsid w:val="28EC45F2"/>
    <w:rsid w:val="28EE12DE"/>
    <w:rsid w:val="28EF40E2"/>
    <w:rsid w:val="28F263D7"/>
    <w:rsid w:val="28F72F97"/>
    <w:rsid w:val="28F90ABD"/>
    <w:rsid w:val="28FB4835"/>
    <w:rsid w:val="28FD67FF"/>
    <w:rsid w:val="29005082"/>
    <w:rsid w:val="290851A4"/>
    <w:rsid w:val="290D485E"/>
    <w:rsid w:val="29157668"/>
    <w:rsid w:val="2916338A"/>
    <w:rsid w:val="29197E03"/>
    <w:rsid w:val="291F6AC1"/>
    <w:rsid w:val="29233D8C"/>
    <w:rsid w:val="293A6379"/>
    <w:rsid w:val="294066EC"/>
    <w:rsid w:val="29451F54"/>
    <w:rsid w:val="294855A0"/>
    <w:rsid w:val="29490F16"/>
    <w:rsid w:val="294C6E3F"/>
    <w:rsid w:val="29614C20"/>
    <w:rsid w:val="2964062C"/>
    <w:rsid w:val="296D4B02"/>
    <w:rsid w:val="296E6813"/>
    <w:rsid w:val="29702DE9"/>
    <w:rsid w:val="297445E7"/>
    <w:rsid w:val="29863A08"/>
    <w:rsid w:val="298B4667"/>
    <w:rsid w:val="29915199"/>
    <w:rsid w:val="299910E7"/>
    <w:rsid w:val="29A72A37"/>
    <w:rsid w:val="29AE5D4B"/>
    <w:rsid w:val="29B24BC0"/>
    <w:rsid w:val="29BA46F0"/>
    <w:rsid w:val="29BA7DDE"/>
    <w:rsid w:val="29BD7D3C"/>
    <w:rsid w:val="29C4407D"/>
    <w:rsid w:val="29D15E68"/>
    <w:rsid w:val="29DB6414"/>
    <w:rsid w:val="29E4516C"/>
    <w:rsid w:val="29EE6148"/>
    <w:rsid w:val="29F64FFC"/>
    <w:rsid w:val="29FB2613"/>
    <w:rsid w:val="29FF65A7"/>
    <w:rsid w:val="2A021BF3"/>
    <w:rsid w:val="2A0D29DA"/>
    <w:rsid w:val="2A0F08E1"/>
    <w:rsid w:val="2A1B4A63"/>
    <w:rsid w:val="2A1D07DB"/>
    <w:rsid w:val="2A2E0C3A"/>
    <w:rsid w:val="2A3414A9"/>
    <w:rsid w:val="2A47392C"/>
    <w:rsid w:val="2A475858"/>
    <w:rsid w:val="2A574550"/>
    <w:rsid w:val="2A6A1485"/>
    <w:rsid w:val="2A732A11"/>
    <w:rsid w:val="2A754CE9"/>
    <w:rsid w:val="2A7A3E7F"/>
    <w:rsid w:val="2A824904"/>
    <w:rsid w:val="2A905451"/>
    <w:rsid w:val="2A911B44"/>
    <w:rsid w:val="2A913D2A"/>
    <w:rsid w:val="2A9A1E2C"/>
    <w:rsid w:val="2AA02968"/>
    <w:rsid w:val="2AA3712A"/>
    <w:rsid w:val="2AAC5D3F"/>
    <w:rsid w:val="2AB253C7"/>
    <w:rsid w:val="2AB27175"/>
    <w:rsid w:val="2AB70C30"/>
    <w:rsid w:val="2AC9220B"/>
    <w:rsid w:val="2AD0584D"/>
    <w:rsid w:val="2AD27817"/>
    <w:rsid w:val="2AD6555A"/>
    <w:rsid w:val="2AE17AAA"/>
    <w:rsid w:val="2AF37CE4"/>
    <w:rsid w:val="2AF552B4"/>
    <w:rsid w:val="2AFA0B1C"/>
    <w:rsid w:val="2AFA28CA"/>
    <w:rsid w:val="2B021EE1"/>
    <w:rsid w:val="2B0718A2"/>
    <w:rsid w:val="2B146082"/>
    <w:rsid w:val="2B1B2F6C"/>
    <w:rsid w:val="2B1C25CD"/>
    <w:rsid w:val="2B25495E"/>
    <w:rsid w:val="2B275DB5"/>
    <w:rsid w:val="2B283129"/>
    <w:rsid w:val="2B326AF2"/>
    <w:rsid w:val="2B3C270A"/>
    <w:rsid w:val="2B3E4EAD"/>
    <w:rsid w:val="2B406DB4"/>
    <w:rsid w:val="2B447B67"/>
    <w:rsid w:val="2B4A5600"/>
    <w:rsid w:val="2B4C0B44"/>
    <w:rsid w:val="2B4D7CF0"/>
    <w:rsid w:val="2B556272"/>
    <w:rsid w:val="2B5B5A5F"/>
    <w:rsid w:val="2B5E4E07"/>
    <w:rsid w:val="2B762899"/>
    <w:rsid w:val="2B77216D"/>
    <w:rsid w:val="2B774C09"/>
    <w:rsid w:val="2B7852C9"/>
    <w:rsid w:val="2B7A481F"/>
    <w:rsid w:val="2B7A6A06"/>
    <w:rsid w:val="2B7B36C0"/>
    <w:rsid w:val="2B7D6F4C"/>
    <w:rsid w:val="2B856638"/>
    <w:rsid w:val="2B8C3E6A"/>
    <w:rsid w:val="2B8F656F"/>
    <w:rsid w:val="2B9920E3"/>
    <w:rsid w:val="2B9B5E5B"/>
    <w:rsid w:val="2BA411B4"/>
    <w:rsid w:val="2BA74800"/>
    <w:rsid w:val="2BAC6F03"/>
    <w:rsid w:val="2BB0560F"/>
    <w:rsid w:val="2BBB64FD"/>
    <w:rsid w:val="2BBE796E"/>
    <w:rsid w:val="2BC96E6C"/>
    <w:rsid w:val="2BD72A88"/>
    <w:rsid w:val="2BD839AD"/>
    <w:rsid w:val="2BD9534F"/>
    <w:rsid w:val="2BDA2382"/>
    <w:rsid w:val="2BDE4907"/>
    <w:rsid w:val="2BE47802"/>
    <w:rsid w:val="2BE72804"/>
    <w:rsid w:val="2BE80DE3"/>
    <w:rsid w:val="2BEC4909"/>
    <w:rsid w:val="2BED1EE4"/>
    <w:rsid w:val="2BEE357E"/>
    <w:rsid w:val="2BEE4F2A"/>
    <w:rsid w:val="2BF672B0"/>
    <w:rsid w:val="2C0114BC"/>
    <w:rsid w:val="2C0426DD"/>
    <w:rsid w:val="2C19019F"/>
    <w:rsid w:val="2C1A76C8"/>
    <w:rsid w:val="2C1C4A16"/>
    <w:rsid w:val="2C1D4AC2"/>
    <w:rsid w:val="2C1F6A8C"/>
    <w:rsid w:val="2C22657D"/>
    <w:rsid w:val="2C2440A3"/>
    <w:rsid w:val="2C245E51"/>
    <w:rsid w:val="2C315ED0"/>
    <w:rsid w:val="2C412EA7"/>
    <w:rsid w:val="2C422FB3"/>
    <w:rsid w:val="2C4915EF"/>
    <w:rsid w:val="2C506C46"/>
    <w:rsid w:val="2C6776E7"/>
    <w:rsid w:val="2C840FE5"/>
    <w:rsid w:val="2C8608B9"/>
    <w:rsid w:val="2C866B0B"/>
    <w:rsid w:val="2C9103E2"/>
    <w:rsid w:val="2C931228"/>
    <w:rsid w:val="2C9A25B7"/>
    <w:rsid w:val="2C9D6A95"/>
    <w:rsid w:val="2CB23E70"/>
    <w:rsid w:val="2CB46C88"/>
    <w:rsid w:val="2CBB3A1C"/>
    <w:rsid w:val="2CBE16C0"/>
    <w:rsid w:val="2CC55806"/>
    <w:rsid w:val="2CC72C8A"/>
    <w:rsid w:val="2CC94902"/>
    <w:rsid w:val="2CCC7A77"/>
    <w:rsid w:val="2CDE06F5"/>
    <w:rsid w:val="2CE675AA"/>
    <w:rsid w:val="2CE81574"/>
    <w:rsid w:val="2CE850D0"/>
    <w:rsid w:val="2CE90E48"/>
    <w:rsid w:val="2CED6B8B"/>
    <w:rsid w:val="2CEF0650"/>
    <w:rsid w:val="2CF131C4"/>
    <w:rsid w:val="2CF27CFD"/>
    <w:rsid w:val="2CF63C91"/>
    <w:rsid w:val="2CFA3055"/>
    <w:rsid w:val="2CFE6FBB"/>
    <w:rsid w:val="2D045C82"/>
    <w:rsid w:val="2D053ED4"/>
    <w:rsid w:val="2D0A773C"/>
    <w:rsid w:val="2D0D0FDB"/>
    <w:rsid w:val="2D12214D"/>
    <w:rsid w:val="2D134E03"/>
    <w:rsid w:val="2D1B6518"/>
    <w:rsid w:val="2D2468CA"/>
    <w:rsid w:val="2D2500D2"/>
    <w:rsid w:val="2D314CC9"/>
    <w:rsid w:val="2D3447B9"/>
    <w:rsid w:val="2D364384"/>
    <w:rsid w:val="2D430559"/>
    <w:rsid w:val="2D447F00"/>
    <w:rsid w:val="2D452523"/>
    <w:rsid w:val="2D476A70"/>
    <w:rsid w:val="2D523B7C"/>
    <w:rsid w:val="2D536CB5"/>
    <w:rsid w:val="2D5524DE"/>
    <w:rsid w:val="2D5E5392"/>
    <w:rsid w:val="2D62462C"/>
    <w:rsid w:val="2D662499"/>
    <w:rsid w:val="2D742BC3"/>
    <w:rsid w:val="2D742E08"/>
    <w:rsid w:val="2D77594A"/>
    <w:rsid w:val="2D7B4196"/>
    <w:rsid w:val="2D8044FB"/>
    <w:rsid w:val="2D915768"/>
    <w:rsid w:val="2D986AF6"/>
    <w:rsid w:val="2D9F5112"/>
    <w:rsid w:val="2DAD00C8"/>
    <w:rsid w:val="2DC65AC1"/>
    <w:rsid w:val="2DD0615A"/>
    <w:rsid w:val="2DD41AF8"/>
    <w:rsid w:val="2DD42233"/>
    <w:rsid w:val="2DDB2E87"/>
    <w:rsid w:val="2DE55AB4"/>
    <w:rsid w:val="2DE67D39"/>
    <w:rsid w:val="2DE750A4"/>
    <w:rsid w:val="2DEF06E0"/>
    <w:rsid w:val="2DF365FD"/>
    <w:rsid w:val="2DF67CC1"/>
    <w:rsid w:val="2E026666"/>
    <w:rsid w:val="2E04418C"/>
    <w:rsid w:val="2E0929AB"/>
    <w:rsid w:val="2E0F48DF"/>
    <w:rsid w:val="2E1801CC"/>
    <w:rsid w:val="2E1D6FFC"/>
    <w:rsid w:val="2E1F5989"/>
    <w:rsid w:val="2E271C28"/>
    <w:rsid w:val="2E2760CC"/>
    <w:rsid w:val="2E312239"/>
    <w:rsid w:val="2E3636C7"/>
    <w:rsid w:val="2E371510"/>
    <w:rsid w:val="2E3B4300"/>
    <w:rsid w:val="2E4336A3"/>
    <w:rsid w:val="2E516CA5"/>
    <w:rsid w:val="2E58749A"/>
    <w:rsid w:val="2E5A6D6C"/>
    <w:rsid w:val="2E5D5B9A"/>
    <w:rsid w:val="2E5F13C2"/>
    <w:rsid w:val="2E690493"/>
    <w:rsid w:val="2E6C3ADF"/>
    <w:rsid w:val="2E6E173D"/>
    <w:rsid w:val="2E821554"/>
    <w:rsid w:val="2E870919"/>
    <w:rsid w:val="2E8C4181"/>
    <w:rsid w:val="2E933762"/>
    <w:rsid w:val="2E9848D4"/>
    <w:rsid w:val="2E99107F"/>
    <w:rsid w:val="2EB811AD"/>
    <w:rsid w:val="2EC03CA1"/>
    <w:rsid w:val="2EC44DB8"/>
    <w:rsid w:val="2EC67693"/>
    <w:rsid w:val="2ECB4ADC"/>
    <w:rsid w:val="2EDA2C30"/>
    <w:rsid w:val="2EDA4EED"/>
    <w:rsid w:val="2EE43FBD"/>
    <w:rsid w:val="2EE6563F"/>
    <w:rsid w:val="2EED10C4"/>
    <w:rsid w:val="2EF32B26"/>
    <w:rsid w:val="2EFE152B"/>
    <w:rsid w:val="2F0041CD"/>
    <w:rsid w:val="2F10090E"/>
    <w:rsid w:val="2F1362ED"/>
    <w:rsid w:val="2F155F25"/>
    <w:rsid w:val="2F1A0783"/>
    <w:rsid w:val="2F1A6159"/>
    <w:rsid w:val="2F2252EA"/>
    <w:rsid w:val="2F260132"/>
    <w:rsid w:val="2F3738F6"/>
    <w:rsid w:val="2F3C5BA7"/>
    <w:rsid w:val="2F430CE4"/>
    <w:rsid w:val="2F485FCE"/>
    <w:rsid w:val="2F523172"/>
    <w:rsid w:val="2F5336F8"/>
    <w:rsid w:val="2F5E40B2"/>
    <w:rsid w:val="2F607227"/>
    <w:rsid w:val="2F7B047E"/>
    <w:rsid w:val="2F7B222C"/>
    <w:rsid w:val="2F835584"/>
    <w:rsid w:val="2F85559F"/>
    <w:rsid w:val="2F880DEC"/>
    <w:rsid w:val="2F8A06C1"/>
    <w:rsid w:val="2F972F25"/>
    <w:rsid w:val="2FA31782"/>
    <w:rsid w:val="2FA66BC0"/>
    <w:rsid w:val="2FAB0A48"/>
    <w:rsid w:val="2FAC0B20"/>
    <w:rsid w:val="2FBB036E"/>
    <w:rsid w:val="2FC004F6"/>
    <w:rsid w:val="2FCC0CD9"/>
    <w:rsid w:val="2FCD67FF"/>
    <w:rsid w:val="2FDB6DFB"/>
    <w:rsid w:val="2FDD5402"/>
    <w:rsid w:val="2FEC4ED7"/>
    <w:rsid w:val="2FED0C50"/>
    <w:rsid w:val="2FF3270A"/>
    <w:rsid w:val="2FF46ED9"/>
    <w:rsid w:val="2FFD56F4"/>
    <w:rsid w:val="300F20AC"/>
    <w:rsid w:val="30142680"/>
    <w:rsid w:val="30202DD3"/>
    <w:rsid w:val="30217567"/>
    <w:rsid w:val="3025663B"/>
    <w:rsid w:val="302A1EA4"/>
    <w:rsid w:val="302A5A00"/>
    <w:rsid w:val="302D1B06"/>
    <w:rsid w:val="303B5E5F"/>
    <w:rsid w:val="303D3AC7"/>
    <w:rsid w:val="30405223"/>
    <w:rsid w:val="30415FA8"/>
    <w:rsid w:val="30427BF1"/>
    <w:rsid w:val="30495DE8"/>
    <w:rsid w:val="304A7E50"/>
    <w:rsid w:val="30562C99"/>
    <w:rsid w:val="305B3E0B"/>
    <w:rsid w:val="3069477A"/>
    <w:rsid w:val="30705B08"/>
    <w:rsid w:val="30890978"/>
    <w:rsid w:val="30896BCA"/>
    <w:rsid w:val="308C0468"/>
    <w:rsid w:val="30970BAD"/>
    <w:rsid w:val="3097666B"/>
    <w:rsid w:val="30A27C8C"/>
    <w:rsid w:val="30A654F8"/>
    <w:rsid w:val="30B15DEB"/>
    <w:rsid w:val="30B456D8"/>
    <w:rsid w:val="30B83C72"/>
    <w:rsid w:val="30C220B0"/>
    <w:rsid w:val="30C220DC"/>
    <w:rsid w:val="30C732FF"/>
    <w:rsid w:val="30E601D8"/>
    <w:rsid w:val="30EE4C7F"/>
    <w:rsid w:val="31000B6D"/>
    <w:rsid w:val="31030681"/>
    <w:rsid w:val="310D1F5C"/>
    <w:rsid w:val="31134F3F"/>
    <w:rsid w:val="311E5564"/>
    <w:rsid w:val="31234232"/>
    <w:rsid w:val="31240046"/>
    <w:rsid w:val="312C7FD4"/>
    <w:rsid w:val="312E1520"/>
    <w:rsid w:val="313A1C72"/>
    <w:rsid w:val="313F372D"/>
    <w:rsid w:val="31477278"/>
    <w:rsid w:val="314B1AF7"/>
    <w:rsid w:val="31555551"/>
    <w:rsid w:val="3156582F"/>
    <w:rsid w:val="31671C04"/>
    <w:rsid w:val="31682C84"/>
    <w:rsid w:val="317258B0"/>
    <w:rsid w:val="31747A49"/>
    <w:rsid w:val="317909F5"/>
    <w:rsid w:val="31880324"/>
    <w:rsid w:val="3189350C"/>
    <w:rsid w:val="31907DC0"/>
    <w:rsid w:val="319C0B7F"/>
    <w:rsid w:val="319E66A5"/>
    <w:rsid w:val="31A31F0E"/>
    <w:rsid w:val="31A87524"/>
    <w:rsid w:val="31B639BC"/>
    <w:rsid w:val="31B754F1"/>
    <w:rsid w:val="31C43C21"/>
    <w:rsid w:val="31C50C84"/>
    <w:rsid w:val="31C53C32"/>
    <w:rsid w:val="31CB6D6E"/>
    <w:rsid w:val="31D54C0F"/>
    <w:rsid w:val="31DC0F7C"/>
    <w:rsid w:val="31E06CBE"/>
    <w:rsid w:val="31E8301C"/>
    <w:rsid w:val="31E837F2"/>
    <w:rsid w:val="31EA5447"/>
    <w:rsid w:val="31F542A9"/>
    <w:rsid w:val="31F66D0A"/>
    <w:rsid w:val="31F727D9"/>
    <w:rsid w:val="31FB7654"/>
    <w:rsid w:val="3200469D"/>
    <w:rsid w:val="3206143A"/>
    <w:rsid w:val="320912DF"/>
    <w:rsid w:val="32100F40"/>
    <w:rsid w:val="32285F6F"/>
    <w:rsid w:val="322E5C7B"/>
    <w:rsid w:val="322F1510"/>
    <w:rsid w:val="32341B34"/>
    <w:rsid w:val="323668DE"/>
    <w:rsid w:val="32425CAE"/>
    <w:rsid w:val="32544FB6"/>
    <w:rsid w:val="32562ADC"/>
    <w:rsid w:val="3257160B"/>
    <w:rsid w:val="32586854"/>
    <w:rsid w:val="3259315F"/>
    <w:rsid w:val="32635237"/>
    <w:rsid w:val="326933AB"/>
    <w:rsid w:val="326B0D4E"/>
    <w:rsid w:val="327125B3"/>
    <w:rsid w:val="32715B68"/>
    <w:rsid w:val="327613D0"/>
    <w:rsid w:val="328405BF"/>
    <w:rsid w:val="328A51AB"/>
    <w:rsid w:val="32942FAE"/>
    <w:rsid w:val="329B25B1"/>
    <w:rsid w:val="32A22F8F"/>
    <w:rsid w:val="32A41A99"/>
    <w:rsid w:val="32AC4DF2"/>
    <w:rsid w:val="32B40D70"/>
    <w:rsid w:val="32B62BEA"/>
    <w:rsid w:val="32C0264B"/>
    <w:rsid w:val="32CB3E17"/>
    <w:rsid w:val="32CC0FF0"/>
    <w:rsid w:val="32CC7242"/>
    <w:rsid w:val="32D2599E"/>
    <w:rsid w:val="32D3412D"/>
    <w:rsid w:val="32D87995"/>
    <w:rsid w:val="32D97E14"/>
    <w:rsid w:val="32E04E37"/>
    <w:rsid w:val="32E86F9E"/>
    <w:rsid w:val="32EE540A"/>
    <w:rsid w:val="32F46F6D"/>
    <w:rsid w:val="33010C9A"/>
    <w:rsid w:val="3301500D"/>
    <w:rsid w:val="33076DD2"/>
    <w:rsid w:val="330F22F4"/>
    <w:rsid w:val="331A1D5C"/>
    <w:rsid w:val="331C1F78"/>
    <w:rsid w:val="3321133C"/>
    <w:rsid w:val="332A1D60"/>
    <w:rsid w:val="332B21BB"/>
    <w:rsid w:val="332D7CE1"/>
    <w:rsid w:val="333F5C66"/>
    <w:rsid w:val="334459FC"/>
    <w:rsid w:val="33527747"/>
    <w:rsid w:val="335D309A"/>
    <w:rsid w:val="336D4581"/>
    <w:rsid w:val="33704071"/>
    <w:rsid w:val="33721B98"/>
    <w:rsid w:val="33751688"/>
    <w:rsid w:val="33775400"/>
    <w:rsid w:val="337C1562"/>
    <w:rsid w:val="337C341A"/>
    <w:rsid w:val="338027AA"/>
    <w:rsid w:val="33830B80"/>
    <w:rsid w:val="33837901"/>
    <w:rsid w:val="338B1F5A"/>
    <w:rsid w:val="338C1613"/>
    <w:rsid w:val="33934A81"/>
    <w:rsid w:val="33955886"/>
    <w:rsid w:val="339610BE"/>
    <w:rsid w:val="339D4B9D"/>
    <w:rsid w:val="33A855B9"/>
    <w:rsid w:val="33A9530C"/>
    <w:rsid w:val="33AB32FB"/>
    <w:rsid w:val="33AC1339"/>
    <w:rsid w:val="33B201E6"/>
    <w:rsid w:val="33B53E71"/>
    <w:rsid w:val="33C65A3F"/>
    <w:rsid w:val="33CB74FA"/>
    <w:rsid w:val="33D543EA"/>
    <w:rsid w:val="33DA6533"/>
    <w:rsid w:val="33DE547F"/>
    <w:rsid w:val="33DE7071"/>
    <w:rsid w:val="33DF6B01"/>
    <w:rsid w:val="33E47038"/>
    <w:rsid w:val="33E52369"/>
    <w:rsid w:val="33E800AC"/>
    <w:rsid w:val="33EA7468"/>
    <w:rsid w:val="33EC7B9C"/>
    <w:rsid w:val="33EF143A"/>
    <w:rsid w:val="33EF3C9C"/>
    <w:rsid w:val="33F06E22"/>
    <w:rsid w:val="33FF0DA8"/>
    <w:rsid w:val="34115D03"/>
    <w:rsid w:val="34117602"/>
    <w:rsid w:val="34125129"/>
    <w:rsid w:val="34160775"/>
    <w:rsid w:val="341C1B03"/>
    <w:rsid w:val="34237336"/>
    <w:rsid w:val="342E247E"/>
    <w:rsid w:val="343230D5"/>
    <w:rsid w:val="34340F20"/>
    <w:rsid w:val="34367069"/>
    <w:rsid w:val="34391D02"/>
    <w:rsid w:val="343D03F7"/>
    <w:rsid w:val="344304E4"/>
    <w:rsid w:val="344828F8"/>
    <w:rsid w:val="344F3C87"/>
    <w:rsid w:val="346314E0"/>
    <w:rsid w:val="34640CD3"/>
    <w:rsid w:val="346E05B1"/>
    <w:rsid w:val="347328D8"/>
    <w:rsid w:val="34761214"/>
    <w:rsid w:val="34825BEE"/>
    <w:rsid w:val="34891E4E"/>
    <w:rsid w:val="34A2007A"/>
    <w:rsid w:val="34A6476E"/>
    <w:rsid w:val="34B32468"/>
    <w:rsid w:val="34B66335"/>
    <w:rsid w:val="34B81D66"/>
    <w:rsid w:val="34BD32E6"/>
    <w:rsid w:val="34C04B85"/>
    <w:rsid w:val="34C91C8B"/>
    <w:rsid w:val="34CE1050"/>
    <w:rsid w:val="34D523DE"/>
    <w:rsid w:val="34E6283D"/>
    <w:rsid w:val="34FB796B"/>
    <w:rsid w:val="35064C8D"/>
    <w:rsid w:val="350902DA"/>
    <w:rsid w:val="351153E0"/>
    <w:rsid w:val="351647A5"/>
    <w:rsid w:val="351711D3"/>
    <w:rsid w:val="352A05F9"/>
    <w:rsid w:val="352A434B"/>
    <w:rsid w:val="353251AA"/>
    <w:rsid w:val="353A1057"/>
    <w:rsid w:val="35482FA8"/>
    <w:rsid w:val="35492D5E"/>
    <w:rsid w:val="355249D8"/>
    <w:rsid w:val="355A6D87"/>
    <w:rsid w:val="357109BE"/>
    <w:rsid w:val="3578720D"/>
    <w:rsid w:val="357F234A"/>
    <w:rsid w:val="3583585A"/>
    <w:rsid w:val="35855209"/>
    <w:rsid w:val="35935DF5"/>
    <w:rsid w:val="35971A38"/>
    <w:rsid w:val="35A3428A"/>
    <w:rsid w:val="35A61FCC"/>
    <w:rsid w:val="35B2271F"/>
    <w:rsid w:val="35BE519E"/>
    <w:rsid w:val="35C5426C"/>
    <w:rsid w:val="35C6441D"/>
    <w:rsid w:val="35CD1307"/>
    <w:rsid w:val="35CF6FF8"/>
    <w:rsid w:val="35D83DE4"/>
    <w:rsid w:val="35FC7694"/>
    <w:rsid w:val="36010FB1"/>
    <w:rsid w:val="36022899"/>
    <w:rsid w:val="36213401"/>
    <w:rsid w:val="362829E1"/>
    <w:rsid w:val="36316394"/>
    <w:rsid w:val="36392E40"/>
    <w:rsid w:val="3639699D"/>
    <w:rsid w:val="363A51AF"/>
    <w:rsid w:val="36431A77"/>
    <w:rsid w:val="364A6DFC"/>
    <w:rsid w:val="364C06F5"/>
    <w:rsid w:val="36624145"/>
    <w:rsid w:val="366E2AEA"/>
    <w:rsid w:val="36793DDB"/>
    <w:rsid w:val="3683496F"/>
    <w:rsid w:val="36897924"/>
    <w:rsid w:val="3690684E"/>
    <w:rsid w:val="369204A9"/>
    <w:rsid w:val="369342FF"/>
    <w:rsid w:val="36981915"/>
    <w:rsid w:val="36A06A1C"/>
    <w:rsid w:val="36A77F44"/>
    <w:rsid w:val="36B24F04"/>
    <w:rsid w:val="36BD5820"/>
    <w:rsid w:val="36BF001A"/>
    <w:rsid w:val="36C02C1A"/>
    <w:rsid w:val="36C4382B"/>
    <w:rsid w:val="36CB130F"/>
    <w:rsid w:val="36D61574"/>
    <w:rsid w:val="36DE312A"/>
    <w:rsid w:val="36E54FD9"/>
    <w:rsid w:val="36E5643F"/>
    <w:rsid w:val="36E92171"/>
    <w:rsid w:val="36EB4F98"/>
    <w:rsid w:val="36EB6D95"/>
    <w:rsid w:val="36EF52AD"/>
    <w:rsid w:val="36F32FEF"/>
    <w:rsid w:val="36F56D67"/>
    <w:rsid w:val="36F823B4"/>
    <w:rsid w:val="36F9612C"/>
    <w:rsid w:val="36FF1994"/>
    <w:rsid w:val="36FF7BE6"/>
    <w:rsid w:val="370038AD"/>
    <w:rsid w:val="37046FAB"/>
    <w:rsid w:val="37117919"/>
    <w:rsid w:val="37135440"/>
    <w:rsid w:val="37146876"/>
    <w:rsid w:val="37152F66"/>
    <w:rsid w:val="3720190B"/>
    <w:rsid w:val="37262051"/>
    <w:rsid w:val="37294EE0"/>
    <w:rsid w:val="372A5B7C"/>
    <w:rsid w:val="372E301A"/>
    <w:rsid w:val="37307DA0"/>
    <w:rsid w:val="37377380"/>
    <w:rsid w:val="373B04F2"/>
    <w:rsid w:val="37405B09"/>
    <w:rsid w:val="375742FA"/>
    <w:rsid w:val="376143FD"/>
    <w:rsid w:val="37623229"/>
    <w:rsid w:val="37644D2D"/>
    <w:rsid w:val="377055D1"/>
    <w:rsid w:val="37770C79"/>
    <w:rsid w:val="37797999"/>
    <w:rsid w:val="377A726D"/>
    <w:rsid w:val="378123A9"/>
    <w:rsid w:val="3781684D"/>
    <w:rsid w:val="379E4E49"/>
    <w:rsid w:val="37A54631"/>
    <w:rsid w:val="37A6709D"/>
    <w:rsid w:val="37A8202C"/>
    <w:rsid w:val="37A8387F"/>
    <w:rsid w:val="37A842AF"/>
    <w:rsid w:val="37AD7642"/>
    <w:rsid w:val="37B02C8E"/>
    <w:rsid w:val="37C4498C"/>
    <w:rsid w:val="37CD1A92"/>
    <w:rsid w:val="37D526F5"/>
    <w:rsid w:val="37D83F93"/>
    <w:rsid w:val="37DE77FC"/>
    <w:rsid w:val="37E33064"/>
    <w:rsid w:val="37E331F7"/>
    <w:rsid w:val="37E666B0"/>
    <w:rsid w:val="37EB1F18"/>
    <w:rsid w:val="3801173C"/>
    <w:rsid w:val="3810197F"/>
    <w:rsid w:val="38135A10"/>
    <w:rsid w:val="382316B2"/>
    <w:rsid w:val="38256734"/>
    <w:rsid w:val="382611A3"/>
    <w:rsid w:val="38284F1B"/>
    <w:rsid w:val="382E4066"/>
    <w:rsid w:val="383354C0"/>
    <w:rsid w:val="38341B11"/>
    <w:rsid w:val="38374D4A"/>
    <w:rsid w:val="38425435"/>
    <w:rsid w:val="38464765"/>
    <w:rsid w:val="38523D46"/>
    <w:rsid w:val="38563836"/>
    <w:rsid w:val="385775AE"/>
    <w:rsid w:val="385C6972"/>
    <w:rsid w:val="3867564D"/>
    <w:rsid w:val="38683569"/>
    <w:rsid w:val="3878382A"/>
    <w:rsid w:val="388C36FB"/>
    <w:rsid w:val="389205E6"/>
    <w:rsid w:val="38995E18"/>
    <w:rsid w:val="38997BC6"/>
    <w:rsid w:val="389E342F"/>
    <w:rsid w:val="38A81BB8"/>
    <w:rsid w:val="38A83E69"/>
    <w:rsid w:val="38AD5420"/>
    <w:rsid w:val="38B43435"/>
    <w:rsid w:val="38C0559F"/>
    <w:rsid w:val="38C113BD"/>
    <w:rsid w:val="38C4260A"/>
    <w:rsid w:val="38CA4224"/>
    <w:rsid w:val="38CC1D4A"/>
    <w:rsid w:val="38CD7B6C"/>
    <w:rsid w:val="38D12B8C"/>
    <w:rsid w:val="38D16C69"/>
    <w:rsid w:val="38D351C0"/>
    <w:rsid w:val="38E4458D"/>
    <w:rsid w:val="38E62A4F"/>
    <w:rsid w:val="38F1364A"/>
    <w:rsid w:val="38F27FE6"/>
    <w:rsid w:val="38F512A1"/>
    <w:rsid w:val="38F90665"/>
    <w:rsid w:val="39033261"/>
    <w:rsid w:val="39085D74"/>
    <w:rsid w:val="390E4110"/>
    <w:rsid w:val="39125519"/>
    <w:rsid w:val="39137979"/>
    <w:rsid w:val="391E3C38"/>
    <w:rsid w:val="391E5ECB"/>
    <w:rsid w:val="39253208"/>
    <w:rsid w:val="392B4CC2"/>
    <w:rsid w:val="392C4597"/>
    <w:rsid w:val="39360AA7"/>
    <w:rsid w:val="39373264"/>
    <w:rsid w:val="393755D6"/>
    <w:rsid w:val="394E275F"/>
    <w:rsid w:val="39504C68"/>
    <w:rsid w:val="3951224F"/>
    <w:rsid w:val="39561614"/>
    <w:rsid w:val="39572276"/>
    <w:rsid w:val="395A1104"/>
    <w:rsid w:val="396E1053"/>
    <w:rsid w:val="39787487"/>
    <w:rsid w:val="397B107A"/>
    <w:rsid w:val="39812B34"/>
    <w:rsid w:val="3986014B"/>
    <w:rsid w:val="398B240B"/>
    <w:rsid w:val="398F3452"/>
    <w:rsid w:val="39981C2C"/>
    <w:rsid w:val="39A02229"/>
    <w:rsid w:val="39A71860"/>
    <w:rsid w:val="39A95BE7"/>
    <w:rsid w:val="39AB5580"/>
    <w:rsid w:val="39B5458C"/>
    <w:rsid w:val="39BD78E5"/>
    <w:rsid w:val="39C72511"/>
    <w:rsid w:val="39CC2E9D"/>
    <w:rsid w:val="39E1758F"/>
    <w:rsid w:val="39EE5CF0"/>
    <w:rsid w:val="39EF76C4"/>
    <w:rsid w:val="39F07CBA"/>
    <w:rsid w:val="39F2280B"/>
    <w:rsid w:val="39FF1B9D"/>
    <w:rsid w:val="3A12378C"/>
    <w:rsid w:val="3A2562ED"/>
    <w:rsid w:val="3A287454"/>
    <w:rsid w:val="3A2B0CF2"/>
    <w:rsid w:val="3A2B2FB5"/>
    <w:rsid w:val="3A304BE4"/>
    <w:rsid w:val="3A3466BD"/>
    <w:rsid w:val="3A35391F"/>
    <w:rsid w:val="3A374C84"/>
    <w:rsid w:val="3A377697"/>
    <w:rsid w:val="3A3951BD"/>
    <w:rsid w:val="3A3C2EFF"/>
    <w:rsid w:val="3A46464A"/>
    <w:rsid w:val="3A48706F"/>
    <w:rsid w:val="3A4902C0"/>
    <w:rsid w:val="3A4B3142"/>
    <w:rsid w:val="3A4D1AE7"/>
    <w:rsid w:val="3A5E69D2"/>
    <w:rsid w:val="3A683CF4"/>
    <w:rsid w:val="3A6B6B40"/>
    <w:rsid w:val="3A7262AF"/>
    <w:rsid w:val="3A7A70F1"/>
    <w:rsid w:val="3A7B6D14"/>
    <w:rsid w:val="3A7E1E05"/>
    <w:rsid w:val="3A802DEC"/>
    <w:rsid w:val="3A86542E"/>
    <w:rsid w:val="3A8A5A19"/>
    <w:rsid w:val="3A944AE9"/>
    <w:rsid w:val="3AA0348E"/>
    <w:rsid w:val="3AAE60BB"/>
    <w:rsid w:val="3AB74334"/>
    <w:rsid w:val="3AB84AA7"/>
    <w:rsid w:val="3ABF1749"/>
    <w:rsid w:val="3AC75726"/>
    <w:rsid w:val="3ACC4672"/>
    <w:rsid w:val="3AD62A0C"/>
    <w:rsid w:val="3AD634EF"/>
    <w:rsid w:val="3AE55345"/>
    <w:rsid w:val="3AF141DF"/>
    <w:rsid w:val="3AF45588"/>
    <w:rsid w:val="3AF57914"/>
    <w:rsid w:val="3AF7250B"/>
    <w:rsid w:val="3B0C4680"/>
    <w:rsid w:val="3B0E2525"/>
    <w:rsid w:val="3B0F229E"/>
    <w:rsid w:val="3B111C96"/>
    <w:rsid w:val="3B196D9D"/>
    <w:rsid w:val="3B203224"/>
    <w:rsid w:val="3B284C72"/>
    <w:rsid w:val="3B36794F"/>
    <w:rsid w:val="3B3F4A55"/>
    <w:rsid w:val="3B404329"/>
    <w:rsid w:val="3B412ED0"/>
    <w:rsid w:val="3B4548EB"/>
    <w:rsid w:val="3B483C15"/>
    <w:rsid w:val="3B497682"/>
    <w:rsid w:val="3B530501"/>
    <w:rsid w:val="3B554279"/>
    <w:rsid w:val="3B5A363D"/>
    <w:rsid w:val="3B694447"/>
    <w:rsid w:val="3B6B584A"/>
    <w:rsid w:val="3B790561"/>
    <w:rsid w:val="3B7D2B6F"/>
    <w:rsid w:val="3B7F7488"/>
    <w:rsid w:val="3B9A69C2"/>
    <w:rsid w:val="3BA448B8"/>
    <w:rsid w:val="3BAA01C0"/>
    <w:rsid w:val="3BB02FFD"/>
    <w:rsid w:val="3BB07701"/>
    <w:rsid w:val="3BB72B9F"/>
    <w:rsid w:val="3BBA232E"/>
    <w:rsid w:val="3BCA5C37"/>
    <w:rsid w:val="3BD629EC"/>
    <w:rsid w:val="3BD86C58"/>
    <w:rsid w:val="3BD973E9"/>
    <w:rsid w:val="3BE03C86"/>
    <w:rsid w:val="3BE949C1"/>
    <w:rsid w:val="3BEB24E7"/>
    <w:rsid w:val="3BED44B1"/>
    <w:rsid w:val="3BF05D4F"/>
    <w:rsid w:val="3BF84C04"/>
    <w:rsid w:val="3BFD221A"/>
    <w:rsid w:val="3BFE05D0"/>
    <w:rsid w:val="3C017F5D"/>
    <w:rsid w:val="3C0253C5"/>
    <w:rsid w:val="3C061FE0"/>
    <w:rsid w:val="3C0B28B5"/>
    <w:rsid w:val="3C1732DC"/>
    <w:rsid w:val="3C1934F8"/>
    <w:rsid w:val="3C1F3929"/>
    <w:rsid w:val="3C2B6D87"/>
    <w:rsid w:val="3C3168DB"/>
    <w:rsid w:val="3C371BD0"/>
    <w:rsid w:val="3C3976F6"/>
    <w:rsid w:val="3C3A7F4F"/>
    <w:rsid w:val="3C3C71E7"/>
    <w:rsid w:val="3C3F66D0"/>
    <w:rsid w:val="3C4147FD"/>
    <w:rsid w:val="3C477952"/>
    <w:rsid w:val="3C4E0CC8"/>
    <w:rsid w:val="3C522566"/>
    <w:rsid w:val="3C57142A"/>
    <w:rsid w:val="3C5C42EB"/>
    <w:rsid w:val="3C5C5193"/>
    <w:rsid w:val="3C7D7AB1"/>
    <w:rsid w:val="3C83226C"/>
    <w:rsid w:val="3C8926F7"/>
    <w:rsid w:val="3C945361"/>
    <w:rsid w:val="3C9708C1"/>
    <w:rsid w:val="3C9A41E9"/>
    <w:rsid w:val="3C9C7C85"/>
    <w:rsid w:val="3CA40CEB"/>
    <w:rsid w:val="3CAD3C40"/>
    <w:rsid w:val="3CAD3C77"/>
    <w:rsid w:val="3CCF52D8"/>
    <w:rsid w:val="3CD2249A"/>
    <w:rsid w:val="3CD31531"/>
    <w:rsid w:val="3CD411CD"/>
    <w:rsid w:val="3CD65770"/>
    <w:rsid w:val="3CD84F79"/>
    <w:rsid w:val="3CDD7C2A"/>
    <w:rsid w:val="3CE15958"/>
    <w:rsid w:val="3CE53F8F"/>
    <w:rsid w:val="3CE55188"/>
    <w:rsid w:val="3CE8111C"/>
    <w:rsid w:val="3CE93CC7"/>
    <w:rsid w:val="3CF03B2D"/>
    <w:rsid w:val="3D0215AA"/>
    <w:rsid w:val="3D023F8C"/>
    <w:rsid w:val="3D05582A"/>
    <w:rsid w:val="3D0C0BD1"/>
    <w:rsid w:val="3D255ECD"/>
    <w:rsid w:val="3D265AE3"/>
    <w:rsid w:val="3D271C45"/>
    <w:rsid w:val="3D2739F3"/>
    <w:rsid w:val="3D335951"/>
    <w:rsid w:val="3D344362"/>
    <w:rsid w:val="3D353ABF"/>
    <w:rsid w:val="3D3879AE"/>
    <w:rsid w:val="3D3D6E92"/>
    <w:rsid w:val="3D503A81"/>
    <w:rsid w:val="3D5D7415"/>
    <w:rsid w:val="3D622C7D"/>
    <w:rsid w:val="3D643C9C"/>
    <w:rsid w:val="3D6856FD"/>
    <w:rsid w:val="3D807F9A"/>
    <w:rsid w:val="3D840E45"/>
    <w:rsid w:val="3D864BBD"/>
    <w:rsid w:val="3D8B06AD"/>
    <w:rsid w:val="3D8E75CE"/>
    <w:rsid w:val="3D8F7635"/>
    <w:rsid w:val="3D913562"/>
    <w:rsid w:val="3D947663"/>
    <w:rsid w:val="3D956BAE"/>
    <w:rsid w:val="3D973D25"/>
    <w:rsid w:val="3D982E46"/>
    <w:rsid w:val="3D995F73"/>
    <w:rsid w:val="3DA07301"/>
    <w:rsid w:val="3DA94408"/>
    <w:rsid w:val="3DAC3EF8"/>
    <w:rsid w:val="3DB016D4"/>
    <w:rsid w:val="3DC456E6"/>
    <w:rsid w:val="3DC94AAA"/>
    <w:rsid w:val="3DCB39B9"/>
    <w:rsid w:val="3DCB54D0"/>
    <w:rsid w:val="3DD73888"/>
    <w:rsid w:val="3DE73182"/>
    <w:rsid w:val="3DEB4A20"/>
    <w:rsid w:val="3DF2678A"/>
    <w:rsid w:val="3DF541A9"/>
    <w:rsid w:val="3DF8538F"/>
    <w:rsid w:val="3DFA4C63"/>
    <w:rsid w:val="3DFF227A"/>
    <w:rsid w:val="3E09083D"/>
    <w:rsid w:val="3E0E74AE"/>
    <w:rsid w:val="3E104487"/>
    <w:rsid w:val="3E107E26"/>
    <w:rsid w:val="3E133F77"/>
    <w:rsid w:val="3E210442"/>
    <w:rsid w:val="3E220727"/>
    <w:rsid w:val="3E2717D1"/>
    <w:rsid w:val="3E295549"/>
    <w:rsid w:val="3E304B29"/>
    <w:rsid w:val="3E37026C"/>
    <w:rsid w:val="3E4203B8"/>
    <w:rsid w:val="3E43485C"/>
    <w:rsid w:val="3E437F50"/>
    <w:rsid w:val="3E4740A9"/>
    <w:rsid w:val="3E4D5E7E"/>
    <w:rsid w:val="3E5052E9"/>
    <w:rsid w:val="3E556F89"/>
    <w:rsid w:val="3E5A3A6B"/>
    <w:rsid w:val="3E600C15"/>
    <w:rsid w:val="3E612F34"/>
    <w:rsid w:val="3E646581"/>
    <w:rsid w:val="3E6D5CDB"/>
    <w:rsid w:val="3E706C67"/>
    <w:rsid w:val="3E720C9E"/>
    <w:rsid w:val="3E803AFA"/>
    <w:rsid w:val="3E8804C1"/>
    <w:rsid w:val="3E921945"/>
    <w:rsid w:val="3E9A0A99"/>
    <w:rsid w:val="3EA03A5D"/>
    <w:rsid w:val="3EA34341"/>
    <w:rsid w:val="3EAD1CD6"/>
    <w:rsid w:val="3EAE5A4E"/>
    <w:rsid w:val="3EC26DA6"/>
    <w:rsid w:val="3EC55271"/>
    <w:rsid w:val="3ECC2AA4"/>
    <w:rsid w:val="3ECD4D2D"/>
    <w:rsid w:val="3ED01D39"/>
    <w:rsid w:val="3ED859FC"/>
    <w:rsid w:val="3EDA7DE5"/>
    <w:rsid w:val="3EE020AB"/>
    <w:rsid w:val="3EEB1561"/>
    <w:rsid w:val="3EF67B21"/>
    <w:rsid w:val="3EF772C1"/>
    <w:rsid w:val="3EF94C0B"/>
    <w:rsid w:val="3EFE0C9C"/>
    <w:rsid w:val="3F177A97"/>
    <w:rsid w:val="3F1B40F3"/>
    <w:rsid w:val="3F1B484E"/>
    <w:rsid w:val="3F2A1578"/>
    <w:rsid w:val="3F2E2E5B"/>
    <w:rsid w:val="3F2F3033"/>
    <w:rsid w:val="3F322AD5"/>
    <w:rsid w:val="3F367F1D"/>
    <w:rsid w:val="3F375A43"/>
    <w:rsid w:val="3F381775"/>
    <w:rsid w:val="3F3A7D61"/>
    <w:rsid w:val="3F3B3785"/>
    <w:rsid w:val="3F3B5533"/>
    <w:rsid w:val="3F43088C"/>
    <w:rsid w:val="3F487C50"/>
    <w:rsid w:val="3F516B05"/>
    <w:rsid w:val="3F532086"/>
    <w:rsid w:val="3F5465F5"/>
    <w:rsid w:val="3F5D401C"/>
    <w:rsid w:val="3F5E58F4"/>
    <w:rsid w:val="3F5E7474"/>
    <w:rsid w:val="3F6225A0"/>
    <w:rsid w:val="3F631D44"/>
    <w:rsid w:val="3F6373B2"/>
    <w:rsid w:val="3F6A7BC7"/>
    <w:rsid w:val="3F6F342F"/>
    <w:rsid w:val="3F770160"/>
    <w:rsid w:val="3F7B6B83"/>
    <w:rsid w:val="3F862308"/>
    <w:rsid w:val="3F8844F1"/>
    <w:rsid w:val="3FA05CDE"/>
    <w:rsid w:val="3FA87D1D"/>
    <w:rsid w:val="3FAC6431"/>
    <w:rsid w:val="3FB1139A"/>
    <w:rsid w:val="3FC217B1"/>
    <w:rsid w:val="3FC75B4C"/>
    <w:rsid w:val="3FCB344E"/>
    <w:rsid w:val="3FCE63A8"/>
    <w:rsid w:val="3FCF1477"/>
    <w:rsid w:val="3FD31C10"/>
    <w:rsid w:val="3FE1257F"/>
    <w:rsid w:val="3FE27130"/>
    <w:rsid w:val="3FE47979"/>
    <w:rsid w:val="3FEF631E"/>
    <w:rsid w:val="3FFA0F4B"/>
    <w:rsid w:val="3FFB2F15"/>
    <w:rsid w:val="400022D9"/>
    <w:rsid w:val="4001677D"/>
    <w:rsid w:val="40055B41"/>
    <w:rsid w:val="4013200C"/>
    <w:rsid w:val="4031387B"/>
    <w:rsid w:val="40324B88"/>
    <w:rsid w:val="404D19C2"/>
    <w:rsid w:val="40545FD7"/>
    <w:rsid w:val="40552625"/>
    <w:rsid w:val="40613C86"/>
    <w:rsid w:val="40656F44"/>
    <w:rsid w:val="406E36E7"/>
    <w:rsid w:val="406F7517"/>
    <w:rsid w:val="4072470F"/>
    <w:rsid w:val="40760B19"/>
    <w:rsid w:val="40810C47"/>
    <w:rsid w:val="408D6263"/>
    <w:rsid w:val="40923879"/>
    <w:rsid w:val="409C64A6"/>
    <w:rsid w:val="409D0420"/>
    <w:rsid w:val="40A37834"/>
    <w:rsid w:val="40A4535A"/>
    <w:rsid w:val="40A84E4B"/>
    <w:rsid w:val="40B21825"/>
    <w:rsid w:val="40B539BD"/>
    <w:rsid w:val="40BC26A4"/>
    <w:rsid w:val="40BE03F2"/>
    <w:rsid w:val="40BF607E"/>
    <w:rsid w:val="40C136CD"/>
    <w:rsid w:val="40CF0629"/>
    <w:rsid w:val="40D043A1"/>
    <w:rsid w:val="40D40AD0"/>
    <w:rsid w:val="40D547FA"/>
    <w:rsid w:val="40DC4AF4"/>
    <w:rsid w:val="40DF4E86"/>
    <w:rsid w:val="40E02836"/>
    <w:rsid w:val="40E221AC"/>
    <w:rsid w:val="40E30AE9"/>
    <w:rsid w:val="40EA5F42"/>
    <w:rsid w:val="40FE43C0"/>
    <w:rsid w:val="410127AD"/>
    <w:rsid w:val="41032081"/>
    <w:rsid w:val="41044E87"/>
    <w:rsid w:val="41151DB4"/>
    <w:rsid w:val="41211D74"/>
    <w:rsid w:val="412B3808"/>
    <w:rsid w:val="412B466A"/>
    <w:rsid w:val="41344930"/>
    <w:rsid w:val="4136021E"/>
    <w:rsid w:val="413D5046"/>
    <w:rsid w:val="414032D5"/>
    <w:rsid w:val="414323CD"/>
    <w:rsid w:val="41566655"/>
    <w:rsid w:val="41597EF3"/>
    <w:rsid w:val="4168282C"/>
    <w:rsid w:val="416D399E"/>
    <w:rsid w:val="416D7B92"/>
    <w:rsid w:val="417E204F"/>
    <w:rsid w:val="418238EE"/>
    <w:rsid w:val="418F600A"/>
    <w:rsid w:val="41A2501B"/>
    <w:rsid w:val="41AF3FB7"/>
    <w:rsid w:val="41B63597"/>
    <w:rsid w:val="41B810BD"/>
    <w:rsid w:val="41C0094E"/>
    <w:rsid w:val="41D164EC"/>
    <w:rsid w:val="41D22B69"/>
    <w:rsid w:val="41D43A1D"/>
    <w:rsid w:val="41E56848"/>
    <w:rsid w:val="41F320F5"/>
    <w:rsid w:val="41F852E7"/>
    <w:rsid w:val="42027077"/>
    <w:rsid w:val="4203004C"/>
    <w:rsid w:val="420460B1"/>
    <w:rsid w:val="42052D04"/>
    <w:rsid w:val="420579B5"/>
    <w:rsid w:val="420F765A"/>
    <w:rsid w:val="42154762"/>
    <w:rsid w:val="42176313"/>
    <w:rsid w:val="42187DAE"/>
    <w:rsid w:val="42206C63"/>
    <w:rsid w:val="42254279"/>
    <w:rsid w:val="422A409D"/>
    <w:rsid w:val="422F6EA6"/>
    <w:rsid w:val="42383FAC"/>
    <w:rsid w:val="42424E2B"/>
    <w:rsid w:val="42462B6D"/>
    <w:rsid w:val="42472441"/>
    <w:rsid w:val="424B0183"/>
    <w:rsid w:val="42521512"/>
    <w:rsid w:val="42554B5E"/>
    <w:rsid w:val="42562D5A"/>
    <w:rsid w:val="425752A0"/>
    <w:rsid w:val="426E45CA"/>
    <w:rsid w:val="42742C05"/>
    <w:rsid w:val="42756FAE"/>
    <w:rsid w:val="427B00CF"/>
    <w:rsid w:val="427D1807"/>
    <w:rsid w:val="4282077E"/>
    <w:rsid w:val="42910002"/>
    <w:rsid w:val="429E01E7"/>
    <w:rsid w:val="42A31D6D"/>
    <w:rsid w:val="42A4609A"/>
    <w:rsid w:val="42A83B9D"/>
    <w:rsid w:val="42A95791"/>
    <w:rsid w:val="42AE24C0"/>
    <w:rsid w:val="42B31885"/>
    <w:rsid w:val="42BA6AC5"/>
    <w:rsid w:val="42BF46CD"/>
    <w:rsid w:val="42C066C5"/>
    <w:rsid w:val="42C06B68"/>
    <w:rsid w:val="42C31181"/>
    <w:rsid w:val="42CA1A8E"/>
    <w:rsid w:val="42CA554C"/>
    <w:rsid w:val="42CB3072"/>
    <w:rsid w:val="42CC010B"/>
    <w:rsid w:val="42D26925"/>
    <w:rsid w:val="42D35E8B"/>
    <w:rsid w:val="42ED2FE9"/>
    <w:rsid w:val="42EF043B"/>
    <w:rsid w:val="42F06989"/>
    <w:rsid w:val="42F26851"/>
    <w:rsid w:val="42F36125"/>
    <w:rsid w:val="42FA74B4"/>
    <w:rsid w:val="42FE51F6"/>
    <w:rsid w:val="42FF63E5"/>
    <w:rsid w:val="43040332"/>
    <w:rsid w:val="431247FD"/>
    <w:rsid w:val="431E13F4"/>
    <w:rsid w:val="43217136"/>
    <w:rsid w:val="4322514B"/>
    <w:rsid w:val="4326646F"/>
    <w:rsid w:val="43295098"/>
    <w:rsid w:val="4336612C"/>
    <w:rsid w:val="433835CD"/>
    <w:rsid w:val="43526A49"/>
    <w:rsid w:val="43572B58"/>
    <w:rsid w:val="435E7A42"/>
    <w:rsid w:val="4361784D"/>
    <w:rsid w:val="436348BB"/>
    <w:rsid w:val="43647AA3"/>
    <w:rsid w:val="43664B49"/>
    <w:rsid w:val="43667DA2"/>
    <w:rsid w:val="436F39FE"/>
    <w:rsid w:val="43823652"/>
    <w:rsid w:val="43833B65"/>
    <w:rsid w:val="43884129"/>
    <w:rsid w:val="438A6A89"/>
    <w:rsid w:val="43941EBF"/>
    <w:rsid w:val="43996CCD"/>
    <w:rsid w:val="439D4A0F"/>
    <w:rsid w:val="43AA2C88"/>
    <w:rsid w:val="43AD4526"/>
    <w:rsid w:val="43AF4742"/>
    <w:rsid w:val="43C55D14"/>
    <w:rsid w:val="43C90355"/>
    <w:rsid w:val="43D45F57"/>
    <w:rsid w:val="43E17D95"/>
    <w:rsid w:val="43EF4B3E"/>
    <w:rsid w:val="43F263DD"/>
    <w:rsid w:val="43F26F06"/>
    <w:rsid w:val="441427F7"/>
    <w:rsid w:val="44144574"/>
    <w:rsid w:val="441C5AF5"/>
    <w:rsid w:val="44242A3A"/>
    <w:rsid w:val="442441AE"/>
    <w:rsid w:val="44245FCE"/>
    <w:rsid w:val="44246BA9"/>
    <w:rsid w:val="442F13DF"/>
    <w:rsid w:val="44315157"/>
    <w:rsid w:val="44444E8A"/>
    <w:rsid w:val="444C18A3"/>
    <w:rsid w:val="44511355"/>
    <w:rsid w:val="445A46AE"/>
    <w:rsid w:val="445C6678"/>
    <w:rsid w:val="446472DA"/>
    <w:rsid w:val="446A4023"/>
    <w:rsid w:val="446E1F07"/>
    <w:rsid w:val="44834057"/>
    <w:rsid w:val="448B5125"/>
    <w:rsid w:val="448C291F"/>
    <w:rsid w:val="449D459A"/>
    <w:rsid w:val="44B9695A"/>
    <w:rsid w:val="44BB41C7"/>
    <w:rsid w:val="44C424A5"/>
    <w:rsid w:val="44C56358"/>
    <w:rsid w:val="44D146CC"/>
    <w:rsid w:val="44D737F8"/>
    <w:rsid w:val="44D83825"/>
    <w:rsid w:val="44DA134B"/>
    <w:rsid w:val="44DC50C3"/>
    <w:rsid w:val="44DE7002"/>
    <w:rsid w:val="44E07E80"/>
    <w:rsid w:val="44FF0DB1"/>
    <w:rsid w:val="45052B9C"/>
    <w:rsid w:val="45154A79"/>
    <w:rsid w:val="45155874"/>
    <w:rsid w:val="451A10CB"/>
    <w:rsid w:val="451A5BEB"/>
    <w:rsid w:val="451B7153"/>
    <w:rsid w:val="451C5E07"/>
    <w:rsid w:val="451E5E3B"/>
    <w:rsid w:val="45237196"/>
    <w:rsid w:val="452E3270"/>
    <w:rsid w:val="453A3CA4"/>
    <w:rsid w:val="45515F3F"/>
    <w:rsid w:val="455410FD"/>
    <w:rsid w:val="455736AA"/>
    <w:rsid w:val="455E01CE"/>
    <w:rsid w:val="456350FF"/>
    <w:rsid w:val="45687946"/>
    <w:rsid w:val="45717F01"/>
    <w:rsid w:val="4577128F"/>
    <w:rsid w:val="457D076A"/>
    <w:rsid w:val="45852147"/>
    <w:rsid w:val="458C1A14"/>
    <w:rsid w:val="45AB0CB2"/>
    <w:rsid w:val="45AD6A5F"/>
    <w:rsid w:val="45AF695B"/>
    <w:rsid w:val="45BC3750"/>
    <w:rsid w:val="45BD3611"/>
    <w:rsid w:val="45BE6EBE"/>
    <w:rsid w:val="45C142B9"/>
    <w:rsid w:val="45CA13BF"/>
    <w:rsid w:val="45CB04BE"/>
    <w:rsid w:val="45D27762"/>
    <w:rsid w:val="45D43FEC"/>
    <w:rsid w:val="45E02BB8"/>
    <w:rsid w:val="45EA700D"/>
    <w:rsid w:val="45ED1125"/>
    <w:rsid w:val="45FB5A1D"/>
    <w:rsid w:val="45FC6909"/>
    <w:rsid w:val="46016E67"/>
    <w:rsid w:val="46146ADE"/>
    <w:rsid w:val="461B7E6D"/>
    <w:rsid w:val="461E795D"/>
    <w:rsid w:val="46362EF9"/>
    <w:rsid w:val="463B050F"/>
    <w:rsid w:val="463C2323"/>
    <w:rsid w:val="464473C4"/>
    <w:rsid w:val="4654475D"/>
    <w:rsid w:val="465D0485"/>
    <w:rsid w:val="466229CE"/>
    <w:rsid w:val="46633A7C"/>
    <w:rsid w:val="4669288D"/>
    <w:rsid w:val="467410FD"/>
    <w:rsid w:val="46767799"/>
    <w:rsid w:val="46780E1B"/>
    <w:rsid w:val="46840346"/>
    <w:rsid w:val="469519CD"/>
    <w:rsid w:val="469F0A9E"/>
    <w:rsid w:val="46A83CD3"/>
    <w:rsid w:val="46A936CA"/>
    <w:rsid w:val="46B02CAB"/>
    <w:rsid w:val="46B2185A"/>
    <w:rsid w:val="46BC33FE"/>
    <w:rsid w:val="46BF614E"/>
    <w:rsid w:val="46C35A31"/>
    <w:rsid w:val="46C557DB"/>
    <w:rsid w:val="46C6602A"/>
    <w:rsid w:val="46D279C4"/>
    <w:rsid w:val="46D4598F"/>
    <w:rsid w:val="46D735B2"/>
    <w:rsid w:val="46D76D9D"/>
    <w:rsid w:val="46DA3884"/>
    <w:rsid w:val="46DC75FC"/>
    <w:rsid w:val="46DF0E9A"/>
    <w:rsid w:val="46E110B6"/>
    <w:rsid w:val="46E267EE"/>
    <w:rsid w:val="46E841F3"/>
    <w:rsid w:val="46EB6B34"/>
    <w:rsid w:val="46F51510"/>
    <w:rsid w:val="46FA59CD"/>
    <w:rsid w:val="46FF778E"/>
    <w:rsid w:val="4706090C"/>
    <w:rsid w:val="47071753"/>
    <w:rsid w:val="47093E46"/>
    <w:rsid w:val="47094169"/>
    <w:rsid w:val="470E1780"/>
    <w:rsid w:val="470F4311"/>
    <w:rsid w:val="471526CC"/>
    <w:rsid w:val="47154607"/>
    <w:rsid w:val="471D2FEA"/>
    <w:rsid w:val="471F398D"/>
    <w:rsid w:val="472C181A"/>
    <w:rsid w:val="47347438"/>
    <w:rsid w:val="473A07C7"/>
    <w:rsid w:val="473A1CEF"/>
    <w:rsid w:val="473A6858"/>
    <w:rsid w:val="474358CD"/>
    <w:rsid w:val="474D4056"/>
    <w:rsid w:val="474F5B3A"/>
    <w:rsid w:val="47510BF0"/>
    <w:rsid w:val="475B0560"/>
    <w:rsid w:val="475E2707"/>
    <w:rsid w:val="47640C32"/>
    <w:rsid w:val="4770243A"/>
    <w:rsid w:val="47723ABC"/>
    <w:rsid w:val="477912EF"/>
    <w:rsid w:val="47830BEC"/>
    <w:rsid w:val="479000C6"/>
    <w:rsid w:val="47983216"/>
    <w:rsid w:val="479C1DDA"/>
    <w:rsid w:val="47A04ACD"/>
    <w:rsid w:val="47A0687C"/>
    <w:rsid w:val="47A5423F"/>
    <w:rsid w:val="47AB6FCE"/>
    <w:rsid w:val="47B73822"/>
    <w:rsid w:val="47BB1907"/>
    <w:rsid w:val="47CD163B"/>
    <w:rsid w:val="47D53B7D"/>
    <w:rsid w:val="47D76015"/>
    <w:rsid w:val="47D91D8D"/>
    <w:rsid w:val="47E322BC"/>
    <w:rsid w:val="47E34113"/>
    <w:rsid w:val="47E92463"/>
    <w:rsid w:val="47F46384"/>
    <w:rsid w:val="47F56679"/>
    <w:rsid w:val="47FB7F56"/>
    <w:rsid w:val="48020068"/>
    <w:rsid w:val="480212E4"/>
    <w:rsid w:val="480A63EB"/>
    <w:rsid w:val="48174664"/>
    <w:rsid w:val="481B23A6"/>
    <w:rsid w:val="481F79EC"/>
    <w:rsid w:val="48212B8D"/>
    <w:rsid w:val="48243655"/>
    <w:rsid w:val="48272AF9"/>
    <w:rsid w:val="482927A3"/>
    <w:rsid w:val="4839282C"/>
    <w:rsid w:val="483D255B"/>
    <w:rsid w:val="483D49AD"/>
    <w:rsid w:val="484336AB"/>
    <w:rsid w:val="48491717"/>
    <w:rsid w:val="484E4529"/>
    <w:rsid w:val="4851401A"/>
    <w:rsid w:val="485D476D"/>
    <w:rsid w:val="485D651B"/>
    <w:rsid w:val="4867383D"/>
    <w:rsid w:val="486759C0"/>
    <w:rsid w:val="486C0E54"/>
    <w:rsid w:val="48710218"/>
    <w:rsid w:val="48735D3E"/>
    <w:rsid w:val="48743864"/>
    <w:rsid w:val="488315CD"/>
    <w:rsid w:val="4884619D"/>
    <w:rsid w:val="48873598"/>
    <w:rsid w:val="48976CBB"/>
    <w:rsid w:val="489857A5"/>
    <w:rsid w:val="489F4D85"/>
    <w:rsid w:val="48AC2FFE"/>
    <w:rsid w:val="48B3438D"/>
    <w:rsid w:val="48B41274"/>
    <w:rsid w:val="48B46313"/>
    <w:rsid w:val="48B82A72"/>
    <w:rsid w:val="48C06AA9"/>
    <w:rsid w:val="48C12F4D"/>
    <w:rsid w:val="48C24883"/>
    <w:rsid w:val="48C26CC5"/>
    <w:rsid w:val="48C42A3E"/>
    <w:rsid w:val="48CB5B7A"/>
    <w:rsid w:val="48D2004E"/>
    <w:rsid w:val="48D51D7C"/>
    <w:rsid w:val="48D569F9"/>
    <w:rsid w:val="48D66617"/>
    <w:rsid w:val="48DD58AD"/>
    <w:rsid w:val="48DE5B4C"/>
    <w:rsid w:val="48DE7B11"/>
    <w:rsid w:val="48E704DA"/>
    <w:rsid w:val="48F42137"/>
    <w:rsid w:val="48F5051C"/>
    <w:rsid w:val="48F826E7"/>
    <w:rsid w:val="48FD5F50"/>
    <w:rsid w:val="49107A31"/>
    <w:rsid w:val="491314B3"/>
    <w:rsid w:val="4913307D"/>
    <w:rsid w:val="491646DC"/>
    <w:rsid w:val="491F4D47"/>
    <w:rsid w:val="491F7C74"/>
    <w:rsid w:val="49226976"/>
    <w:rsid w:val="49262DB0"/>
    <w:rsid w:val="493C0826"/>
    <w:rsid w:val="493C6A78"/>
    <w:rsid w:val="49543DC1"/>
    <w:rsid w:val="495C2C76"/>
    <w:rsid w:val="4968161B"/>
    <w:rsid w:val="496B4C67"/>
    <w:rsid w:val="4972723B"/>
    <w:rsid w:val="497A134E"/>
    <w:rsid w:val="497C50C6"/>
    <w:rsid w:val="497F79F0"/>
    <w:rsid w:val="49830A4D"/>
    <w:rsid w:val="498456B7"/>
    <w:rsid w:val="498B355B"/>
    <w:rsid w:val="498E4EBE"/>
    <w:rsid w:val="499D4CC9"/>
    <w:rsid w:val="49A308A5"/>
    <w:rsid w:val="49A34401"/>
    <w:rsid w:val="49BB53F4"/>
    <w:rsid w:val="49D46CB0"/>
    <w:rsid w:val="49DA60CE"/>
    <w:rsid w:val="49DE18DD"/>
    <w:rsid w:val="49E14F29"/>
    <w:rsid w:val="49EA2030"/>
    <w:rsid w:val="49EC4162"/>
    <w:rsid w:val="49F70BF1"/>
    <w:rsid w:val="49F7474D"/>
    <w:rsid w:val="49FA4868"/>
    <w:rsid w:val="49FE5ADB"/>
    <w:rsid w:val="4A03084F"/>
    <w:rsid w:val="4A050C18"/>
    <w:rsid w:val="4A0D21C2"/>
    <w:rsid w:val="4A11580F"/>
    <w:rsid w:val="4A133E60"/>
    <w:rsid w:val="4A2B128B"/>
    <w:rsid w:val="4A322A7B"/>
    <w:rsid w:val="4A3778BD"/>
    <w:rsid w:val="4A3A67A3"/>
    <w:rsid w:val="4A3B0ADD"/>
    <w:rsid w:val="4A3E412A"/>
    <w:rsid w:val="4A407298"/>
    <w:rsid w:val="4A4831FA"/>
    <w:rsid w:val="4A4B3276"/>
    <w:rsid w:val="4A4D2F69"/>
    <w:rsid w:val="4A4F157E"/>
    <w:rsid w:val="4A537D07"/>
    <w:rsid w:val="4A5C5382"/>
    <w:rsid w:val="4A5E2A1E"/>
    <w:rsid w:val="4A804313"/>
    <w:rsid w:val="4A873D23"/>
    <w:rsid w:val="4A8B40DC"/>
    <w:rsid w:val="4A946440"/>
    <w:rsid w:val="4A987CDE"/>
    <w:rsid w:val="4AA11161"/>
    <w:rsid w:val="4AA523FB"/>
    <w:rsid w:val="4AA85A47"/>
    <w:rsid w:val="4AAC2960"/>
    <w:rsid w:val="4AAD3B05"/>
    <w:rsid w:val="4AB10DA0"/>
    <w:rsid w:val="4AB368C6"/>
    <w:rsid w:val="4ABD5996"/>
    <w:rsid w:val="4ABD7744"/>
    <w:rsid w:val="4AC565F9"/>
    <w:rsid w:val="4AC91E51"/>
    <w:rsid w:val="4ACA3C0F"/>
    <w:rsid w:val="4ACB7E70"/>
    <w:rsid w:val="4ACE7243"/>
    <w:rsid w:val="4ACF0D42"/>
    <w:rsid w:val="4AD60806"/>
    <w:rsid w:val="4AE64EED"/>
    <w:rsid w:val="4AE747C1"/>
    <w:rsid w:val="4AFD5C91"/>
    <w:rsid w:val="4AFE17B3"/>
    <w:rsid w:val="4B0610EB"/>
    <w:rsid w:val="4B090BDC"/>
    <w:rsid w:val="4B0B4954"/>
    <w:rsid w:val="4B157580"/>
    <w:rsid w:val="4B1F5D09"/>
    <w:rsid w:val="4B217C80"/>
    <w:rsid w:val="4B2549CE"/>
    <w:rsid w:val="4B26156D"/>
    <w:rsid w:val="4B265C65"/>
    <w:rsid w:val="4B2F2EDE"/>
    <w:rsid w:val="4B303A30"/>
    <w:rsid w:val="4B3A2B43"/>
    <w:rsid w:val="4B645E12"/>
    <w:rsid w:val="4B6B71A0"/>
    <w:rsid w:val="4B7A73E4"/>
    <w:rsid w:val="4B7F2C4C"/>
    <w:rsid w:val="4B7F3CF9"/>
    <w:rsid w:val="4B864E1A"/>
    <w:rsid w:val="4B874C57"/>
    <w:rsid w:val="4B985B54"/>
    <w:rsid w:val="4B9B2571"/>
    <w:rsid w:val="4B9F7041"/>
    <w:rsid w:val="4BAC1AB0"/>
    <w:rsid w:val="4BB328F5"/>
    <w:rsid w:val="4BBD5522"/>
    <w:rsid w:val="4BC278B7"/>
    <w:rsid w:val="4BC93EC7"/>
    <w:rsid w:val="4BD07BDC"/>
    <w:rsid w:val="4BDC4086"/>
    <w:rsid w:val="4BDD55A8"/>
    <w:rsid w:val="4BDE2763"/>
    <w:rsid w:val="4BEF7DD1"/>
    <w:rsid w:val="4BF2341E"/>
    <w:rsid w:val="4BF54CBC"/>
    <w:rsid w:val="4BFB063F"/>
    <w:rsid w:val="4BFF5B3B"/>
    <w:rsid w:val="4C0973B6"/>
    <w:rsid w:val="4C0A4C0B"/>
    <w:rsid w:val="4C0C0983"/>
    <w:rsid w:val="4C0D46FC"/>
    <w:rsid w:val="4C194E4E"/>
    <w:rsid w:val="4C1E560B"/>
    <w:rsid w:val="4C2061DD"/>
    <w:rsid w:val="4C26012E"/>
    <w:rsid w:val="4C2638A4"/>
    <w:rsid w:val="4C264B42"/>
    <w:rsid w:val="4C2A2BB8"/>
    <w:rsid w:val="4C3259A6"/>
    <w:rsid w:val="4C343A36"/>
    <w:rsid w:val="4C351587"/>
    <w:rsid w:val="4C39104D"/>
    <w:rsid w:val="4C4142D4"/>
    <w:rsid w:val="4C49797C"/>
    <w:rsid w:val="4C4C6FD2"/>
    <w:rsid w:val="4C516396"/>
    <w:rsid w:val="4C5B7215"/>
    <w:rsid w:val="4C5C6FBF"/>
    <w:rsid w:val="4C5F6103"/>
    <w:rsid w:val="4C8277FE"/>
    <w:rsid w:val="4C87000A"/>
    <w:rsid w:val="4C927329"/>
    <w:rsid w:val="4C96649F"/>
    <w:rsid w:val="4C972C2F"/>
    <w:rsid w:val="4C9B783B"/>
    <w:rsid w:val="4CA23096"/>
    <w:rsid w:val="4CA7245A"/>
    <w:rsid w:val="4CAD5597"/>
    <w:rsid w:val="4CB37051"/>
    <w:rsid w:val="4CB86415"/>
    <w:rsid w:val="4CBD57DA"/>
    <w:rsid w:val="4CBD7ED0"/>
    <w:rsid w:val="4CC4300C"/>
    <w:rsid w:val="4CCD5AED"/>
    <w:rsid w:val="4CD314A1"/>
    <w:rsid w:val="4CD34FFD"/>
    <w:rsid w:val="4CE23492"/>
    <w:rsid w:val="4CE27936"/>
    <w:rsid w:val="4CE74F4D"/>
    <w:rsid w:val="4CE74FE6"/>
    <w:rsid w:val="4CEF5BAF"/>
    <w:rsid w:val="4CF17B79"/>
    <w:rsid w:val="4CFB4554"/>
    <w:rsid w:val="4CFB6302"/>
    <w:rsid w:val="4CFF2296"/>
    <w:rsid w:val="4D020A7C"/>
    <w:rsid w:val="4D073D4A"/>
    <w:rsid w:val="4D0E040D"/>
    <w:rsid w:val="4D13399F"/>
    <w:rsid w:val="4D142B6F"/>
    <w:rsid w:val="4D197B3B"/>
    <w:rsid w:val="4D1F2E42"/>
    <w:rsid w:val="4D2026B5"/>
    <w:rsid w:val="4D2C0BB1"/>
    <w:rsid w:val="4D2C295F"/>
    <w:rsid w:val="4D3A507C"/>
    <w:rsid w:val="4D3A71AE"/>
    <w:rsid w:val="4D3D4B6D"/>
    <w:rsid w:val="4D3F08E5"/>
    <w:rsid w:val="4D3F2693"/>
    <w:rsid w:val="4D41719A"/>
    <w:rsid w:val="4D4203D5"/>
    <w:rsid w:val="4D447CA9"/>
    <w:rsid w:val="4D4536C1"/>
    <w:rsid w:val="4D4C3002"/>
    <w:rsid w:val="4D4C4DB0"/>
    <w:rsid w:val="4D50116E"/>
    <w:rsid w:val="4D5C27F9"/>
    <w:rsid w:val="4D625416"/>
    <w:rsid w:val="4D720CBA"/>
    <w:rsid w:val="4D7F5185"/>
    <w:rsid w:val="4D7F6F33"/>
    <w:rsid w:val="4D896004"/>
    <w:rsid w:val="4D92310A"/>
    <w:rsid w:val="4D9A5B1B"/>
    <w:rsid w:val="4D9F0DE2"/>
    <w:rsid w:val="4DA16EA9"/>
    <w:rsid w:val="4DAB0D8E"/>
    <w:rsid w:val="4DAE0A97"/>
    <w:rsid w:val="4DAE15C6"/>
    <w:rsid w:val="4DB14A6F"/>
    <w:rsid w:val="4DB64532"/>
    <w:rsid w:val="4DC0551F"/>
    <w:rsid w:val="4DC96400"/>
    <w:rsid w:val="4DD91948"/>
    <w:rsid w:val="4DE17D6A"/>
    <w:rsid w:val="4DE4323A"/>
    <w:rsid w:val="4DF2028E"/>
    <w:rsid w:val="4DF80A94"/>
    <w:rsid w:val="4DF94F37"/>
    <w:rsid w:val="4DFB4561"/>
    <w:rsid w:val="4DFF1A7A"/>
    <w:rsid w:val="4DFF1E22"/>
    <w:rsid w:val="4E026C26"/>
    <w:rsid w:val="4E164FFE"/>
    <w:rsid w:val="4E1D3F35"/>
    <w:rsid w:val="4E200716"/>
    <w:rsid w:val="4E21623C"/>
    <w:rsid w:val="4E25509E"/>
    <w:rsid w:val="4E28581D"/>
    <w:rsid w:val="4E3221F7"/>
    <w:rsid w:val="4E3C59F9"/>
    <w:rsid w:val="4E40026B"/>
    <w:rsid w:val="4E434405"/>
    <w:rsid w:val="4E435AB6"/>
    <w:rsid w:val="4E5C450E"/>
    <w:rsid w:val="4E630603"/>
    <w:rsid w:val="4E6402BA"/>
    <w:rsid w:val="4E7B5A46"/>
    <w:rsid w:val="4E7C16C5"/>
    <w:rsid w:val="4E7E2321"/>
    <w:rsid w:val="4E9262A1"/>
    <w:rsid w:val="4E961EDF"/>
    <w:rsid w:val="4EA212F7"/>
    <w:rsid w:val="4EAF1A9A"/>
    <w:rsid w:val="4EC54E1A"/>
    <w:rsid w:val="4EC8490A"/>
    <w:rsid w:val="4ECB6C55"/>
    <w:rsid w:val="4ED41007"/>
    <w:rsid w:val="4ED908C5"/>
    <w:rsid w:val="4EE31422"/>
    <w:rsid w:val="4EE527CC"/>
    <w:rsid w:val="4EEF1EC7"/>
    <w:rsid w:val="4EEF53D8"/>
    <w:rsid w:val="4EF31987"/>
    <w:rsid w:val="4F0516BA"/>
    <w:rsid w:val="4F0E056F"/>
    <w:rsid w:val="4F1815F3"/>
    <w:rsid w:val="4F18387B"/>
    <w:rsid w:val="4F1B712F"/>
    <w:rsid w:val="4F29184C"/>
    <w:rsid w:val="4F3F4BCC"/>
    <w:rsid w:val="4F4405DB"/>
    <w:rsid w:val="4F460C2D"/>
    <w:rsid w:val="4F4735AC"/>
    <w:rsid w:val="4F4B6005"/>
    <w:rsid w:val="4F4E12B3"/>
    <w:rsid w:val="4F4E3061"/>
    <w:rsid w:val="4F5C39D0"/>
    <w:rsid w:val="4F5F701C"/>
    <w:rsid w:val="4F622668"/>
    <w:rsid w:val="4F67286E"/>
    <w:rsid w:val="4F6C798B"/>
    <w:rsid w:val="4F840831"/>
    <w:rsid w:val="4F844CD5"/>
    <w:rsid w:val="4F895C50"/>
    <w:rsid w:val="4F8D7A25"/>
    <w:rsid w:val="4F973F02"/>
    <w:rsid w:val="4F9C0232"/>
    <w:rsid w:val="4FA14080"/>
    <w:rsid w:val="4FA62E9D"/>
    <w:rsid w:val="4FC74BC1"/>
    <w:rsid w:val="4FD42876"/>
    <w:rsid w:val="4FDA2B47"/>
    <w:rsid w:val="4FDC066D"/>
    <w:rsid w:val="4FE13ED5"/>
    <w:rsid w:val="4FE47521"/>
    <w:rsid w:val="4FE85264"/>
    <w:rsid w:val="4FEA6E8F"/>
    <w:rsid w:val="4FED4628"/>
    <w:rsid w:val="4FF43C08"/>
    <w:rsid w:val="4FF5172F"/>
    <w:rsid w:val="4FF736F9"/>
    <w:rsid w:val="4FF81FF5"/>
    <w:rsid w:val="4FF963FF"/>
    <w:rsid w:val="500144F5"/>
    <w:rsid w:val="50016325"/>
    <w:rsid w:val="500951DA"/>
    <w:rsid w:val="500D6A78"/>
    <w:rsid w:val="50100316"/>
    <w:rsid w:val="50125E3D"/>
    <w:rsid w:val="50145DC9"/>
    <w:rsid w:val="50172F88"/>
    <w:rsid w:val="501C4F0D"/>
    <w:rsid w:val="501F0559"/>
    <w:rsid w:val="502E4997"/>
    <w:rsid w:val="503264DF"/>
    <w:rsid w:val="50372ECD"/>
    <w:rsid w:val="503B6AA3"/>
    <w:rsid w:val="504306EC"/>
    <w:rsid w:val="5043693E"/>
    <w:rsid w:val="504A1A7A"/>
    <w:rsid w:val="50502394"/>
    <w:rsid w:val="505A77E4"/>
    <w:rsid w:val="50637999"/>
    <w:rsid w:val="50642410"/>
    <w:rsid w:val="50744298"/>
    <w:rsid w:val="507765E7"/>
    <w:rsid w:val="50792360"/>
    <w:rsid w:val="50796FBE"/>
    <w:rsid w:val="507C1E50"/>
    <w:rsid w:val="50872F63"/>
    <w:rsid w:val="50903205"/>
    <w:rsid w:val="5091017C"/>
    <w:rsid w:val="50AA2519"/>
    <w:rsid w:val="50AB7F7F"/>
    <w:rsid w:val="50AC6291"/>
    <w:rsid w:val="50AF7B2F"/>
    <w:rsid w:val="50B72F0B"/>
    <w:rsid w:val="50B8269A"/>
    <w:rsid w:val="50BB7850"/>
    <w:rsid w:val="50C03C6A"/>
    <w:rsid w:val="50C57353"/>
    <w:rsid w:val="50D41344"/>
    <w:rsid w:val="50D64A9B"/>
    <w:rsid w:val="50D926CB"/>
    <w:rsid w:val="50DE0415"/>
    <w:rsid w:val="50E7551B"/>
    <w:rsid w:val="50EE2E1A"/>
    <w:rsid w:val="50F6750C"/>
    <w:rsid w:val="50FD092D"/>
    <w:rsid w:val="50FE2865"/>
    <w:rsid w:val="51085492"/>
    <w:rsid w:val="51114346"/>
    <w:rsid w:val="511216EA"/>
    <w:rsid w:val="511D718F"/>
    <w:rsid w:val="512C7522"/>
    <w:rsid w:val="51330760"/>
    <w:rsid w:val="51345DDB"/>
    <w:rsid w:val="51385D77"/>
    <w:rsid w:val="5139389D"/>
    <w:rsid w:val="513E614A"/>
    <w:rsid w:val="51453FF0"/>
    <w:rsid w:val="51465C99"/>
    <w:rsid w:val="51484FA4"/>
    <w:rsid w:val="514E10F6"/>
    <w:rsid w:val="514E559A"/>
    <w:rsid w:val="5151508A"/>
    <w:rsid w:val="51542485"/>
    <w:rsid w:val="515661FD"/>
    <w:rsid w:val="515A029D"/>
    <w:rsid w:val="516528E4"/>
    <w:rsid w:val="5180327A"/>
    <w:rsid w:val="51876B81"/>
    <w:rsid w:val="5188575F"/>
    <w:rsid w:val="518B234A"/>
    <w:rsid w:val="518D64DB"/>
    <w:rsid w:val="519001DF"/>
    <w:rsid w:val="519D1E85"/>
    <w:rsid w:val="519D358B"/>
    <w:rsid w:val="519D6700"/>
    <w:rsid w:val="519F1486"/>
    <w:rsid w:val="51A47E68"/>
    <w:rsid w:val="51A61A69"/>
    <w:rsid w:val="51A716AB"/>
    <w:rsid w:val="51A75013"/>
    <w:rsid w:val="51B02189"/>
    <w:rsid w:val="51B11685"/>
    <w:rsid w:val="51B24B43"/>
    <w:rsid w:val="51B66C9C"/>
    <w:rsid w:val="51BA2C30"/>
    <w:rsid w:val="51BA5FC6"/>
    <w:rsid w:val="51BE7F56"/>
    <w:rsid w:val="51C25640"/>
    <w:rsid w:val="51C448E2"/>
    <w:rsid w:val="51D03206"/>
    <w:rsid w:val="51D05FAF"/>
    <w:rsid w:val="51D3012E"/>
    <w:rsid w:val="51D3784E"/>
    <w:rsid w:val="51E74998"/>
    <w:rsid w:val="51FC4FF6"/>
    <w:rsid w:val="520C2C94"/>
    <w:rsid w:val="520C2D5F"/>
    <w:rsid w:val="522105B9"/>
    <w:rsid w:val="522379DB"/>
    <w:rsid w:val="52293911"/>
    <w:rsid w:val="522B0C1B"/>
    <w:rsid w:val="523D6A27"/>
    <w:rsid w:val="525555BB"/>
    <w:rsid w:val="5256749B"/>
    <w:rsid w:val="52631FD2"/>
    <w:rsid w:val="526E7576"/>
    <w:rsid w:val="52734B8D"/>
    <w:rsid w:val="527728CF"/>
    <w:rsid w:val="5277467D"/>
    <w:rsid w:val="527821A3"/>
    <w:rsid w:val="528B0128"/>
    <w:rsid w:val="529214B7"/>
    <w:rsid w:val="52927709"/>
    <w:rsid w:val="5294522F"/>
    <w:rsid w:val="52A511EA"/>
    <w:rsid w:val="52A80CDA"/>
    <w:rsid w:val="52AB4509"/>
    <w:rsid w:val="52B14033"/>
    <w:rsid w:val="52B62B34"/>
    <w:rsid w:val="52BA2B2E"/>
    <w:rsid w:val="52BC2E53"/>
    <w:rsid w:val="52C41627"/>
    <w:rsid w:val="52D03D8D"/>
    <w:rsid w:val="52D841BB"/>
    <w:rsid w:val="52DC7763"/>
    <w:rsid w:val="52E22A11"/>
    <w:rsid w:val="52E843D1"/>
    <w:rsid w:val="52ED5A43"/>
    <w:rsid w:val="52F65EE9"/>
    <w:rsid w:val="530001DD"/>
    <w:rsid w:val="53152746"/>
    <w:rsid w:val="531A4E3D"/>
    <w:rsid w:val="53266911"/>
    <w:rsid w:val="532F6D06"/>
    <w:rsid w:val="533802B0"/>
    <w:rsid w:val="533F6E7B"/>
    <w:rsid w:val="534F4E20"/>
    <w:rsid w:val="5358625C"/>
    <w:rsid w:val="53613F7A"/>
    <w:rsid w:val="53692E1F"/>
    <w:rsid w:val="536B6F19"/>
    <w:rsid w:val="536F2718"/>
    <w:rsid w:val="53704F0B"/>
    <w:rsid w:val="538E6122"/>
    <w:rsid w:val="53A57D3A"/>
    <w:rsid w:val="53B06098"/>
    <w:rsid w:val="53BF452D"/>
    <w:rsid w:val="53C07E54"/>
    <w:rsid w:val="53C93D09"/>
    <w:rsid w:val="53CB2ED2"/>
    <w:rsid w:val="53D07505"/>
    <w:rsid w:val="53D855EF"/>
    <w:rsid w:val="53D8739D"/>
    <w:rsid w:val="53DB365B"/>
    <w:rsid w:val="53E54C21"/>
    <w:rsid w:val="53E75832"/>
    <w:rsid w:val="53EE7554"/>
    <w:rsid w:val="53FA5565"/>
    <w:rsid w:val="53FA7313"/>
    <w:rsid w:val="53FC210D"/>
    <w:rsid w:val="540006A2"/>
    <w:rsid w:val="54044DA2"/>
    <w:rsid w:val="54071A30"/>
    <w:rsid w:val="540B4C39"/>
    <w:rsid w:val="5414351A"/>
    <w:rsid w:val="54151CD9"/>
    <w:rsid w:val="542A234D"/>
    <w:rsid w:val="542C4131"/>
    <w:rsid w:val="543842E0"/>
    <w:rsid w:val="543C43EB"/>
    <w:rsid w:val="543C7EB7"/>
    <w:rsid w:val="543D226D"/>
    <w:rsid w:val="543E38C4"/>
    <w:rsid w:val="543F1784"/>
    <w:rsid w:val="543F566E"/>
    <w:rsid w:val="544467E1"/>
    <w:rsid w:val="5449029B"/>
    <w:rsid w:val="544C6F88"/>
    <w:rsid w:val="54534C76"/>
    <w:rsid w:val="54694499"/>
    <w:rsid w:val="546A07E8"/>
    <w:rsid w:val="546C3108"/>
    <w:rsid w:val="5472334E"/>
    <w:rsid w:val="547C0049"/>
    <w:rsid w:val="5489550D"/>
    <w:rsid w:val="548D0188"/>
    <w:rsid w:val="548E1C44"/>
    <w:rsid w:val="54907C78"/>
    <w:rsid w:val="549A0AF6"/>
    <w:rsid w:val="54A75BB9"/>
    <w:rsid w:val="54A81DFE"/>
    <w:rsid w:val="54BA6AA3"/>
    <w:rsid w:val="54CF78BB"/>
    <w:rsid w:val="54D02E15"/>
    <w:rsid w:val="54F50220"/>
    <w:rsid w:val="54FE4BE1"/>
    <w:rsid w:val="550A17D8"/>
    <w:rsid w:val="550D4D66"/>
    <w:rsid w:val="55200FFC"/>
    <w:rsid w:val="5526232B"/>
    <w:rsid w:val="552A00CC"/>
    <w:rsid w:val="552C79A0"/>
    <w:rsid w:val="553240ED"/>
    <w:rsid w:val="55336CA2"/>
    <w:rsid w:val="55351C02"/>
    <w:rsid w:val="553833F2"/>
    <w:rsid w:val="55384597"/>
    <w:rsid w:val="553B4087"/>
    <w:rsid w:val="55404779"/>
    <w:rsid w:val="55466588"/>
    <w:rsid w:val="55480552"/>
    <w:rsid w:val="55481377"/>
    <w:rsid w:val="554C3B9F"/>
    <w:rsid w:val="55546EF7"/>
    <w:rsid w:val="55615869"/>
    <w:rsid w:val="55652EB2"/>
    <w:rsid w:val="556709D9"/>
    <w:rsid w:val="557236E6"/>
    <w:rsid w:val="5579126C"/>
    <w:rsid w:val="55801DCE"/>
    <w:rsid w:val="558609CE"/>
    <w:rsid w:val="558A46C7"/>
    <w:rsid w:val="558F7F2F"/>
    <w:rsid w:val="55A83D9D"/>
    <w:rsid w:val="55B17114"/>
    <w:rsid w:val="55B47996"/>
    <w:rsid w:val="55B94FAC"/>
    <w:rsid w:val="55BF05E4"/>
    <w:rsid w:val="55C84608"/>
    <w:rsid w:val="55CB540B"/>
    <w:rsid w:val="55CF47D0"/>
    <w:rsid w:val="55D42237"/>
    <w:rsid w:val="55DD19DC"/>
    <w:rsid w:val="55E5452B"/>
    <w:rsid w:val="55ED3547"/>
    <w:rsid w:val="55F36710"/>
    <w:rsid w:val="55FD758F"/>
    <w:rsid w:val="560726B6"/>
    <w:rsid w:val="561A495A"/>
    <w:rsid w:val="56206DD9"/>
    <w:rsid w:val="56365413"/>
    <w:rsid w:val="56372AA1"/>
    <w:rsid w:val="5637484F"/>
    <w:rsid w:val="563D3E2F"/>
    <w:rsid w:val="564360F2"/>
    <w:rsid w:val="564B1AC4"/>
    <w:rsid w:val="56504935"/>
    <w:rsid w:val="56532DC7"/>
    <w:rsid w:val="565E627F"/>
    <w:rsid w:val="56690780"/>
    <w:rsid w:val="566C7598"/>
    <w:rsid w:val="567621FC"/>
    <w:rsid w:val="56767886"/>
    <w:rsid w:val="56817C69"/>
    <w:rsid w:val="56824C41"/>
    <w:rsid w:val="5684380C"/>
    <w:rsid w:val="569E667C"/>
    <w:rsid w:val="56B066C8"/>
    <w:rsid w:val="56B714EC"/>
    <w:rsid w:val="56B934B6"/>
    <w:rsid w:val="56BA40A5"/>
    <w:rsid w:val="56CE16BE"/>
    <w:rsid w:val="56CF0BF7"/>
    <w:rsid w:val="56CF739E"/>
    <w:rsid w:val="56E0691F"/>
    <w:rsid w:val="56EB567D"/>
    <w:rsid w:val="56EE0C86"/>
    <w:rsid w:val="56F30E1E"/>
    <w:rsid w:val="570861EB"/>
    <w:rsid w:val="571B7CCD"/>
    <w:rsid w:val="571C1C97"/>
    <w:rsid w:val="5721105B"/>
    <w:rsid w:val="5723355E"/>
    <w:rsid w:val="572528F9"/>
    <w:rsid w:val="572D5C52"/>
    <w:rsid w:val="572F5526"/>
    <w:rsid w:val="5737262D"/>
    <w:rsid w:val="573F5C69"/>
    <w:rsid w:val="5744021A"/>
    <w:rsid w:val="57476D14"/>
    <w:rsid w:val="574A05B2"/>
    <w:rsid w:val="575B27BF"/>
    <w:rsid w:val="575B3114"/>
    <w:rsid w:val="575C0C87"/>
    <w:rsid w:val="576216D8"/>
    <w:rsid w:val="576450A7"/>
    <w:rsid w:val="576A47B0"/>
    <w:rsid w:val="576D604E"/>
    <w:rsid w:val="577214FD"/>
    <w:rsid w:val="57743881"/>
    <w:rsid w:val="5774562F"/>
    <w:rsid w:val="577B3D89"/>
    <w:rsid w:val="577D1F5D"/>
    <w:rsid w:val="57805D82"/>
    <w:rsid w:val="57835FB5"/>
    <w:rsid w:val="578B44DB"/>
    <w:rsid w:val="578C2978"/>
    <w:rsid w:val="57A13A0D"/>
    <w:rsid w:val="57A35F14"/>
    <w:rsid w:val="57A51C8C"/>
    <w:rsid w:val="57A52A39"/>
    <w:rsid w:val="57AA72A2"/>
    <w:rsid w:val="57B123DF"/>
    <w:rsid w:val="57B27F05"/>
    <w:rsid w:val="57C93BCD"/>
    <w:rsid w:val="57CF2650"/>
    <w:rsid w:val="57EC3417"/>
    <w:rsid w:val="580249E9"/>
    <w:rsid w:val="58030761"/>
    <w:rsid w:val="58044B86"/>
    <w:rsid w:val="580E5A83"/>
    <w:rsid w:val="5818420C"/>
    <w:rsid w:val="581D7A74"/>
    <w:rsid w:val="583139C3"/>
    <w:rsid w:val="583C439E"/>
    <w:rsid w:val="58404BAD"/>
    <w:rsid w:val="585A7B2C"/>
    <w:rsid w:val="585B059D"/>
    <w:rsid w:val="585F5279"/>
    <w:rsid w:val="58686BAB"/>
    <w:rsid w:val="58692CBA"/>
    <w:rsid w:val="586B6A32"/>
    <w:rsid w:val="587066C2"/>
    <w:rsid w:val="58715F90"/>
    <w:rsid w:val="587C0C3F"/>
    <w:rsid w:val="587D49B7"/>
    <w:rsid w:val="58823D7B"/>
    <w:rsid w:val="5882708A"/>
    <w:rsid w:val="5889510A"/>
    <w:rsid w:val="588B6CAC"/>
    <w:rsid w:val="588C76F3"/>
    <w:rsid w:val="58913FBE"/>
    <w:rsid w:val="58935F89"/>
    <w:rsid w:val="5895292F"/>
    <w:rsid w:val="589A2E73"/>
    <w:rsid w:val="589A471C"/>
    <w:rsid w:val="589D0BB5"/>
    <w:rsid w:val="589E238C"/>
    <w:rsid w:val="58A36FFA"/>
    <w:rsid w:val="58AB4B55"/>
    <w:rsid w:val="58AE691E"/>
    <w:rsid w:val="58B24473"/>
    <w:rsid w:val="58B303D9"/>
    <w:rsid w:val="58B8779D"/>
    <w:rsid w:val="58C03626"/>
    <w:rsid w:val="58C12AF6"/>
    <w:rsid w:val="58C15991"/>
    <w:rsid w:val="58C61EBA"/>
    <w:rsid w:val="58C70DCE"/>
    <w:rsid w:val="58C86FE9"/>
    <w:rsid w:val="58CD3249"/>
    <w:rsid w:val="58DA1063"/>
    <w:rsid w:val="58E14F46"/>
    <w:rsid w:val="58E96655"/>
    <w:rsid w:val="58ED38EB"/>
    <w:rsid w:val="58ED4416"/>
    <w:rsid w:val="58EF7663"/>
    <w:rsid w:val="58F20F01"/>
    <w:rsid w:val="590024FC"/>
    <w:rsid w:val="5902026F"/>
    <w:rsid w:val="590E560F"/>
    <w:rsid w:val="591270A7"/>
    <w:rsid w:val="59141D65"/>
    <w:rsid w:val="591744C4"/>
    <w:rsid w:val="591B392F"/>
    <w:rsid w:val="591E3AA4"/>
    <w:rsid w:val="59253085"/>
    <w:rsid w:val="59271254"/>
    <w:rsid w:val="59282B75"/>
    <w:rsid w:val="592866D1"/>
    <w:rsid w:val="59342B0B"/>
    <w:rsid w:val="5939448F"/>
    <w:rsid w:val="594352B9"/>
    <w:rsid w:val="594554D5"/>
    <w:rsid w:val="59577957"/>
    <w:rsid w:val="59580839"/>
    <w:rsid w:val="59594ADC"/>
    <w:rsid w:val="595C10A3"/>
    <w:rsid w:val="595E20F3"/>
    <w:rsid w:val="59703091"/>
    <w:rsid w:val="597436C4"/>
    <w:rsid w:val="5976568E"/>
    <w:rsid w:val="597F446F"/>
    <w:rsid w:val="59950BB9"/>
    <w:rsid w:val="59981AA8"/>
    <w:rsid w:val="5999312B"/>
    <w:rsid w:val="59B23FB7"/>
    <w:rsid w:val="59BF67E0"/>
    <w:rsid w:val="59C15707"/>
    <w:rsid w:val="59C363FA"/>
    <w:rsid w:val="59D800F7"/>
    <w:rsid w:val="59E24AD2"/>
    <w:rsid w:val="59E817EF"/>
    <w:rsid w:val="59ED1DB9"/>
    <w:rsid w:val="59F64A21"/>
    <w:rsid w:val="5A033D79"/>
    <w:rsid w:val="5A056A12"/>
    <w:rsid w:val="5A0C7DA1"/>
    <w:rsid w:val="5A0F43A4"/>
    <w:rsid w:val="5A1B51E7"/>
    <w:rsid w:val="5A1B6236"/>
    <w:rsid w:val="5A1D0200"/>
    <w:rsid w:val="5A302412"/>
    <w:rsid w:val="5A3220D1"/>
    <w:rsid w:val="5A45308E"/>
    <w:rsid w:val="5A551748"/>
    <w:rsid w:val="5A63688F"/>
    <w:rsid w:val="5A6C6A91"/>
    <w:rsid w:val="5A70032F"/>
    <w:rsid w:val="5A731C3E"/>
    <w:rsid w:val="5A73739F"/>
    <w:rsid w:val="5A767910"/>
    <w:rsid w:val="5A7C26A6"/>
    <w:rsid w:val="5A7E2789"/>
    <w:rsid w:val="5A7F67C4"/>
    <w:rsid w:val="5A8B33BB"/>
    <w:rsid w:val="5A932EDE"/>
    <w:rsid w:val="5A957F1A"/>
    <w:rsid w:val="5A9E37AE"/>
    <w:rsid w:val="5AA77C12"/>
    <w:rsid w:val="5AB02E22"/>
    <w:rsid w:val="5AB50438"/>
    <w:rsid w:val="5AB521E6"/>
    <w:rsid w:val="5AB67D0C"/>
    <w:rsid w:val="5ABD72ED"/>
    <w:rsid w:val="5AC73CC7"/>
    <w:rsid w:val="5ACB5F2F"/>
    <w:rsid w:val="5AD20FEA"/>
    <w:rsid w:val="5AD703AE"/>
    <w:rsid w:val="5AD76F0E"/>
    <w:rsid w:val="5ADC59E0"/>
    <w:rsid w:val="5AE91E90"/>
    <w:rsid w:val="5AF31659"/>
    <w:rsid w:val="5AFF2775"/>
    <w:rsid w:val="5B01542B"/>
    <w:rsid w:val="5B085EA6"/>
    <w:rsid w:val="5B0A5596"/>
    <w:rsid w:val="5B0E0E12"/>
    <w:rsid w:val="5B101B12"/>
    <w:rsid w:val="5B182775"/>
    <w:rsid w:val="5B1C4013"/>
    <w:rsid w:val="5B1E08CC"/>
    <w:rsid w:val="5B256DD6"/>
    <w:rsid w:val="5B31474E"/>
    <w:rsid w:val="5B3614D6"/>
    <w:rsid w:val="5B370E4D"/>
    <w:rsid w:val="5B3A093D"/>
    <w:rsid w:val="5B44356A"/>
    <w:rsid w:val="5B4A5024"/>
    <w:rsid w:val="5B5A2E00"/>
    <w:rsid w:val="5B5A4B3C"/>
    <w:rsid w:val="5B5E63DA"/>
    <w:rsid w:val="5B5F03A4"/>
    <w:rsid w:val="5B6425E2"/>
    <w:rsid w:val="5B6825B2"/>
    <w:rsid w:val="5B6854AA"/>
    <w:rsid w:val="5B703980"/>
    <w:rsid w:val="5B721E85"/>
    <w:rsid w:val="5B745285"/>
    <w:rsid w:val="5B7B51DE"/>
    <w:rsid w:val="5B844F1F"/>
    <w:rsid w:val="5B853C22"/>
    <w:rsid w:val="5B8816A9"/>
    <w:rsid w:val="5B891558"/>
    <w:rsid w:val="5B8B2F47"/>
    <w:rsid w:val="5B9242D5"/>
    <w:rsid w:val="5B954A31"/>
    <w:rsid w:val="5B9718EC"/>
    <w:rsid w:val="5BAA0C46"/>
    <w:rsid w:val="5BAA2135"/>
    <w:rsid w:val="5BC14BBB"/>
    <w:rsid w:val="5BC70423"/>
    <w:rsid w:val="5BD23E86"/>
    <w:rsid w:val="5BD26DC8"/>
    <w:rsid w:val="5BD62E01"/>
    <w:rsid w:val="5BDD3F66"/>
    <w:rsid w:val="5BDD7C46"/>
    <w:rsid w:val="5BDE576D"/>
    <w:rsid w:val="5BE010A9"/>
    <w:rsid w:val="5BE04D73"/>
    <w:rsid w:val="5BF172E7"/>
    <w:rsid w:val="5BF979BC"/>
    <w:rsid w:val="5C0276AD"/>
    <w:rsid w:val="5C04319A"/>
    <w:rsid w:val="5C114281"/>
    <w:rsid w:val="5C205738"/>
    <w:rsid w:val="5C425CFC"/>
    <w:rsid w:val="5C4952DC"/>
    <w:rsid w:val="5C50666A"/>
    <w:rsid w:val="5C537ED6"/>
    <w:rsid w:val="5C5617A7"/>
    <w:rsid w:val="5C5D2B35"/>
    <w:rsid w:val="5C5E5858"/>
    <w:rsid w:val="5C62639E"/>
    <w:rsid w:val="5C6C2592"/>
    <w:rsid w:val="5C6C4B26"/>
    <w:rsid w:val="5C735EB5"/>
    <w:rsid w:val="5C7B120D"/>
    <w:rsid w:val="5C845221"/>
    <w:rsid w:val="5C877D57"/>
    <w:rsid w:val="5C8F1F25"/>
    <w:rsid w:val="5C906961"/>
    <w:rsid w:val="5C974299"/>
    <w:rsid w:val="5C9A78E6"/>
    <w:rsid w:val="5C9B6887"/>
    <w:rsid w:val="5C9C18B0"/>
    <w:rsid w:val="5CA2679A"/>
    <w:rsid w:val="5CA85A91"/>
    <w:rsid w:val="5CAB54B0"/>
    <w:rsid w:val="5CBC5AAE"/>
    <w:rsid w:val="5CBF734C"/>
    <w:rsid w:val="5CC27531"/>
    <w:rsid w:val="5CC4641D"/>
    <w:rsid w:val="5CD01559"/>
    <w:rsid w:val="5CD1707F"/>
    <w:rsid w:val="5CDD08DC"/>
    <w:rsid w:val="5CF8285E"/>
    <w:rsid w:val="5D0D455B"/>
    <w:rsid w:val="5D0F6CD8"/>
    <w:rsid w:val="5D1A4582"/>
    <w:rsid w:val="5D1C02FB"/>
    <w:rsid w:val="5D1D22C5"/>
    <w:rsid w:val="5D263918"/>
    <w:rsid w:val="5D290C69"/>
    <w:rsid w:val="5D2D58D4"/>
    <w:rsid w:val="5D325D70"/>
    <w:rsid w:val="5D3A154E"/>
    <w:rsid w:val="5D3C274B"/>
    <w:rsid w:val="5D4635C9"/>
    <w:rsid w:val="5D641CA2"/>
    <w:rsid w:val="5D681792"/>
    <w:rsid w:val="5D6A5EEE"/>
    <w:rsid w:val="5D6D6DA8"/>
    <w:rsid w:val="5D7F6ADB"/>
    <w:rsid w:val="5D811FD2"/>
    <w:rsid w:val="5D8440F2"/>
    <w:rsid w:val="5D8B76EF"/>
    <w:rsid w:val="5D9205BD"/>
    <w:rsid w:val="5DA402F0"/>
    <w:rsid w:val="5DA70D49"/>
    <w:rsid w:val="5DAB0700"/>
    <w:rsid w:val="5DAF73C1"/>
    <w:rsid w:val="5DB04EE7"/>
    <w:rsid w:val="5DB46785"/>
    <w:rsid w:val="5DB97B3B"/>
    <w:rsid w:val="5DC10D1E"/>
    <w:rsid w:val="5DC15346"/>
    <w:rsid w:val="5DC828A5"/>
    <w:rsid w:val="5DCC7F73"/>
    <w:rsid w:val="5DD11505"/>
    <w:rsid w:val="5DD66B15"/>
    <w:rsid w:val="5DDE1A54"/>
    <w:rsid w:val="5DDE524A"/>
    <w:rsid w:val="5DEC23C3"/>
    <w:rsid w:val="5DF03535"/>
    <w:rsid w:val="5DF474C9"/>
    <w:rsid w:val="5DF748C4"/>
    <w:rsid w:val="5E085C0C"/>
    <w:rsid w:val="5E0C0CE4"/>
    <w:rsid w:val="5E1215FC"/>
    <w:rsid w:val="5E154C51"/>
    <w:rsid w:val="5E1E26DD"/>
    <w:rsid w:val="5E2558D5"/>
    <w:rsid w:val="5E2813B1"/>
    <w:rsid w:val="5E32405F"/>
    <w:rsid w:val="5E3922A0"/>
    <w:rsid w:val="5E3B2A02"/>
    <w:rsid w:val="5E3C1D3C"/>
    <w:rsid w:val="5E3C57D0"/>
    <w:rsid w:val="5E4A70E9"/>
    <w:rsid w:val="5E736640"/>
    <w:rsid w:val="5E744166"/>
    <w:rsid w:val="5E9860A7"/>
    <w:rsid w:val="5EAE1426"/>
    <w:rsid w:val="5EB01642"/>
    <w:rsid w:val="5EBE53E1"/>
    <w:rsid w:val="5EBF486E"/>
    <w:rsid w:val="5EC0115A"/>
    <w:rsid w:val="5ECC7AFE"/>
    <w:rsid w:val="5ECE65AF"/>
    <w:rsid w:val="5ED56C4A"/>
    <w:rsid w:val="5EDF5A84"/>
    <w:rsid w:val="5EE513A4"/>
    <w:rsid w:val="5EEC2A03"/>
    <w:rsid w:val="5EF7101F"/>
    <w:rsid w:val="5EF73E17"/>
    <w:rsid w:val="5EF86B45"/>
    <w:rsid w:val="5F003FA4"/>
    <w:rsid w:val="5F047586"/>
    <w:rsid w:val="5F1178CF"/>
    <w:rsid w:val="5F147B14"/>
    <w:rsid w:val="5F1801D9"/>
    <w:rsid w:val="5F182D44"/>
    <w:rsid w:val="5F211C7E"/>
    <w:rsid w:val="5F250980"/>
    <w:rsid w:val="5F357D99"/>
    <w:rsid w:val="5F36141C"/>
    <w:rsid w:val="5F421322"/>
    <w:rsid w:val="5F465B03"/>
    <w:rsid w:val="5F50072F"/>
    <w:rsid w:val="5F531FCE"/>
    <w:rsid w:val="5F540FD5"/>
    <w:rsid w:val="5F546472"/>
    <w:rsid w:val="5F553F98"/>
    <w:rsid w:val="5F5C0E82"/>
    <w:rsid w:val="5F6D04FB"/>
    <w:rsid w:val="5F6E604F"/>
    <w:rsid w:val="5F700DD2"/>
    <w:rsid w:val="5F773F0E"/>
    <w:rsid w:val="5F797C86"/>
    <w:rsid w:val="5F7E529D"/>
    <w:rsid w:val="5F812FDF"/>
    <w:rsid w:val="5F816B3B"/>
    <w:rsid w:val="5F830B05"/>
    <w:rsid w:val="5F8403D9"/>
    <w:rsid w:val="5F8C7A4C"/>
    <w:rsid w:val="5F920D48"/>
    <w:rsid w:val="5F955707"/>
    <w:rsid w:val="5F991667"/>
    <w:rsid w:val="5F9D5CAD"/>
    <w:rsid w:val="5FA6034F"/>
    <w:rsid w:val="5FA6559E"/>
    <w:rsid w:val="5FB15AA1"/>
    <w:rsid w:val="5FC058B5"/>
    <w:rsid w:val="5FC353A5"/>
    <w:rsid w:val="5FCA4E41"/>
    <w:rsid w:val="5FD25A16"/>
    <w:rsid w:val="5FE22E15"/>
    <w:rsid w:val="5FE44556"/>
    <w:rsid w:val="5FE506D1"/>
    <w:rsid w:val="5FE84E0C"/>
    <w:rsid w:val="5FE86BBA"/>
    <w:rsid w:val="5FEB66AA"/>
    <w:rsid w:val="5FF57EA4"/>
    <w:rsid w:val="5FF7118C"/>
    <w:rsid w:val="5FFE018B"/>
    <w:rsid w:val="600532C8"/>
    <w:rsid w:val="600734E4"/>
    <w:rsid w:val="6013472D"/>
    <w:rsid w:val="60167FE7"/>
    <w:rsid w:val="601C07A3"/>
    <w:rsid w:val="60234096"/>
    <w:rsid w:val="602776E2"/>
    <w:rsid w:val="602A0F80"/>
    <w:rsid w:val="602F73AE"/>
    <w:rsid w:val="60327E35"/>
    <w:rsid w:val="60340051"/>
    <w:rsid w:val="60477F0B"/>
    <w:rsid w:val="604B55FE"/>
    <w:rsid w:val="605129B1"/>
    <w:rsid w:val="60557590"/>
    <w:rsid w:val="60590BA1"/>
    <w:rsid w:val="605E50CE"/>
    <w:rsid w:val="60632CB9"/>
    <w:rsid w:val="60660631"/>
    <w:rsid w:val="6068343A"/>
    <w:rsid w:val="60716BAF"/>
    <w:rsid w:val="608476D0"/>
    <w:rsid w:val="609E63B5"/>
    <w:rsid w:val="60A01243"/>
    <w:rsid w:val="60BB42CE"/>
    <w:rsid w:val="60C56EFB"/>
    <w:rsid w:val="60D10378"/>
    <w:rsid w:val="60D96503"/>
    <w:rsid w:val="60DD4245"/>
    <w:rsid w:val="60ED42B5"/>
    <w:rsid w:val="60EE0200"/>
    <w:rsid w:val="60F670B5"/>
    <w:rsid w:val="6104289A"/>
    <w:rsid w:val="6109503A"/>
    <w:rsid w:val="610C4B2A"/>
    <w:rsid w:val="61113F9C"/>
    <w:rsid w:val="611501B6"/>
    <w:rsid w:val="611E7CB0"/>
    <w:rsid w:val="612B4FB0"/>
    <w:rsid w:val="612E4AA0"/>
    <w:rsid w:val="61300818"/>
    <w:rsid w:val="6131633F"/>
    <w:rsid w:val="614222FA"/>
    <w:rsid w:val="61461DEA"/>
    <w:rsid w:val="614C3178"/>
    <w:rsid w:val="61561E4F"/>
    <w:rsid w:val="615B61D6"/>
    <w:rsid w:val="615C42F2"/>
    <w:rsid w:val="615D46AE"/>
    <w:rsid w:val="616927E9"/>
    <w:rsid w:val="616964AC"/>
    <w:rsid w:val="616D55C9"/>
    <w:rsid w:val="617050B9"/>
    <w:rsid w:val="61805C84"/>
    <w:rsid w:val="61880082"/>
    <w:rsid w:val="618A333F"/>
    <w:rsid w:val="619532DD"/>
    <w:rsid w:val="61970898"/>
    <w:rsid w:val="619E1C26"/>
    <w:rsid w:val="61A149EE"/>
    <w:rsid w:val="61AA3B7A"/>
    <w:rsid w:val="61AC2857"/>
    <w:rsid w:val="61AE5968"/>
    <w:rsid w:val="61C15914"/>
    <w:rsid w:val="61C16673"/>
    <w:rsid w:val="61C176C2"/>
    <w:rsid w:val="61C27AC3"/>
    <w:rsid w:val="61C77E84"/>
    <w:rsid w:val="61CD42B9"/>
    <w:rsid w:val="61D62362"/>
    <w:rsid w:val="61DE5866"/>
    <w:rsid w:val="61DF11C0"/>
    <w:rsid w:val="61DF5D9B"/>
    <w:rsid w:val="61E82D68"/>
    <w:rsid w:val="61F47A98"/>
    <w:rsid w:val="61F555BE"/>
    <w:rsid w:val="61F66E8A"/>
    <w:rsid w:val="62030B56"/>
    <w:rsid w:val="621E68C3"/>
    <w:rsid w:val="6223534F"/>
    <w:rsid w:val="62270385"/>
    <w:rsid w:val="622A34BA"/>
    <w:rsid w:val="623600B0"/>
    <w:rsid w:val="62387745"/>
    <w:rsid w:val="624327CD"/>
    <w:rsid w:val="624633C5"/>
    <w:rsid w:val="624B3430"/>
    <w:rsid w:val="624F1626"/>
    <w:rsid w:val="625C563D"/>
    <w:rsid w:val="625D4BD7"/>
    <w:rsid w:val="626369CC"/>
    <w:rsid w:val="62650996"/>
    <w:rsid w:val="62791D4B"/>
    <w:rsid w:val="6283706E"/>
    <w:rsid w:val="62854B94"/>
    <w:rsid w:val="62883AC3"/>
    <w:rsid w:val="628F77C1"/>
    <w:rsid w:val="629152E7"/>
    <w:rsid w:val="62953E38"/>
    <w:rsid w:val="62970423"/>
    <w:rsid w:val="62A0765A"/>
    <w:rsid w:val="62A97B60"/>
    <w:rsid w:val="62AC0373"/>
    <w:rsid w:val="62AE5E99"/>
    <w:rsid w:val="62B546CF"/>
    <w:rsid w:val="62BC7E8A"/>
    <w:rsid w:val="62BE1E54"/>
    <w:rsid w:val="62C3372B"/>
    <w:rsid w:val="62D342A4"/>
    <w:rsid w:val="62D90A3C"/>
    <w:rsid w:val="62E31F5E"/>
    <w:rsid w:val="62EF200D"/>
    <w:rsid w:val="62F0780B"/>
    <w:rsid w:val="62F277E6"/>
    <w:rsid w:val="62FD41E2"/>
    <w:rsid w:val="63147CC6"/>
    <w:rsid w:val="631B1054"/>
    <w:rsid w:val="631F2F2E"/>
    <w:rsid w:val="632C6098"/>
    <w:rsid w:val="63332842"/>
    <w:rsid w:val="633B5253"/>
    <w:rsid w:val="63422A85"/>
    <w:rsid w:val="63442359"/>
    <w:rsid w:val="63493E13"/>
    <w:rsid w:val="6361084A"/>
    <w:rsid w:val="63633165"/>
    <w:rsid w:val="636B5B38"/>
    <w:rsid w:val="636C3E79"/>
    <w:rsid w:val="636D5D54"/>
    <w:rsid w:val="63780255"/>
    <w:rsid w:val="637A221F"/>
    <w:rsid w:val="637B3DDE"/>
    <w:rsid w:val="63844E4C"/>
    <w:rsid w:val="63864720"/>
    <w:rsid w:val="638766EA"/>
    <w:rsid w:val="63932CB3"/>
    <w:rsid w:val="63941B7C"/>
    <w:rsid w:val="639B5A84"/>
    <w:rsid w:val="639D1A14"/>
    <w:rsid w:val="639D7CBB"/>
    <w:rsid w:val="63A245D2"/>
    <w:rsid w:val="63B514A9"/>
    <w:rsid w:val="63BC2837"/>
    <w:rsid w:val="63CF256B"/>
    <w:rsid w:val="63D47B81"/>
    <w:rsid w:val="63D650EB"/>
    <w:rsid w:val="63DC0749"/>
    <w:rsid w:val="63DF02D4"/>
    <w:rsid w:val="63E1132A"/>
    <w:rsid w:val="63E91B17"/>
    <w:rsid w:val="63EC3E4B"/>
    <w:rsid w:val="63F26259"/>
    <w:rsid w:val="63F7386F"/>
    <w:rsid w:val="64065861"/>
    <w:rsid w:val="64091998"/>
    <w:rsid w:val="640970FF"/>
    <w:rsid w:val="641336CD"/>
    <w:rsid w:val="64137D86"/>
    <w:rsid w:val="641A69EF"/>
    <w:rsid w:val="641C6E32"/>
    <w:rsid w:val="641F4B74"/>
    <w:rsid w:val="6424428B"/>
    <w:rsid w:val="642D6652"/>
    <w:rsid w:val="642F5488"/>
    <w:rsid w:val="643320F3"/>
    <w:rsid w:val="643B7C00"/>
    <w:rsid w:val="643F0D73"/>
    <w:rsid w:val="64471190"/>
    <w:rsid w:val="64487C27"/>
    <w:rsid w:val="644F7E49"/>
    <w:rsid w:val="64520AA6"/>
    <w:rsid w:val="6457430E"/>
    <w:rsid w:val="6459763E"/>
    <w:rsid w:val="645A795A"/>
    <w:rsid w:val="64713622"/>
    <w:rsid w:val="64790347"/>
    <w:rsid w:val="647E189B"/>
    <w:rsid w:val="64872E45"/>
    <w:rsid w:val="64897ADB"/>
    <w:rsid w:val="648C2131"/>
    <w:rsid w:val="648F0463"/>
    <w:rsid w:val="64954B41"/>
    <w:rsid w:val="64970455"/>
    <w:rsid w:val="64A42AC1"/>
    <w:rsid w:val="64AA2690"/>
    <w:rsid w:val="64AE2C0F"/>
    <w:rsid w:val="64BE613B"/>
    <w:rsid w:val="64CC6F37"/>
    <w:rsid w:val="64CD1C95"/>
    <w:rsid w:val="64CE2822"/>
    <w:rsid w:val="64CF0348"/>
    <w:rsid w:val="64D4770D"/>
    <w:rsid w:val="64D9638C"/>
    <w:rsid w:val="64DF4A2F"/>
    <w:rsid w:val="64E56FC5"/>
    <w:rsid w:val="64EA33D4"/>
    <w:rsid w:val="64EE15FC"/>
    <w:rsid w:val="64EF09EB"/>
    <w:rsid w:val="64F23D5B"/>
    <w:rsid w:val="64F92C9A"/>
    <w:rsid w:val="65015C46"/>
    <w:rsid w:val="65073EEF"/>
    <w:rsid w:val="6518584B"/>
    <w:rsid w:val="65260B2B"/>
    <w:rsid w:val="653A413B"/>
    <w:rsid w:val="654664C9"/>
    <w:rsid w:val="65472E61"/>
    <w:rsid w:val="6548459E"/>
    <w:rsid w:val="65515A4A"/>
    <w:rsid w:val="65561E5B"/>
    <w:rsid w:val="655B185C"/>
    <w:rsid w:val="655C160B"/>
    <w:rsid w:val="65646CE3"/>
    <w:rsid w:val="657447EF"/>
    <w:rsid w:val="65815AE7"/>
    <w:rsid w:val="65870C23"/>
    <w:rsid w:val="65921AA2"/>
    <w:rsid w:val="65965345"/>
    <w:rsid w:val="65A92947"/>
    <w:rsid w:val="65AC525A"/>
    <w:rsid w:val="65B117CA"/>
    <w:rsid w:val="65BF7B30"/>
    <w:rsid w:val="65C634F9"/>
    <w:rsid w:val="65D56B0E"/>
    <w:rsid w:val="65D75707"/>
    <w:rsid w:val="65EB115A"/>
    <w:rsid w:val="65F535B1"/>
    <w:rsid w:val="661029C7"/>
    <w:rsid w:val="66107515"/>
    <w:rsid w:val="66140709"/>
    <w:rsid w:val="6615622F"/>
    <w:rsid w:val="66173D55"/>
    <w:rsid w:val="66196513"/>
    <w:rsid w:val="661B2EB2"/>
    <w:rsid w:val="66263F98"/>
    <w:rsid w:val="66290E28"/>
    <w:rsid w:val="662A2464"/>
    <w:rsid w:val="662E109F"/>
    <w:rsid w:val="66346C2B"/>
    <w:rsid w:val="66392D50"/>
    <w:rsid w:val="663A090B"/>
    <w:rsid w:val="6649551B"/>
    <w:rsid w:val="6659611C"/>
    <w:rsid w:val="66611474"/>
    <w:rsid w:val="66652D12"/>
    <w:rsid w:val="666703C9"/>
    <w:rsid w:val="666B40A1"/>
    <w:rsid w:val="666B43AE"/>
    <w:rsid w:val="666C3F70"/>
    <w:rsid w:val="667E72FC"/>
    <w:rsid w:val="66897DBA"/>
    <w:rsid w:val="668A7384"/>
    <w:rsid w:val="668C4743"/>
    <w:rsid w:val="668D04BB"/>
    <w:rsid w:val="66923532"/>
    <w:rsid w:val="66A001EE"/>
    <w:rsid w:val="66B9528C"/>
    <w:rsid w:val="66C02FEC"/>
    <w:rsid w:val="66C57C55"/>
    <w:rsid w:val="66D954AE"/>
    <w:rsid w:val="66E14363"/>
    <w:rsid w:val="66E7221A"/>
    <w:rsid w:val="66E80418"/>
    <w:rsid w:val="66ED4AB6"/>
    <w:rsid w:val="66F10A4A"/>
    <w:rsid w:val="6706405B"/>
    <w:rsid w:val="67092027"/>
    <w:rsid w:val="670C09AE"/>
    <w:rsid w:val="670D6F06"/>
    <w:rsid w:val="670E0792"/>
    <w:rsid w:val="670F2C7E"/>
    <w:rsid w:val="6715696E"/>
    <w:rsid w:val="673D77EB"/>
    <w:rsid w:val="673E2D7E"/>
    <w:rsid w:val="67444AD8"/>
    <w:rsid w:val="674A1F08"/>
    <w:rsid w:val="676416AF"/>
    <w:rsid w:val="67656D42"/>
    <w:rsid w:val="67670D0C"/>
    <w:rsid w:val="676A5A51"/>
    <w:rsid w:val="676B07FC"/>
    <w:rsid w:val="676B2630"/>
    <w:rsid w:val="67750862"/>
    <w:rsid w:val="67760F4F"/>
    <w:rsid w:val="67762CFD"/>
    <w:rsid w:val="6779459B"/>
    <w:rsid w:val="67804D2B"/>
    <w:rsid w:val="678278F4"/>
    <w:rsid w:val="678B49FB"/>
    <w:rsid w:val="67902011"/>
    <w:rsid w:val="679118E5"/>
    <w:rsid w:val="67A519A4"/>
    <w:rsid w:val="67B850C4"/>
    <w:rsid w:val="67BB124F"/>
    <w:rsid w:val="67BF46A4"/>
    <w:rsid w:val="67CA4DF7"/>
    <w:rsid w:val="67D363A2"/>
    <w:rsid w:val="67D57A24"/>
    <w:rsid w:val="67DE751F"/>
    <w:rsid w:val="67F26828"/>
    <w:rsid w:val="680A7CA0"/>
    <w:rsid w:val="680D46A5"/>
    <w:rsid w:val="680E7CB9"/>
    <w:rsid w:val="6813166E"/>
    <w:rsid w:val="6820429A"/>
    <w:rsid w:val="68230777"/>
    <w:rsid w:val="682312A9"/>
    <w:rsid w:val="68242759"/>
    <w:rsid w:val="68297A85"/>
    <w:rsid w:val="682C7E50"/>
    <w:rsid w:val="682F08AB"/>
    <w:rsid w:val="68525518"/>
    <w:rsid w:val="68534DEC"/>
    <w:rsid w:val="68550B65"/>
    <w:rsid w:val="68556DB7"/>
    <w:rsid w:val="68580655"/>
    <w:rsid w:val="685968A7"/>
    <w:rsid w:val="6860788C"/>
    <w:rsid w:val="68667425"/>
    <w:rsid w:val="68690428"/>
    <w:rsid w:val="686B65DA"/>
    <w:rsid w:val="686D2352"/>
    <w:rsid w:val="687C2595"/>
    <w:rsid w:val="6881195A"/>
    <w:rsid w:val="68833924"/>
    <w:rsid w:val="688558EE"/>
    <w:rsid w:val="68906041"/>
    <w:rsid w:val="68925915"/>
    <w:rsid w:val="68A51AEC"/>
    <w:rsid w:val="68AF64C7"/>
    <w:rsid w:val="68C1269E"/>
    <w:rsid w:val="68C161FA"/>
    <w:rsid w:val="68CC49F4"/>
    <w:rsid w:val="68CC52CB"/>
    <w:rsid w:val="68D0468F"/>
    <w:rsid w:val="68DB550E"/>
    <w:rsid w:val="68E50F3D"/>
    <w:rsid w:val="68EC771B"/>
    <w:rsid w:val="68EF65EF"/>
    <w:rsid w:val="68F24605"/>
    <w:rsid w:val="68FB5BB0"/>
    <w:rsid w:val="69030527"/>
    <w:rsid w:val="69112CDD"/>
    <w:rsid w:val="69134D93"/>
    <w:rsid w:val="691B2690"/>
    <w:rsid w:val="692073C4"/>
    <w:rsid w:val="69263136"/>
    <w:rsid w:val="693C7929"/>
    <w:rsid w:val="69472D1F"/>
    <w:rsid w:val="694D0401"/>
    <w:rsid w:val="69531548"/>
    <w:rsid w:val="6958486E"/>
    <w:rsid w:val="69586B5E"/>
    <w:rsid w:val="695D23C7"/>
    <w:rsid w:val="695D4175"/>
    <w:rsid w:val="695E1C9B"/>
    <w:rsid w:val="696037C4"/>
    <w:rsid w:val="696B1E57"/>
    <w:rsid w:val="697D0373"/>
    <w:rsid w:val="697D4817"/>
    <w:rsid w:val="699219DD"/>
    <w:rsid w:val="69971AF9"/>
    <w:rsid w:val="699851AD"/>
    <w:rsid w:val="699A7177"/>
    <w:rsid w:val="69AC2E3C"/>
    <w:rsid w:val="69BF098B"/>
    <w:rsid w:val="69C35EB8"/>
    <w:rsid w:val="69CA75D6"/>
    <w:rsid w:val="69CD113A"/>
    <w:rsid w:val="69D16911"/>
    <w:rsid w:val="69D4109F"/>
    <w:rsid w:val="69D7467A"/>
    <w:rsid w:val="69DA69FB"/>
    <w:rsid w:val="69FB573C"/>
    <w:rsid w:val="6A0445F0"/>
    <w:rsid w:val="6A086673"/>
    <w:rsid w:val="6A0E36C1"/>
    <w:rsid w:val="6A14245F"/>
    <w:rsid w:val="6A1A2066"/>
    <w:rsid w:val="6A234EB3"/>
    <w:rsid w:val="6A2627B9"/>
    <w:rsid w:val="6A2E29F7"/>
    <w:rsid w:val="6A412D5B"/>
    <w:rsid w:val="6A42336B"/>
    <w:rsid w:val="6A463F09"/>
    <w:rsid w:val="6A465DDF"/>
    <w:rsid w:val="6A4B5AE1"/>
    <w:rsid w:val="6A4B66C3"/>
    <w:rsid w:val="6A4B7E45"/>
    <w:rsid w:val="6A507835"/>
    <w:rsid w:val="6A5224AC"/>
    <w:rsid w:val="6A670C5E"/>
    <w:rsid w:val="6A6908F7"/>
    <w:rsid w:val="6A696B49"/>
    <w:rsid w:val="6A75729C"/>
    <w:rsid w:val="6A813E93"/>
    <w:rsid w:val="6A82138D"/>
    <w:rsid w:val="6A856377"/>
    <w:rsid w:val="6A873FD3"/>
    <w:rsid w:val="6A8A71EB"/>
    <w:rsid w:val="6A924D0C"/>
    <w:rsid w:val="6AA41B3A"/>
    <w:rsid w:val="6AAC715B"/>
    <w:rsid w:val="6AB06526"/>
    <w:rsid w:val="6AB06781"/>
    <w:rsid w:val="6AB257F6"/>
    <w:rsid w:val="6AB44D74"/>
    <w:rsid w:val="6ABC136F"/>
    <w:rsid w:val="6ABF49BB"/>
    <w:rsid w:val="6AC81AC2"/>
    <w:rsid w:val="6ACB34D6"/>
    <w:rsid w:val="6AD40467"/>
    <w:rsid w:val="6ADA35A3"/>
    <w:rsid w:val="6AE85CC0"/>
    <w:rsid w:val="6AF723A7"/>
    <w:rsid w:val="6AFA59F3"/>
    <w:rsid w:val="6AFB72FD"/>
    <w:rsid w:val="6B014BEA"/>
    <w:rsid w:val="6B2111D2"/>
    <w:rsid w:val="6B216E94"/>
    <w:rsid w:val="6B277A4C"/>
    <w:rsid w:val="6B2C02A3"/>
    <w:rsid w:val="6B4C705E"/>
    <w:rsid w:val="6B596BBE"/>
    <w:rsid w:val="6B5B0B88"/>
    <w:rsid w:val="6B6214E3"/>
    <w:rsid w:val="6B6451A9"/>
    <w:rsid w:val="6B6E1F2A"/>
    <w:rsid w:val="6B70410E"/>
    <w:rsid w:val="6B88119E"/>
    <w:rsid w:val="6B96431A"/>
    <w:rsid w:val="6B966935"/>
    <w:rsid w:val="6B9D4848"/>
    <w:rsid w:val="6B9E2D09"/>
    <w:rsid w:val="6BB838E4"/>
    <w:rsid w:val="6BBD2C45"/>
    <w:rsid w:val="6BC524A5"/>
    <w:rsid w:val="6BCB01A3"/>
    <w:rsid w:val="6BCB69E2"/>
    <w:rsid w:val="6BD076FD"/>
    <w:rsid w:val="6BD46244"/>
    <w:rsid w:val="6BD6020E"/>
    <w:rsid w:val="6BD61FBC"/>
    <w:rsid w:val="6BD9385B"/>
    <w:rsid w:val="6BE0108D"/>
    <w:rsid w:val="6BEA1033"/>
    <w:rsid w:val="6BEB2C57"/>
    <w:rsid w:val="6BEC7A32"/>
    <w:rsid w:val="6BF07522"/>
    <w:rsid w:val="6BF31356"/>
    <w:rsid w:val="6BF6440D"/>
    <w:rsid w:val="6BFB79DF"/>
    <w:rsid w:val="6C060AF4"/>
    <w:rsid w:val="6C0B23D2"/>
    <w:rsid w:val="6C111659"/>
    <w:rsid w:val="6C131A48"/>
    <w:rsid w:val="6C186A79"/>
    <w:rsid w:val="6C22436F"/>
    <w:rsid w:val="6C292A34"/>
    <w:rsid w:val="6C2B67AC"/>
    <w:rsid w:val="6C2F199A"/>
    <w:rsid w:val="6C320F66"/>
    <w:rsid w:val="6C376EFF"/>
    <w:rsid w:val="6C4416F1"/>
    <w:rsid w:val="6C4A6891"/>
    <w:rsid w:val="6C4C5815"/>
    <w:rsid w:val="6C4E249B"/>
    <w:rsid w:val="6C515AE7"/>
    <w:rsid w:val="6C5D24CE"/>
    <w:rsid w:val="6C5D623A"/>
    <w:rsid w:val="6C6250C7"/>
    <w:rsid w:val="6C6475C8"/>
    <w:rsid w:val="6C6B4DFB"/>
    <w:rsid w:val="6C704726"/>
    <w:rsid w:val="6C784D7C"/>
    <w:rsid w:val="6C7F793F"/>
    <w:rsid w:val="6C8639E2"/>
    <w:rsid w:val="6C8B2DA7"/>
    <w:rsid w:val="6C947445"/>
    <w:rsid w:val="6C9500C9"/>
    <w:rsid w:val="6C986FF7"/>
    <w:rsid w:val="6C9A6C74"/>
    <w:rsid w:val="6C9C4FB4"/>
    <w:rsid w:val="6C9D2ADA"/>
    <w:rsid w:val="6CA1081C"/>
    <w:rsid w:val="6CA60C54"/>
    <w:rsid w:val="6CB322FE"/>
    <w:rsid w:val="6CB4220A"/>
    <w:rsid w:val="6CB57E24"/>
    <w:rsid w:val="6CBE317C"/>
    <w:rsid w:val="6CC12C6C"/>
    <w:rsid w:val="6CC369E5"/>
    <w:rsid w:val="6CD02B75"/>
    <w:rsid w:val="6CD24E7A"/>
    <w:rsid w:val="6CDB65B5"/>
    <w:rsid w:val="6CE32BE3"/>
    <w:rsid w:val="6CE63139"/>
    <w:rsid w:val="6CFC5A53"/>
    <w:rsid w:val="6D0A3BA6"/>
    <w:rsid w:val="6D0E5786"/>
    <w:rsid w:val="6D111CC3"/>
    <w:rsid w:val="6D15307C"/>
    <w:rsid w:val="6D192AA9"/>
    <w:rsid w:val="6D1E7A9D"/>
    <w:rsid w:val="6D1F38B5"/>
    <w:rsid w:val="6D2711FF"/>
    <w:rsid w:val="6D2A0812"/>
    <w:rsid w:val="6D2D3681"/>
    <w:rsid w:val="6D3056A3"/>
    <w:rsid w:val="6D3276C6"/>
    <w:rsid w:val="6D3E250F"/>
    <w:rsid w:val="6D435297"/>
    <w:rsid w:val="6D4A74FE"/>
    <w:rsid w:val="6D4F1ACC"/>
    <w:rsid w:val="6D525599"/>
    <w:rsid w:val="6D567859"/>
    <w:rsid w:val="6D5835D1"/>
    <w:rsid w:val="6D592A35"/>
    <w:rsid w:val="6D604233"/>
    <w:rsid w:val="6D7A0157"/>
    <w:rsid w:val="6D943EDD"/>
    <w:rsid w:val="6D995997"/>
    <w:rsid w:val="6D9C0FE4"/>
    <w:rsid w:val="6DA85831"/>
    <w:rsid w:val="6DB30807"/>
    <w:rsid w:val="6DB36A59"/>
    <w:rsid w:val="6DBB3B60"/>
    <w:rsid w:val="6DD54C21"/>
    <w:rsid w:val="6DD63CF4"/>
    <w:rsid w:val="6DDB7754"/>
    <w:rsid w:val="6DE035C6"/>
    <w:rsid w:val="6DE74955"/>
    <w:rsid w:val="6DED2DD8"/>
    <w:rsid w:val="6DEE7A91"/>
    <w:rsid w:val="6DF350A8"/>
    <w:rsid w:val="6DF6526F"/>
    <w:rsid w:val="6DF8446C"/>
    <w:rsid w:val="6E0043E5"/>
    <w:rsid w:val="6E072901"/>
    <w:rsid w:val="6E0A5EF3"/>
    <w:rsid w:val="6E0F6CB3"/>
    <w:rsid w:val="6E103FFC"/>
    <w:rsid w:val="6E166FE8"/>
    <w:rsid w:val="6E204AEB"/>
    <w:rsid w:val="6E232494"/>
    <w:rsid w:val="6E354644"/>
    <w:rsid w:val="6E55366C"/>
    <w:rsid w:val="6E5751CB"/>
    <w:rsid w:val="6E740ADC"/>
    <w:rsid w:val="6E8403F6"/>
    <w:rsid w:val="6E8606A6"/>
    <w:rsid w:val="6E8D30EF"/>
    <w:rsid w:val="6E8F1D9E"/>
    <w:rsid w:val="6E925F71"/>
    <w:rsid w:val="6E963C85"/>
    <w:rsid w:val="6E971ED7"/>
    <w:rsid w:val="6E9817AB"/>
    <w:rsid w:val="6E9A25FF"/>
    <w:rsid w:val="6E9F6FDD"/>
    <w:rsid w:val="6EA134CB"/>
    <w:rsid w:val="6EA840E4"/>
    <w:rsid w:val="6EA8685E"/>
    <w:rsid w:val="6EAB3BD4"/>
    <w:rsid w:val="6EB23CAB"/>
    <w:rsid w:val="6EB32A89"/>
    <w:rsid w:val="6EBB3B24"/>
    <w:rsid w:val="6ED053E9"/>
    <w:rsid w:val="6EE5491F"/>
    <w:rsid w:val="6EE87094"/>
    <w:rsid w:val="6EEB0C0A"/>
    <w:rsid w:val="6EFA6314"/>
    <w:rsid w:val="6EFC7F8C"/>
    <w:rsid w:val="6EFF182A"/>
    <w:rsid w:val="6F042906"/>
    <w:rsid w:val="6F0E7CBF"/>
    <w:rsid w:val="6F173018"/>
    <w:rsid w:val="6F1920CC"/>
    <w:rsid w:val="6F2754A3"/>
    <w:rsid w:val="6F2B0638"/>
    <w:rsid w:val="6F2D6397"/>
    <w:rsid w:val="6F324855"/>
    <w:rsid w:val="6F3352C1"/>
    <w:rsid w:val="6F343BCA"/>
    <w:rsid w:val="6F3727CE"/>
    <w:rsid w:val="6F4A76EC"/>
    <w:rsid w:val="6F4B1FB9"/>
    <w:rsid w:val="6F5222A2"/>
    <w:rsid w:val="6F556196"/>
    <w:rsid w:val="6F563B40"/>
    <w:rsid w:val="6F563FB6"/>
    <w:rsid w:val="6F583137"/>
    <w:rsid w:val="6F5B73A8"/>
    <w:rsid w:val="6F5D454B"/>
    <w:rsid w:val="6F64777C"/>
    <w:rsid w:val="6F6760B2"/>
    <w:rsid w:val="6F6B1BE9"/>
    <w:rsid w:val="6F8021DF"/>
    <w:rsid w:val="6F8D32DA"/>
    <w:rsid w:val="6F910005"/>
    <w:rsid w:val="6F997ED1"/>
    <w:rsid w:val="6F9E5352"/>
    <w:rsid w:val="6FA04DBB"/>
    <w:rsid w:val="6FA268BC"/>
    <w:rsid w:val="6FA26D85"/>
    <w:rsid w:val="6FA62FB7"/>
    <w:rsid w:val="6FAF14A2"/>
    <w:rsid w:val="6FB203BD"/>
    <w:rsid w:val="6FB950CB"/>
    <w:rsid w:val="6FB97C2B"/>
    <w:rsid w:val="6FBA755D"/>
    <w:rsid w:val="6FC0545D"/>
    <w:rsid w:val="6FC5656F"/>
    <w:rsid w:val="6FC6006D"/>
    <w:rsid w:val="6FCA008A"/>
    <w:rsid w:val="6FCD517D"/>
    <w:rsid w:val="6FE32EFA"/>
    <w:rsid w:val="6FE949B4"/>
    <w:rsid w:val="6FF11ABB"/>
    <w:rsid w:val="6FF46EB5"/>
    <w:rsid w:val="6FF62C2D"/>
    <w:rsid w:val="6FFD220E"/>
    <w:rsid w:val="70052E70"/>
    <w:rsid w:val="70074E3A"/>
    <w:rsid w:val="700D5040"/>
    <w:rsid w:val="701227F0"/>
    <w:rsid w:val="70147557"/>
    <w:rsid w:val="701D6BD4"/>
    <w:rsid w:val="702C48A1"/>
    <w:rsid w:val="702E102A"/>
    <w:rsid w:val="703F45D4"/>
    <w:rsid w:val="704C0A9F"/>
    <w:rsid w:val="704F17B5"/>
    <w:rsid w:val="704F419B"/>
    <w:rsid w:val="705309F1"/>
    <w:rsid w:val="706302B0"/>
    <w:rsid w:val="7064228D"/>
    <w:rsid w:val="706933FF"/>
    <w:rsid w:val="706C1141"/>
    <w:rsid w:val="706C7393"/>
    <w:rsid w:val="70716758"/>
    <w:rsid w:val="70727FC2"/>
    <w:rsid w:val="70744BA6"/>
    <w:rsid w:val="7080699B"/>
    <w:rsid w:val="70872684"/>
    <w:rsid w:val="708F6DAD"/>
    <w:rsid w:val="70981F36"/>
    <w:rsid w:val="709A304D"/>
    <w:rsid w:val="70A24249"/>
    <w:rsid w:val="70A4425D"/>
    <w:rsid w:val="70B07280"/>
    <w:rsid w:val="70B36D70"/>
    <w:rsid w:val="70B67EF3"/>
    <w:rsid w:val="70C745CA"/>
    <w:rsid w:val="70CE7706"/>
    <w:rsid w:val="70D34D1C"/>
    <w:rsid w:val="70E62CA2"/>
    <w:rsid w:val="70E64A50"/>
    <w:rsid w:val="70EF4E36"/>
    <w:rsid w:val="70F25AEA"/>
    <w:rsid w:val="70FB41F2"/>
    <w:rsid w:val="7104645B"/>
    <w:rsid w:val="71151FF8"/>
    <w:rsid w:val="71153587"/>
    <w:rsid w:val="71155335"/>
    <w:rsid w:val="71175551"/>
    <w:rsid w:val="712E63F7"/>
    <w:rsid w:val="713D5101"/>
    <w:rsid w:val="7143350E"/>
    <w:rsid w:val="714479C8"/>
    <w:rsid w:val="714618DC"/>
    <w:rsid w:val="714B0D57"/>
    <w:rsid w:val="714F7796"/>
    <w:rsid w:val="71597917"/>
    <w:rsid w:val="715A2873"/>
    <w:rsid w:val="716419ED"/>
    <w:rsid w:val="716A38D3"/>
    <w:rsid w:val="71723771"/>
    <w:rsid w:val="717E112C"/>
    <w:rsid w:val="71902C0D"/>
    <w:rsid w:val="71922E29"/>
    <w:rsid w:val="71946BA2"/>
    <w:rsid w:val="719B7F30"/>
    <w:rsid w:val="71A712B9"/>
    <w:rsid w:val="71AB4182"/>
    <w:rsid w:val="71B1268E"/>
    <w:rsid w:val="71B2591D"/>
    <w:rsid w:val="71B40089"/>
    <w:rsid w:val="71B8630D"/>
    <w:rsid w:val="71C23209"/>
    <w:rsid w:val="71C34D91"/>
    <w:rsid w:val="71C805F9"/>
    <w:rsid w:val="71D60F68"/>
    <w:rsid w:val="71D86DAF"/>
    <w:rsid w:val="71DE41DB"/>
    <w:rsid w:val="71E05943"/>
    <w:rsid w:val="71E12151"/>
    <w:rsid w:val="71EC3480"/>
    <w:rsid w:val="72021D5D"/>
    <w:rsid w:val="72165809"/>
    <w:rsid w:val="721825FF"/>
    <w:rsid w:val="721C622C"/>
    <w:rsid w:val="721E46BD"/>
    <w:rsid w:val="72225F5B"/>
    <w:rsid w:val="72255AF0"/>
    <w:rsid w:val="723A0464"/>
    <w:rsid w:val="723D78FB"/>
    <w:rsid w:val="724B4D17"/>
    <w:rsid w:val="7251239D"/>
    <w:rsid w:val="72534367"/>
    <w:rsid w:val="7259263D"/>
    <w:rsid w:val="72600832"/>
    <w:rsid w:val="72610644"/>
    <w:rsid w:val="72621826"/>
    <w:rsid w:val="72621D08"/>
    <w:rsid w:val="72671BC0"/>
    <w:rsid w:val="72760055"/>
    <w:rsid w:val="72802C82"/>
    <w:rsid w:val="72903084"/>
    <w:rsid w:val="7295497F"/>
    <w:rsid w:val="729A761C"/>
    <w:rsid w:val="729C17BF"/>
    <w:rsid w:val="72B837DC"/>
    <w:rsid w:val="72C06E2F"/>
    <w:rsid w:val="72C139C6"/>
    <w:rsid w:val="72CE60E3"/>
    <w:rsid w:val="72D51220"/>
    <w:rsid w:val="72D875CA"/>
    <w:rsid w:val="72ED690F"/>
    <w:rsid w:val="72EE5E3E"/>
    <w:rsid w:val="72F153E5"/>
    <w:rsid w:val="72F21DD2"/>
    <w:rsid w:val="72F40B96"/>
    <w:rsid w:val="72F5601B"/>
    <w:rsid w:val="72F80DDA"/>
    <w:rsid w:val="72F92A45"/>
    <w:rsid w:val="730E4732"/>
    <w:rsid w:val="73102258"/>
    <w:rsid w:val="73131D48"/>
    <w:rsid w:val="73171838"/>
    <w:rsid w:val="731C29AB"/>
    <w:rsid w:val="731D3C1A"/>
    <w:rsid w:val="731F249B"/>
    <w:rsid w:val="73267CCD"/>
    <w:rsid w:val="7329156C"/>
    <w:rsid w:val="73351CBE"/>
    <w:rsid w:val="73373C88"/>
    <w:rsid w:val="7338355D"/>
    <w:rsid w:val="73460A66"/>
    <w:rsid w:val="734819F2"/>
    <w:rsid w:val="734E4B2E"/>
    <w:rsid w:val="735B1C4A"/>
    <w:rsid w:val="73610D05"/>
    <w:rsid w:val="736425A4"/>
    <w:rsid w:val="736D1458"/>
    <w:rsid w:val="737427E7"/>
    <w:rsid w:val="73797DFD"/>
    <w:rsid w:val="73832A2A"/>
    <w:rsid w:val="738A200A"/>
    <w:rsid w:val="738D2FA0"/>
    <w:rsid w:val="73927111"/>
    <w:rsid w:val="739369E5"/>
    <w:rsid w:val="73944C37"/>
    <w:rsid w:val="73A04F19"/>
    <w:rsid w:val="73A051F4"/>
    <w:rsid w:val="73B61051"/>
    <w:rsid w:val="73C357A9"/>
    <w:rsid w:val="73CA7418"/>
    <w:rsid w:val="73CB43D1"/>
    <w:rsid w:val="73D03C1B"/>
    <w:rsid w:val="73D260F9"/>
    <w:rsid w:val="73DA4614"/>
    <w:rsid w:val="73DC27D7"/>
    <w:rsid w:val="73DE4104"/>
    <w:rsid w:val="73E90BC8"/>
    <w:rsid w:val="73EE5E10"/>
    <w:rsid w:val="73F17A55"/>
    <w:rsid w:val="73F33E20"/>
    <w:rsid w:val="73F9363E"/>
    <w:rsid w:val="74082FD3"/>
    <w:rsid w:val="740A314B"/>
    <w:rsid w:val="740A7D83"/>
    <w:rsid w:val="741A083D"/>
    <w:rsid w:val="742835D1"/>
    <w:rsid w:val="743401C8"/>
    <w:rsid w:val="74373B90"/>
    <w:rsid w:val="743B1556"/>
    <w:rsid w:val="743C0E2B"/>
    <w:rsid w:val="744426B4"/>
    <w:rsid w:val="74462A18"/>
    <w:rsid w:val="744D6746"/>
    <w:rsid w:val="745443C6"/>
    <w:rsid w:val="7459071E"/>
    <w:rsid w:val="745C0078"/>
    <w:rsid w:val="746414A6"/>
    <w:rsid w:val="746565D3"/>
    <w:rsid w:val="74681C20"/>
    <w:rsid w:val="746A3BEA"/>
    <w:rsid w:val="747D391D"/>
    <w:rsid w:val="748038B2"/>
    <w:rsid w:val="74822CE1"/>
    <w:rsid w:val="74827185"/>
    <w:rsid w:val="748D5D33"/>
    <w:rsid w:val="749018A2"/>
    <w:rsid w:val="74AE3AD6"/>
    <w:rsid w:val="74BB2697"/>
    <w:rsid w:val="74C21BE6"/>
    <w:rsid w:val="74CE4179"/>
    <w:rsid w:val="74D3178F"/>
    <w:rsid w:val="74D472B5"/>
    <w:rsid w:val="74D774D1"/>
    <w:rsid w:val="74E23A71"/>
    <w:rsid w:val="74E54B1E"/>
    <w:rsid w:val="74E76FE8"/>
    <w:rsid w:val="74E92D60"/>
    <w:rsid w:val="74EC0770"/>
    <w:rsid w:val="74F82412"/>
    <w:rsid w:val="74FE10BC"/>
    <w:rsid w:val="7500355D"/>
    <w:rsid w:val="75022074"/>
    <w:rsid w:val="75091655"/>
    <w:rsid w:val="750B717B"/>
    <w:rsid w:val="750D4D68"/>
    <w:rsid w:val="751A116C"/>
    <w:rsid w:val="751B4EE4"/>
    <w:rsid w:val="7521074C"/>
    <w:rsid w:val="752815A8"/>
    <w:rsid w:val="752B1261"/>
    <w:rsid w:val="752C40FF"/>
    <w:rsid w:val="75306BE1"/>
    <w:rsid w:val="753164B5"/>
    <w:rsid w:val="753C7334"/>
    <w:rsid w:val="75471005"/>
    <w:rsid w:val="754D5F6B"/>
    <w:rsid w:val="75504B8E"/>
    <w:rsid w:val="75524DAA"/>
    <w:rsid w:val="7553467E"/>
    <w:rsid w:val="755A5E73"/>
    <w:rsid w:val="755F1275"/>
    <w:rsid w:val="75614FED"/>
    <w:rsid w:val="75682EC7"/>
    <w:rsid w:val="756845CD"/>
    <w:rsid w:val="756E5C1E"/>
    <w:rsid w:val="756E770A"/>
    <w:rsid w:val="757A60AE"/>
    <w:rsid w:val="75812F99"/>
    <w:rsid w:val="7581743D"/>
    <w:rsid w:val="758275AE"/>
    <w:rsid w:val="7592164A"/>
    <w:rsid w:val="75955F2A"/>
    <w:rsid w:val="759B1B2A"/>
    <w:rsid w:val="759D3EF5"/>
    <w:rsid w:val="759E1D9D"/>
    <w:rsid w:val="75A86778"/>
    <w:rsid w:val="75A900FA"/>
    <w:rsid w:val="75AD36EC"/>
    <w:rsid w:val="75BF1D13"/>
    <w:rsid w:val="75C0214A"/>
    <w:rsid w:val="75C115D7"/>
    <w:rsid w:val="75C13CDD"/>
    <w:rsid w:val="75C80BC8"/>
    <w:rsid w:val="75CC556C"/>
    <w:rsid w:val="75D532E5"/>
    <w:rsid w:val="75D60001"/>
    <w:rsid w:val="75D62561"/>
    <w:rsid w:val="75DC28C5"/>
    <w:rsid w:val="75E31EA6"/>
    <w:rsid w:val="75E44737"/>
    <w:rsid w:val="75EA640D"/>
    <w:rsid w:val="75ED7BBF"/>
    <w:rsid w:val="75FB71EF"/>
    <w:rsid w:val="76041807"/>
    <w:rsid w:val="760B6D06"/>
    <w:rsid w:val="7610256F"/>
    <w:rsid w:val="76107730"/>
    <w:rsid w:val="76124539"/>
    <w:rsid w:val="761C5F12"/>
    <w:rsid w:val="76245712"/>
    <w:rsid w:val="763C15B6"/>
    <w:rsid w:val="76654669"/>
    <w:rsid w:val="76690275"/>
    <w:rsid w:val="766A6123"/>
    <w:rsid w:val="76876CD5"/>
    <w:rsid w:val="768805CB"/>
    <w:rsid w:val="768F7938"/>
    <w:rsid w:val="76901DB2"/>
    <w:rsid w:val="76907106"/>
    <w:rsid w:val="76935ABA"/>
    <w:rsid w:val="76A21419"/>
    <w:rsid w:val="76A333E3"/>
    <w:rsid w:val="76A553AD"/>
    <w:rsid w:val="76AE24B4"/>
    <w:rsid w:val="76B44450"/>
    <w:rsid w:val="76B4739E"/>
    <w:rsid w:val="76B94E2F"/>
    <w:rsid w:val="76C375E1"/>
    <w:rsid w:val="76C620F3"/>
    <w:rsid w:val="76C92E49"/>
    <w:rsid w:val="76CC0B8C"/>
    <w:rsid w:val="76D505C1"/>
    <w:rsid w:val="76D8308D"/>
    <w:rsid w:val="76DC0615"/>
    <w:rsid w:val="76DC6DBA"/>
    <w:rsid w:val="76E934EC"/>
    <w:rsid w:val="77016BB2"/>
    <w:rsid w:val="770D1341"/>
    <w:rsid w:val="770E2F52"/>
    <w:rsid w:val="771340C5"/>
    <w:rsid w:val="77162BA5"/>
    <w:rsid w:val="77170059"/>
    <w:rsid w:val="771A166C"/>
    <w:rsid w:val="771A5453"/>
    <w:rsid w:val="771D707E"/>
    <w:rsid w:val="772A140E"/>
    <w:rsid w:val="773A3D47"/>
    <w:rsid w:val="77473CD3"/>
    <w:rsid w:val="774B7774"/>
    <w:rsid w:val="77534E09"/>
    <w:rsid w:val="775841CD"/>
    <w:rsid w:val="775B5A6C"/>
    <w:rsid w:val="776147FE"/>
    <w:rsid w:val="776C561B"/>
    <w:rsid w:val="776C5B76"/>
    <w:rsid w:val="776F42E7"/>
    <w:rsid w:val="777828B1"/>
    <w:rsid w:val="77786069"/>
    <w:rsid w:val="77786603"/>
    <w:rsid w:val="777B4184"/>
    <w:rsid w:val="77903967"/>
    <w:rsid w:val="77935205"/>
    <w:rsid w:val="77976CB5"/>
    <w:rsid w:val="77AC7494"/>
    <w:rsid w:val="77BE11F1"/>
    <w:rsid w:val="77BF1E80"/>
    <w:rsid w:val="77DB72D8"/>
    <w:rsid w:val="77DF044B"/>
    <w:rsid w:val="77E87EF4"/>
    <w:rsid w:val="77ED2B68"/>
    <w:rsid w:val="77F83AFA"/>
    <w:rsid w:val="77F9150C"/>
    <w:rsid w:val="77FA7033"/>
    <w:rsid w:val="77FC2DAB"/>
    <w:rsid w:val="78085BF3"/>
    <w:rsid w:val="780D6D66"/>
    <w:rsid w:val="78146346"/>
    <w:rsid w:val="78224B9D"/>
    <w:rsid w:val="78261A79"/>
    <w:rsid w:val="78294225"/>
    <w:rsid w:val="78381E67"/>
    <w:rsid w:val="784527E2"/>
    <w:rsid w:val="78496AB4"/>
    <w:rsid w:val="785D50C3"/>
    <w:rsid w:val="78622A88"/>
    <w:rsid w:val="78676109"/>
    <w:rsid w:val="78680440"/>
    <w:rsid w:val="786848E4"/>
    <w:rsid w:val="7879264D"/>
    <w:rsid w:val="788A6608"/>
    <w:rsid w:val="788C4EF0"/>
    <w:rsid w:val="788E33F8"/>
    <w:rsid w:val="78915BE9"/>
    <w:rsid w:val="789246F8"/>
    <w:rsid w:val="78B34E43"/>
    <w:rsid w:val="78B378BC"/>
    <w:rsid w:val="78B673FD"/>
    <w:rsid w:val="78C0027C"/>
    <w:rsid w:val="78C80EDF"/>
    <w:rsid w:val="78C83210"/>
    <w:rsid w:val="78CC6C21"/>
    <w:rsid w:val="78D36201"/>
    <w:rsid w:val="78D636FC"/>
    <w:rsid w:val="78D930EC"/>
    <w:rsid w:val="78E24696"/>
    <w:rsid w:val="78E71CAD"/>
    <w:rsid w:val="78EF5A8A"/>
    <w:rsid w:val="78F41CD4"/>
    <w:rsid w:val="78FD502C"/>
    <w:rsid w:val="790243F1"/>
    <w:rsid w:val="79053EE1"/>
    <w:rsid w:val="79113C0D"/>
    <w:rsid w:val="7916330F"/>
    <w:rsid w:val="79166AA4"/>
    <w:rsid w:val="79183C14"/>
    <w:rsid w:val="79226841"/>
    <w:rsid w:val="79346574"/>
    <w:rsid w:val="79382508"/>
    <w:rsid w:val="793B0222"/>
    <w:rsid w:val="793B144B"/>
    <w:rsid w:val="793D3813"/>
    <w:rsid w:val="794E5888"/>
    <w:rsid w:val="7956298E"/>
    <w:rsid w:val="79646E59"/>
    <w:rsid w:val="79653958"/>
    <w:rsid w:val="79691187"/>
    <w:rsid w:val="79744F4D"/>
    <w:rsid w:val="7974769E"/>
    <w:rsid w:val="797A2A0C"/>
    <w:rsid w:val="798474FC"/>
    <w:rsid w:val="79892065"/>
    <w:rsid w:val="798B2638"/>
    <w:rsid w:val="798B6ADC"/>
    <w:rsid w:val="798B6FB4"/>
    <w:rsid w:val="79955265"/>
    <w:rsid w:val="79986848"/>
    <w:rsid w:val="79A25E1B"/>
    <w:rsid w:val="79AA3928"/>
    <w:rsid w:val="79AB6836"/>
    <w:rsid w:val="79AB6C35"/>
    <w:rsid w:val="79B17BC5"/>
    <w:rsid w:val="79B575AB"/>
    <w:rsid w:val="79B7342D"/>
    <w:rsid w:val="79BC0A44"/>
    <w:rsid w:val="79C1605A"/>
    <w:rsid w:val="79C21DD2"/>
    <w:rsid w:val="79C70EB1"/>
    <w:rsid w:val="79CD3424"/>
    <w:rsid w:val="79D12015"/>
    <w:rsid w:val="79D57D57"/>
    <w:rsid w:val="79DD5930"/>
    <w:rsid w:val="79EB5E4E"/>
    <w:rsid w:val="79ED6E4F"/>
    <w:rsid w:val="79F04B91"/>
    <w:rsid w:val="79F77CCE"/>
    <w:rsid w:val="79F857F4"/>
    <w:rsid w:val="79FC7092"/>
    <w:rsid w:val="7A036D87"/>
    <w:rsid w:val="7A037A88"/>
    <w:rsid w:val="7A122D59"/>
    <w:rsid w:val="7A146AD1"/>
    <w:rsid w:val="7A1E09E0"/>
    <w:rsid w:val="7A204A74"/>
    <w:rsid w:val="7A37631C"/>
    <w:rsid w:val="7A3A405E"/>
    <w:rsid w:val="7A4078C7"/>
    <w:rsid w:val="7A432F13"/>
    <w:rsid w:val="7A4822D7"/>
    <w:rsid w:val="7A4D5B40"/>
    <w:rsid w:val="7A543372"/>
    <w:rsid w:val="7A59103E"/>
    <w:rsid w:val="7A613399"/>
    <w:rsid w:val="7A652E89"/>
    <w:rsid w:val="7A664E53"/>
    <w:rsid w:val="7A6730A5"/>
    <w:rsid w:val="7A73790A"/>
    <w:rsid w:val="7A7632E8"/>
    <w:rsid w:val="7A777060"/>
    <w:rsid w:val="7A792DD8"/>
    <w:rsid w:val="7A7C6425"/>
    <w:rsid w:val="7A807CC3"/>
    <w:rsid w:val="7A8D418E"/>
    <w:rsid w:val="7A995229"/>
    <w:rsid w:val="7A9C2623"/>
    <w:rsid w:val="7AA00365"/>
    <w:rsid w:val="7AA80FC8"/>
    <w:rsid w:val="7AAD07A9"/>
    <w:rsid w:val="7AC5601E"/>
    <w:rsid w:val="7AC70021"/>
    <w:rsid w:val="7AC73B44"/>
    <w:rsid w:val="7AC878BC"/>
    <w:rsid w:val="7AC92CDC"/>
    <w:rsid w:val="7AD86D9F"/>
    <w:rsid w:val="7AE039A7"/>
    <w:rsid w:val="7AF86833"/>
    <w:rsid w:val="7B02692A"/>
    <w:rsid w:val="7B0F54EB"/>
    <w:rsid w:val="7B170AE6"/>
    <w:rsid w:val="7B19062C"/>
    <w:rsid w:val="7B1E74DC"/>
    <w:rsid w:val="7B203254"/>
    <w:rsid w:val="7B2849CC"/>
    <w:rsid w:val="7B2B3E41"/>
    <w:rsid w:val="7B306C6D"/>
    <w:rsid w:val="7B30793B"/>
    <w:rsid w:val="7B3454C7"/>
    <w:rsid w:val="7B3E01CE"/>
    <w:rsid w:val="7B3F0586"/>
    <w:rsid w:val="7B4B6523"/>
    <w:rsid w:val="7B503B39"/>
    <w:rsid w:val="7B5159FC"/>
    <w:rsid w:val="7B711D02"/>
    <w:rsid w:val="7B791026"/>
    <w:rsid w:val="7B7B1D2B"/>
    <w:rsid w:val="7B7D2B1A"/>
    <w:rsid w:val="7B8167E7"/>
    <w:rsid w:val="7B8721B4"/>
    <w:rsid w:val="7B917CAE"/>
    <w:rsid w:val="7B9524AE"/>
    <w:rsid w:val="7B9652C4"/>
    <w:rsid w:val="7B9B4B89"/>
    <w:rsid w:val="7B9D0BEA"/>
    <w:rsid w:val="7BA0052F"/>
    <w:rsid w:val="7BA537EF"/>
    <w:rsid w:val="7BA9149B"/>
    <w:rsid w:val="7BAF7DB0"/>
    <w:rsid w:val="7BB726C2"/>
    <w:rsid w:val="7BBB10FB"/>
    <w:rsid w:val="7BBB6450"/>
    <w:rsid w:val="7BC41E31"/>
    <w:rsid w:val="7BC50449"/>
    <w:rsid w:val="7BC63589"/>
    <w:rsid w:val="7BC77B74"/>
    <w:rsid w:val="7BD659DE"/>
    <w:rsid w:val="7BDF0A19"/>
    <w:rsid w:val="7BEE5100"/>
    <w:rsid w:val="7BF24BF0"/>
    <w:rsid w:val="7BF30969"/>
    <w:rsid w:val="7BF81ADB"/>
    <w:rsid w:val="7BFC0690"/>
    <w:rsid w:val="7C0B3F04"/>
    <w:rsid w:val="7C0C0795"/>
    <w:rsid w:val="7C0C4D1D"/>
    <w:rsid w:val="7C286864"/>
    <w:rsid w:val="7C2E374F"/>
    <w:rsid w:val="7C30396B"/>
    <w:rsid w:val="7C306240"/>
    <w:rsid w:val="7C316A97"/>
    <w:rsid w:val="7C3A4791"/>
    <w:rsid w:val="7C3E7E36"/>
    <w:rsid w:val="7C3F770A"/>
    <w:rsid w:val="7C4411C4"/>
    <w:rsid w:val="7C5308F9"/>
    <w:rsid w:val="7C5613CF"/>
    <w:rsid w:val="7C662EE9"/>
    <w:rsid w:val="7C695805"/>
    <w:rsid w:val="7C746147"/>
    <w:rsid w:val="7C9061B7"/>
    <w:rsid w:val="7CBC0D5A"/>
    <w:rsid w:val="7CBE0F77"/>
    <w:rsid w:val="7CC10E1D"/>
    <w:rsid w:val="7CC77E2B"/>
    <w:rsid w:val="7CD82038"/>
    <w:rsid w:val="7CDC31AB"/>
    <w:rsid w:val="7CDD7BE2"/>
    <w:rsid w:val="7CE33047"/>
    <w:rsid w:val="7CF229CE"/>
    <w:rsid w:val="7CFE75C5"/>
    <w:rsid w:val="7D036989"/>
    <w:rsid w:val="7D0874E2"/>
    <w:rsid w:val="7D0A7D18"/>
    <w:rsid w:val="7D1172F8"/>
    <w:rsid w:val="7D194197"/>
    <w:rsid w:val="7D1A3AA4"/>
    <w:rsid w:val="7D256900"/>
    <w:rsid w:val="7D3309F0"/>
    <w:rsid w:val="7D374579"/>
    <w:rsid w:val="7D3B75E0"/>
    <w:rsid w:val="7D3E48E8"/>
    <w:rsid w:val="7D423956"/>
    <w:rsid w:val="7D4303A3"/>
    <w:rsid w:val="7D5B4A17"/>
    <w:rsid w:val="7D5E35DE"/>
    <w:rsid w:val="7D7115BD"/>
    <w:rsid w:val="7D733B0F"/>
    <w:rsid w:val="7D8B5CE3"/>
    <w:rsid w:val="7D913F95"/>
    <w:rsid w:val="7DA63EE4"/>
    <w:rsid w:val="7DB12889"/>
    <w:rsid w:val="7DB2368B"/>
    <w:rsid w:val="7DBD3124"/>
    <w:rsid w:val="7DC569CD"/>
    <w:rsid w:val="7DC9372F"/>
    <w:rsid w:val="7DCC035C"/>
    <w:rsid w:val="7DCC76C3"/>
    <w:rsid w:val="7DD02D0F"/>
    <w:rsid w:val="7DD255A1"/>
    <w:rsid w:val="7DE66FEC"/>
    <w:rsid w:val="7DF503CD"/>
    <w:rsid w:val="7DFD162B"/>
    <w:rsid w:val="7E002EC9"/>
    <w:rsid w:val="7E0B1F99"/>
    <w:rsid w:val="7E0D71B6"/>
    <w:rsid w:val="7E152E18"/>
    <w:rsid w:val="7E19345F"/>
    <w:rsid w:val="7E1D1694"/>
    <w:rsid w:val="7E260B81"/>
    <w:rsid w:val="7E290672"/>
    <w:rsid w:val="7E292420"/>
    <w:rsid w:val="7E2E3EDA"/>
    <w:rsid w:val="7E3379ED"/>
    <w:rsid w:val="7E4E00D8"/>
    <w:rsid w:val="7E576F8D"/>
    <w:rsid w:val="7E5A4CCF"/>
    <w:rsid w:val="7E6104C2"/>
    <w:rsid w:val="7E611995"/>
    <w:rsid w:val="7E6D4A02"/>
    <w:rsid w:val="7E6E2C0C"/>
    <w:rsid w:val="7E7B692C"/>
    <w:rsid w:val="7E831886"/>
    <w:rsid w:val="7E9A48F3"/>
    <w:rsid w:val="7E9E4AB9"/>
    <w:rsid w:val="7E9F053D"/>
    <w:rsid w:val="7EA36676"/>
    <w:rsid w:val="7EB443DF"/>
    <w:rsid w:val="7EB50D93"/>
    <w:rsid w:val="7EB5123F"/>
    <w:rsid w:val="7ECD3F31"/>
    <w:rsid w:val="7EDA1FB1"/>
    <w:rsid w:val="7EDB0852"/>
    <w:rsid w:val="7EDC7492"/>
    <w:rsid w:val="7EE63C40"/>
    <w:rsid w:val="7EF667A6"/>
    <w:rsid w:val="7EF84BE5"/>
    <w:rsid w:val="7F006358"/>
    <w:rsid w:val="7F070B46"/>
    <w:rsid w:val="7F0772EF"/>
    <w:rsid w:val="7F0C291C"/>
    <w:rsid w:val="7F222895"/>
    <w:rsid w:val="7F2257ED"/>
    <w:rsid w:val="7F285FF8"/>
    <w:rsid w:val="7F3411DD"/>
    <w:rsid w:val="7F453223"/>
    <w:rsid w:val="7F4712BC"/>
    <w:rsid w:val="7F4C10B6"/>
    <w:rsid w:val="7F581813"/>
    <w:rsid w:val="7F594F87"/>
    <w:rsid w:val="7F5E259D"/>
    <w:rsid w:val="7F6A272C"/>
    <w:rsid w:val="7F744861"/>
    <w:rsid w:val="7F765B38"/>
    <w:rsid w:val="7F7D6EC7"/>
    <w:rsid w:val="7F855D7C"/>
    <w:rsid w:val="7F906C78"/>
    <w:rsid w:val="7F963AE5"/>
    <w:rsid w:val="7F9951A8"/>
    <w:rsid w:val="7F9A5A48"/>
    <w:rsid w:val="7F9C3A4F"/>
    <w:rsid w:val="7F9E6889"/>
    <w:rsid w:val="7FB37720"/>
    <w:rsid w:val="7FB56661"/>
    <w:rsid w:val="7FC0018F"/>
    <w:rsid w:val="7FD5285F"/>
    <w:rsid w:val="7FD76DB4"/>
    <w:rsid w:val="7FD921AA"/>
    <w:rsid w:val="7FDD3D43"/>
    <w:rsid w:val="7FDF68AC"/>
    <w:rsid w:val="7FDF723A"/>
    <w:rsid w:val="7FE505C8"/>
    <w:rsid w:val="7FEE3921"/>
    <w:rsid w:val="7FF268BB"/>
    <w:rsid w:val="7FF60A27"/>
    <w:rsid w:val="7FFD1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qFormat/>
    <w:uiPriority w:val="1"/>
    <w:pPr>
      <w:ind w:left="1132"/>
      <w:outlineLvl w:val="3"/>
    </w:pPr>
    <w:rPr>
      <w:rFonts w:ascii="宋体" w:hAnsi="宋体" w:eastAsia="宋体" w:cs="宋体"/>
      <w:b/>
      <w:bCs/>
      <w:sz w:val="24"/>
      <w:szCs w:val="24"/>
      <w:lang w:val="zh-CN" w:eastAsia="zh-CN" w:bidi="zh-CN"/>
    </w:rPr>
  </w:style>
  <w:style w:type="paragraph" w:styleId="7">
    <w:name w:val="heading 4"/>
    <w:basedOn w:val="1"/>
    <w:next w:val="1"/>
    <w:qFormat/>
    <w:uiPriority w:val="9"/>
    <w:pPr>
      <w:keepNext/>
      <w:keepLines/>
      <w:adjustRightInd w:val="0"/>
      <w:snapToGrid w:val="0"/>
      <w:spacing w:line="360" w:lineRule="auto"/>
      <w:jc w:val="both"/>
      <w:outlineLvl w:val="3"/>
    </w:pPr>
    <w:rPr>
      <w:rFonts w:ascii="Times New Roman" w:hAnsi="Times New Roman" w:eastAsia="黑体" w:cs="Times New Roman"/>
      <w:bCs/>
      <w:kern w:val="2"/>
      <w:sz w:val="24"/>
      <w:szCs w:val="28"/>
      <w:lang w:val="en-US" w:eastAsia="zh-CN" w:bidi="ar-SA"/>
    </w:rPr>
  </w:style>
  <w:style w:type="character" w:default="1" w:styleId="38">
    <w:name w:val="Default Paragraph Font"/>
    <w:semiHidden/>
    <w:qFormat/>
    <w:uiPriority w:val="0"/>
  </w:style>
  <w:style w:type="table" w:default="1" w:styleId="3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szCs w:val="24"/>
    </w:rPr>
  </w:style>
  <w:style w:type="paragraph" w:styleId="3">
    <w:name w:val="Body Text Indent"/>
    <w:basedOn w:val="1"/>
    <w:next w:val="1"/>
    <w:semiHidden/>
    <w:qFormat/>
    <w:uiPriority w:val="0"/>
    <w:pPr>
      <w:spacing w:after="120"/>
      <w:ind w:left="420" w:leftChars="200"/>
    </w:pPr>
  </w:style>
  <w:style w:type="paragraph" w:styleId="8">
    <w:name w:val="E-mail Signature"/>
    <w:basedOn w:val="1"/>
    <w:next w:val="9"/>
    <w:qFormat/>
    <w:uiPriority w:val="0"/>
    <w:pPr>
      <w:spacing w:before="60"/>
      <w:ind w:firstLine="482"/>
    </w:pPr>
    <w:rPr>
      <w:rFonts w:ascii="Arial" w:hAnsi="Arial" w:eastAsia="仿宋_GB2312" w:cs="Times New Roman"/>
      <w:sz w:val="24"/>
      <w:szCs w:val="22"/>
    </w:rPr>
  </w:style>
  <w:style w:type="paragraph" w:customStyle="1" w:styleId="9">
    <w:name w:val="文章"/>
    <w:basedOn w:val="1"/>
    <w:next w:val="10"/>
    <w:qFormat/>
    <w:uiPriority w:val="0"/>
    <w:pPr>
      <w:widowControl/>
      <w:ind w:firstLine="480"/>
      <w:jc w:val="center"/>
    </w:pPr>
    <w:rPr>
      <w:sz w:val="26"/>
    </w:rPr>
  </w:style>
  <w:style w:type="paragraph" w:styleId="10">
    <w:name w:val="List"/>
    <w:basedOn w:val="1"/>
    <w:next w:val="11"/>
    <w:qFormat/>
    <w:uiPriority w:val="0"/>
    <w:pPr>
      <w:adjustRightInd w:val="0"/>
      <w:spacing w:line="560" w:lineRule="atLeast"/>
      <w:ind w:left="420" w:hanging="420"/>
    </w:pPr>
    <w:rPr>
      <w:rFonts w:hint="eastAsia" w:ascii="仿宋_GB2312" w:eastAsia="仿宋_GB2312"/>
      <w:color w:val="000000"/>
      <w:kern w:val="0"/>
      <w:sz w:val="32"/>
      <w:szCs w:val="20"/>
    </w:rPr>
  </w:style>
  <w:style w:type="paragraph" w:styleId="11">
    <w:name w:val="List Bullet 2"/>
    <w:basedOn w:val="1"/>
    <w:next w:val="12"/>
    <w:qFormat/>
    <w:uiPriority w:val="0"/>
    <w:pPr>
      <w:numPr>
        <w:ilvl w:val="0"/>
        <w:numId w:val="1"/>
      </w:numPr>
    </w:pPr>
  </w:style>
  <w:style w:type="paragraph" w:customStyle="1" w:styleId="12">
    <w:name w:val="xl70"/>
    <w:basedOn w:val="1"/>
    <w:next w:val="13"/>
    <w:qFormat/>
    <w:uiPriority w:val="0"/>
    <w:pPr>
      <w:widowControl/>
      <w:spacing w:before="100" w:beforeAutospacing="1" w:after="100" w:afterAutospacing="1"/>
      <w:jc w:val="left"/>
    </w:pPr>
    <w:rPr>
      <w:rFonts w:ascii="宋体" w:hAnsi="宋体"/>
      <w:b/>
      <w:bCs/>
      <w:kern w:val="0"/>
      <w:sz w:val="22"/>
      <w:szCs w:val="22"/>
    </w:rPr>
  </w:style>
  <w:style w:type="paragraph" w:customStyle="1" w:styleId="13">
    <w:name w:val="正文缩进1"/>
    <w:basedOn w:val="1"/>
    <w:qFormat/>
    <w:uiPriority w:val="0"/>
    <w:pPr>
      <w:adjustRightInd w:val="0"/>
      <w:ind w:firstLine="420"/>
      <w:jc w:val="left"/>
      <w:textAlignment w:val="baseline"/>
    </w:pPr>
    <w:rPr>
      <w:sz w:val="24"/>
    </w:rPr>
  </w:style>
  <w:style w:type="paragraph" w:styleId="14">
    <w:name w:val="Normal Indent"/>
    <w:basedOn w:val="1"/>
    <w:next w:val="15"/>
    <w:qFormat/>
    <w:uiPriority w:val="0"/>
    <w:pPr>
      <w:adjustRightInd w:val="0"/>
      <w:spacing w:line="312" w:lineRule="atLeast"/>
      <w:ind w:firstLine="420"/>
      <w:textAlignment w:val="baseline"/>
    </w:pPr>
    <w:rPr>
      <w:rFonts w:hAnsi="Courier New"/>
      <w:kern w:val="0"/>
      <w:sz w:val="21"/>
      <w:szCs w:val="20"/>
    </w:rPr>
  </w:style>
  <w:style w:type="paragraph" w:styleId="15">
    <w:name w:val="footnote text"/>
    <w:basedOn w:val="1"/>
    <w:qFormat/>
    <w:uiPriority w:val="0"/>
    <w:pPr>
      <w:snapToGrid w:val="0"/>
      <w:jc w:val="left"/>
    </w:pPr>
    <w:rPr>
      <w:sz w:val="18"/>
      <w:szCs w:val="18"/>
    </w:rPr>
  </w:style>
  <w:style w:type="paragraph" w:styleId="16">
    <w:name w:val="caption"/>
    <w:basedOn w:val="1"/>
    <w:next w:val="1"/>
    <w:unhideWhenUsed/>
    <w:qFormat/>
    <w:uiPriority w:val="0"/>
    <w:pPr>
      <w:keepNext w:val="0"/>
      <w:keepLines w:val="0"/>
      <w:widowControl/>
      <w:suppressLineNumbers w:val="0"/>
      <w:snapToGrid w:val="0"/>
      <w:spacing w:before="50" w:beforeLines="50" w:beforeAutospacing="0" w:after="0" w:afterAutospacing="0" w:line="360" w:lineRule="auto"/>
      <w:ind w:left="0" w:right="0"/>
      <w:jc w:val="center"/>
    </w:pPr>
    <w:rPr>
      <w:rFonts w:hint="eastAsia" w:ascii="黑体" w:hAnsi="宋体" w:eastAsia="黑体" w:cs="Arial"/>
      <w:kern w:val="2"/>
      <w:sz w:val="21"/>
      <w:szCs w:val="24"/>
      <w:lang w:val="en-US" w:eastAsia="zh-CN" w:bidi="ar"/>
    </w:rPr>
  </w:style>
  <w:style w:type="paragraph" w:styleId="17">
    <w:name w:val="Document Map"/>
    <w:basedOn w:val="1"/>
    <w:next w:val="1"/>
    <w:qFormat/>
    <w:uiPriority w:val="0"/>
    <w:rPr>
      <w:rFonts w:ascii="宋体"/>
      <w:sz w:val="18"/>
      <w:szCs w:val="18"/>
    </w:rPr>
  </w:style>
  <w:style w:type="paragraph" w:styleId="18">
    <w:name w:val="annotation text"/>
    <w:basedOn w:val="1"/>
    <w:semiHidden/>
    <w:qFormat/>
    <w:uiPriority w:val="0"/>
    <w:pPr>
      <w:jc w:val="left"/>
    </w:pPr>
    <w:rPr>
      <w:kern w:val="0"/>
      <w:sz w:val="20"/>
    </w:rPr>
  </w:style>
  <w:style w:type="paragraph" w:styleId="19">
    <w:name w:val="Body Text"/>
    <w:basedOn w:val="1"/>
    <w:next w:val="20"/>
    <w:qFormat/>
    <w:uiPriority w:val="0"/>
    <w:rPr>
      <w:sz w:val="21"/>
    </w:rPr>
  </w:style>
  <w:style w:type="paragraph" w:styleId="20">
    <w:name w:val="List Bullet 5"/>
    <w:basedOn w:val="1"/>
    <w:qFormat/>
    <w:uiPriority w:val="0"/>
    <w:pPr>
      <w:numPr>
        <w:ilvl w:val="0"/>
        <w:numId w:val="2"/>
      </w:numPr>
    </w:pPr>
  </w:style>
  <w:style w:type="paragraph" w:styleId="21">
    <w:name w:val="toc 3"/>
    <w:basedOn w:val="1"/>
    <w:next w:val="1"/>
    <w:qFormat/>
    <w:uiPriority w:val="0"/>
    <w:pPr>
      <w:ind w:left="840" w:leftChars="400"/>
    </w:pPr>
  </w:style>
  <w:style w:type="paragraph" w:styleId="22">
    <w:name w:val="Plain Text"/>
    <w:basedOn w:val="1"/>
    <w:next w:val="3"/>
    <w:qFormat/>
    <w:uiPriority w:val="0"/>
    <w:rPr>
      <w:rFonts w:hAnsi="Courier New"/>
    </w:rPr>
  </w:style>
  <w:style w:type="paragraph" w:styleId="23">
    <w:name w:val="Body Text Indent 2"/>
    <w:basedOn w:val="1"/>
    <w:qFormat/>
    <w:uiPriority w:val="0"/>
    <w:pPr>
      <w:tabs>
        <w:tab w:val="left" w:pos="0"/>
      </w:tabs>
      <w:ind w:firstLine="473" w:firstLineChars="197"/>
      <w:jc w:val="left"/>
    </w:pPr>
    <w:rPr>
      <w:sz w:val="24"/>
    </w:rPr>
  </w:style>
  <w:style w:type="paragraph" w:styleId="24">
    <w:name w:val="endnote text"/>
    <w:basedOn w:val="1"/>
    <w:qFormat/>
    <w:uiPriority w:val="0"/>
    <w:pPr>
      <w:autoSpaceDE w:val="0"/>
      <w:autoSpaceDN w:val="0"/>
      <w:snapToGrid w:val="0"/>
      <w:jc w:val="left"/>
    </w:pPr>
    <w:rPr>
      <w:rFonts w:ascii="Noto Sans CJK JP Regular" w:hAnsi="Noto Sans CJK JP Regular" w:eastAsia="Noto Sans CJK JP Regular" w:cs="Noto Sans CJK JP Regular"/>
      <w:kern w:val="0"/>
      <w:sz w:val="22"/>
      <w:szCs w:val="22"/>
      <w:lang w:eastAsia="en-US"/>
    </w:rPr>
  </w:style>
  <w:style w:type="paragraph" w:styleId="25">
    <w:name w:val="footer"/>
    <w:basedOn w:val="1"/>
    <w:qFormat/>
    <w:uiPriority w:val="0"/>
    <w:pPr>
      <w:tabs>
        <w:tab w:val="center" w:pos="4153"/>
        <w:tab w:val="right" w:pos="8306"/>
      </w:tabs>
      <w:snapToGrid w:val="0"/>
      <w:jc w:val="left"/>
    </w:pPr>
    <w:rPr>
      <w:sz w:val="18"/>
      <w:szCs w:val="18"/>
    </w:rPr>
  </w:style>
  <w:style w:type="paragraph" w:styleId="26">
    <w:name w:val="header"/>
    <w:basedOn w:val="1"/>
    <w:next w:val="27"/>
    <w:qFormat/>
    <w:uiPriority w:val="0"/>
    <w:pPr>
      <w:pBdr>
        <w:bottom w:val="single" w:color="auto" w:sz="6" w:space="1"/>
      </w:pBdr>
      <w:tabs>
        <w:tab w:val="center" w:pos="4153"/>
        <w:tab w:val="right" w:pos="8306"/>
      </w:tabs>
      <w:snapToGrid w:val="0"/>
      <w:jc w:val="center"/>
    </w:pPr>
    <w:rPr>
      <w:sz w:val="18"/>
      <w:szCs w:val="18"/>
    </w:rPr>
  </w:style>
  <w:style w:type="paragraph" w:customStyle="1" w:styleId="27">
    <w:name w:val="样式5"/>
    <w:basedOn w:val="19"/>
    <w:next w:val="24"/>
    <w:qFormat/>
    <w:uiPriority w:val="0"/>
    <w:pPr>
      <w:widowControl/>
      <w:tabs>
        <w:tab w:val="center" w:pos="4153"/>
        <w:tab w:val="right" w:pos="8306"/>
      </w:tabs>
      <w:spacing w:line="355" w:lineRule="auto"/>
      <w:ind w:firstLine="360" w:firstLineChars="200"/>
    </w:pPr>
    <w:rPr>
      <w:rFonts w:ascii="楷体_GB2312" w:hAnsi="宋体" w:eastAsia="楷体_GB2312"/>
    </w:rPr>
  </w:style>
  <w:style w:type="paragraph" w:styleId="28">
    <w:name w:val="toc 1"/>
    <w:basedOn w:val="1"/>
    <w:next w:val="1"/>
    <w:qFormat/>
    <w:uiPriority w:val="99"/>
    <w:pPr>
      <w:tabs>
        <w:tab w:val="right" w:leader="dot" w:pos="9060"/>
      </w:tabs>
      <w:snapToGrid w:val="0"/>
      <w:spacing w:before="120" w:after="120" w:line="360" w:lineRule="auto"/>
      <w:jc w:val="left"/>
    </w:pPr>
    <w:rPr>
      <w:b/>
      <w:caps/>
      <w:sz w:val="20"/>
      <w:szCs w:val="20"/>
    </w:rPr>
  </w:style>
  <w:style w:type="paragraph" w:styleId="29">
    <w:name w:val="index heading"/>
    <w:basedOn w:val="1"/>
    <w:next w:val="30"/>
    <w:qFormat/>
    <w:uiPriority w:val="0"/>
    <w:rPr>
      <w:rFonts w:ascii="Arial" w:hAnsi="Arial" w:cs="Arial"/>
      <w:b/>
      <w:bCs/>
    </w:rPr>
  </w:style>
  <w:style w:type="paragraph" w:styleId="30">
    <w:name w:val="index 1"/>
    <w:basedOn w:val="1"/>
    <w:next w:val="1"/>
    <w:semiHidden/>
    <w:qFormat/>
    <w:uiPriority w:val="0"/>
    <w:pPr>
      <w:spacing w:line="300" w:lineRule="exact"/>
    </w:pPr>
    <w:rPr>
      <w:rFonts w:ascii="宋体" w:hAnsi="宋体"/>
      <w:spacing w:val="1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8"/>
    <w:qFormat/>
    <w:uiPriority w:val="99"/>
    <w:pPr>
      <w:tabs>
        <w:tab w:val="right" w:leader="dot" w:pos="9060"/>
      </w:tabs>
      <w:snapToGrid w:val="0"/>
      <w:ind w:left="240"/>
      <w:jc w:val="left"/>
    </w:pPr>
    <w:rPr>
      <w:smallCaps/>
      <w:sz w:val="20"/>
      <w:szCs w:val="20"/>
    </w:r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Title"/>
    <w:basedOn w:val="1"/>
    <w:next w:val="1"/>
    <w:qFormat/>
    <w:uiPriority w:val="0"/>
    <w:pPr>
      <w:spacing w:line="360" w:lineRule="auto"/>
      <w:jc w:val="center"/>
      <w:outlineLvl w:val="0"/>
    </w:pPr>
    <w:rPr>
      <w:rFonts w:hAnsi="Arial" w:cs="Arial"/>
      <w:b/>
      <w:bCs/>
      <w:kern w:val="2"/>
      <w:sz w:val="32"/>
      <w:szCs w:val="18"/>
    </w:rPr>
  </w:style>
  <w:style w:type="paragraph" w:styleId="35">
    <w:name w:val="Body Text First Indent"/>
    <w:basedOn w:val="19"/>
    <w:next w:val="1"/>
    <w:qFormat/>
    <w:uiPriority w:val="0"/>
    <w:pPr>
      <w:adjustRightInd w:val="0"/>
      <w:snapToGrid w:val="0"/>
      <w:spacing w:line="360" w:lineRule="auto"/>
      <w:ind w:firstLine="420" w:firstLineChars="100"/>
    </w:pPr>
    <w:rPr>
      <w:snapToGrid w:val="0"/>
      <w:kern w:val="0"/>
      <w:sz w:val="24"/>
      <w:szCs w:val="18"/>
    </w:rPr>
  </w:style>
  <w:style w:type="table" w:styleId="37">
    <w:name w:val="Table Grid"/>
    <w:basedOn w:val="3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b/>
    </w:rPr>
  </w:style>
  <w:style w:type="character" w:styleId="40">
    <w:name w:val="page number"/>
    <w:basedOn w:val="38"/>
    <w:qFormat/>
    <w:uiPriority w:val="0"/>
  </w:style>
  <w:style w:type="character" w:styleId="41">
    <w:name w:val="FollowedHyperlink"/>
    <w:basedOn w:val="38"/>
    <w:qFormat/>
    <w:uiPriority w:val="0"/>
    <w:rPr>
      <w:color w:val="800080"/>
      <w:u w:val="none"/>
    </w:rPr>
  </w:style>
  <w:style w:type="character" w:styleId="42">
    <w:name w:val="Emphasis"/>
    <w:basedOn w:val="38"/>
    <w:qFormat/>
    <w:uiPriority w:val="0"/>
  </w:style>
  <w:style w:type="character" w:styleId="43">
    <w:name w:val="Hyperlink"/>
    <w:basedOn w:val="38"/>
    <w:qFormat/>
    <w:uiPriority w:val="0"/>
    <w:rPr>
      <w:color w:val="0000FF"/>
      <w:u w:val="none"/>
    </w:rPr>
  </w:style>
  <w:style w:type="character" w:styleId="44">
    <w:name w:val="annotation reference"/>
    <w:qFormat/>
    <w:uiPriority w:val="0"/>
    <w:rPr>
      <w:sz w:val="21"/>
    </w:rPr>
  </w:style>
  <w:style w:type="paragraph" w:customStyle="1" w:styleId="45">
    <w:name w:val="Default"/>
    <w:basedOn w:val="46"/>
    <w:next w:val="2"/>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47">
    <w:name w:val="样式 正文文本缩进 + 行距: 1.5 倍行距"/>
    <w:basedOn w:val="48"/>
    <w:next w:val="1"/>
    <w:qFormat/>
    <w:uiPriority w:val="0"/>
    <w:pPr>
      <w:spacing w:after="120" w:line="360" w:lineRule="auto"/>
      <w:ind w:left="90" w:leftChars="32" w:firstLine="560" w:firstLineChars="200"/>
    </w:pPr>
    <w:rPr>
      <w:rFonts w:cs="宋体"/>
    </w:rPr>
  </w:style>
  <w:style w:type="paragraph" w:customStyle="1" w:styleId="48">
    <w:name w:val="Body Text Indent"/>
    <w:basedOn w:val="1"/>
    <w:next w:val="47"/>
    <w:qFormat/>
    <w:uiPriority w:val="0"/>
    <w:pPr>
      <w:spacing w:after="120" w:afterLines="0"/>
      <w:ind w:left="420" w:leftChars="200"/>
    </w:pPr>
    <w:rPr>
      <w:rFonts w:ascii="Times New Roman" w:hAnsi="Times New Roman" w:eastAsia="宋体"/>
      <w:sz w:val="24"/>
    </w:rPr>
  </w:style>
  <w:style w:type="paragraph" w:customStyle="1" w:styleId="49">
    <w:name w:val="正文文本缩进1"/>
    <w:basedOn w:val="1"/>
    <w:next w:val="47"/>
    <w:qFormat/>
    <w:uiPriority w:val="0"/>
    <w:pPr>
      <w:ind w:left="420" w:leftChars="200"/>
    </w:pPr>
    <w:rPr>
      <w:rFonts w:ascii="Times New Roman" w:hAnsi="Times New Roman" w:eastAsia="宋体"/>
      <w:sz w:val="24"/>
    </w:rPr>
  </w:style>
  <w:style w:type="paragraph" w:customStyle="1" w:styleId="50">
    <w:name w:val="正文1"/>
    <w:basedOn w:val="17"/>
    <w:next w:val="1"/>
    <w:qFormat/>
    <w:uiPriority w:val="0"/>
    <w:pPr>
      <w:adjustRightInd w:val="0"/>
      <w:snapToGrid w:val="0"/>
      <w:spacing w:line="500" w:lineRule="atLeast"/>
      <w:ind w:firstLine="567"/>
    </w:pPr>
    <w:rPr>
      <w:sz w:val="28"/>
    </w:rPr>
  </w:style>
  <w:style w:type="paragraph" w:customStyle="1" w:styleId="51">
    <w:name w:val="纯文本1"/>
    <w:basedOn w:val="1"/>
    <w:qFormat/>
    <w:uiPriority w:val="0"/>
    <w:rPr>
      <w:rFonts w:ascii="宋体" w:hAnsi="Courier New"/>
    </w:rPr>
  </w:style>
  <w:style w:type="paragraph" w:customStyle="1" w:styleId="52">
    <w:name w:val="样式35"/>
    <w:basedOn w:val="1"/>
    <w:next w:val="53"/>
    <w:qFormat/>
    <w:uiPriority w:val="0"/>
    <w:pPr>
      <w:spacing w:line="312" w:lineRule="auto"/>
      <w:ind w:firstLine="567"/>
    </w:pPr>
    <w:rPr>
      <w:rFonts w:ascii="宋体"/>
      <w:sz w:val="28"/>
    </w:rPr>
  </w:style>
  <w:style w:type="paragraph" w:customStyle="1" w:styleId="53">
    <w:name w:val="font6"/>
    <w:basedOn w:val="1"/>
    <w:next w:val="32"/>
    <w:qFormat/>
    <w:uiPriority w:val="0"/>
    <w:pPr>
      <w:widowControl/>
      <w:spacing w:before="100" w:beforeAutospacing="1" w:after="100" w:afterAutospacing="1"/>
      <w:jc w:val="left"/>
    </w:pPr>
    <w:rPr>
      <w:rFonts w:ascii="宋体" w:hAnsi="宋体"/>
      <w:b/>
      <w:bCs/>
      <w:kern w:val="0"/>
      <w:sz w:val="24"/>
    </w:rPr>
  </w:style>
  <w:style w:type="paragraph" w:customStyle="1" w:styleId="54">
    <w:name w:val="表格标题"/>
    <w:basedOn w:val="16"/>
    <w:next w:val="1"/>
    <w:qFormat/>
    <w:uiPriority w:val="0"/>
    <w:pPr>
      <w:spacing w:line="240" w:lineRule="auto"/>
      <w:ind w:firstLine="0" w:firstLineChars="0"/>
      <w:jc w:val="center"/>
    </w:pPr>
    <w:rPr>
      <w:b/>
      <w:kern w:val="0"/>
    </w:rPr>
  </w:style>
  <w:style w:type="paragraph" w:customStyle="1" w:styleId="55">
    <w:name w:val="Date1"/>
    <w:basedOn w:val="1"/>
    <w:next w:val="1"/>
    <w:qFormat/>
    <w:uiPriority w:val="0"/>
    <w:rPr>
      <w:sz w:val="21"/>
    </w:rPr>
  </w:style>
  <w:style w:type="paragraph" w:customStyle="1" w:styleId="56">
    <w:name w:val="表标题编号"/>
    <w:basedOn w:val="1"/>
    <w:qFormat/>
    <w:uiPriority w:val="0"/>
    <w:pPr>
      <w:numPr>
        <w:ilvl w:val="0"/>
        <w:numId w:val="3"/>
      </w:numPr>
      <w:tabs>
        <w:tab w:val="left" w:pos="0"/>
      </w:tabs>
      <w:adjustRightInd w:val="0"/>
      <w:snapToGrid w:val="0"/>
      <w:jc w:val="center"/>
    </w:pPr>
    <w:rPr>
      <w:sz w:val="24"/>
      <w:szCs w:val="22"/>
    </w:rPr>
  </w:style>
  <w:style w:type="paragraph" w:customStyle="1" w:styleId="57">
    <w:name w:val="表格"/>
    <w:basedOn w:val="58"/>
    <w:next w:val="1"/>
    <w:qFormat/>
    <w:uiPriority w:val="0"/>
    <w:pPr>
      <w:adjustRightInd w:val="0"/>
      <w:snapToGrid w:val="0"/>
      <w:spacing w:beforeLines="10" w:afterLines="10" w:line="259" w:lineRule="auto"/>
      <w:jc w:val="center"/>
    </w:pPr>
    <w:rPr>
      <w:rFonts w:ascii="宋体"/>
      <w:kern w:val="0"/>
      <w:sz w:val="20"/>
      <w:szCs w:val="21"/>
    </w:rPr>
  </w:style>
  <w:style w:type="paragraph" w:customStyle="1" w:styleId="58">
    <w:name w:val="表格使用文字"/>
    <w:basedOn w:val="1"/>
    <w:qFormat/>
    <w:uiPriority w:val="99"/>
    <w:pPr>
      <w:jc w:val="center"/>
    </w:pPr>
    <w:rPr>
      <w:color w:val="000000"/>
      <w:szCs w:val="20"/>
    </w:rPr>
  </w:style>
  <w:style w:type="paragraph" w:customStyle="1" w:styleId="59">
    <w:name w:val="正文11"/>
    <w:basedOn w:val="1"/>
    <w:qFormat/>
    <w:uiPriority w:val="0"/>
    <w:pPr>
      <w:adjustRightInd w:val="0"/>
      <w:snapToGrid w:val="0"/>
      <w:spacing w:line="360" w:lineRule="auto"/>
      <w:ind w:firstLine="420" w:firstLineChars="200"/>
    </w:pPr>
    <w:rPr>
      <w:color w:val="000000"/>
      <w:sz w:val="24"/>
    </w:rPr>
  </w:style>
  <w:style w:type="paragraph" w:customStyle="1" w:styleId="60">
    <w:name w:val="样式 标题 1一级标题 + 段前: 0.5 行 段后: 0.5 行"/>
    <w:basedOn w:val="4"/>
    <w:qFormat/>
    <w:uiPriority w:val="99"/>
    <w:pPr>
      <w:spacing w:line="320" w:lineRule="exact"/>
      <w:outlineLvl w:val="9"/>
    </w:pPr>
    <w:rPr>
      <w:spacing w:val="-6"/>
      <w:sz w:val="21"/>
      <w:szCs w:val="21"/>
    </w:rPr>
  </w:style>
  <w:style w:type="paragraph" w:customStyle="1" w:styleId="61">
    <w:name w:val="表格编号"/>
    <w:basedOn w:val="1"/>
    <w:next w:val="62"/>
    <w:qFormat/>
    <w:uiPriority w:val="99"/>
    <w:pPr>
      <w:snapToGrid w:val="0"/>
      <w:spacing w:before="300" w:after="200" w:line="500" w:lineRule="exact"/>
      <w:jc w:val="left"/>
    </w:pPr>
    <w:rPr>
      <w:sz w:val="24"/>
    </w:rPr>
  </w:style>
  <w:style w:type="paragraph" w:customStyle="1" w:styleId="62">
    <w:name w:val="表格文字"/>
    <w:basedOn w:val="14"/>
    <w:qFormat/>
    <w:uiPriority w:val="0"/>
    <w:pPr>
      <w:jc w:val="center"/>
    </w:pPr>
    <w:rPr>
      <w:szCs w:val="24"/>
    </w:rPr>
  </w:style>
  <w:style w:type="paragraph" w:customStyle="1" w:styleId="63">
    <w:name w:val="Body Text First Indent 21"/>
    <w:basedOn w:val="64"/>
    <w:next w:val="45"/>
    <w:qFormat/>
    <w:uiPriority w:val="0"/>
    <w:pPr>
      <w:tabs>
        <w:tab w:val="left" w:pos="6615"/>
      </w:tabs>
      <w:ind w:firstLine="200"/>
    </w:pPr>
  </w:style>
  <w:style w:type="paragraph" w:customStyle="1" w:styleId="64">
    <w:name w:val="Body Text Indent1"/>
    <w:basedOn w:val="1"/>
    <w:next w:val="65"/>
    <w:qFormat/>
    <w:uiPriority w:val="0"/>
    <w:pPr>
      <w:ind w:firstLine="480" w:firstLineChars="200"/>
    </w:pPr>
    <w:rPr>
      <w:sz w:val="24"/>
    </w:rPr>
  </w:style>
  <w:style w:type="paragraph" w:customStyle="1" w:styleId="65">
    <w:name w:val="Body Text First Indent1"/>
    <w:basedOn w:val="19"/>
    <w:qFormat/>
    <w:uiPriority w:val="0"/>
    <w:pPr>
      <w:spacing w:after="120"/>
      <w:ind w:firstLine="420" w:firstLineChars="100"/>
    </w:pPr>
    <w:rPr>
      <w:sz w:val="21"/>
    </w:rPr>
  </w:style>
  <w:style w:type="paragraph" w:customStyle="1" w:styleId="66">
    <w:name w:val="样式 正文文本 + 首行缩进:  2 字符"/>
    <w:basedOn w:val="19"/>
    <w:qFormat/>
    <w:uiPriority w:val="99"/>
    <w:pPr>
      <w:spacing w:after="200" w:line="480" w:lineRule="exact"/>
      <w:ind w:firstLine="480" w:firstLineChars="200"/>
    </w:pPr>
    <w:rPr>
      <w:rFonts w:ascii="宋体" w:hAnsi="宋体"/>
      <w:sz w:val="24"/>
    </w:rPr>
  </w:style>
  <w:style w:type="paragraph" w:customStyle="1" w:styleId="67">
    <w:name w:val="li_正文"/>
    <w:basedOn w:val="1"/>
    <w:qFormat/>
    <w:uiPriority w:val="0"/>
    <w:pPr>
      <w:ind w:firstLine="530" w:firstLineChars="200"/>
      <w:jc w:val="left"/>
    </w:pPr>
    <w:rPr>
      <w:rFonts w:ascii="Calibri" w:hAnsi="Calibri"/>
      <w:sz w:val="28"/>
      <w:szCs w:val="28"/>
    </w:rPr>
  </w:style>
  <w:style w:type="paragraph" w:customStyle="1" w:styleId="68">
    <w:name w:val="BodyText1I2"/>
    <w:basedOn w:val="69"/>
    <w:next w:val="1"/>
    <w:qFormat/>
    <w:uiPriority w:val="0"/>
    <w:pPr>
      <w:ind w:firstLine="420" w:firstLineChars="200"/>
    </w:pPr>
    <w:rPr>
      <w:rFonts w:eastAsia="仿宋_GB2312"/>
      <w:color w:val="000000"/>
      <w:kern w:val="0"/>
      <w:sz w:val="28"/>
      <w:szCs w:val="20"/>
    </w:rPr>
  </w:style>
  <w:style w:type="paragraph" w:customStyle="1" w:styleId="69">
    <w:name w:val="BodyTextIndent"/>
    <w:basedOn w:val="1"/>
    <w:next w:val="1"/>
    <w:qFormat/>
    <w:uiPriority w:val="0"/>
    <w:pPr>
      <w:spacing w:after="120"/>
      <w:ind w:left="420" w:leftChars="200"/>
    </w:pPr>
  </w:style>
  <w:style w:type="paragraph" w:customStyle="1" w:styleId="70">
    <w:name w:val="标题2"/>
    <w:basedOn w:val="1"/>
    <w:qFormat/>
    <w:uiPriority w:val="0"/>
    <w:rPr>
      <w:rFonts w:asciiTheme="minorAscii" w:hAnsiTheme="minorAscii"/>
      <w:b/>
      <w:sz w:val="28"/>
    </w:rPr>
  </w:style>
  <w:style w:type="paragraph" w:customStyle="1" w:styleId="71">
    <w:name w:val="样式1"/>
    <w:basedOn w:val="29"/>
    <w:next w:val="1"/>
    <w:qFormat/>
    <w:uiPriority w:val="0"/>
    <w:pPr>
      <w:adjustRightInd w:val="0"/>
      <w:spacing w:line="480" w:lineRule="atLeast"/>
      <w:ind w:firstLine="539"/>
    </w:pPr>
    <w:rPr>
      <w:rFonts w:eastAsia="仿宋_GB2312"/>
      <w:kern w:val="0"/>
      <w:sz w:val="28"/>
      <w:szCs w:val="20"/>
    </w:rPr>
  </w:style>
  <w:style w:type="paragraph" w:customStyle="1" w:styleId="72">
    <w:name w:val="表头"/>
    <w:basedOn w:val="73"/>
    <w:qFormat/>
    <w:uiPriority w:val="0"/>
    <w:pPr>
      <w:spacing w:before="50" w:beforeLines="50" w:after="50" w:afterLines="50"/>
    </w:pPr>
    <w:rPr>
      <w:rFonts w:ascii="Times New Roman"/>
      <w:b/>
      <w:kern w:val="0"/>
      <w:szCs w:val="24"/>
    </w:rPr>
  </w:style>
  <w:style w:type="paragraph" w:customStyle="1" w:styleId="73">
    <w:name w:val="表格内容"/>
    <w:basedOn w:val="14"/>
    <w:next w:val="1"/>
    <w:qFormat/>
    <w:uiPriority w:val="0"/>
    <w:pPr>
      <w:spacing w:line="240" w:lineRule="auto"/>
      <w:jc w:val="center"/>
    </w:pPr>
    <w:rPr>
      <w:sz w:val="21"/>
      <w:szCs w:val="21"/>
    </w:rPr>
  </w:style>
  <w:style w:type="paragraph" w:customStyle="1" w:styleId="74">
    <w:name w:val="正文 首行缩进:  2 字符"/>
    <w:basedOn w:val="1"/>
    <w:qFormat/>
    <w:uiPriority w:val="0"/>
    <w:pPr>
      <w:ind w:firstLine="579"/>
    </w:pPr>
  </w:style>
  <w:style w:type="paragraph" w:customStyle="1" w:styleId="75">
    <w:name w:val="Table Paragraph"/>
    <w:basedOn w:val="1"/>
    <w:qFormat/>
    <w:uiPriority w:val="1"/>
    <w:rPr>
      <w:rFonts w:ascii="宋体" w:hAnsi="宋体" w:eastAsia="宋体" w:cs="宋体"/>
      <w:lang w:val="zh-CN" w:eastAsia="zh-CN" w:bidi="zh-CN"/>
    </w:rPr>
  </w:style>
  <w:style w:type="paragraph" w:customStyle="1" w:styleId="76">
    <w:name w:val="格"/>
    <w:basedOn w:val="1"/>
    <w:qFormat/>
    <w:uiPriority w:val="0"/>
    <w:pPr>
      <w:widowControl/>
      <w:spacing w:line="240" w:lineRule="auto"/>
      <w:ind w:firstLine="0" w:firstLineChars="0"/>
      <w:jc w:val="center"/>
    </w:pPr>
    <w:rPr>
      <w:bCs/>
      <w:snapToGrid w:val="0"/>
      <w:kern w:val="0"/>
    </w:rPr>
  </w:style>
  <w:style w:type="paragraph" w:customStyle="1" w:styleId="77">
    <w:name w:val="表内容"/>
    <w:basedOn w:val="1"/>
    <w:next w:val="1"/>
    <w:qFormat/>
    <w:uiPriority w:val="0"/>
    <w:pPr>
      <w:spacing w:line="240" w:lineRule="auto"/>
      <w:ind w:firstLine="0" w:firstLineChars="0"/>
      <w:jc w:val="center"/>
    </w:pPr>
    <w:rPr>
      <w:rFonts w:eastAsia="Arial"/>
      <w:snapToGrid w:val="0"/>
      <w:sz w:val="21"/>
      <w:szCs w:val="21"/>
      <w:lang w:val="en-US" w:eastAsia="zh-CN" w:bidi="ar-SA"/>
    </w:rPr>
  </w:style>
  <w:style w:type="paragraph" w:customStyle="1" w:styleId="78">
    <w:name w:val="表内表"/>
    <w:basedOn w:val="1"/>
    <w:qFormat/>
    <w:uiPriority w:val="0"/>
    <w:pPr>
      <w:spacing w:line="240" w:lineRule="atLeast"/>
      <w:jc w:val="center"/>
    </w:pPr>
    <w:rPr>
      <w:bCs/>
      <w:szCs w:val="21"/>
    </w:rPr>
  </w:style>
  <w:style w:type="paragraph" w:customStyle="1" w:styleId="79">
    <w:name w:val="表格内文字格式"/>
    <w:basedOn w:val="1"/>
    <w:qFormat/>
    <w:uiPriority w:val="99"/>
    <w:pPr>
      <w:spacing w:line="360" w:lineRule="auto"/>
      <w:ind w:right="-49" w:rightChars="-26" w:firstLine="436" w:firstLineChars="200"/>
      <w:jc w:val="left"/>
    </w:pPr>
    <w:rPr>
      <w:rFonts w:ascii="Arial" w:hAnsi="Arial" w:cs="Arial"/>
      <w:bCs/>
      <w:kern w:val="10"/>
      <w:szCs w:val="21"/>
    </w:rPr>
  </w:style>
  <w:style w:type="character" w:customStyle="1" w:styleId="80">
    <w:name w:val="fontstyle01"/>
    <w:basedOn w:val="38"/>
    <w:qFormat/>
    <w:uiPriority w:val="0"/>
    <w:rPr>
      <w:rFonts w:hint="eastAsia" w:ascii="宋体" w:hAnsi="宋体" w:eastAsia="宋体"/>
      <w:color w:val="000000"/>
      <w:sz w:val="24"/>
      <w:szCs w:val="24"/>
    </w:rPr>
  </w:style>
  <w:style w:type="paragraph" w:customStyle="1" w:styleId="81">
    <w:name w:val="标准正文文本"/>
    <w:basedOn w:val="1"/>
    <w:qFormat/>
    <w:uiPriority w:val="0"/>
    <w:pPr>
      <w:adjustRightInd w:val="0"/>
      <w:snapToGrid w:val="0"/>
      <w:spacing w:line="360" w:lineRule="auto"/>
      <w:ind w:firstLine="643" w:firstLineChars="200"/>
    </w:pPr>
    <w:rPr>
      <w:kern w:val="0"/>
      <w:sz w:val="24"/>
      <w:szCs w:val="22"/>
    </w:rPr>
  </w:style>
  <w:style w:type="paragraph" w:customStyle="1" w:styleId="82">
    <w:name w:val="Body text|1"/>
    <w:basedOn w:val="1"/>
    <w:qFormat/>
    <w:uiPriority w:val="0"/>
    <w:pPr>
      <w:widowControl w:val="0"/>
      <w:shd w:val="clear" w:color="auto" w:fill="auto"/>
      <w:spacing w:line="439" w:lineRule="auto"/>
    </w:pPr>
    <w:rPr>
      <w:rFonts w:ascii="宋体" w:hAnsi="宋体" w:eastAsia="宋体" w:cs="宋体"/>
      <w:sz w:val="30"/>
      <w:szCs w:val="30"/>
      <w:u w:val="none"/>
      <w:shd w:val="clear" w:color="auto" w:fill="auto"/>
      <w:lang w:val="zh-TW" w:eastAsia="zh-TW" w:bidi="zh-TW"/>
    </w:rPr>
  </w:style>
  <w:style w:type="paragraph" w:customStyle="1" w:styleId="83">
    <w:name w:val="Body text|3"/>
    <w:basedOn w:val="1"/>
    <w:qFormat/>
    <w:uiPriority w:val="0"/>
    <w:pPr>
      <w:widowControl w:val="0"/>
      <w:shd w:val="clear" w:color="auto" w:fill="auto"/>
      <w:spacing w:after="100"/>
    </w:pPr>
    <w:rPr>
      <w:sz w:val="22"/>
      <w:szCs w:val="22"/>
      <w:u w:val="none"/>
      <w:shd w:val="clear" w:color="auto" w:fill="auto"/>
    </w:rPr>
  </w:style>
  <w:style w:type="paragraph" w:customStyle="1" w:styleId="8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85">
    <w:name w:val="Header or footer|1"/>
    <w:basedOn w:val="1"/>
    <w:qFormat/>
    <w:uiPriority w:val="0"/>
    <w:pPr>
      <w:widowControl w:val="0"/>
      <w:shd w:val="clear" w:color="auto" w:fill="auto"/>
    </w:pPr>
    <w:rPr>
      <w:sz w:val="22"/>
      <w:szCs w:val="22"/>
      <w:u w:val="none"/>
      <w:shd w:val="clear" w:color="auto" w:fill="auto"/>
    </w:rPr>
  </w:style>
  <w:style w:type="paragraph" w:customStyle="1" w:styleId="86">
    <w:name w:val="hhcwt表头"/>
    <w:basedOn w:val="1"/>
    <w:qFormat/>
    <w:uiPriority w:val="0"/>
    <w:pPr>
      <w:widowControl/>
      <w:spacing w:after="120" w:line="500" w:lineRule="exact"/>
      <w:jc w:val="center"/>
    </w:pPr>
    <w:rPr>
      <w:rFonts w:ascii="楷体_GB2312" w:eastAsia="楷体_GB2312" w:cs="宋体"/>
      <w:b/>
      <w:bCs/>
      <w:kern w:val="0"/>
      <w:sz w:val="22"/>
      <w:szCs w:val="22"/>
      <w:lang w:eastAsia="en-US" w:bidi="en-US"/>
    </w:rPr>
  </w:style>
  <w:style w:type="paragraph" w:customStyle="1" w:styleId="87">
    <w:name w:val="表格文字（小）"/>
    <w:basedOn w:val="1"/>
    <w:qFormat/>
    <w:uiPriority w:val="0"/>
    <w:pPr>
      <w:spacing w:line="240" w:lineRule="auto"/>
      <w:ind w:firstLine="0" w:firstLineChars="0"/>
      <w:jc w:val="center"/>
    </w:pPr>
    <w:rPr>
      <w:sz w:val="21"/>
    </w:rPr>
  </w:style>
  <w:style w:type="paragraph" w:customStyle="1" w:styleId="88">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89">
    <w:name w:val="列出段落2"/>
    <w:basedOn w:val="1"/>
    <w:qFormat/>
    <w:uiPriority w:val="34"/>
    <w:pPr>
      <w:ind w:firstLine="420" w:firstLineChars="200"/>
    </w:pPr>
  </w:style>
  <w:style w:type="paragraph" w:customStyle="1" w:styleId="90">
    <w:name w:val="样式4"/>
    <w:basedOn w:val="1"/>
    <w:qFormat/>
    <w:uiPriority w:val="0"/>
    <w:pPr>
      <w:spacing w:line="360" w:lineRule="auto"/>
      <w:ind w:firstLine="200" w:firstLineChars="200"/>
      <w:jc w:val="left"/>
    </w:pPr>
    <w:rPr>
      <w:rFonts w:ascii="Calibri" w:hAnsi="Calibri" w:eastAsia="宋体" w:cs="Times New Roman"/>
      <w:sz w:val="28"/>
      <w:szCs w:val="22"/>
    </w:rPr>
  </w:style>
  <w:style w:type="paragraph" w:customStyle="1" w:styleId="91">
    <w:name w:val="表格内容111"/>
    <w:basedOn w:val="1"/>
    <w:qFormat/>
    <w:uiPriority w:val="0"/>
    <w:pPr>
      <w:spacing w:line="312" w:lineRule="atLeast"/>
      <w:ind w:firstLine="0" w:firstLineChars="0"/>
      <w:jc w:val="center"/>
      <w:textAlignment w:val="center"/>
    </w:pPr>
    <w:rPr>
      <w:rFonts w:ascii="Times New Roman" w:hAnsi="Times New Roman" w:eastAsia="宋体"/>
      <w:sz w:val="21"/>
      <w:szCs w:val="18"/>
    </w:rPr>
  </w:style>
  <w:style w:type="character" w:customStyle="1" w:styleId="92">
    <w:name w:val="样式 小四"/>
    <w:qFormat/>
    <w:uiPriority w:val="99"/>
    <w:rPr>
      <w:sz w:val="24"/>
    </w:rPr>
  </w:style>
  <w:style w:type="paragraph" w:customStyle="1" w:styleId="93">
    <w:name w:val="表、图标题"/>
    <w:basedOn w:val="1"/>
    <w:qFormat/>
    <w:uiPriority w:val="0"/>
    <w:pPr>
      <w:topLinePunct/>
      <w:adjustRightInd w:val="0"/>
      <w:snapToGrid w:val="0"/>
      <w:spacing w:line="480" w:lineRule="exact"/>
      <w:jc w:val="center"/>
    </w:pPr>
    <w:rPr>
      <w:b/>
      <w:caps/>
      <w:kern w:val="16"/>
      <w:sz w:val="24"/>
      <w:szCs w:val="24"/>
    </w:rPr>
  </w:style>
  <w:style w:type="character" w:customStyle="1" w:styleId="94">
    <w:name w:val="font01"/>
    <w:basedOn w:val="38"/>
    <w:qFormat/>
    <w:uiPriority w:val="0"/>
    <w:rPr>
      <w:rFonts w:hint="eastAsia" w:ascii="宋体" w:hAnsi="宋体" w:eastAsia="宋体" w:cs="宋体"/>
      <w:color w:val="000000"/>
      <w:sz w:val="21"/>
      <w:szCs w:val="21"/>
      <w:u w:val="none"/>
    </w:rPr>
  </w:style>
  <w:style w:type="character" w:customStyle="1" w:styleId="95">
    <w:name w:val="font41"/>
    <w:basedOn w:val="38"/>
    <w:qFormat/>
    <w:uiPriority w:val="0"/>
    <w:rPr>
      <w:rFonts w:hint="eastAsia" w:ascii="宋体" w:hAnsi="宋体" w:eastAsia="宋体" w:cs="宋体"/>
      <w:color w:val="000000"/>
      <w:sz w:val="21"/>
      <w:szCs w:val="21"/>
      <w:u w:val="none"/>
    </w:rPr>
  </w:style>
  <w:style w:type="character" w:customStyle="1" w:styleId="96">
    <w:name w:val="font71"/>
    <w:basedOn w:val="38"/>
    <w:qFormat/>
    <w:uiPriority w:val="0"/>
    <w:rPr>
      <w:rFonts w:hint="default" w:ascii="Times New Roman" w:hAnsi="Times New Roman" w:cs="Times New Roman"/>
      <w:color w:val="000000"/>
      <w:sz w:val="21"/>
      <w:szCs w:val="21"/>
      <w:u w:val="none"/>
      <w:vertAlign w:val="subscript"/>
    </w:rPr>
  </w:style>
  <w:style w:type="character" w:customStyle="1" w:styleId="97">
    <w:name w:val="font21"/>
    <w:basedOn w:val="38"/>
    <w:qFormat/>
    <w:uiPriority w:val="0"/>
    <w:rPr>
      <w:rFonts w:hint="default" w:ascii="Times New Roman" w:hAnsi="Times New Roman" w:cs="Times New Roman"/>
      <w:color w:val="000000"/>
      <w:sz w:val="21"/>
      <w:szCs w:val="21"/>
      <w:u w:val="none"/>
    </w:rPr>
  </w:style>
  <w:style w:type="character" w:customStyle="1" w:styleId="98">
    <w:name w:val="font61"/>
    <w:basedOn w:val="38"/>
    <w:qFormat/>
    <w:uiPriority w:val="0"/>
    <w:rPr>
      <w:rFonts w:hint="default" w:ascii="Times New Roman" w:hAnsi="Times New Roman" w:cs="Times New Roman"/>
      <w:color w:val="000000"/>
      <w:sz w:val="21"/>
      <w:szCs w:val="21"/>
      <w:u w:val="none"/>
      <w:vertAlign w:val="superscript"/>
    </w:rPr>
  </w:style>
  <w:style w:type="character" w:customStyle="1" w:styleId="99">
    <w:name w:val="font11"/>
    <w:basedOn w:val="38"/>
    <w:qFormat/>
    <w:uiPriority w:val="0"/>
    <w:rPr>
      <w:rFonts w:hint="default" w:ascii="Times New Roman" w:hAnsi="Times New Roman" w:cs="Times New Roman"/>
      <w:color w:val="000000"/>
      <w:sz w:val="21"/>
      <w:szCs w:val="21"/>
      <w:u w:val="none"/>
    </w:rPr>
  </w:style>
  <w:style w:type="character" w:customStyle="1" w:styleId="100">
    <w:name w:val="font51"/>
    <w:basedOn w:val="38"/>
    <w:qFormat/>
    <w:uiPriority w:val="0"/>
    <w:rPr>
      <w:rFonts w:hint="eastAsia" w:ascii="宋体" w:hAnsi="宋体" w:eastAsia="宋体" w:cs="宋体"/>
      <w:color w:val="000000"/>
      <w:sz w:val="21"/>
      <w:szCs w:val="21"/>
      <w:u w:val="none"/>
    </w:rPr>
  </w:style>
  <w:style w:type="character" w:customStyle="1" w:styleId="101">
    <w:name w:val="font31"/>
    <w:basedOn w:val="38"/>
    <w:qFormat/>
    <w:uiPriority w:val="0"/>
    <w:rPr>
      <w:rFonts w:hint="default" w:ascii="Times New Roman" w:hAnsi="Times New Roman" w:cs="Times New Roman"/>
      <w:color w:val="000000"/>
      <w:sz w:val="21"/>
      <w:szCs w:val="21"/>
      <w:u w:val="none"/>
    </w:rPr>
  </w:style>
  <w:style w:type="paragraph" w:customStyle="1" w:styleId="102">
    <w:name w:val="样式 小四 行距: 1.5 倍行距 首行缩进:  2 字符"/>
    <w:basedOn w:val="1"/>
    <w:qFormat/>
    <w:uiPriority w:val="99"/>
    <w:pPr>
      <w:spacing w:line="360" w:lineRule="auto"/>
      <w:ind w:firstLine="480" w:firstLineChars="200"/>
    </w:pPr>
    <w:rPr>
      <w:color w:val="000000"/>
      <w:sz w:val="24"/>
    </w:rPr>
  </w:style>
  <w:style w:type="character" w:customStyle="1" w:styleId="103">
    <w:name w:val="znspantitle"/>
    <w:basedOn w:val="38"/>
    <w:qFormat/>
    <w:uiPriority w:val="0"/>
    <w:rPr>
      <w:b/>
      <w:bCs/>
      <w:color w:val="333333"/>
    </w:rPr>
  </w:style>
  <w:style w:type="character" w:customStyle="1" w:styleId="104">
    <w:name w:val="disabled"/>
    <w:basedOn w:val="38"/>
    <w:qFormat/>
    <w:uiPriority w:val="0"/>
    <w:rPr>
      <w:vanish/>
    </w:rPr>
  </w:style>
  <w:style w:type="paragraph" w:customStyle="1" w:styleId="105">
    <w:name w:val="填表内容"/>
    <w:basedOn w:val="1"/>
    <w:qFormat/>
    <w:uiPriority w:val="0"/>
    <w:pPr>
      <w:adjustRightInd w:val="0"/>
      <w:spacing w:line="480" w:lineRule="exact"/>
      <w:ind w:firstLine="560" w:firstLineChars="200"/>
      <w:jc w:val="left"/>
      <w:textAlignment w:val="baseline"/>
    </w:pPr>
    <w:rPr>
      <w:rFonts w:ascii="楷体_GB2312" w:eastAsia="楷体_GB2312"/>
      <w:sz w:val="28"/>
      <w:szCs w:val="20"/>
    </w:rPr>
  </w:style>
  <w:style w:type="paragraph" w:customStyle="1" w:styleId="106">
    <w:name w:val="新格式表"/>
    <w:basedOn w:val="1"/>
    <w:qFormat/>
    <w:uiPriority w:val="0"/>
    <w:pPr>
      <w:spacing w:line="0" w:lineRule="atLeast"/>
      <w:jc w:val="center"/>
    </w:pPr>
    <w:rPr>
      <w:color w:val="000000"/>
      <w:kern w:val="0"/>
      <w:szCs w:val="21"/>
    </w:rPr>
  </w:style>
  <w:style w:type="paragraph" w:customStyle="1" w:styleId="107">
    <w:name w:val="表格内"/>
    <w:qFormat/>
    <w:uiPriority w:val="0"/>
    <w:pPr>
      <w:adjustRightInd w:val="0"/>
      <w:snapToGrid w:val="0"/>
      <w:jc w:val="center"/>
    </w:pPr>
    <w:rPr>
      <w:rFonts w:ascii="宋体" w:hAnsi="宋体" w:eastAsia="宋体" w:cs="Times New Roman"/>
      <w:snapToGrid w:val="0"/>
      <w:sz w:val="21"/>
      <w:szCs w:val="22"/>
      <w:lang w:val="en-US" w:eastAsia="zh-CN" w:bidi="ar-SA"/>
    </w:rPr>
  </w:style>
  <w:style w:type="paragraph" w:customStyle="1" w:styleId="108">
    <w:name w:val="表格-标题"/>
    <w:basedOn w:val="1"/>
    <w:qFormat/>
    <w:uiPriority w:val="0"/>
    <w:pPr>
      <w:spacing w:line="320" w:lineRule="exact"/>
      <w:jc w:val="center"/>
    </w:pPr>
    <w:rPr>
      <w:rFonts w:ascii="宋体"/>
      <w:b/>
      <w:szCs w:val="21"/>
    </w:rPr>
  </w:style>
  <w:style w:type="paragraph" w:customStyle="1" w:styleId="109">
    <w:name w:val="表格-居中"/>
    <w:basedOn w:val="1"/>
    <w:qFormat/>
    <w:uiPriority w:val="0"/>
    <w:pPr>
      <w:spacing w:line="320" w:lineRule="exact"/>
      <w:jc w:val="center"/>
    </w:pPr>
    <w:rPr>
      <w:rFonts w:ascii="宋体"/>
      <w:szCs w:val="21"/>
    </w:rPr>
  </w:style>
  <w:style w:type="paragraph" w:customStyle="1" w:styleId="110">
    <w:name w:val="报告正文"/>
    <w:basedOn w:val="1"/>
    <w:qFormat/>
    <w:uiPriority w:val="0"/>
    <w:pPr>
      <w:adjustRightInd w:val="0"/>
      <w:snapToGrid w:val="0"/>
      <w:spacing w:line="360" w:lineRule="auto"/>
      <w:ind w:firstLine="200" w:firstLineChars="200"/>
    </w:pPr>
    <w:rPr>
      <w:lang w:val="zh-CN"/>
    </w:rPr>
  </w:style>
  <w:style w:type="paragraph" w:styleId="111">
    <w:name w:val="List Paragraph"/>
    <w:basedOn w:val="1"/>
    <w:qFormat/>
    <w:uiPriority w:val="34"/>
    <w:pPr>
      <w:ind w:firstLine="420" w:firstLineChars="200"/>
    </w:pPr>
    <w:rPr>
      <w:szCs w:val="20"/>
    </w:rPr>
  </w:style>
  <w:style w:type="character" w:customStyle="1" w:styleId="112">
    <w:name w:val="zw1"/>
    <w:basedOn w:val="38"/>
    <w:qFormat/>
    <w:uiPriority w:val="0"/>
    <w:rPr>
      <w:rFonts w:hint="eastAsia" w:ascii="宋体" w:hAnsi="宋体" w:eastAsia="宋体"/>
      <w:sz w:val="22"/>
      <w:szCs w:val="22"/>
    </w:rPr>
  </w:style>
  <w:style w:type="character" w:customStyle="1" w:styleId="113">
    <w:name w:val="bt21"/>
    <w:basedOn w:val="38"/>
    <w:qFormat/>
    <w:uiPriority w:val="0"/>
    <w:rPr>
      <w:rFonts w:hint="eastAsia" w:ascii="黑体" w:eastAsia="黑体"/>
      <w:sz w:val="24"/>
      <w:szCs w:val="24"/>
    </w:rPr>
  </w:style>
  <w:style w:type="character" w:customStyle="1" w:styleId="114">
    <w:name w:val="font12"/>
    <w:basedOn w:val="38"/>
    <w:qFormat/>
    <w:uiPriority w:val="0"/>
    <w:rPr>
      <w:rFonts w:hint="eastAsia" w:ascii="宋体" w:hAnsi="宋体" w:eastAsia="宋体" w:cs="宋体"/>
      <w:color w:val="000000"/>
      <w:sz w:val="21"/>
      <w:szCs w:val="21"/>
      <w:u w:val="none"/>
    </w:rPr>
  </w:style>
  <w:style w:type="character" w:customStyle="1" w:styleId="115">
    <w:name w:val="font91"/>
    <w:basedOn w:val="38"/>
    <w:qFormat/>
    <w:uiPriority w:val="0"/>
    <w:rPr>
      <w:rFonts w:hint="eastAsia" w:ascii="宋体" w:hAnsi="宋体" w:eastAsia="宋体" w:cs="宋体"/>
      <w:color w:val="FF0000"/>
      <w:sz w:val="21"/>
      <w:szCs w:val="21"/>
      <w:u w:val="none"/>
    </w:rPr>
  </w:style>
  <w:style w:type="paragraph" w:customStyle="1" w:styleId="116">
    <w:name w:val="表（或图）标题 样式 宋体 五号 居中 SL CON"/>
    <w:basedOn w:val="1"/>
    <w:qFormat/>
    <w:uiPriority w:val="0"/>
    <w:pPr>
      <w:widowControl/>
      <w:tabs>
        <w:tab w:val="left" w:pos="377"/>
      </w:tabs>
      <w:spacing w:before="100" w:beforeAutospacing="1" w:line="360" w:lineRule="auto"/>
      <w:jc w:val="center"/>
    </w:pPr>
    <w:rPr>
      <w:rFonts w:ascii="宋体" w:hAnsi="宋体"/>
      <w:b/>
      <w:kern w:val="0"/>
      <w:sz w:val="20"/>
      <w:szCs w:val="20"/>
    </w:rPr>
  </w:style>
  <w:style w:type="paragraph" w:customStyle="1" w:styleId="117">
    <w:name w:val="正文_衔接"/>
    <w:qFormat/>
    <w:uiPriority w:val="0"/>
    <w:pPr>
      <w:widowControl w:val="0"/>
      <w:spacing w:before="120" w:after="120" w:line="360" w:lineRule="auto"/>
      <w:ind w:firstLine="720" w:firstLineChars="200"/>
      <w:jc w:val="both"/>
    </w:pPr>
    <w:rPr>
      <w:rFonts w:ascii="Times New Roman" w:hAnsi="Times New Roman" w:eastAsia="宋体" w:cs="Times New Roman"/>
      <w:kern w:val="2"/>
      <w:sz w:val="24"/>
      <w:szCs w:val="22"/>
      <w:lang w:val="en-US" w:eastAsia="zh-CN" w:bidi="ar-SA"/>
    </w:rPr>
  </w:style>
  <w:style w:type="table" w:customStyle="1" w:styleId="118">
    <w:name w:val="Table Normal"/>
    <w:unhideWhenUsed/>
    <w:qFormat/>
    <w:uiPriority w:val="0"/>
    <w:tblPr>
      <w:tblCellMar>
        <w:top w:w="0" w:type="dxa"/>
        <w:left w:w="0" w:type="dxa"/>
        <w:bottom w:w="0" w:type="dxa"/>
        <w:right w:w="0" w:type="dxa"/>
      </w:tblCellMar>
    </w:tblPr>
  </w:style>
  <w:style w:type="paragraph" w:customStyle="1" w:styleId="119">
    <w:name w:val="Table Text"/>
    <w:basedOn w:val="1"/>
    <w:semiHidden/>
    <w:qFormat/>
    <w:uiPriority w:val="0"/>
    <w:rPr>
      <w:rFonts w:ascii="宋体" w:hAnsi="宋体" w:eastAsia="宋体" w:cs="宋体"/>
      <w:sz w:val="20"/>
      <w:szCs w:val="20"/>
      <w:lang w:val="en-US" w:eastAsia="en-US" w:bidi="ar-SA"/>
    </w:rPr>
  </w:style>
  <w:style w:type="paragraph" w:customStyle="1" w:styleId="120">
    <w:name w:val="聪表标题"/>
    <w:basedOn w:val="1"/>
    <w:qFormat/>
    <w:uiPriority w:val="99"/>
    <w:pPr>
      <w:spacing w:line="360" w:lineRule="auto"/>
      <w:jc w:val="center"/>
    </w:pPr>
    <w:rPr>
      <w:rFonts w:ascii="黑体" w:hAnsi="黑体" w:eastAsia="黑体"/>
      <w:sz w:val="24"/>
    </w:rPr>
  </w:style>
  <w:style w:type="paragraph" w:customStyle="1" w:styleId="121">
    <w:name w:val="列出段落1"/>
    <w:basedOn w:val="1"/>
    <w:qFormat/>
    <w:uiPriority w:val="99"/>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22">
    <w:name w:val="TOC 标题3"/>
    <w:basedOn w:val="4"/>
    <w:next w:val="1"/>
    <w:unhideWhenUsed/>
    <w:qFormat/>
    <w:uiPriority w:val="39"/>
    <w:pPr>
      <w:keepLines/>
      <w:spacing w:before="240" w:line="259" w:lineRule="auto"/>
      <w:jc w:val="left"/>
      <w:outlineLvl w:val="9"/>
    </w:pPr>
    <w:rPr>
      <w:rFonts w:asciiTheme="majorHAnsi" w:hAnsiTheme="majorHAnsi" w:eastAsiaTheme="majorEastAsia" w:cstheme="majorBidi"/>
      <w:color w:val="2E75B6" w:themeColor="accent1" w:themeShade="BF"/>
      <w:kern w:val="0"/>
      <w:sz w:val="32"/>
      <w:szCs w:val="32"/>
    </w:rPr>
  </w:style>
  <w:style w:type="paragraph" w:customStyle="1" w:styleId="123">
    <w:name w:val="环保表内字（五号）"/>
    <w:basedOn w:val="1"/>
    <w:qFormat/>
    <w:uiPriority w:val="0"/>
    <w:pPr>
      <w:adjustRightInd w:val="0"/>
      <w:snapToGrid w:val="0"/>
      <w:spacing w:line="360" w:lineRule="auto"/>
      <w:ind w:firstLine="720" w:firstLineChars="200"/>
    </w:pPr>
    <w:rPr>
      <w:snapToGrid w:val="0"/>
      <w:kern w:val="0"/>
      <w:szCs w:val="21"/>
    </w:rPr>
  </w:style>
  <w:style w:type="paragraph" w:customStyle="1" w:styleId="124">
    <w:name w:val="表格内容2"/>
    <w:basedOn w:val="73"/>
    <w:qFormat/>
    <w:uiPriority w:val="0"/>
    <w:pPr>
      <w:jc w:val="left"/>
    </w:pPr>
  </w:style>
  <w:style w:type="paragraph" w:customStyle="1" w:styleId="125">
    <w:name w:val="0正文"/>
    <w:basedOn w:val="33"/>
    <w:qFormat/>
    <w:uiPriority w:val="0"/>
    <w:pPr>
      <w:adjustRightInd w:val="0"/>
      <w:snapToGrid w:val="0"/>
      <w:spacing w:before="0" w:beforeAutospacing="0" w:after="0" w:afterAutospacing="0" w:line="360" w:lineRule="auto"/>
      <w:ind w:firstLine="200" w:firstLineChars="200"/>
      <w:jc w:val="both"/>
    </w:pPr>
    <w:rPr>
      <w:rFonts w:ascii="Times New Roman" w:hAnsi="Times New Roman"/>
      <w:kern w:val="2"/>
      <w:szCs w:val="24"/>
      <w:lang w:val="en-US" w:eastAsia="zh-CN"/>
    </w:rPr>
  </w:style>
  <w:style w:type="paragraph" w:customStyle="1" w:styleId="12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27">
    <w:name w:val="报告表格"/>
    <w:basedOn w:val="1"/>
    <w:qFormat/>
    <w:uiPriority w:val="0"/>
    <w:pPr>
      <w:autoSpaceDE w:val="0"/>
      <w:autoSpaceDN w:val="0"/>
      <w:adjustRightInd w:val="0"/>
      <w:ind w:firstLine="720" w:firstLineChars="200"/>
      <w:jc w:val="center"/>
      <w:textAlignment w:val="bottom"/>
    </w:pPr>
    <w:rPr>
      <w:kern w:val="0"/>
      <w:szCs w:val="21"/>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6.bin"/><Relationship Id="rId98" Type="http://schemas.openxmlformats.org/officeDocument/2006/relationships/image" Target="media/image81.emf"/><Relationship Id="rId97" Type="http://schemas.openxmlformats.org/officeDocument/2006/relationships/oleObject" Target="embeddings/oleObject5.bin"/><Relationship Id="rId96" Type="http://schemas.openxmlformats.org/officeDocument/2006/relationships/image" Target="media/image80.png"/><Relationship Id="rId95" Type="http://schemas.openxmlformats.org/officeDocument/2006/relationships/image" Target="media/image79.bmp"/><Relationship Id="rId94" Type="http://schemas.openxmlformats.org/officeDocument/2006/relationships/image" Target="media/image78.png"/><Relationship Id="rId93" Type="http://schemas.openxmlformats.org/officeDocument/2006/relationships/image" Target="media/image77.jpeg"/><Relationship Id="rId92" Type="http://schemas.openxmlformats.org/officeDocument/2006/relationships/image" Target="media/image76.png"/><Relationship Id="rId91" Type="http://schemas.openxmlformats.org/officeDocument/2006/relationships/image" Target="media/image75.jpeg"/><Relationship Id="rId90" Type="http://schemas.openxmlformats.org/officeDocument/2006/relationships/image" Target="media/image74.jpeg"/><Relationship Id="rId9" Type="http://schemas.openxmlformats.org/officeDocument/2006/relationships/footer" Target="footer6.xml"/><Relationship Id="rId89" Type="http://schemas.openxmlformats.org/officeDocument/2006/relationships/image" Target="media/image73.jpeg"/><Relationship Id="rId88" Type="http://schemas.openxmlformats.org/officeDocument/2006/relationships/image" Target="media/image72.jpeg"/><Relationship Id="rId87" Type="http://schemas.openxmlformats.org/officeDocument/2006/relationships/image" Target="media/image71.png"/><Relationship Id="rId86" Type="http://schemas.openxmlformats.org/officeDocument/2006/relationships/image" Target="media/image70.png"/><Relationship Id="rId85" Type="http://schemas.openxmlformats.org/officeDocument/2006/relationships/image" Target="media/image69.png"/><Relationship Id="rId84" Type="http://schemas.openxmlformats.org/officeDocument/2006/relationships/image" Target="media/image68.png"/><Relationship Id="rId83" Type="http://schemas.openxmlformats.org/officeDocument/2006/relationships/image" Target="media/image67.jpeg"/><Relationship Id="rId82" Type="http://schemas.openxmlformats.org/officeDocument/2006/relationships/image" Target="media/image66.jpeg"/><Relationship Id="rId81" Type="http://schemas.openxmlformats.org/officeDocument/2006/relationships/image" Target="media/image65.jpeg"/><Relationship Id="rId80" Type="http://schemas.openxmlformats.org/officeDocument/2006/relationships/image" Target="media/image64.jpeg"/><Relationship Id="rId8" Type="http://schemas.openxmlformats.org/officeDocument/2006/relationships/footer" Target="footer5.xml"/><Relationship Id="rId79" Type="http://schemas.openxmlformats.org/officeDocument/2006/relationships/image" Target="media/image63.jpeg"/><Relationship Id="rId78" Type="http://schemas.openxmlformats.org/officeDocument/2006/relationships/image" Target="media/image62.jpeg"/><Relationship Id="rId77" Type="http://schemas.openxmlformats.org/officeDocument/2006/relationships/image" Target="media/image61.jpeg"/><Relationship Id="rId76" Type="http://schemas.openxmlformats.org/officeDocument/2006/relationships/image" Target="media/image60.jpeg"/><Relationship Id="rId75" Type="http://schemas.openxmlformats.org/officeDocument/2006/relationships/image" Target="media/image59.jpeg"/><Relationship Id="rId74" Type="http://schemas.openxmlformats.org/officeDocument/2006/relationships/image" Target="media/image58.jpeg"/><Relationship Id="rId73" Type="http://schemas.openxmlformats.org/officeDocument/2006/relationships/image" Target="media/image57.jpeg"/><Relationship Id="rId72" Type="http://schemas.openxmlformats.org/officeDocument/2006/relationships/image" Target="media/image56.jpeg"/><Relationship Id="rId71" Type="http://schemas.openxmlformats.org/officeDocument/2006/relationships/image" Target="media/image55.jpeg"/><Relationship Id="rId70" Type="http://schemas.openxmlformats.org/officeDocument/2006/relationships/image" Target="media/image54.jpeg"/><Relationship Id="rId7" Type="http://schemas.openxmlformats.org/officeDocument/2006/relationships/footer" Target="footer4.xml"/><Relationship Id="rId69" Type="http://schemas.openxmlformats.org/officeDocument/2006/relationships/image" Target="media/image53.jpeg"/><Relationship Id="rId68" Type="http://schemas.openxmlformats.org/officeDocument/2006/relationships/image" Target="media/image52.jpeg"/><Relationship Id="rId67" Type="http://schemas.openxmlformats.org/officeDocument/2006/relationships/image" Target="media/image51.jpeg"/><Relationship Id="rId66" Type="http://schemas.openxmlformats.org/officeDocument/2006/relationships/image" Target="media/image50.jpeg"/><Relationship Id="rId65" Type="http://schemas.openxmlformats.org/officeDocument/2006/relationships/image" Target="media/image49.jpeg"/><Relationship Id="rId64" Type="http://schemas.openxmlformats.org/officeDocument/2006/relationships/image" Target="media/image48.jpeg"/><Relationship Id="rId63" Type="http://schemas.openxmlformats.org/officeDocument/2006/relationships/image" Target="media/image47.jpeg"/><Relationship Id="rId62" Type="http://schemas.openxmlformats.org/officeDocument/2006/relationships/image" Target="media/image46.jpeg"/><Relationship Id="rId61" Type="http://schemas.openxmlformats.org/officeDocument/2006/relationships/image" Target="media/image45.jpeg"/><Relationship Id="rId60" Type="http://schemas.openxmlformats.org/officeDocument/2006/relationships/image" Target="media/image44.jpeg"/><Relationship Id="rId6" Type="http://schemas.openxmlformats.org/officeDocument/2006/relationships/footer" Target="footer3.xml"/><Relationship Id="rId59" Type="http://schemas.openxmlformats.org/officeDocument/2006/relationships/image" Target="media/image43.jpeg"/><Relationship Id="rId58" Type="http://schemas.openxmlformats.org/officeDocument/2006/relationships/image" Target="media/image42.jpeg"/><Relationship Id="rId57" Type="http://schemas.openxmlformats.org/officeDocument/2006/relationships/image" Target="media/image41.jpeg"/><Relationship Id="rId56" Type="http://schemas.openxmlformats.org/officeDocument/2006/relationships/image" Target="media/image40.jpeg"/><Relationship Id="rId55" Type="http://schemas.openxmlformats.org/officeDocument/2006/relationships/image" Target="media/image39.jpeg"/><Relationship Id="rId54" Type="http://schemas.openxmlformats.org/officeDocument/2006/relationships/image" Target="media/image38.jpeg"/><Relationship Id="rId53" Type="http://schemas.openxmlformats.org/officeDocument/2006/relationships/image" Target="media/image37.jpeg"/><Relationship Id="rId52" Type="http://schemas.openxmlformats.org/officeDocument/2006/relationships/image" Target="media/image36.jpeg"/><Relationship Id="rId51" Type="http://schemas.openxmlformats.org/officeDocument/2006/relationships/image" Target="media/image35.jpeg"/><Relationship Id="rId50" Type="http://schemas.openxmlformats.org/officeDocument/2006/relationships/image" Target="media/image34.jpeg"/><Relationship Id="rId5" Type="http://schemas.openxmlformats.org/officeDocument/2006/relationships/header" Target="header1.xml"/><Relationship Id="rId49" Type="http://schemas.openxmlformats.org/officeDocument/2006/relationships/image" Target="media/image33.jpeg"/><Relationship Id="rId48" Type="http://schemas.openxmlformats.org/officeDocument/2006/relationships/image" Target="media/image32.jpeg"/><Relationship Id="rId47" Type="http://schemas.openxmlformats.org/officeDocument/2006/relationships/image" Target="media/image31.jpeg"/><Relationship Id="rId46" Type="http://schemas.openxmlformats.org/officeDocument/2006/relationships/image" Target="media/image30.jpeg"/><Relationship Id="rId45" Type="http://schemas.openxmlformats.org/officeDocument/2006/relationships/image" Target="media/image29.jpeg"/><Relationship Id="rId44" Type="http://schemas.openxmlformats.org/officeDocument/2006/relationships/image" Target="media/image28.jpeg"/><Relationship Id="rId43" Type="http://schemas.openxmlformats.org/officeDocument/2006/relationships/image" Target="media/image27.jpeg"/><Relationship Id="rId42" Type="http://schemas.openxmlformats.org/officeDocument/2006/relationships/image" Target="media/image26.jpeg"/><Relationship Id="rId41" Type="http://schemas.openxmlformats.org/officeDocument/2006/relationships/image" Target="media/image25.jpeg"/><Relationship Id="rId40" Type="http://schemas.openxmlformats.org/officeDocument/2006/relationships/image" Target="media/image24.jpeg"/><Relationship Id="rId4" Type="http://schemas.openxmlformats.org/officeDocument/2006/relationships/footer" Target="footer2.xml"/><Relationship Id="rId39" Type="http://schemas.openxmlformats.org/officeDocument/2006/relationships/image" Target="media/image23.jpeg"/><Relationship Id="rId38" Type="http://schemas.openxmlformats.org/officeDocument/2006/relationships/image" Target="media/image22.jpeg"/><Relationship Id="rId37" Type="http://schemas.openxmlformats.org/officeDocument/2006/relationships/image" Target="media/image21.jpeg"/><Relationship Id="rId36" Type="http://schemas.openxmlformats.org/officeDocument/2006/relationships/image" Target="media/image20.jpeg"/><Relationship Id="rId35" Type="http://schemas.openxmlformats.org/officeDocument/2006/relationships/image" Target="media/image19.jpeg"/><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jpeg"/><Relationship Id="rId31" Type="http://schemas.openxmlformats.org/officeDocument/2006/relationships/image" Target="media/image15.jpeg"/><Relationship Id="rId30" Type="http://schemas.openxmlformats.org/officeDocument/2006/relationships/image" Target="media/image14.jpeg"/><Relationship Id="rId3" Type="http://schemas.openxmlformats.org/officeDocument/2006/relationships/footer" Target="footer1.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e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4.emf"/><Relationship Id="rId18" Type="http://schemas.openxmlformats.org/officeDocument/2006/relationships/oleObject" Target="embeddings/oleObject3.bin"/><Relationship Id="rId17" Type="http://schemas.openxmlformats.org/officeDocument/2006/relationships/image" Target="media/image3.emf"/><Relationship Id="rId16" Type="http://schemas.openxmlformats.org/officeDocument/2006/relationships/oleObject" Target="embeddings/oleObject2.bin"/><Relationship Id="rId15" Type="http://schemas.openxmlformats.org/officeDocument/2006/relationships/image" Target="media/image2.emf"/><Relationship Id="rId14" Type="http://schemas.openxmlformats.org/officeDocument/2006/relationships/oleObject" Target="embeddings/oleObject1.bin"/><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3.xml"/><Relationship Id="rId107" Type="http://schemas.openxmlformats.org/officeDocument/2006/relationships/fontTable" Target="fontTable.xml"/><Relationship Id="rId106" Type="http://schemas.openxmlformats.org/officeDocument/2006/relationships/numbering" Target="numbering.xml"/><Relationship Id="rId105" Type="http://schemas.openxmlformats.org/officeDocument/2006/relationships/customXml" Target="../customXml/item1.xml"/><Relationship Id="rId104" Type="http://schemas.openxmlformats.org/officeDocument/2006/relationships/image" Target="media/image85.jpeg"/><Relationship Id="rId103" Type="http://schemas.openxmlformats.org/officeDocument/2006/relationships/image" Target="media/image84.png"/><Relationship Id="rId102" Type="http://schemas.openxmlformats.org/officeDocument/2006/relationships/image" Target="media/image83.emf"/><Relationship Id="rId101" Type="http://schemas.openxmlformats.org/officeDocument/2006/relationships/oleObject" Target="embeddings/oleObject7.bin"/><Relationship Id="rId100" Type="http://schemas.openxmlformats.org/officeDocument/2006/relationships/image" Target="media/image82.emf"/><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153</Pages>
  <Words>53204</Words>
  <Characters>64263</Characters>
  <Lines>0</Lines>
  <Paragraphs>0</Paragraphs>
  <TotalTime>0</TotalTime>
  <ScaleCrop>false</ScaleCrop>
  <LinksUpToDate>false</LinksUpToDate>
  <CharactersWithSpaces>64765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板仓森林</cp:lastModifiedBy>
  <cp:lastPrinted>2022-10-14T00:15:00Z</cp:lastPrinted>
  <dcterms:modified xsi:type="dcterms:W3CDTF">2026-01-28T06:15:20Z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900ED8D78386469F914A989C33E0C98F_13</vt:lpwstr>
  </property>
  <property fmtid="{D5CDD505-2E9C-101B-9397-08002B2CF9AE}" pid="4" name="KSOTemplateDocerSaveRecord">
    <vt:lpwstr>eyJoZGlkIjoiMWYwMTZhNjAxZDlmZWM0MDY3MmIwMTkzZTVhYzZiYjciLCJ1c2VySWQiOiIxMTczMzgzMzk5In0=</vt:lpwstr>
  </property>
</Properties>
</file>