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D3EECF">
      <w:pPr>
        <w:rPr>
          <w:rFonts w:ascii="仿宋_GB2312" w:hAnsi="仿宋_GB2312" w:eastAsia="仿宋_GB2312" w:cs="仿宋_GB2312"/>
          <w:sz w:val="36"/>
          <w:szCs w:val="36"/>
        </w:rPr>
      </w:pPr>
    </w:p>
    <w:p w14:paraId="1DEAA918">
      <w:pPr>
        <w:rPr>
          <w:rFonts w:ascii="仿宋_GB2312" w:hAnsi="仿宋_GB2312" w:eastAsia="仿宋_GB2312" w:cs="仿宋_GB2312"/>
          <w:sz w:val="36"/>
          <w:szCs w:val="36"/>
        </w:rPr>
      </w:pPr>
    </w:p>
    <w:p w14:paraId="16C326D8">
      <w:pPr>
        <w:rPr>
          <w:rFonts w:ascii="仿宋_GB2312" w:hAnsi="仿宋_GB2312" w:eastAsia="仿宋_GB2312" w:cs="仿宋_GB2312"/>
          <w:sz w:val="36"/>
          <w:szCs w:val="36"/>
        </w:rPr>
      </w:pPr>
    </w:p>
    <w:p w14:paraId="09BF8BDB">
      <w:pPr>
        <w:rPr>
          <w:rFonts w:ascii="仿宋_GB2312" w:hAnsi="仿宋_GB2312" w:eastAsia="仿宋_GB2312" w:cs="仿宋_GB2312"/>
          <w:sz w:val="36"/>
          <w:szCs w:val="36"/>
        </w:rPr>
      </w:pPr>
    </w:p>
    <w:p w14:paraId="1E3F6C43">
      <w:pPr>
        <w:adjustRightInd w:val="0"/>
        <w:snapToGrid w:val="0"/>
        <w:jc w:val="center"/>
        <w:outlineLvl w:val="0"/>
        <w:rPr>
          <w:rFonts w:hint="eastAsia" w:ascii="方正仿宋_GB18030" w:hAnsi="方正仿宋_GB18030" w:eastAsia="方正仿宋_GB18030" w:cs="方正仿宋_GB18030"/>
          <w:b/>
          <w:bCs w:val="0"/>
          <w:sz w:val="72"/>
          <w:szCs w:val="72"/>
        </w:rPr>
      </w:pPr>
      <w:r>
        <w:rPr>
          <w:rFonts w:hint="eastAsia" w:ascii="方正仿宋_GB18030" w:hAnsi="方正仿宋_GB18030" w:eastAsia="方正仿宋_GB18030" w:cs="方正仿宋_GB18030"/>
          <w:b/>
          <w:bCs w:val="0"/>
          <w:sz w:val="72"/>
          <w:szCs w:val="72"/>
        </w:rPr>
        <w:t>建设项目环境影响报告表</w:t>
      </w:r>
    </w:p>
    <w:p w14:paraId="46A865CB">
      <w:pPr>
        <w:adjustRightInd w:val="0"/>
        <w:snapToGrid w:val="0"/>
        <w:spacing w:before="192" w:beforeLines="80"/>
        <w:jc w:val="center"/>
        <w:rPr>
          <w:rFonts w:hint="eastAsia" w:ascii="华文仿宋" w:hAnsi="华文仿宋" w:eastAsia="华文仿宋" w:cs="华文仿宋"/>
          <w:bCs/>
          <w:sz w:val="48"/>
          <w:szCs w:val="48"/>
          <w:lang w:eastAsia="zh-CN"/>
        </w:rPr>
      </w:pPr>
      <w:r>
        <w:rPr>
          <w:rFonts w:hint="eastAsia" w:ascii="华文仿宋" w:hAnsi="华文仿宋" w:eastAsia="华文仿宋" w:cs="华文仿宋"/>
          <w:bCs/>
          <w:sz w:val="48"/>
          <w:szCs w:val="48"/>
        </w:rPr>
        <w:t>（污染影响类</w:t>
      </w:r>
      <w:r>
        <w:rPr>
          <w:rFonts w:hint="eastAsia" w:ascii="华文仿宋" w:hAnsi="华文仿宋" w:eastAsia="华文仿宋" w:cs="华文仿宋"/>
          <w:bCs/>
          <w:sz w:val="48"/>
          <w:szCs w:val="48"/>
          <w:lang w:eastAsia="zh-CN"/>
        </w:rPr>
        <w:t>）</w:t>
      </w:r>
    </w:p>
    <w:p w14:paraId="63B849D0">
      <w:pPr>
        <w:rPr>
          <w:rFonts w:eastAsia="仿宋"/>
          <w:sz w:val="44"/>
          <w:szCs w:val="44"/>
        </w:rPr>
      </w:pPr>
    </w:p>
    <w:p w14:paraId="7F161DA2">
      <w:pPr>
        <w:pStyle w:val="34"/>
        <w:rPr>
          <w:rFonts w:eastAsia="仿宋"/>
          <w:sz w:val="44"/>
          <w:szCs w:val="44"/>
        </w:rPr>
      </w:pPr>
    </w:p>
    <w:p w14:paraId="312B830E">
      <w:pPr>
        <w:rPr>
          <w:rFonts w:eastAsia="仿宋"/>
          <w:sz w:val="44"/>
          <w:szCs w:val="44"/>
        </w:rPr>
      </w:pPr>
    </w:p>
    <w:p w14:paraId="5E2D453F">
      <w:pPr>
        <w:pStyle w:val="34"/>
      </w:pPr>
    </w:p>
    <w:p w14:paraId="377BA299">
      <w:pPr>
        <w:ind w:firstLine="1040"/>
        <w:rPr>
          <w:rFonts w:eastAsia="仿宋"/>
          <w:sz w:val="44"/>
          <w:szCs w:val="44"/>
        </w:rPr>
      </w:pPr>
    </w:p>
    <w:p w14:paraId="156EA9E1">
      <w:pPr>
        <w:pStyle w:val="34"/>
        <w:rPr>
          <w:rFonts w:eastAsia="仿宋"/>
          <w:sz w:val="44"/>
          <w:szCs w:val="44"/>
        </w:rPr>
      </w:pPr>
    </w:p>
    <w:tbl>
      <w:tblPr>
        <w:tblStyle w:val="36"/>
        <w:tblW w:w="4713" w:type="pct"/>
        <w:jc w:val="center"/>
        <w:tblBorders>
          <w:top w:val="none" w:color="auto" w:sz="0"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990"/>
        <w:gridCol w:w="6550"/>
      </w:tblGrid>
      <w:tr w14:paraId="2D7DBC93">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66" w:hRule="atLeast"/>
          <w:jc w:val="center"/>
        </w:trPr>
        <w:tc>
          <w:tcPr>
            <w:tcW w:w="1165" w:type="pct"/>
            <w:tcBorders>
              <w:bottom w:val="nil"/>
            </w:tcBorders>
          </w:tcPr>
          <w:p w14:paraId="4A97FEA0">
            <w:pPr>
              <w:rPr>
                <w:rFonts w:hint="eastAsia" w:ascii="华文仿宋" w:hAnsi="华文仿宋" w:eastAsia="华文仿宋" w:cs="华文仿宋"/>
                <w:sz w:val="36"/>
                <w:szCs w:val="36"/>
                <w:vertAlign w:val="baseline"/>
                <w:lang w:eastAsia="zh-CN"/>
              </w:rPr>
            </w:pPr>
            <w:r>
              <w:rPr>
                <w:rFonts w:hint="eastAsia" w:ascii="华文仿宋" w:hAnsi="华文仿宋" w:eastAsia="华文仿宋" w:cs="华文仿宋"/>
                <w:sz w:val="36"/>
                <w:szCs w:val="36"/>
                <w:u w:val="none"/>
                <w:vertAlign w:val="baseline"/>
                <w:lang w:eastAsia="zh-CN"/>
              </w:rPr>
              <w:t>项目名称：</w:t>
            </w:r>
          </w:p>
        </w:tc>
        <w:tc>
          <w:tcPr>
            <w:tcW w:w="3834" w:type="pct"/>
            <w:tcBorders>
              <w:tl2br w:val="nil"/>
              <w:tr2bl w:val="nil"/>
            </w:tcBorders>
          </w:tcPr>
          <w:p w14:paraId="2939B8B2">
            <w:pPr>
              <w:jc w:val="center"/>
              <w:rPr>
                <w:rFonts w:hint="eastAsia" w:ascii="华文仿宋" w:hAnsi="华文仿宋" w:eastAsia="华文仿宋" w:cs="华文仿宋"/>
                <w:w w:val="100"/>
                <w:sz w:val="36"/>
                <w:szCs w:val="36"/>
                <w:u w:val="none"/>
                <w:lang w:eastAsia="zh-CN"/>
              </w:rPr>
            </w:pPr>
            <w:r>
              <w:rPr>
                <w:rFonts w:hint="eastAsia" w:ascii="华文仿宋" w:hAnsi="华文仿宋" w:eastAsia="华文仿宋" w:cs="华文仿宋"/>
                <w:w w:val="100"/>
                <w:sz w:val="36"/>
                <w:szCs w:val="36"/>
                <w:u w:val="none"/>
                <w:lang w:eastAsia="zh-CN"/>
              </w:rPr>
              <w:t>淄博驰越新材料有限公司</w:t>
            </w:r>
          </w:p>
        </w:tc>
      </w:tr>
      <w:tr w14:paraId="4DBBAF31">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66" w:hRule="atLeast"/>
          <w:jc w:val="center"/>
        </w:trPr>
        <w:tc>
          <w:tcPr>
            <w:tcW w:w="1165" w:type="pct"/>
            <w:tcBorders>
              <w:top w:val="nil"/>
              <w:bottom w:val="nil"/>
            </w:tcBorders>
          </w:tcPr>
          <w:p w14:paraId="3A3437A9">
            <w:pPr>
              <w:rPr>
                <w:rFonts w:hint="eastAsia" w:ascii="华文仿宋" w:hAnsi="华文仿宋" w:eastAsia="华文仿宋" w:cs="华文仿宋"/>
                <w:sz w:val="36"/>
                <w:szCs w:val="36"/>
                <w:vertAlign w:val="baseline"/>
                <w:lang w:eastAsia="zh-CN"/>
              </w:rPr>
            </w:pPr>
          </w:p>
        </w:tc>
        <w:tc>
          <w:tcPr>
            <w:tcW w:w="3834" w:type="pct"/>
            <w:tcBorders>
              <w:tl2br w:val="nil"/>
              <w:tr2bl w:val="nil"/>
            </w:tcBorders>
          </w:tcPr>
          <w:p w14:paraId="4E876BF7">
            <w:pPr>
              <w:jc w:val="center"/>
              <w:rPr>
                <w:rFonts w:hint="eastAsia" w:ascii="华文仿宋" w:hAnsi="华文仿宋" w:eastAsia="华文仿宋" w:cs="华文仿宋"/>
                <w:w w:val="100"/>
                <w:sz w:val="36"/>
                <w:szCs w:val="36"/>
                <w:u w:val="none"/>
                <w:lang w:val="en-US" w:eastAsia="zh-CN"/>
              </w:rPr>
            </w:pPr>
            <w:r>
              <w:rPr>
                <w:rFonts w:hint="eastAsia" w:ascii="华文仿宋" w:hAnsi="华文仿宋" w:eastAsia="华文仿宋" w:cs="华文仿宋"/>
                <w:w w:val="100"/>
                <w:sz w:val="36"/>
                <w:szCs w:val="36"/>
                <w:u w:val="none"/>
                <w:lang w:eastAsia="zh-CN"/>
              </w:rPr>
              <w:t>年产20000吨超硬复合新材料项目</w:t>
            </w:r>
          </w:p>
        </w:tc>
      </w:tr>
      <w:tr w14:paraId="121934DB">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165" w:type="pct"/>
            <w:tcBorders>
              <w:top w:val="nil"/>
              <w:bottom w:val="nil"/>
            </w:tcBorders>
          </w:tcPr>
          <w:p w14:paraId="067F12FA">
            <w:pPr>
              <w:rPr>
                <w:rFonts w:hint="eastAsia" w:ascii="华文仿宋" w:hAnsi="华文仿宋" w:eastAsia="华文仿宋" w:cs="华文仿宋"/>
                <w:sz w:val="36"/>
                <w:szCs w:val="36"/>
                <w:vertAlign w:val="baseline"/>
                <w:lang w:eastAsia="zh-CN"/>
              </w:rPr>
            </w:pPr>
            <w:r>
              <w:rPr>
                <w:rFonts w:hint="eastAsia" w:ascii="华文仿宋" w:hAnsi="华文仿宋" w:eastAsia="华文仿宋" w:cs="华文仿宋"/>
                <w:sz w:val="36"/>
                <w:szCs w:val="36"/>
                <w:vertAlign w:val="baseline"/>
                <w:lang w:eastAsia="zh-CN"/>
              </w:rPr>
              <w:t>建设单位：</w:t>
            </w:r>
          </w:p>
        </w:tc>
        <w:tc>
          <w:tcPr>
            <w:tcW w:w="3834" w:type="pct"/>
            <w:tcBorders>
              <w:tl2br w:val="nil"/>
              <w:tr2bl w:val="nil"/>
            </w:tcBorders>
          </w:tcPr>
          <w:p w14:paraId="4E6F69BD">
            <w:pPr>
              <w:jc w:val="center"/>
              <w:rPr>
                <w:rFonts w:hint="eastAsia" w:ascii="华文仿宋" w:hAnsi="华文仿宋" w:eastAsia="华文仿宋" w:cs="华文仿宋"/>
                <w:w w:val="100"/>
                <w:sz w:val="36"/>
                <w:szCs w:val="36"/>
                <w:vertAlign w:val="baseline"/>
              </w:rPr>
            </w:pPr>
            <w:r>
              <w:rPr>
                <w:rFonts w:hint="eastAsia" w:ascii="华文仿宋" w:hAnsi="华文仿宋" w:eastAsia="华文仿宋" w:cs="华文仿宋"/>
                <w:w w:val="100"/>
                <w:sz w:val="36"/>
                <w:szCs w:val="36"/>
                <w:u w:val="none"/>
                <w:lang w:eastAsia="zh-CN"/>
              </w:rPr>
              <w:t>淄博驰越新材料有限公司</w:t>
            </w:r>
            <w:r>
              <w:rPr>
                <w:rFonts w:hint="eastAsia" w:ascii="华文仿宋" w:hAnsi="华文仿宋" w:eastAsia="华文仿宋" w:cs="华文仿宋"/>
                <w:w w:val="100"/>
                <w:sz w:val="36"/>
                <w:szCs w:val="36"/>
                <w:u w:val="none"/>
              </w:rPr>
              <w:t>（盖章）</w:t>
            </w:r>
          </w:p>
        </w:tc>
      </w:tr>
      <w:tr w14:paraId="581D6D35">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165" w:type="pct"/>
            <w:tcBorders>
              <w:top w:val="nil"/>
              <w:bottom w:val="nil"/>
            </w:tcBorders>
          </w:tcPr>
          <w:p w14:paraId="4F6ACD57">
            <w:pPr>
              <w:rPr>
                <w:rFonts w:hint="eastAsia" w:ascii="华文仿宋" w:hAnsi="华文仿宋" w:eastAsia="华文仿宋" w:cs="华文仿宋"/>
                <w:sz w:val="36"/>
                <w:szCs w:val="36"/>
                <w:vertAlign w:val="baseline"/>
                <w:lang w:eastAsia="zh-CN"/>
              </w:rPr>
            </w:pPr>
            <w:r>
              <w:rPr>
                <w:rFonts w:hint="eastAsia" w:ascii="华文仿宋" w:hAnsi="华文仿宋" w:eastAsia="华文仿宋" w:cs="华文仿宋"/>
                <w:sz w:val="36"/>
                <w:szCs w:val="36"/>
                <w:vertAlign w:val="baseline"/>
                <w:lang w:eastAsia="zh-CN"/>
              </w:rPr>
              <w:t>编制日期</w:t>
            </w:r>
          </w:p>
        </w:tc>
        <w:tc>
          <w:tcPr>
            <w:tcW w:w="3834" w:type="pct"/>
            <w:tcBorders>
              <w:tl2br w:val="nil"/>
              <w:tr2bl w:val="nil"/>
            </w:tcBorders>
          </w:tcPr>
          <w:p w14:paraId="0536EB48">
            <w:pPr>
              <w:jc w:val="center"/>
              <w:rPr>
                <w:rFonts w:hint="default" w:ascii="华文仿宋" w:hAnsi="华文仿宋" w:eastAsia="华文仿宋" w:cs="华文仿宋"/>
                <w:w w:val="100"/>
                <w:sz w:val="36"/>
                <w:szCs w:val="36"/>
                <w:vertAlign w:val="baseline"/>
                <w:lang w:val="en-US" w:eastAsia="zh-CN"/>
              </w:rPr>
            </w:pPr>
            <w:r>
              <w:rPr>
                <w:rFonts w:hint="eastAsia" w:ascii="华文仿宋" w:hAnsi="华文仿宋" w:eastAsia="华文仿宋" w:cs="华文仿宋"/>
                <w:w w:val="100"/>
                <w:sz w:val="36"/>
                <w:szCs w:val="36"/>
                <w:vertAlign w:val="baseline"/>
                <w:lang w:val="en-US" w:eastAsia="zh-CN"/>
              </w:rPr>
              <w:t>2026年3月</w:t>
            </w:r>
          </w:p>
        </w:tc>
      </w:tr>
    </w:tbl>
    <w:p w14:paraId="71156344">
      <w:pPr>
        <w:rPr>
          <w:rFonts w:eastAsia="仿宋"/>
          <w:sz w:val="44"/>
          <w:szCs w:val="44"/>
        </w:rPr>
      </w:pPr>
    </w:p>
    <w:p w14:paraId="0BDDC4C9">
      <w:pPr>
        <w:pStyle w:val="34"/>
        <w:rPr>
          <w:rFonts w:eastAsia="仿宋"/>
          <w:sz w:val="44"/>
          <w:szCs w:val="44"/>
        </w:rPr>
      </w:pPr>
    </w:p>
    <w:p w14:paraId="2C3BB6FA">
      <w:pPr>
        <w:adjustRightInd w:val="0"/>
        <w:snapToGrid w:val="0"/>
        <w:spacing w:line="288" w:lineRule="auto"/>
        <w:ind w:firstLine="1040"/>
        <w:rPr>
          <w:rFonts w:ascii="仿宋_GB2312" w:eastAsia="仿宋_GB2312"/>
          <w:sz w:val="36"/>
          <w:szCs w:val="36"/>
        </w:rPr>
      </w:pPr>
      <w:bookmarkStart w:id="0" w:name="_Hlk57884087"/>
    </w:p>
    <w:p w14:paraId="0A374859">
      <w:pPr>
        <w:adjustRightInd w:val="0"/>
        <w:snapToGrid w:val="0"/>
        <w:spacing w:line="288" w:lineRule="auto"/>
        <w:rPr>
          <w:rFonts w:ascii="仿宋_GB2312" w:eastAsia="仿宋_GB2312"/>
          <w:sz w:val="36"/>
          <w:szCs w:val="36"/>
        </w:rPr>
      </w:pPr>
    </w:p>
    <w:bookmarkEnd w:id="0"/>
    <w:p w14:paraId="34BBD522">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2406F468">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210FAD71">
      <w:pPr>
        <w:pStyle w:val="30"/>
        <w:spacing w:line="240" w:lineRule="auto"/>
        <w:jc w:val="center"/>
        <w:outlineLvl w:val="0"/>
        <w:rPr>
          <w:rFonts w:hint="default" w:ascii="Times New Roman" w:hAnsi="Times New Roman" w:eastAsia="宋体" w:cs="Times New Roman"/>
          <w:b/>
          <w:bCs/>
          <w:snapToGrid w:val="0"/>
          <w:sz w:val="30"/>
          <w:szCs w:val="30"/>
        </w:rPr>
      </w:pPr>
      <w:r>
        <w:rPr>
          <w:rFonts w:hint="default" w:ascii="Times New Roman" w:hAnsi="Times New Roman" w:eastAsia="宋体" w:cs="Times New Roman"/>
          <w:b/>
          <w:bCs/>
          <w:snapToGrid w:val="0"/>
          <w:sz w:val="30"/>
          <w:szCs w:val="30"/>
        </w:rPr>
        <w:t>一、建设项目基本情况</w:t>
      </w:r>
    </w:p>
    <w:tbl>
      <w:tblPr>
        <w:tblStyle w:val="35"/>
        <w:tblW w:w="497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88"/>
        <w:gridCol w:w="1293"/>
        <w:gridCol w:w="1928"/>
        <w:gridCol w:w="1807"/>
        <w:gridCol w:w="3103"/>
      </w:tblGrid>
      <w:tr w14:paraId="31D0D9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0" w:hRule="atLeast"/>
          <w:jc w:val="center"/>
        </w:trPr>
        <w:tc>
          <w:tcPr>
            <w:tcW w:w="1123" w:type="pct"/>
            <w:gridSpan w:val="2"/>
            <w:tcBorders>
              <w:tl2br w:val="nil"/>
              <w:tr2bl w:val="nil"/>
            </w:tcBorders>
            <w:tcMar>
              <w:top w:w="16" w:type="dxa"/>
              <w:left w:w="16" w:type="dxa"/>
              <w:right w:w="16" w:type="dxa"/>
            </w:tcMar>
            <w:vAlign w:val="center"/>
          </w:tcPr>
          <w:p w14:paraId="6810A7BB">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建设项目名称</w:t>
            </w:r>
          </w:p>
        </w:tc>
        <w:tc>
          <w:tcPr>
            <w:tcW w:w="3876" w:type="pct"/>
            <w:gridSpan w:val="3"/>
            <w:tcBorders>
              <w:tl2br w:val="nil"/>
              <w:tr2bl w:val="nil"/>
            </w:tcBorders>
            <w:vAlign w:val="center"/>
          </w:tcPr>
          <w:p w14:paraId="684C9193">
            <w:pPr>
              <w:adjustRightInd w:val="0"/>
              <w:snapToGrid w:val="0"/>
              <w:jc w:val="center"/>
              <w:rPr>
                <w:rFonts w:hint="default" w:ascii="Times New Roman" w:hAnsi="Times New Roman" w:eastAsia="宋体" w:cs="Times New Roman"/>
                <w:spacing w:val="0"/>
                <w:sz w:val="21"/>
                <w:szCs w:val="21"/>
                <w:lang w:eastAsia="zh-CN"/>
              </w:rPr>
            </w:pPr>
            <w:r>
              <w:rPr>
                <w:rFonts w:hint="eastAsia" w:cs="Times New Roman"/>
                <w:spacing w:val="0"/>
                <w:sz w:val="21"/>
                <w:szCs w:val="21"/>
                <w:lang w:eastAsia="zh-CN"/>
              </w:rPr>
              <w:t>淄博驰越新材料有限公司年产20000吨超硬复合新材料项目</w:t>
            </w:r>
          </w:p>
        </w:tc>
      </w:tr>
      <w:tr w14:paraId="2E7D7B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123" w:type="pct"/>
            <w:gridSpan w:val="2"/>
            <w:tcBorders>
              <w:tl2br w:val="nil"/>
              <w:tr2bl w:val="nil"/>
            </w:tcBorders>
            <w:tcMar>
              <w:top w:w="16" w:type="dxa"/>
              <w:left w:w="16" w:type="dxa"/>
              <w:right w:w="16" w:type="dxa"/>
            </w:tcMar>
            <w:vAlign w:val="center"/>
          </w:tcPr>
          <w:p w14:paraId="2CDD0445">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项目代码</w:t>
            </w:r>
          </w:p>
        </w:tc>
        <w:tc>
          <w:tcPr>
            <w:tcW w:w="3876" w:type="pct"/>
            <w:gridSpan w:val="3"/>
            <w:tcBorders>
              <w:tl2br w:val="nil"/>
              <w:tr2bl w:val="nil"/>
            </w:tcBorders>
            <w:vAlign w:val="center"/>
          </w:tcPr>
          <w:p w14:paraId="6AB55DAF">
            <w:pPr>
              <w:adjustRightInd w:val="0"/>
              <w:snapToGrid w:val="0"/>
              <w:jc w:val="center"/>
              <w:rPr>
                <w:rFonts w:hint="default" w:ascii="Times New Roman" w:hAnsi="Times New Roman" w:eastAsia="宋体" w:cs="Times New Roman"/>
                <w:spacing w:val="0"/>
                <w:sz w:val="21"/>
                <w:szCs w:val="21"/>
                <w:lang w:eastAsia="zh-CN"/>
              </w:rPr>
            </w:pPr>
            <w:r>
              <w:rPr>
                <w:rFonts w:hint="eastAsia" w:cs="Times New Roman"/>
                <w:spacing w:val="0"/>
                <w:sz w:val="21"/>
                <w:szCs w:val="21"/>
                <w:lang w:eastAsia="zh-CN"/>
              </w:rPr>
              <w:t>2602-370391-04-01-632453</w:t>
            </w:r>
          </w:p>
        </w:tc>
      </w:tr>
      <w:tr w14:paraId="47288C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100033C7">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建设单位联系人</w:t>
            </w:r>
          </w:p>
        </w:tc>
        <w:tc>
          <w:tcPr>
            <w:tcW w:w="1093" w:type="pct"/>
            <w:tcBorders>
              <w:tl2br w:val="nil"/>
              <w:tr2bl w:val="nil"/>
            </w:tcBorders>
            <w:vAlign w:val="center"/>
          </w:tcPr>
          <w:p w14:paraId="137F2608">
            <w:pPr>
              <w:adjustRightInd w:val="0"/>
              <w:snapToGrid w:val="0"/>
              <w:jc w:val="center"/>
              <w:rPr>
                <w:rFonts w:hint="default" w:ascii="Times New Roman" w:hAnsi="Times New Roman" w:eastAsia="宋体" w:cs="Times New Roman"/>
                <w:spacing w:val="0"/>
                <w:sz w:val="21"/>
                <w:szCs w:val="21"/>
                <w:lang w:eastAsia="zh-CN"/>
              </w:rPr>
            </w:pPr>
            <w:r>
              <w:rPr>
                <w:rFonts w:hint="eastAsia" w:cs="Times New Roman"/>
                <w:spacing w:val="0"/>
                <w:sz w:val="21"/>
                <w:szCs w:val="21"/>
                <w:lang w:eastAsia="zh-CN"/>
              </w:rPr>
              <w:t>韩晓明</w:t>
            </w:r>
          </w:p>
        </w:tc>
        <w:tc>
          <w:tcPr>
            <w:tcW w:w="1024" w:type="pct"/>
            <w:tcBorders>
              <w:tl2br w:val="nil"/>
              <w:tr2bl w:val="nil"/>
            </w:tcBorders>
            <w:vAlign w:val="center"/>
          </w:tcPr>
          <w:p w14:paraId="2D344D4B">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联系方式</w:t>
            </w:r>
          </w:p>
        </w:tc>
        <w:tc>
          <w:tcPr>
            <w:tcW w:w="1759" w:type="pct"/>
            <w:tcBorders>
              <w:tl2br w:val="nil"/>
              <w:tr2bl w:val="nil"/>
            </w:tcBorders>
            <w:vAlign w:val="center"/>
          </w:tcPr>
          <w:p w14:paraId="5CCC41F7">
            <w:pPr>
              <w:adjustRightInd w:val="0"/>
              <w:snapToGrid w:val="0"/>
              <w:jc w:val="center"/>
              <w:rPr>
                <w:rFonts w:hint="default" w:ascii="Times New Roman" w:hAnsi="Times New Roman" w:eastAsia="宋体" w:cs="Times New Roman"/>
                <w:spacing w:val="0"/>
                <w:sz w:val="21"/>
                <w:szCs w:val="21"/>
                <w:lang w:eastAsia="zh-CN"/>
              </w:rPr>
            </w:pPr>
            <w:r>
              <w:rPr>
                <w:rFonts w:hint="eastAsia" w:cs="Times New Roman"/>
                <w:spacing w:val="0"/>
                <w:sz w:val="21"/>
                <w:szCs w:val="21"/>
                <w:lang w:eastAsia="zh-CN"/>
              </w:rPr>
              <w:t>13589488567</w:t>
            </w:r>
          </w:p>
        </w:tc>
      </w:tr>
      <w:tr w14:paraId="0BE57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77983DDE">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建设地点</w:t>
            </w:r>
          </w:p>
        </w:tc>
        <w:tc>
          <w:tcPr>
            <w:tcW w:w="3876" w:type="pct"/>
            <w:gridSpan w:val="3"/>
            <w:tcBorders>
              <w:tl2br w:val="nil"/>
              <w:tr2bl w:val="nil"/>
            </w:tcBorders>
            <w:vAlign w:val="center"/>
          </w:tcPr>
          <w:p w14:paraId="7BAC21E7">
            <w:pPr>
              <w:adjustRightInd w:val="0"/>
              <w:snapToGrid w:val="0"/>
              <w:jc w:val="center"/>
              <w:rPr>
                <w:rFonts w:hint="default" w:ascii="Times New Roman" w:hAnsi="Times New Roman" w:eastAsia="宋体" w:cs="Times New Roman"/>
                <w:color w:val="auto"/>
                <w:spacing w:val="0"/>
                <w:sz w:val="21"/>
                <w:szCs w:val="21"/>
                <w:lang w:eastAsia="zh-CN"/>
              </w:rPr>
            </w:pPr>
            <w:r>
              <w:rPr>
                <w:rFonts w:hint="eastAsia" w:cs="Times New Roman"/>
                <w:color w:val="auto"/>
                <w:spacing w:val="0"/>
                <w:sz w:val="21"/>
                <w:szCs w:val="21"/>
                <w:lang w:eastAsia="zh-CN"/>
              </w:rPr>
              <w:t>山东省淄博市文昌湖区萌水镇龙口村村委北150米</w:t>
            </w:r>
          </w:p>
        </w:tc>
      </w:tr>
      <w:tr w14:paraId="2C3A4C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04BA6450">
            <w:pPr>
              <w:adjustRightInd w:val="0"/>
              <w:snapToGrid w:val="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地理坐标</w:t>
            </w:r>
          </w:p>
        </w:tc>
        <w:tc>
          <w:tcPr>
            <w:tcW w:w="3876" w:type="pct"/>
            <w:gridSpan w:val="3"/>
            <w:tcBorders>
              <w:tl2br w:val="nil"/>
              <w:tr2bl w:val="nil"/>
            </w:tcBorders>
            <w:vAlign w:val="center"/>
          </w:tcPr>
          <w:p w14:paraId="74C98A5E">
            <w:pPr>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cs="Times New Roman"/>
                <w:bCs/>
                <w:color w:val="auto"/>
                <w:spacing w:val="0"/>
                <w:sz w:val="21"/>
                <w:szCs w:val="21"/>
                <w:highlight w:val="none"/>
                <w:lang w:eastAsia="zh-CN"/>
              </w:rPr>
              <w:t>117度</w:t>
            </w:r>
            <w:r>
              <w:rPr>
                <w:rFonts w:hint="eastAsia" w:cs="Times New Roman"/>
                <w:bCs/>
                <w:color w:val="auto"/>
                <w:spacing w:val="0"/>
                <w:sz w:val="21"/>
                <w:szCs w:val="21"/>
                <w:highlight w:val="none"/>
                <w:lang w:val="en-US" w:eastAsia="zh-CN"/>
              </w:rPr>
              <w:t>54</w:t>
            </w:r>
            <w:r>
              <w:rPr>
                <w:rFonts w:hint="default" w:ascii="Times New Roman" w:hAnsi="Times New Roman" w:cs="Times New Roman"/>
                <w:bCs/>
                <w:color w:val="auto"/>
                <w:spacing w:val="0"/>
                <w:sz w:val="21"/>
                <w:szCs w:val="21"/>
                <w:highlight w:val="none"/>
                <w:lang w:eastAsia="zh-CN"/>
              </w:rPr>
              <w:t>分</w:t>
            </w:r>
            <w:r>
              <w:rPr>
                <w:rFonts w:hint="eastAsia" w:cs="Times New Roman"/>
                <w:bCs/>
                <w:color w:val="auto"/>
                <w:spacing w:val="0"/>
                <w:sz w:val="21"/>
                <w:szCs w:val="21"/>
                <w:highlight w:val="none"/>
                <w:lang w:val="en-US" w:eastAsia="zh-CN"/>
              </w:rPr>
              <w:t>15.304</w:t>
            </w:r>
            <w:r>
              <w:rPr>
                <w:rFonts w:hint="default" w:ascii="Times New Roman" w:hAnsi="Times New Roman" w:cs="Times New Roman"/>
                <w:bCs/>
                <w:color w:val="auto"/>
                <w:spacing w:val="0"/>
                <w:sz w:val="21"/>
                <w:szCs w:val="21"/>
                <w:highlight w:val="none"/>
                <w:lang w:eastAsia="zh-CN"/>
              </w:rPr>
              <w:t>秒</w:t>
            </w:r>
            <w:r>
              <w:rPr>
                <w:rFonts w:hint="default" w:ascii="Times New Roman" w:hAnsi="Times New Roman" w:cs="Times New Roman"/>
                <w:bCs/>
                <w:color w:val="auto"/>
                <w:spacing w:val="0"/>
                <w:sz w:val="21"/>
                <w:szCs w:val="21"/>
                <w:highlight w:val="none"/>
              </w:rPr>
              <w:t>，</w:t>
            </w:r>
            <w:r>
              <w:rPr>
                <w:rFonts w:hint="default" w:ascii="Times New Roman" w:hAnsi="Times New Roman" w:cs="Times New Roman"/>
                <w:bCs/>
                <w:color w:val="auto"/>
                <w:spacing w:val="0"/>
                <w:sz w:val="21"/>
                <w:szCs w:val="21"/>
                <w:highlight w:val="none"/>
                <w:lang w:eastAsia="zh-CN"/>
              </w:rPr>
              <w:t>36度42分</w:t>
            </w:r>
            <w:r>
              <w:rPr>
                <w:rFonts w:hint="eastAsia" w:cs="Times New Roman"/>
                <w:bCs/>
                <w:color w:val="auto"/>
                <w:spacing w:val="0"/>
                <w:sz w:val="21"/>
                <w:szCs w:val="21"/>
                <w:highlight w:val="none"/>
                <w:lang w:val="en-US" w:eastAsia="zh-CN"/>
              </w:rPr>
              <w:t>10.941</w:t>
            </w:r>
            <w:r>
              <w:rPr>
                <w:rFonts w:hint="default" w:ascii="Times New Roman" w:hAnsi="Times New Roman" w:cs="Times New Roman"/>
                <w:bCs/>
                <w:color w:val="auto"/>
                <w:spacing w:val="0"/>
                <w:sz w:val="21"/>
                <w:szCs w:val="21"/>
                <w:highlight w:val="none"/>
                <w:lang w:eastAsia="zh-CN"/>
              </w:rPr>
              <w:t>秒</w:t>
            </w:r>
          </w:p>
        </w:tc>
      </w:tr>
      <w:tr w14:paraId="2D5492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4BEF8382">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国民经济</w:t>
            </w:r>
          </w:p>
          <w:p w14:paraId="720E4C40">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行业类别</w:t>
            </w:r>
          </w:p>
        </w:tc>
        <w:tc>
          <w:tcPr>
            <w:tcW w:w="1093" w:type="pct"/>
            <w:tcBorders>
              <w:tl2br w:val="nil"/>
              <w:tr2bl w:val="nil"/>
            </w:tcBorders>
            <w:vAlign w:val="center"/>
          </w:tcPr>
          <w:p w14:paraId="6AA0B4F3">
            <w:pPr>
              <w:adjustRightInd w:val="0"/>
              <w:snapToGrid w:val="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cs="Times New Roman"/>
                <w:bCs/>
                <w:color w:val="auto"/>
                <w:spacing w:val="0"/>
                <w:sz w:val="21"/>
                <w:szCs w:val="21"/>
                <w:highlight w:val="none"/>
                <w:lang w:eastAsia="zh-CN"/>
              </w:rPr>
              <w:t>C3099 其他非金属矿物制品制造</w:t>
            </w:r>
          </w:p>
        </w:tc>
        <w:tc>
          <w:tcPr>
            <w:tcW w:w="1024" w:type="pct"/>
            <w:tcBorders>
              <w:tl2br w:val="nil"/>
              <w:tr2bl w:val="nil"/>
            </w:tcBorders>
            <w:vAlign w:val="center"/>
          </w:tcPr>
          <w:p w14:paraId="6D78DC4C">
            <w:pPr>
              <w:adjustRightInd w:val="0"/>
              <w:snapToGrid w:val="0"/>
              <w:jc w:val="center"/>
              <w:rPr>
                <w:rFonts w:hint="default" w:ascii="Times New Roman" w:hAnsi="Times New Roman" w:cs="Times New Roman"/>
                <w:color w:val="auto"/>
                <w:spacing w:val="0"/>
                <w:sz w:val="21"/>
                <w:szCs w:val="21"/>
                <w:highlight w:val="none"/>
              </w:rPr>
            </w:pPr>
            <w:bookmarkStart w:id="1" w:name="_Hlk49843745"/>
            <w:r>
              <w:rPr>
                <w:rFonts w:hint="default" w:ascii="Times New Roman" w:hAnsi="Times New Roman" w:cs="Times New Roman"/>
                <w:color w:val="auto"/>
                <w:spacing w:val="0"/>
                <w:sz w:val="21"/>
                <w:szCs w:val="21"/>
                <w:highlight w:val="none"/>
              </w:rPr>
              <w:t>建设项目</w:t>
            </w:r>
          </w:p>
          <w:p w14:paraId="6430D9E7">
            <w:pPr>
              <w:adjustRightInd w:val="0"/>
              <w:snapToGrid w:val="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行业类别</w:t>
            </w:r>
            <w:bookmarkEnd w:id="1"/>
          </w:p>
        </w:tc>
        <w:tc>
          <w:tcPr>
            <w:tcW w:w="1759" w:type="pct"/>
            <w:tcBorders>
              <w:tl2br w:val="nil"/>
              <w:tr2bl w:val="nil"/>
            </w:tcBorders>
            <w:vAlign w:val="center"/>
          </w:tcPr>
          <w:p w14:paraId="44EFEB28">
            <w:pPr>
              <w:adjustRightInd w:val="0"/>
              <w:snapToGrid w:val="0"/>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spacing w:val="0"/>
                <w:sz w:val="21"/>
                <w:szCs w:val="21"/>
                <w:lang w:val="en-US" w:eastAsia="zh-CN"/>
              </w:rPr>
              <w:t>二十七</w:t>
            </w:r>
            <w:r>
              <w:rPr>
                <w:rFonts w:hint="default" w:ascii="Times New Roman" w:hAnsi="Times New Roman" w:eastAsia="宋体" w:cs="Times New Roman"/>
                <w:spacing w:val="0"/>
                <w:sz w:val="21"/>
                <w:szCs w:val="21"/>
              </w:rPr>
              <w:t xml:space="preserve">、非金属矿物制品业 </w:t>
            </w:r>
            <w:r>
              <w:rPr>
                <w:rFonts w:hint="default" w:ascii="Times New Roman" w:hAnsi="Times New Roman" w:cs="Times New Roman"/>
                <w:spacing w:val="0"/>
                <w:sz w:val="21"/>
                <w:szCs w:val="21"/>
                <w:lang w:val="en-US" w:eastAsia="zh-CN"/>
              </w:rPr>
              <w:t>60、</w:t>
            </w:r>
            <w:r>
              <w:rPr>
                <w:rFonts w:hint="default" w:ascii="Times New Roman" w:hAnsi="Times New Roman" w:eastAsia="宋体" w:cs="Times New Roman"/>
                <w:spacing w:val="0"/>
                <w:sz w:val="21"/>
                <w:szCs w:val="21"/>
              </w:rPr>
              <w:t>石墨及其他非金属矿物制品制造</w:t>
            </w:r>
            <w:r>
              <w:rPr>
                <w:rFonts w:hint="default" w:ascii="Times New Roman" w:hAnsi="Times New Roman" w:cs="Times New Roman"/>
                <w:spacing w:val="0"/>
                <w:sz w:val="21"/>
                <w:szCs w:val="21"/>
                <w:lang w:val="en-US" w:eastAsia="zh-CN"/>
              </w:rPr>
              <w:t>309中“其他”</w:t>
            </w:r>
          </w:p>
        </w:tc>
      </w:tr>
      <w:tr w14:paraId="65E91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504B9C72">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建设性质</w:t>
            </w:r>
          </w:p>
        </w:tc>
        <w:tc>
          <w:tcPr>
            <w:tcW w:w="1093" w:type="pct"/>
            <w:tcBorders>
              <w:tl2br w:val="nil"/>
              <w:tr2bl w:val="nil"/>
            </w:tcBorders>
            <w:vAlign w:val="center"/>
          </w:tcPr>
          <w:p w14:paraId="26620B21">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lang w:eastAsia="zh-CN"/>
              </w:rPr>
              <w:sym w:font="Wingdings 2" w:char="0052"/>
            </w:r>
            <w:r>
              <w:rPr>
                <w:rFonts w:hint="default" w:ascii="Times New Roman" w:hAnsi="Times New Roman" w:cs="Times New Roman"/>
                <w:spacing w:val="0"/>
                <w:sz w:val="21"/>
                <w:szCs w:val="21"/>
              </w:rPr>
              <w:t>新建（迁建）</w:t>
            </w:r>
          </w:p>
          <w:p w14:paraId="58B755FB">
            <w:pPr>
              <w:jc w:val="left"/>
              <w:rPr>
                <w:rFonts w:hint="default" w:ascii="Times New Roman" w:hAnsi="Times New Roman" w:eastAsia="宋体" w:cs="Times New Roman"/>
                <w:spacing w:val="0"/>
                <w:sz w:val="21"/>
                <w:szCs w:val="21"/>
                <w:lang w:eastAsia="zh-CN"/>
              </w:rPr>
            </w:pPr>
            <w:r>
              <w:rPr>
                <w:rFonts w:hint="default" w:ascii="Times New Roman" w:hAnsi="Times New Roman" w:cs="Times New Roman"/>
                <w:spacing w:val="0"/>
                <w:sz w:val="21"/>
                <w:szCs w:val="21"/>
                <w:lang w:eastAsia="zh-CN"/>
              </w:rPr>
              <w:sym w:font="Wingdings 2" w:char="00A3"/>
            </w:r>
            <w:r>
              <w:rPr>
                <w:rFonts w:hint="default" w:ascii="Times New Roman" w:hAnsi="Times New Roman" w:cs="Times New Roman"/>
                <w:spacing w:val="0"/>
                <w:sz w:val="21"/>
                <w:szCs w:val="21"/>
                <w:lang w:eastAsia="zh-CN"/>
              </w:rPr>
              <w:t>改建</w:t>
            </w:r>
            <w:r>
              <w:rPr>
                <w:rFonts w:hint="default" w:ascii="Times New Roman" w:hAnsi="Times New Roman" w:cs="Times New Roman"/>
                <w:spacing w:val="0"/>
                <w:sz w:val="21"/>
                <w:szCs w:val="21"/>
                <w:lang w:eastAsia="zh-CN"/>
              </w:rPr>
              <w:br w:type="textWrapping"/>
            </w:r>
            <w:r>
              <w:rPr>
                <w:rFonts w:hint="default" w:ascii="Times New Roman" w:hAnsi="Times New Roman" w:cs="Times New Roman"/>
                <w:spacing w:val="0"/>
                <w:sz w:val="21"/>
                <w:szCs w:val="21"/>
                <w:lang w:eastAsia="zh-CN"/>
              </w:rPr>
              <w:sym w:font="Wingdings 2" w:char="00A3"/>
            </w:r>
            <w:r>
              <w:rPr>
                <w:rFonts w:hint="default" w:ascii="Times New Roman" w:hAnsi="Times New Roman" w:cs="Times New Roman"/>
                <w:spacing w:val="0"/>
                <w:sz w:val="21"/>
                <w:szCs w:val="21"/>
                <w:lang w:eastAsia="zh-CN"/>
              </w:rPr>
              <w:t>扩建</w:t>
            </w:r>
          </w:p>
          <w:p w14:paraId="3143C74E">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rPr>
              <w:sym w:font="Wingdings 2" w:char="00A3"/>
            </w:r>
            <w:r>
              <w:rPr>
                <w:rFonts w:hint="default" w:ascii="Times New Roman" w:hAnsi="Times New Roman" w:cs="Times New Roman"/>
                <w:spacing w:val="0"/>
                <w:sz w:val="21"/>
                <w:szCs w:val="21"/>
              </w:rPr>
              <w:t>技术改造</w:t>
            </w:r>
          </w:p>
        </w:tc>
        <w:tc>
          <w:tcPr>
            <w:tcW w:w="1024" w:type="pct"/>
            <w:tcBorders>
              <w:tl2br w:val="nil"/>
              <w:tr2bl w:val="nil"/>
            </w:tcBorders>
            <w:vAlign w:val="center"/>
          </w:tcPr>
          <w:p w14:paraId="76E293C0">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建设项目</w:t>
            </w:r>
          </w:p>
          <w:p w14:paraId="24E33A91">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申报情形</w:t>
            </w:r>
          </w:p>
        </w:tc>
        <w:tc>
          <w:tcPr>
            <w:tcW w:w="1759" w:type="pct"/>
            <w:tcBorders>
              <w:tl2br w:val="nil"/>
              <w:tr2bl w:val="nil"/>
            </w:tcBorders>
            <w:vAlign w:val="center"/>
          </w:tcPr>
          <w:p w14:paraId="6A24D808">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rPr>
              <w:sym w:font="Wingdings 2" w:char="0052"/>
            </w:r>
            <w:r>
              <w:rPr>
                <w:rFonts w:hint="default" w:ascii="Times New Roman" w:hAnsi="Times New Roman" w:cs="Times New Roman"/>
                <w:spacing w:val="0"/>
                <w:sz w:val="21"/>
                <w:szCs w:val="21"/>
              </w:rPr>
              <w:t xml:space="preserve">首次申报项目             </w:t>
            </w:r>
          </w:p>
          <w:p w14:paraId="3C1E19A0">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lang w:eastAsia="zh-CN"/>
              </w:rPr>
              <w:t>□</w:t>
            </w:r>
            <w:r>
              <w:rPr>
                <w:rFonts w:hint="default" w:ascii="Times New Roman" w:hAnsi="Times New Roman" w:cs="Times New Roman"/>
                <w:spacing w:val="0"/>
                <w:sz w:val="21"/>
                <w:szCs w:val="21"/>
              </w:rPr>
              <w:t>不予批准后再次申报项目</w:t>
            </w:r>
          </w:p>
          <w:p w14:paraId="0A681FBF">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lang w:eastAsia="zh-CN"/>
              </w:rPr>
              <w:t>□</w:t>
            </w:r>
            <w:r>
              <w:rPr>
                <w:rFonts w:hint="default" w:ascii="Times New Roman" w:hAnsi="Times New Roman" w:cs="Times New Roman"/>
                <w:spacing w:val="0"/>
                <w:sz w:val="21"/>
                <w:szCs w:val="21"/>
              </w:rPr>
              <w:t xml:space="preserve">超五年重新审核项目     </w:t>
            </w:r>
          </w:p>
          <w:p w14:paraId="241DB186">
            <w:pPr>
              <w:jc w:val="left"/>
              <w:rPr>
                <w:rFonts w:hint="default" w:ascii="Times New Roman" w:hAnsi="Times New Roman" w:cs="Times New Roman"/>
                <w:spacing w:val="0"/>
                <w:sz w:val="21"/>
                <w:szCs w:val="21"/>
              </w:rPr>
            </w:pPr>
            <w:r>
              <w:rPr>
                <w:rFonts w:hint="default" w:ascii="Times New Roman" w:hAnsi="Times New Roman" w:cs="Times New Roman"/>
                <w:spacing w:val="0"/>
                <w:sz w:val="21"/>
                <w:szCs w:val="21"/>
                <w:lang w:eastAsia="zh-CN"/>
              </w:rPr>
              <w:t>□</w:t>
            </w:r>
            <w:r>
              <w:rPr>
                <w:rFonts w:hint="default" w:ascii="Times New Roman" w:hAnsi="Times New Roman" w:cs="Times New Roman"/>
                <w:spacing w:val="0"/>
                <w:sz w:val="21"/>
                <w:szCs w:val="21"/>
              </w:rPr>
              <w:t>重大变动重新报批项目</w:t>
            </w:r>
          </w:p>
        </w:tc>
      </w:tr>
      <w:tr w14:paraId="5A5EC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7FC4FFBF">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项目审批（核准/</w:t>
            </w:r>
          </w:p>
          <w:p w14:paraId="4A24FAFF">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备案）部门（选填）</w:t>
            </w:r>
          </w:p>
        </w:tc>
        <w:tc>
          <w:tcPr>
            <w:tcW w:w="1093" w:type="pct"/>
            <w:tcBorders>
              <w:tl2br w:val="nil"/>
              <w:tr2bl w:val="nil"/>
            </w:tcBorders>
            <w:vAlign w:val="center"/>
          </w:tcPr>
          <w:p w14:paraId="03755833">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淄博文昌湖省级旅游度假区经济发展局</w:t>
            </w:r>
          </w:p>
        </w:tc>
        <w:tc>
          <w:tcPr>
            <w:tcW w:w="1024" w:type="pct"/>
            <w:tcBorders>
              <w:tl2br w:val="nil"/>
              <w:tr2bl w:val="nil"/>
            </w:tcBorders>
            <w:vAlign w:val="center"/>
          </w:tcPr>
          <w:p w14:paraId="570EB1AF">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项目审批（核准/</w:t>
            </w:r>
          </w:p>
          <w:p w14:paraId="2EB3B890">
            <w:pPr>
              <w:adjustRightInd w:val="0"/>
              <w:snapToGrid w:val="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备案）文号（选填）</w:t>
            </w:r>
          </w:p>
        </w:tc>
        <w:tc>
          <w:tcPr>
            <w:tcW w:w="1759" w:type="pct"/>
            <w:tcBorders>
              <w:tl2br w:val="nil"/>
              <w:tr2bl w:val="nil"/>
            </w:tcBorders>
            <w:vAlign w:val="center"/>
          </w:tcPr>
          <w:p w14:paraId="4C1AE256">
            <w:pPr>
              <w:adjustRightInd w:val="0"/>
              <w:snapToGrid w:val="0"/>
              <w:jc w:val="center"/>
              <w:rPr>
                <w:rFonts w:hint="default" w:ascii="Times New Roman" w:hAnsi="Times New Roman" w:eastAsia="宋体" w:cs="Times New Roman"/>
                <w:color w:val="auto"/>
                <w:spacing w:val="0"/>
                <w:sz w:val="21"/>
                <w:szCs w:val="21"/>
                <w:lang w:eastAsia="zh-CN"/>
              </w:rPr>
            </w:pPr>
            <w:r>
              <w:rPr>
                <w:rFonts w:hint="eastAsia" w:cs="Times New Roman"/>
                <w:color w:val="auto"/>
                <w:spacing w:val="0"/>
                <w:sz w:val="21"/>
                <w:szCs w:val="21"/>
                <w:lang w:eastAsia="zh-CN"/>
              </w:rPr>
              <w:t>2602-370391-04-01-632453</w:t>
            </w:r>
          </w:p>
        </w:tc>
      </w:tr>
      <w:tr w14:paraId="47A079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549A8966">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总投资（万元）</w:t>
            </w:r>
          </w:p>
        </w:tc>
        <w:tc>
          <w:tcPr>
            <w:tcW w:w="1093" w:type="pct"/>
            <w:tcBorders>
              <w:tl2br w:val="nil"/>
              <w:tr2bl w:val="nil"/>
            </w:tcBorders>
            <w:vAlign w:val="center"/>
          </w:tcPr>
          <w:p w14:paraId="52A71D3C">
            <w:pPr>
              <w:adjustRightInd w:val="0"/>
              <w:snapToGrid w:val="0"/>
              <w:jc w:val="center"/>
              <w:rPr>
                <w:rFonts w:hint="default" w:ascii="Times New Roman" w:hAnsi="Times New Roman" w:eastAsia="宋体" w:cs="Times New Roman"/>
                <w:spacing w:val="0"/>
                <w:sz w:val="21"/>
                <w:szCs w:val="21"/>
                <w:lang w:val="en-US" w:eastAsia="zh-CN"/>
              </w:rPr>
            </w:pPr>
            <w:r>
              <w:rPr>
                <w:rFonts w:hint="eastAsia" w:cs="Times New Roman"/>
                <w:spacing w:val="0"/>
                <w:sz w:val="21"/>
                <w:szCs w:val="21"/>
                <w:lang w:val="en-US" w:eastAsia="zh-CN"/>
              </w:rPr>
              <w:t>2000</w:t>
            </w:r>
          </w:p>
        </w:tc>
        <w:tc>
          <w:tcPr>
            <w:tcW w:w="1024" w:type="pct"/>
            <w:tcBorders>
              <w:tl2br w:val="nil"/>
              <w:tr2bl w:val="nil"/>
            </w:tcBorders>
            <w:tcMar>
              <w:top w:w="16" w:type="dxa"/>
              <w:left w:w="16" w:type="dxa"/>
              <w:right w:w="16" w:type="dxa"/>
            </w:tcMar>
            <w:vAlign w:val="center"/>
          </w:tcPr>
          <w:p w14:paraId="0EA62F2C">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环保投资（万元）</w:t>
            </w:r>
          </w:p>
        </w:tc>
        <w:tc>
          <w:tcPr>
            <w:tcW w:w="1759" w:type="pct"/>
            <w:tcBorders>
              <w:tl2br w:val="nil"/>
              <w:tr2bl w:val="nil"/>
            </w:tcBorders>
            <w:vAlign w:val="center"/>
          </w:tcPr>
          <w:p w14:paraId="774E50C7">
            <w:pPr>
              <w:adjustRightInd w:val="0"/>
              <w:snapToGrid w:val="0"/>
              <w:jc w:val="center"/>
              <w:rPr>
                <w:rFonts w:hint="default" w:ascii="Times New Roman" w:hAnsi="Times New Roman" w:eastAsia="宋体" w:cs="Times New Roman"/>
                <w:spacing w:val="0"/>
                <w:sz w:val="21"/>
                <w:szCs w:val="21"/>
                <w:lang w:val="en-US" w:eastAsia="zh-CN"/>
              </w:rPr>
            </w:pPr>
            <w:r>
              <w:rPr>
                <w:rFonts w:hint="eastAsia" w:cs="Times New Roman"/>
                <w:spacing w:val="0"/>
                <w:sz w:val="21"/>
                <w:szCs w:val="21"/>
                <w:lang w:val="en-US" w:eastAsia="zh-CN"/>
              </w:rPr>
              <w:t>100</w:t>
            </w:r>
          </w:p>
        </w:tc>
      </w:tr>
      <w:tr w14:paraId="58CA5C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51ACF081">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环保投资占比（%）</w:t>
            </w:r>
          </w:p>
        </w:tc>
        <w:tc>
          <w:tcPr>
            <w:tcW w:w="1093" w:type="pct"/>
            <w:tcBorders>
              <w:tl2br w:val="nil"/>
              <w:tr2bl w:val="nil"/>
            </w:tcBorders>
            <w:vAlign w:val="center"/>
          </w:tcPr>
          <w:p w14:paraId="1C8F5483">
            <w:pPr>
              <w:adjustRightInd w:val="0"/>
              <w:snapToGrid w:val="0"/>
              <w:jc w:val="center"/>
              <w:rPr>
                <w:rFonts w:hint="default" w:ascii="Times New Roman" w:hAnsi="Times New Roman" w:eastAsia="宋体" w:cs="Times New Roman"/>
                <w:spacing w:val="0"/>
                <w:sz w:val="21"/>
                <w:szCs w:val="21"/>
                <w:lang w:val="en-US" w:eastAsia="zh-CN"/>
              </w:rPr>
            </w:pPr>
            <w:r>
              <w:rPr>
                <w:rFonts w:hint="eastAsia" w:cs="Times New Roman"/>
                <w:spacing w:val="0"/>
                <w:sz w:val="21"/>
                <w:szCs w:val="21"/>
                <w:lang w:val="en-US" w:eastAsia="zh-CN"/>
              </w:rPr>
              <w:t>5.0</w:t>
            </w:r>
          </w:p>
        </w:tc>
        <w:tc>
          <w:tcPr>
            <w:tcW w:w="1024" w:type="pct"/>
            <w:tcBorders>
              <w:tl2br w:val="nil"/>
              <w:tr2bl w:val="nil"/>
            </w:tcBorders>
            <w:tcMar>
              <w:top w:w="16" w:type="dxa"/>
              <w:left w:w="16" w:type="dxa"/>
              <w:right w:w="16" w:type="dxa"/>
            </w:tcMar>
            <w:vAlign w:val="center"/>
          </w:tcPr>
          <w:p w14:paraId="7E3413F6">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施工工期</w:t>
            </w:r>
          </w:p>
        </w:tc>
        <w:tc>
          <w:tcPr>
            <w:tcW w:w="1759" w:type="pct"/>
            <w:tcBorders>
              <w:tl2br w:val="nil"/>
              <w:tr2bl w:val="nil"/>
            </w:tcBorders>
            <w:vAlign w:val="center"/>
          </w:tcPr>
          <w:p w14:paraId="67630431">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1个月</w:t>
            </w:r>
          </w:p>
        </w:tc>
      </w:tr>
      <w:tr w14:paraId="689EAC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23" w:type="pct"/>
            <w:gridSpan w:val="2"/>
            <w:tcBorders>
              <w:tl2br w:val="nil"/>
              <w:tr2bl w:val="nil"/>
            </w:tcBorders>
            <w:tcMar>
              <w:top w:w="16" w:type="dxa"/>
              <w:left w:w="16" w:type="dxa"/>
              <w:right w:w="16" w:type="dxa"/>
            </w:tcMar>
            <w:vAlign w:val="center"/>
          </w:tcPr>
          <w:p w14:paraId="6C72EBF1">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是否开工建设</w:t>
            </w:r>
          </w:p>
        </w:tc>
        <w:tc>
          <w:tcPr>
            <w:tcW w:w="1093" w:type="pct"/>
            <w:tcBorders>
              <w:tl2br w:val="nil"/>
              <w:tr2bl w:val="nil"/>
            </w:tcBorders>
            <w:vAlign w:val="center"/>
          </w:tcPr>
          <w:p w14:paraId="2F94A8DD">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sym w:font="Wingdings 2" w:char="0052"/>
            </w:r>
            <w:r>
              <w:rPr>
                <w:rFonts w:hint="default" w:ascii="Times New Roman" w:hAnsi="Times New Roman" w:cs="Times New Roman"/>
                <w:spacing w:val="0"/>
                <w:sz w:val="21"/>
                <w:szCs w:val="21"/>
              </w:rPr>
              <w:t>否</w:t>
            </w:r>
          </w:p>
          <w:p w14:paraId="203CBEB4">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sym w:font="Wingdings 2" w:char="00A3"/>
            </w:r>
            <w:r>
              <w:rPr>
                <w:rFonts w:hint="default" w:ascii="Times New Roman" w:hAnsi="Times New Roman" w:cs="Times New Roman"/>
                <w:spacing w:val="0"/>
                <w:sz w:val="21"/>
                <w:szCs w:val="21"/>
              </w:rPr>
              <w:t>是：</w:t>
            </w:r>
            <w:r>
              <w:rPr>
                <w:rFonts w:hint="default" w:ascii="Times New Roman" w:hAnsi="Times New Roman" w:cs="Times New Roman"/>
                <w:spacing w:val="0"/>
                <w:sz w:val="21"/>
                <w:szCs w:val="21"/>
                <w:u w:val="single"/>
              </w:rPr>
              <w:t xml:space="preserve">             </w:t>
            </w:r>
          </w:p>
        </w:tc>
        <w:tc>
          <w:tcPr>
            <w:tcW w:w="1024" w:type="pct"/>
            <w:tcBorders>
              <w:tl2br w:val="nil"/>
              <w:tr2bl w:val="nil"/>
            </w:tcBorders>
            <w:tcMar>
              <w:top w:w="16" w:type="dxa"/>
              <w:left w:w="16" w:type="dxa"/>
              <w:right w:w="16" w:type="dxa"/>
            </w:tcMar>
            <w:vAlign w:val="center"/>
          </w:tcPr>
          <w:p w14:paraId="513E4F72">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用地（用海）</w:t>
            </w:r>
          </w:p>
          <w:p w14:paraId="5F817140">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面积（m</w:t>
            </w:r>
            <w:r>
              <w:rPr>
                <w:rFonts w:hint="default" w:ascii="Times New Roman" w:hAnsi="Times New Roman" w:cs="Times New Roman"/>
                <w:spacing w:val="0"/>
                <w:sz w:val="21"/>
                <w:szCs w:val="21"/>
                <w:vertAlign w:val="superscript"/>
              </w:rPr>
              <w:t>2</w:t>
            </w:r>
            <w:r>
              <w:rPr>
                <w:rFonts w:hint="default" w:ascii="Times New Roman" w:hAnsi="Times New Roman" w:cs="Times New Roman"/>
                <w:spacing w:val="0"/>
                <w:sz w:val="21"/>
                <w:szCs w:val="21"/>
              </w:rPr>
              <w:t>）</w:t>
            </w:r>
          </w:p>
        </w:tc>
        <w:tc>
          <w:tcPr>
            <w:tcW w:w="1759" w:type="pct"/>
            <w:tcBorders>
              <w:tl2br w:val="nil"/>
              <w:tr2bl w:val="nil"/>
            </w:tcBorders>
            <w:vAlign w:val="center"/>
          </w:tcPr>
          <w:p w14:paraId="7F6AA1FC">
            <w:pPr>
              <w:adjustRightInd w:val="0"/>
              <w:snapToGrid w:val="0"/>
              <w:jc w:val="center"/>
              <w:rPr>
                <w:rFonts w:hint="default" w:ascii="Times New Roman" w:hAnsi="Times New Roman" w:eastAsia="宋体" w:cs="Times New Roman"/>
                <w:spacing w:val="0"/>
                <w:sz w:val="21"/>
                <w:szCs w:val="21"/>
                <w:lang w:val="en-US" w:eastAsia="zh-CN"/>
              </w:rPr>
            </w:pPr>
            <w:r>
              <w:rPr>
                <w:rFonts w:hint="eastAsia" w:cs="Times New Roman"/>
                <w:spacing w:val="0"/>
                <w:sz w:val="21"/>
                <w:szCs w:val="21"/>
                <w:lang w:val="en-US" w:eastAsia="zh-CN"/>
              </w:rPr>
              <w:t>6133.34</w:t>
            </w:r>
          </w:p>
        </w:tc>
      </w:tr>
      <w:tr w14:paraId="154561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3" w:type="pct"/>
            <w:gridSpan w:val="2"/>
            <w:tcBorders>
              <w:tl2br w:val="nil"/>
              <w:tr2bl w:val="nil"/>
            </w:tcBorders>
            <w:vAlign w:val="center"/>
          </w:tcPr>
          <w:p w14:paraId="069A8CE5">
            <w:pPr>
              <w:autoSpaceDE w:val="0"/>
              <w:autoSpaceDN w:val="0"/>
              <w:adjustRightInd w:val="0"/>
              <w:snapToGrid w:val="0"/>
              <w:jc w:val="center"/>
              <w:rPr>
                <w:rFonts w:hint="default" w:ascii="Times New Roman" w:hAnsi="Times New Roman" w:cs="Times New Roman"/>
                <w:spacing w:val="0"/>
                <w:kern w:val="0"/>
                <w:sz w:val="21"/>
                <w:szCs w:val="21"/>
              </w:rPr>
            </w:pPr>
            <w:r>
              <w:rPr>
                <w:rFonts w:hint="default" w:ascii="Times New Roman" w:hAnsi="Times New Roman" w:cs="Times New Roman"/>
                <w:spacing w:val="0"/>
                <w:kern w:val="0"/>
                <w:sz w:val="21"/>
                <w:szCs w:val="21"/>
              </w:rPr>
              <w:t>专项评价设置情况</w:t>
            </w:r>
          </w:p>
        </w:tc>
        <w:tc>
          <w:tcPr>
            <w:tcW w:w="3876" w:type="pct"/>
            <w:gridSpan w:val="3"/>
            <w:tcBorders>
              <w:tl2br w:val="nil"/>
              <w:tr2bl w:val="nil"/>
            </w:tcBorders>
            <w:vAlign w:val="center"/>
          </w:tcPr>
          <w:p w14:paraId="3117509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根据《建设项目环境影响报告表编制技术指南（污染影响类）》（试行）专项评价设置原则表中总体要求，结合本项目实际情况无需开展大气、地表水、环境风险、生态、海洋、地下水、土壤、声环境专项评价。具体见下表。</w:t>
            </w:r>
          </w:p>
          <w:p w14:paraId="3938EB1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kern w:val="0"/>
                <w:sz w:val="21"/>
                <w:szCs w:val="21"/>
                <w:lang w:val="en-US" w:eastAsia="zh-CN"/>
              </w:rPr>
            </w:pPr>
            <w:r>
              <w:rPr>
                <w:rFonts w:hint="default" w:ascii="Times New Roman" w:hAnsi="Times New Roman" w:eastAsia="宋体" w:cs="Times New Roman"/>
                <w:b/>
                <w:bCs/>
                <w:color w:val="auto"/>
                <w:spacing w:val="0"/>
                <w:kern w:val="0"/>
                <w:sz w:val="21"/>
                <w:szCs w:val="21"/>
                <w:lang w:val="en-US" w:eastAsia="zh-CN"/>
              </w:rPr>
              <w:t>表1-1本项目与专项评价设置原则表对照情况一览表</w:t>
            </w:r>
          </w:p>
          <w:tbl>
            <w:tblPr>
              <w:tblStyle w:val="3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4"/>
              <w:gridCol w:w="2712"/>
              <w:gridCol w:w="1967"/>
              <w:gridCol w:w="964"/>
            </w:tblGrid>
            <w:tr w14:paraId="34EB5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5BA700D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专项评价类别</w:t>
                  </w:r>
                </w:p>
              </w:tc>
              <w:tc>
                <w:tcPr>
                  <w:tcW w:w="2052" w:type="pct"/>
                  <w:tcBorders>
                    <w:tl2br w:val="nil"/>
                    <w:tr2bl w:val="nil"/>
                  </w:tcBorders>
                  <w:noWrap w:val="0"/>
                  <w:vAlign w:val="center"/>
                </w:tcPr>
                <w:p w14:paraId="498757F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设置原则</w:t>
                  </w:r>
                </w:p>
              </w:tc>
              <w:tc>
                <w:tcPr>
                  <w:tcW w:w="1488" w:type="pct"/>
                  <w:tcBorders>
                    <w:tl2br w:val="nil"/>
                    <w:tr2bl w:val="nil"/>
                  </w:tcBorders>
                  <w:noWrap w:val="0"/>
                  <w:vAlign w:val="center"/>
                </w:tcPr>
                <w:p w14:paraId="08EADD0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本项目情况</w:t>
                  </w:r>
                </w:p>
              </w:tc>
              <w:tc>
                <w:tcPr>
                  <w:tcW w:w="728" w:type="pct"/>
                  <w:tcBorders>
                    <w:tl2br w:val="nil"/>
                    <w:tr2bl w:val="nil"/>
                  </w:tcBorders>
                  <w:noWrap w:val="0"/>
                  <w:vAlign w:val="center"/>
                </w:tcPr>
                <w:p w14:paraId="3E0100B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sz w:val="21"/>
                      <w:szCs w:val="21"/>
                      <w:lang w:eastAsia="zh-CN"/>
                    </w:rPr>
                  </w:pPr>
                  <w:r>
                    <w:rPr>
                      <w:rFonts w:hint="default" w:ascii="Times New Roman" w:hAnsi="Times New Roman" w:eastAsia="宋体" w:cs="Times New Roman"/>
                      <w:b w:val="0"/>
                      <w:bCs w:val="0"/>
                      <w:color w:val="auto"/>
                      <w:spacing w:val="0"/>
                      <w:sz w:val="21"/>
                      <w:szCs w:val="21"/>
                      <w:lang w:eastAsia="zh-CN"/>
                    </w:rPr>
                    <w:t>是否设置专项</w:t>
                  </w:r>
                </w:p>
              </w:tc>
            </w:tr>
            <w:tr w14:paraId="7B16C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463B90C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大气</w:t>
                  </w:r>
                </w:p>
              </w:tc>
              <w:tc>
                <w:tcPr>
                  <w:tcW w:w="2052" w:type="pct"/>
                  <w:tcBorders>
                    <w:tl2br w:val="nil"/>
                    <w:tr2bl w:val="nil"/>
                  </w:tcBorders>
                  <w:noWrap w:val="0"/>
                  <w:vAlign w:val="center"/>
                </w:tcPr>
                <w:p w14:paraId="52AA7BC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排放废气含有有毒有害污染物</w:t>
                  </w:r>
                  <w:r>
                    <w:rPr>
                      <w:rFonts w:hint="default" w:ascii="Times New Roman" w:hAnsi="Times New Roman" w:eastAsia="宋体" w:cs="Times New Roman"/>
                      <w:color w:val="auto"/>
                      <w:spacing w:val="0"/>
                      <w:sz w:val="21"/>
                      <w:szCs w:val="21"/>
                      <w:vertAlign w:val="superscript"/>
                    </w:rPr>
                    <w:t>1</w:t>
                  </w:r>
                  <w:r>
                    <w:rPr>
                      <w:rFonts w:hint="default" w:ascii="Times New Roman" w:hAnsi="Times New Roman" w:eastAsia="宋体" w:cs="Times New Roman"/>
                      <w:color w:val="auto"/>
                      <w:spacing w:val="0"/>
                      <w:sz w:val="21"/>
                      <w:szCs w:val="21"/>
                    </w:rPr>
                    <w:t>、二噁英、苯并[a]芘、氰化物、氯气且厂界外500米范围内有环境空气保护目标</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的建设项目</w:t>
                  </w:r>
                </w:p>
              </w:tc>
              <w:tc>
                <w:tcPr>
                  <w:tcW w:w="1488" w:type="pct"/>
                  <w:tcBorders>
                    <w:tl2br w:val="nil"/>
                    <w:tr2bl w:val="nil"/>
                  </w:tcBorders>
                  <w:noWrap w:val="0"/>
                  <w:vAlign w:val="center"/>
                </w:tcPr>
                <w:p w14:paraId="0DC226D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本项目排放中不涉及有毒有害污染物、二噁英、苯并芘、氰化物、氯气</w:t>
                  </w:r>
                  <w:r>
                    <w:rPr>
                      <w:rFonts w:hint="default" w:ascii="Times New Roman" w:hAnsi="Times New Roman" w:eastAsia="宋体" w:cs="Times New Roman"/>
                      <w:color w:val="auto"/>
                      <w:spacing w:val="0"/>
                      <w:sz w:val="21"/>
                      <w:szCs w:val="21"/>
                      <w:lang w:eastAsia="zh-CN"/>
                    </w:rPr>
                    <w:t>。</w:t>
                  </w:r>
                </w:p>
              </w:tc>
              <w:tc>
                <w:tcPr>
                  <w:tcW w:w="728" w:type="pct"/>
                  <w:tcBorders>
                    <w:tl2br w:val="nil"/>
                    <w:tr2bl w:val="nil"/>
                  </w:tcBorders>
                  <w:noWrap w:val="0"/>
                  <w:vAlign w:val="center"/>
                </w:tcPr>
                <w:p w14:paraId="056CDE1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否</w:t>
                  </w:r>
                </w:p>
              </w:tc>
            </w:tr>
            <w:tr w14:paraId="42918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5E06D9E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地表水</w:t>
                  </w:r>
                </w:p>
              </w:tc>
              <w:tc>
                <w:tcPr>
                  <w:tcW w:w="2052" w:type="pct"/>
                  <w:tcBorders>
                    <w:tl2br w:val="nil"/>
                    <w:tr2bl w:val="nil"/>
                  </w:tcBorders>
                  <w:noWrap w:val="0"/>
                  <w:vAlign w:val="center"/>
                </w:tcPr>
                <w:p w14:paraId="4C06935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新增工业废水直排建设项目（槽罐车外送污水处理厂的除外）；新增废水直排的污水集中处理厂</w:t>
                  </w:r>
                </w:p>
              </w:tc>
              <w:tc>
                <w:tcPr>
                  <w:tcW w:w="1488" w:type="pct"/>
                  <w:tcBorders>
                    <w:tl2br w:val="nil"/>
                    <w:tr2bl w:val="nil"/>
                  </w:tcBorders>
                  <w:noWrap w:val="0"/>
                  <w:vAlign w:val="center"/>
                </w:tcPr>
                <w:p w14:paraId="488B22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本项目无工业废水外排</w:t>
                  </w:r>
                </w:p>
              </w:tc>
              <w:tc>
                <w:tcPr>
                  <w:tcW w:w="728" w:type="pct"/>
                  <w:tcBorders>
                    <w:tl2br w:val="nil"/>
                    <w:tr2bl w:val="nil"/>
                  </w:tcBorders>
                  <w:noWrap w:val="0"/>
                  <w:vAlign w:val="center"/>
                </w:tcPr>
                <w:p w14:paraId="55BC839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否</w:t>
                  </w:r>
                </w:p>
              </w:tc>
            </w:tr>
            <w:tr w14:paraId="2E9F6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7416D03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环境</w:t>
                  </w:r>
                </w:p>
                <w:p w14:paraId="2EAF027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风险</w:t>
                  </w:r>
                </w:p>
              </w:tc>
              <w:tc>
                <w:tcPr>
                  <w:tcW w:w="2052" w:type="pct"/>
                  <w:tcBorders>
                    <w:tl2br w:val="nil"/>
                    <w:tr2bl w:val="nil"/>
                  </w:tcBorders>
                  <w:noWrap w:val="0"/>
                  <w:vAlign w:val="center"/>
                </w:tcPr>
                <w:p w14:paraId="0547E5B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有毒有害和易燃易爆危险物质存储量超过临界量的建设项目</w:t>
                  </w:r>
                </w:p>
              </w:tc>
              <w:tc>
                <w:tcPr>
                  <w:tcW w:w="1488" w:type="pct"/>
                  <w:tcBorders>
                    <w:tl2br w:val="nil"/>
                    <w:tr2bl w:val="nil"/>
                  </w:tcBorders>
                  <w:noWrap w:val="0"/>
                  <w:vAlign w:val="center"/>
                </w:tcPr>
                <w:p w14:paraId="747299C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本项目</w:t>
                  </w:r>
                  <w:r>
                    <w:rPr>
                      <w:rFonts w:hint="eastAsia" w:cs="Times New Roman"/>
                      <w:color w:val="auto"/>
                      <w:spacing w:val="0"/>
                      <w:sz w:val="21"/>
                      <w:szCs w:val="21"/>
                      <w:highlight w:val="none"/>
                      <w:lang w:val="en-US" w:eastAsia="zh-CN"/>
                    </w:rPr>
                    <w:t>不涉及</w:t>
                  </w:r>
                </w:p>
              </w:tc>
              <w:tc>
                <w:tcPr>
                  <w:tcW w:w="728" w:type="pct"/>
                  <w:tcBorders>
                    <w:tl2br w:val="nil"/>
                    <w:tr2bl w:val="nil"/>
                  </w:tcBorders>
                  <w:noWrap w:val="0"/>
                  <w:vAlign w:val="center"/>
                </w:tcPr>
                <w:p w14:paraId="2C1DF27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否</w:t>
                  </w:r>
                </w:p>
              </w:tc>
            </w:tr>
            <w:tr w14:paraId="712A6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24383CC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生态</w:t>
                  </w:r>
                </w:p>
              </w:tc>
              <w:tc>
                <w:tcPr>
                  <w:tcW w:w="2052" w:type="pct"/>
                  <w:tcBorders>
                    <w:tl2br w:val="nil"/>
                    <w:tr2bl w:val="nil"/>
                  </w:tcBorders>
                  <w:noWrap w:val="0"/>
                  <w:vAlign w:val="center"/>
                </w:tcPr>
                <w:p w14:paraId="5A5D256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取水口下游500米范围内有重要水生生物的自然产卵场、索饵场、越冬场和洄游通道的新增河道取水的污染类建设项目</w:t>
                  </w:r>
                </w:p>
              </w:tc>
              <w:tc>
                <w:tcPr>
                  <w:tcW w:w="1488" w:type="pct"/>
                  <w:tcBorders>
                    <w:tl2br w:val="nil"/>
                    <w:tr2bl w:val="nil"/>
                  </w:tcBorders>
                  <w:noWrap w:val="0"/>
                  <w:vAlign w:val="center"/>
                </w:tcPr>
                <w:p w14:paraId="1FC9ADA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本项目不属于河道取水的污染类建设项目</w:t>
                  </w:r>
                </w:p>
              </w:tc>
              <w:tc>
                <w:tcPr>
                  <w:tcW w:w="728" w:type="pct"/>
                  <w:tcBorders>
                    <w:tl2br w:val="nil"/>
                    <w:tr2bl w:val="nil"/>
                  </w:tcBorders>
                  <w:noWrap w:val="0"/>
                  <w:vAlign w:val="center"/>
                </w:tcPr>
                <w:p w14:paraId="471542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否</w:t>
                  </w:r>
                </w:p>
              </w:tc>
            </w:tr>
            <w:tr w14:paraId="66D88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10B12ED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海洋</w:t>
                  </w:r>
                </w:p>
              </w:tc>
              <w:tc>
                <w:tcPr>
                  <w:tcW w:w="2052" w:type="pct"/>
                  <w:tcBorders>
                    <w:tl2br w:val="nil"/>
                    <w:tr2bl w:val="nil"/>
                  </w:tcBorders>
                  <w:noWrap w:val="0"/>
                  <w:vAlign w:val="center"/>
                </w:tcPr>
                <w:p w14:paraId="2AA0FA6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直接向海洋排放污染物的海洋工程建设项目</w:t>
                  </w:r>
                </w:p>
              </w:tc>
              <w:tc>
                <w:tcPr>
                  <w:tcW w:w="1488" w:type="pct"/>
                  <w:tcBorders>
                    <w:tl2br w:val="nil"/>
                    <w:tr2bl w:val="nil"/>
                  </w:tcBorders>
                  <w:noWrap w:val="0"/>
                  <w:vAlign w:val="center"/>
                </w:tcPr>
                <w:p w14:paraId="5BCF991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本项目不属于海洋工程建设项目</w:t>
                  </w:r>
                </w:p>
              </w:tc>
              <w:tc>
                <w:tcPr>
                  <w:tcW w:w="728" w:type="pct"/>
                  <w:tcBorders>
                    <w:tl2br w:val="nil"/>
                    <w:tr2bl w:val="nil"/>
                  </w:tcBorders>
                  <w:noWrap w:val="0"/>
                  <w:vAlign w:val="center"/>
                </w:tcPr>
                <w:p w14:paraId="47D4E6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否</w:t>
                  </w:r>
                </w:p>
              </w:tc>
            </w:tr>
            <w:tr w14:paraId="61A1A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0" w:type="pct"/>
                  <w:tcBorders>
                    <w:tl2br w:val="nil"/>
                    <w:tr2bl w:val="nil"/>
                  </w:tcBorders>
                  <w:noWrap w:val="0"/>
                  <w:vAlign w:val="center"/>
                </w:tcPr>
                <w:p w14:paraId="1DD0AE5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地下水</w:t>
                  </w:r>
                </w:p>
              </w:tc>
              <w:tc>
                <w:tcPr>
                  <w:tcW w:w="2052" w:type="pct"/>
                  <w:tcBorders>
                    <w:tl2br w:val="nil"/>
                    <w:tr2bl w:val="nil"/>
                  </w:tcBorders>
                  <w:noWrap w:val="0"/>
                  <w:vAlign w:val="center"/>
                </w:tcPr>
                <w:p w14:paraId="0412A70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原则上不开展专项评价，涉及集中式饮用水水源和热水、矿泉水、温泉等特殊地下水资源保护区的开展地下水专项评价工作</w:t>
                  </w:r>
                </w:p>
              </w:tc>
              <w:tc>
                <w:tcPr>
                  <w:tcW w:w="1488" w:type="pct"/>
                  <w:tcBorders>
                    <w:tl2br w:val="nil"/>
                    <w:tr2bl w:val="nil"/>
                  </w:tcBorders>
                  <w:noWrap w:val="0"/>
                  <w:vAlign w:val="center"/>
                </w:tcPr>
                <w:p w14:paraId="7ECB54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本项目不涉及集中式饮用水水源和热水、矿泉水、温泉等特殊地下水资源保护区</w:t>
                  </w:r>
                </w:p>
              </w:tc>
              <w:tc>
                <w:tcPr>
                  <w:tcW w:w="728" w:type="pct"/>
                  <w:tcBorders>
                    <w:tl2br w:val="nil"/>
                    <w:tr2bl w:val="nil"/>
                  </w:tcBorders>
                  <w:noWrap w:val="0"/>
                  <w:vAlign w:val="center"/>
                </w:tcPr>
                <w:p w14:paraId="6AD75AA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否</w:t>
                  </w:r>
                </w:p>
              </w:tc>
            </w:tr>
            <w:tr w14:paraId="32F2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noWrap w:val="0"/>
                  <w:vAlign w:val="center"/>
                </w:tcPr>
                <w:p w14:paraId="327ABA67">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注：1.废气中有毒有害污染物指纳入《有毒有害大气污染物名录》的污染物（不包括无排放标准的污染物）。</w:t>
                  </w:r>
                </w:p>
                <w:p w14:paraId="7DD1E2B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2.环境空气保护目标指自然保护区、风景名胜区、居住区、文化区和农村地区中人群较集中的区域。</w:t>
                  </w:r>
                </w:p>
                <w:p w14:paraId="3FF5811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3.临界量及其计算方法可参考《建设项目环境风险评价技术导则》（HJ 169）附录B、附录C。</w:t>
                  </w:r>
                </w:p>
              </w:tc>
            </w:tr>
          </w:tbl>
          <w:p w14:paraId="71247243">
            <w:pPr>
              <w:autoSpaceDE w:val="0"/>
              <w:autoSpaceDN w:val="0"/>
              <w:adjustRightInd w:val="0"/>
              <w:snapToGrid w:val="0"/>
              <w:jc w:val="center"/>
              <w:rPr>
                <w:rFonts w:hint="default" w:ascii="Times New Roman" w:hAnsi="Times New Roman" w:cs="Times New Roman"/>
                <w:spacing w:val="0"/>
                <w:kern w:val="0"/>
                <w:sz w:val="21"/>
                <w:szCs w:val="21"/>
              </w:rPr>
            </w:pPr>
          </w:p>
        </w:tc>
      </w:tr>
      <w:tr w14:paraId="19F51F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3" w:type="pct"/>
            <w:gridSpan w:val="2"/>
            <w:tcBorders>
              <w:tl2br w:val="nil"/>
              <w:tr2bl w:val="nil"/>
            </w:tcBorders>
            <w:vAlign w:val="center"/>
          </w:tcPr>
          <w:p w14:paraId="69ED9EFA">
            <w:pPr>
              <w:adjustRightInd w:val="0"/>
              <w:snapToGrid w:val="0"/>
              <w:jc w:val="center"/>
              <w:rPr>
                <w:rFonts w:hint="default" w:ascii="Times New Roman" w:hAnsi="Times New Roman" w:eastAsia="宋体" w:cs="Times New Roman"/>
                <w:spacing w:val="0"/>
                <w:sz w:val="21"/>
                <w:szCs w:val="21"/>
              </w:rPr>
            </w:pPr>
            <w:r>
              <w:rPr>
                <w:rFonts w:hint="default" w:ascii="Times New Roman" w:hAnsi="Times New Roman" w:eastAsia="宋体" w:cs="Times New Roman"/>
                <w:spacing w:val="0"/>
                <w:sz w:val="21"/>
                <w:szCs w:val="21"/>
              </w:rPr>
              <w:t>规划情况</w:t>
            </w:r>
          </w:p>
        </w:tc>
        <w:tc>
          <w:tcPr>
            <w:tcW w:w="3876" w:type="pct"/>
            <w:gridSpan w:val="3"/>
            <w:tcBorders>
              <w:tl2br w:val="nil"/>
              <w:tr2bl w:val="nil"/>
            </w:tcBorders>
            <w:vAlign w:val="center"/>
          </w:tcPr>
          <w:p w14:paraId="73BEC6CA">
            <w:pPr>
              <w:autoSpaceDE w:val="0"/>
              <w:autoSpaceDN w:val="0"/>
              <w:adjustRightInd w:val="0"/>
              <w:snapToGrid w:val="0"/>
              <w:spacing w:line="360" w:lineRule="auto"/>
              <w:jc w:val="left"/>
              <w:rPr>
                <w:rFonts w:hint="default" w:ascii="Times New Roman" w:hAnsi="Times New Roman" w:cs="Times New Roman"/>
                <w:spacing w:val="0"/>
                <w:kern w:val="0"/>
                <w:sz w:val="21"/>
                <w:szCs w:val="21"/>
              </w:rPr>
            </w:pPr>
            <w:r>
              <w:rPr>
                <w:rFonts w:hint="default" w:ascii="Times New Roman" w:hAnsi="Times New Roman" w:eastAsia="宋体" w:cs="Times New Roman"/>
                <w:spacing w:val="0"/>
                <w:kern w:val="0"/>
                <w:sz w:val="21"/>
                <w:szCs w:val="21"/>
                <w:lang w:val="en-US" w:eastAsia="zh-CN"/>
              </w:rPr>
              <w:t>相关规划：萌水镇、商家镇工业集聚区详细规划</w:t>
            </w:r>
            <w:r>
              <w:rPr>
                <w:rFonts w:hint="default" w:ascii="Times New Roman" w:hAnsi="Times New Roman" w:eastAsia="宋体" w:cs="Times New Roman"/>
                <w:spacing w:val="0"/>
                <w:kern w:val="0"/>
                <w:sz w:val="21"/>
                <w:szCs w:val="21"/>
                <w:lang w:val="en-US" w:eastAsia="zh-CN"/>
              </w:rPr>
              <w:br w:type="textWrapping"/>
            </w:r>
            <w:r>
              <w:rPr>
                <w:rFonts w:hint="default" w:ascii="Times New Roman" w:hAnsi="Times New Roman" w:eastAsia="宋体" w:cs="Times New Roman"/>
                <w:spacing w:val="0"/>
                <w:kern w:val="0"/>
                <w:sz w:val="21"/>
                <w:szCs w:val="21"/>
                <w:lang w:val="en-US" w:eastAsia="zh-CN"/>
              </w:rPr>
              <w:t>规划机关：淄博文昌湖省级旅游度假区管理委员会</w:t>
            </w:r>
            <w:r>
              <w:rPr>
                <w:rFonts w:hint="default" w:ascii="Times New Roman" w:hAnsi="Times New Roman" w:eastAsia="宋体" w:cs="Times New Roman"/>
                <w:spacing w:val="0"/>
                <w:kern w:val="0"/>
                <w:sz w:val="21"/>
                <w:szCs w:val="21"/>
                <w:lang w:val="en-US" w:eastAsia="zh-CN"/>
              </w:rPr>
              <w:br w:type="textWrapping"/>
            </w:r>
            <w:r>
              <w:rPr>
                <w:rFonts w:hint="default" w:ascii="Times New Roman" w:hAnsi="Times New Roman" w:eastAsia="宋体" w:cs="Times New Roman"/>
                <w:spacing w:val="0"/>
                <w:kern w:val="0"/>
                <w:sz w:val="21"/>
                <w:szCs w:val="21"/>
                <w:lang w:val="en-US" w:eastAsia="zh-CN"/>
              </w:rPr>
              <w:t>规划文件名称及文号：淄博文昌湖省级旅游度假区管理委员会关于划定萌水镇、商家镇工业集聚区的意见（淄文昌管发【2021】12号）</w:t>
            </w:r>
          </w:p>
        </w:tc>
      </w:tr>
      <w:tr w14:paraId="040C5B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3" w:type="pct"/>
            <w:gridSpan w:val="2"/>
            <w:tcBorders>
              <w:tl2br w:val="nil"/>
              <w:tr2bl w:val="nil"/>
            </w:tcBorders>
            <w:vAlign w:val="center"/>
          </w:tcPr>
          <w:p w14:paraId="2A5B66E4">
            <w:pPr>
              <w:adjustRightInd w:val="0"/>
              <w:snapToGrid w:val="0"/>
              <w:jc w:val="center"/>
              <w:rPr>
                <w:rFonts w:hint="default" w:ascii="Times New Roman" w:hAnsi="Times New Roman" w:eastAsia="宋体" w:cs="Times New Roman"/>
                <w:spacing w:val="0"/>
                <w:sz w:val="21"/>
                <w:szCs w:val="21"/>
              </w:rPr>
            </w:pPr>
            <w:r>
              <w:rPr>
                <w:rFonts w:hint="default" w:ascii="Times New Roman" w:hAnsi="Times New Roman" w:eastAsia="宋体" w:cs="Times New Roman"/>
                <w:spacing w:val="0"/>
                <w:sz w:val="21"/>
                <w:szCs w:val="21"/>
              </w:rPr>
              <w:t>规划环境影响</w:t>
            </w:r>
          </w:p>
          <w:p w14:paraId="6AACAB6B">
            <w:pPr>
              <w:adjustRightInd w:val="0"/>
              <w:snapToGrid w:val="0"/>
              <w:jc w:val="center"/>
              <w:rPr>
                <w:rFonts w:hint="default" w:ascii="Times New Roman" w:hAnsi="Times New Roman" w:eastAsia="宋体" w:cs="Times New Roman"/>
                <w:spacing w:val="0"/>
                <w:sz w:val="21"/>
                <w:szCs w:val="21"/>
              </w:rPr>
            </w:pPr>
            <w:r>
              <w:rPr>
                <w:rFonts w:hint="default" w:ascii="Times New Roman" w:hAnsi="Times New Roman" w:eastAsia="宋体" w:cs="Times New Roman"/>
                <w:spacing w:val="0"/>
                <w:sz w:val="21"/>
                <w:szCs w:val="21"/>
              </w:rPr>
              <w:t>评价情况</w:t>
            </w:r>
          </w:p>
        </w:tc>
        <w:tc>
          <w:tcPr>
            <w:tcW w:w="3876" w:type="pct"/>
            <w:gridSpan w:val="3"/>
            <w:tcBorders>
              <w:tl2br w:val="nil"/>
              <w:tr2bl w:val="nil"/>
            </w:tcBorders>
            <w:vAlign w:val="center"/>
          </w:tcPr>
          <w:p w14:paraId="240B315D">
            <w:pPr>
              <w:autoSpaceDE w:val="0"/>
              <w:autoSpaceDN w:val="0"/>
              <w:adjustRightInd w:val="0"/>
              <w:snapToGrid w:val="0"/>
              <w:jc w:val="center"/>
              <w:rPr>
                <w:rFonts w:hint="default" w:ascii="Times New Roman" w:hAnsi="Times New Roman" w:cs="Times New Roman"/>
                <w:spacing w:val="0"/>
                <w:kern w:val="0"/>
                <w:sz w:val="21"/>
                <w:szCs w:val="21"/>
              </w:rPr>
            </w:pPr>
            <w:r>
              <w:rPr>
                <w:rFonts w:hint="default" w:ascii="Times New Roman" w:hAnsi="Times New Roman" w:cs="Times New Roman"/>
                <w:spacing w:val="0"/>
                <w:kern w:val="0"/>
                <w:sz w:val="21"/>
                <w:szCs w:val="21"/>
              </w:rPr>
              <w:t>无</w:t>
            </w:r>
          </w:p>
        </w:tc>
      </w:tr>
      <w:tr w14:paraId="3BE26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3" w:type="pct"/>
            <w:gridSpan w:val="2"/>
            <w:tcBorders>
              <w:tl2br w:val="nil"/>
              <w:tr2bl w:val="nil"/>
            </w:tcBorders>
            <w:vAlign w:val="center"/>
          </w:tcPr>
          <w:p w14:paraId="78BB9C86">
            <w:pPr>
              <w:adjustRightInd w:val="0"/>
              <w:snapToGrid w:val="0"/>
              <w:jc w:val="center"/>
              <w:rPr>
                <w:rFonts w:hint="default" w:ascii="Times New Roman" w:hAnsi="Times New Roman" w:eastAsia="宋体" w:cs="Times New Roman"/>
                <w:spacing w:val="0"/>
                <w:sz w:val="21"/>
                <w:szCs w:val="21"/>
              </w:rPr>
            </w:pPr>
            <w:r>
              <w:rPr>
                <w:rFonts w:hint="default" w:ascii="Times New Roman" w:hAnsi="Times New Roman" w:eastAsia="宋体" w:cs="Times New Roman"/>
                <w:spacing w:val="0"/>
                <w:sz w:val="21"/>
                <w:szCs w:val="21"/>
              </w:rPr>
              <w:t>规划及规划环境影响评价符合性分析</w:t>
            </w:r>
          </w:p>
        </w:tc>
        <w:tc>
          <w:tcPr>
            <w:tcW w:w="3876" w:type="pct"/>
            <w:gridSpan w:val="3"/>
            <w:tcBorders>
              <w:tl2br w:val="nil"/>
              <w:tr2bl w:val="nil"/>
            </w:tcBorders>
            <w:vAlign w:val="center"/>
          </w:tcPr>
          <w:p w14:paraId="7035F483">
            <w:pPr>
              <w:keepNext w:val="0"/>
              <w:keepLines w:val="0"/>
              <w:pageBreakBefore w:val="0"/>
              <w:widowControl w:val="0"/>
              <w:kinsoku/>
              <w:wordWrap/>
              <w:overflowPunct/>
              <w:topLinePunct w:val="0"/>
              <w:autoSpaceDE w:val="0"/>
              <w:autoSpaceDN w:val="0"/>
              <w:bidi w:val="0"/>
              <w:adjustRightInd w:val="0"/>
              <w:snapToGrid w:val="0"/>
              <w:spacing w:line="360" w:lineRule="auto"/>
              <w:ind w:firstLine="422" w:firstLineChars="200"/>
              <w:textAlignment w:val="auto"/>
              <w:rPr>
                <w:rFonts w:hint="default" w:ascii="Times New Roman" w:hAnsi="Times New Roman" w:cs="Times New Roman"/>
                <w:b/>
                <w:bCs/>
                <w:spacing w:val="0"/>
                <w:kern w:val="0"/>
                <w:sz w:val="21"/>
                <w:szCs w:val="21"/>
              </w:rPr>
            </w:pPr>
            <w:r>
              <w:rPr>
                <w:rFonts w:hint="default" w:ascii="Times New Roman" w:hAnsi="Times New Roman" w:cs="Times New Roman"/>
                <w:b/>
                <w:bCs/>
                <w:spacing w:val="0"/>
                <w:kern w:val="0"/>
                <w:sz w:val="21"/>
                <w:szCs w:val="21"/>
              </w:rPr>
              <w:t>项目与淄博文昌湖省级旅游度假区管理委员会关于规划萌水镇、商家镇工业集聚区的意见（淄文昌管发【2021】12号）符合性分析：</w:t>
            </w:r>
          </w:p>
          <w:p w14:paraId="449D95A3">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根据淄博文昌湖省级旅游度假区管理委员会出具关于规划萌水镇、商家镇工业集聚区的意见：为推动经济高质量发展和生态环境高水平保护，按照省生态环境厅、省发展和改革委员会、省工业和信息化厅、省自然资源厅联合下发的《关于严格项目审批工作坚决防止新上“散乱污”项目的通知》(鲁环字[2021]58号)要求，新建有污染物排放的工业项目，除在安全生产等方面有特殊要求的以外，应当进入工业园区或工业集聚区。经区管委会研究，确定在萌水镇和商家镇划定工业集聚区范围，按照产业定位和有关要求，规范审批工业项目，推动经济发展。</w:t>
            </w:r>
          </w:p>
          <w:p w14:paraId="7DE66FBD">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一、萌水镇工业集聚区</w:t>
            </w:r>
          </w:p>
          <w:p w14:paraId="4E7C1C1C">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1.萌水镇新材料产业片区</w:t>
            </w:r>
          </w:p>
          <w:p w14:paraId="3A52C31B">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位于庆淄路两侧、文昌大道以北、杨萌路以南、张博附线以西，总占地约1300余亩。主导产业</w:t>
            </w:r>
            <w:r>
              <w:rPr>
                <w:rFonts w:hint="default" w:ascii="Times New Roman" w:hAnsi="Times New Roman" w:cs="Times New Roman"/>
                <w:color w:val="auto"/>
                <w:spacing w:val="0"/>
                <w:kern w:val="0"/>
                <w:sz w:val="21"/>
                <w:szCs w:val="21"/>
                <w:lang w:eastAsia="zh-CN"/>
              </w:rPr>
              <w:t>：</w:t>
            </w:r>
            <w:r>
              <w:rPr>
                <w:rFonts w:hint="default" w:ascii="Times New Roman" w:hAnsi="Times New Roman" w:cs="Times New Roman"/>
                <w:color w:val="auto"/>
                <w:spacing w:val="0"/>
                <w:kern w:val="0"/>
                <w:sz w:val="21"/>
                <w:szCs w:val="21"/>
              </w:rPr>
              <w:t>金属磨料、非金属磨料、其它新材料等，形成新材料产业集群。</w:t>
            </w:r>
          </w:p>
          <w:p w14:paraId="5880942B">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2.萌水镇智能制造产业片区</w:t>
            </w:r>
          </w:p>
          <w:p w14:paraId="6D28E2E9">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位于张博附线以东及原三衣工业园，总占地约1500余亩。主导产业</w:t>
            </w:r>
            <w:r>
              <w:rPr>
                <w:rFonts w:hint="default" w:ascii="Times New Roman" w:hAnsi="Times New Roman" w:cs="Times New Roman"/>
                <w:color w:val="auto"/>
                <w:spacing w:val="0"/>
                <w:kern w:val="0"/>
                <w:sz w:val="21"/>
                <w:szCs w:val="21"/>
                <w:lang w:eastAsia="zh-CN"/>
              </w:rPr>
              <w:t>：</w:t>
            </w:r>
            <w:r>
              <w:rPr>
                <w:rFonts w:hint="default" w:ascii="Times New Roman" w:hAnsi="Times New Roman" w:cs="Times New Roman"/>
                <w:color w:val="auto"/>
                <w:spacing w:val="0"/>
                <w:kern w:val="0"/>
                <w:sz w:val="21"/>
                <w:szCs w:val="21"/>
              </w:rPr>
              <w:t>装备制造、新能源汽车配套装备等，形成智能制造产业集群。</w:t>
            </w:r>
          </w:p>
          <w:p w14:paraId="7943A76B">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highlight w:val="none"/>
              </w:rPr>
            </w:pPr>
            <w:r>
              <w:rPr>
                <w:rFonts w:hint="default" w:ascii="Times New Roman" w:hAnsi="Times New Roman" w:cs="Times New Roman"/>
                <w:color w:val="auto"/>
                <w:spacing w:val="0"/>
                <w:kern w:val="0"/>
                <w:sz w:val="21"/>
                <w:szCs w:val="21"/>
                <w:highlight w:val="none"/>
              </w:rPr>
              <w:t>3.萌水镇仓储物流产业片区</w:t>
            </w:r>
          </w:p>
          <w:p w14:paraId="247050BA">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highlight w:val="none"/>
              </w:rPr>
            </w:pPr>
            <w:r>
              <w:rPr>
                <w:rFonts w:hint="default" w:ascii="Times New Roman" w:hAnsi="Times New Roman" w:cs="Times New Roman"/>
                <w:color w:val="auto"/>
                <w:spacing w:val="0"/>
                <w:kern w:val="0"/>
                <w:sz w:val="21"/>
                <w:szCs w:val="21"/>
                <w:highlight w:val="none"/>
              </w:rPr>
              <w:t>位于文昌湖高速路下路口两侧及对面</w:t>
            </w:r>
            <w:r>
              <w:rPr>
                <w:rFonts w:hint="default" w:ascii="Times New Roman" w:hAnsi="Times New Roman" w:cs="Times New Roman"/>
                <w:color w:val="auto"/>
                <w:spacing w:val="0"/>
                <w:kern w:val="0"/>
                <w:sz w:val="21"/>
                <w:szCs w:val="21"/>
                <w:highlight w:val="none"/>
                <w:lang w:eastAsia="zh-CN"/>
              </w:rPr>
              <w:t>，</w:t>
            </w:r>
            <w:r>
              <w:rPr>
                <w:rFonts w:hint="default" w:ascii="Times New Roman" w:hAnsi="Times New Roman" w:cs="Times New Roman"/>
                <w:color w:val="auto"/>
                <w:spacing w:val="0"/>
                <w:kern w:val="0"/>
                <w:sz w:val="21"/>
                <w:szCs w:val="21"/>
                <w:highlight w:val="none"/>
              </w:rPr>
              <w:t>总占地约360余亩。主导产业</w:t>
            </w:r>
            <w:r>
              <w:rPr>
                <w:rFonts w:hint="default" w:ascii="Times New Roman" w:hAnsi="Times New Roman" w:cs="Times New Roman"/>
                <w:color w:val="auto"/>
                <w:spacing w:val="0"/>
                <w:kern w:val="0"/>
                <w:sz w:val="21"/>
                <w:szCs w:val="21"/>
                <w:highlight w:val="none"/>
                <w:lang w:eastAsia="zh-CN"/>
              </w:rPr>
              <w:t>：</w:t>
            </w:r>
            <w:r>
              <w:rPr>
                <w:rFonts w:hint="default" w:ascii="Times New Roman" w:hAnsi="Times New Roman" w:cs="Times New Roman"/>
                <w:color w:val="auto"/>
                <w:spacing w:val="0"/>
                <w:kern w:val="0"/>
                <w:sz w:val="21"/>
                <w:szCs w:val="21"/>
                <w:highlight w:val="none"/>
              </w:rPr>
              <w:t>冷链物流、仓储运输、集散配送等，形成物流仓储产业集群。</w:t>
            </w:r>
          </w:p>
          <w:p w14:paraId="27BF2C19">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4.三衣西片(龙口龙泉北安扈家)产业片区</w:t>
            </w:r>
          </w:p>
          <w:p w14:paraId="29DB00B4">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包含龙口、龙泉、北安村内产业片区，占地约1157亩，企业77家，园区内分布有磨料、玻璃制品、机械、针织等行业为主。</w:t>
            </w:r>
          </w:p>
          <w:p w14:paraId="48F93E49">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5.萌水镇中心工业片区</w:t>
            </w:r>
          </w:p>
          <w:p w14:paraId="7E1102FE">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包括镇政府驻地、官三村、水磨工业园内原三元公司、三利绸缎印染、现丰雁电子元件、淄博瑞泽非制造布有限公司等企业及湿地公园、污水处理厂、嘉丰公司等，规划约800余亩，主要有电子元件和玻璃机械等行业。</w:t>
            </w:r>
          </w:p>
          <w:p w14:paraId="7843A0EB">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6.萌水镇西工业片区</w:t>
            </w:r>
          </w:p>
          <w:p w14:paraId="4D2D7349">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包括萌水镇城乡统筹服务中心、北王工业园及正阳路以西、S102两侧的部分企业，总占地面积约300亩，主要以医疗器械、机械制造、纺织、家具制造为主。</w:t>
            </w:r>
          </w:p>
          <w:p w14:paraId="61A7C2E9">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二、商家镇工业集聚区</w:t>
            </w:r>
          </w:p>
          <w:p w14:paraId="205BC280">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1.山东松柳智能制造产业片区</w:t>
            </w:r>
          </w:p>
          <w:p w14:paraId="22941CC4">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东起杨家村中心大街，西至冶西村，北至胶王路，南至冲山。规划占地面积约600亩，以承接高端装备制造、工业机器人、高端电子靶材等为主。</w:t>
            </w:r>
          </w:p>
          <w:p w14:paraId="57CB06D3">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2.齐鲁智能制造产业片区</w:t>
            </w:r>
          </w:p>
          <w:p w14:paraId="4781D017">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位于商家镇西部，东起山东宜景生态科技有限公司，西至镇边界，北至商中路，南至冲山。规划总用地40.96公顷，园区以胶王路为界划分为南、北两个区域，以汽车配件、五金机械配件、新材料等产业为主。</w:t>
            </w:r>
          </w:p>
          <w:p w14:paraId="0FBC6F83">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rPr>
            </w:pPr>
            <w:r>
              <w:rPr>
                <w:rFonts w:hint="default" w:ascii="Times New Roman" w:hAnsi="Times New Roman" w:cs="Times New Roman"/>
                <w:color w:val="auto"/>
                <w:spacing w:val="0"/>
                <w:kern w:val="0"/>
                <w:sz w:val="21"/>
                <w:szCs w:val="21"/>
              </w:rPr>
              <w:t>3.冶头工业片区</w:t>
            </w:r>
          </w:p>
          <w:p w14:paraId="5CD63B36">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cs="Times New Roman"/>
                <w:color w:val="auto"/>
                <w:spacing w:val="0"/>
                <w:kern w:val="0"/>
                <w:sz w:val="21"/>
                <w:szCs w:val="21"/>
                <w:highlight w:val="none"/>
              </w:rPr>
            </w:pPr>
            <w:r>
              <w:rPr>
                <w:rFonts w:hint="default" w:ascii="Times New Roman" w:hAnsi="Times New Roman" w:cs="Times New Roman"/>
                <w:color w:val="auto"/>
                <w:spacing w:val="0"/>
                <w:kern w:val="0"/>
                <w:sz w:val="21"/>
                <w:szCs w:val="21"/>
              </w:rPr>
              <w:t>东起正阳西路，西至七河村村西端，南至胶王路、齐鲁智能制造产业园，</w:t>
            </w:r>
            <w:r>
              <w:rPr>
                <w:rFonts w:hint="default" w:ascii="Times New Roman" w:hAnsi="Times New Roman" w:cs="Times New Roman"/>
                <w:color w:val="auto"/>
                <w:spacing w:val="0"/>
                <w:kern w:val="0"/>
                <w:sz w:val="21"/>
                <w:szCs w:val="21"/>
                <w:highlight w:val="none"/>
              </w:rPr>
              <w:t>北至七河村村北端，总占地面积约800亩，以机械制造、五金加工、服装加工、建材、木器加工、新材料等产业为主。</w:t>
            </w:r>
          </w:p>
          <w:p w14:paraId="37A3EE71">
            <w:pPr>
              <w:pStyle w:val="2"/>
              <w:keepNext w:val="0"/>
              <w:keepLines w:val="0"/>
              <w:pageBreakBefore w:val="0"/>
              <w:widowControl w:val="0"/>
              <w:kinsoku/>
              <w:wordWrap/>
              <w:overflowPunct/>
              <w:topLinePunct w:val="0"/>
              <w:autoSpaceDE w:val="0"/>
              <w:autoSpaceDN w:val="0"/>
              <w:bidi w:val="0"/>
              <w:adjustRightInd w:val="0"/>
              <w:spacing w:before="0" w:beforeLines="0" w:line="360" w:lineRule="auto"/>
              <w:ind w:firstLine="420" w:firstLineChars="200"/>
              <w:jc w:val="left"/>
              <w:textAlignment w:val="auto"/>
              <w:rPr>
                <w:rFonts w:hint="default" w:ascii="Times New Roman" w:hAnsi="Times New Roman" w:eastAsia="宋体" w:cs="Times New Roman"/>
                <w:color w:val="auto"/>
                <w:spacing w:val="0"/>
                <w:kern w:val="0"/>
                <w:sz w:val="21"/>
                <w:szCs w:val="21"/>
                <w:lang w:eastAsia="zh-CN"/>
              </w:rPr>
            </w:pPr>
            <w:r>
              <w:rPr>
                <w:rFonts w:hint="default" w:ascii="Times New Roman" w:hAnsi="Times New Roman" w:cs="Times New Roman"/>
                <w:color w:val="auto"/>
                <w:spacing w:val="0"/>
                <w:kern w:val="0"/>
                <w:sz w:val="21"/>
                <w:szCs w:val="21"/>
                <w:highlight w:val="none"/>
              </w:rPr>
              <w:t>本项目为</w:t>
            </w:r>
            <w:r>
              <w:rPr>
                <w:rFonts w:hint="default" w:ascii="Times New Roman" w:hAnsi="Times New Roman" w:cs="Times New Roman"/>
                <w:color w:val="auto"/>
                <w:spacing w:val="0"/>
                <w:kern w:val="0"/>
                <w:sz w:val="21"/>
                <w:szCs w:val="21"/>
                <w:highlight w:val="none"/>
                <w:lang w:val="en-US" w:eastAsia="zh-CN"/>
              </w:rPr>
              <w:t>其他非金属矿物制品制造</w:t>
            </w:r>
            <w:r>
              <w:rPr>
                <w:rFonts w:hint="default" w:ascii="Times New Roman" w:hAnsi="Times New Roman" w:cs="Times New Roman"/>
                <w:color w:val="auto"/>
                <w:spacing w:val="0"/>
                <w:kern w:val="0"/>
                <w:sz w:val="21"/>
                <w:szCs w:val="21"/>
                <w:highlight w:val="none"/>
              </w:rPr>
              <w:t>，位于</w:t>
            </w:r>
            <w:r>
              <w:rPr>
                <w:rFonts w:hint="default" w:ascii="Times New Roman" w:hAnsi="Times New Roman" w:cs="Times New Roman"/>
                <w:color w:val="auto"/>
                <w:spacing w:val="0"/>
                <w:kern w:val="0"/>
                <w:sz w:val="21"/>
                <w:szCs w:val="21"/>
              </w:rPr>
              <w:t>萌水镇三衣西片</w:t>
            </w:r>
            <w:r>
              <w:rPr>
                <w:rFonts w:hint="eastAsia" w:ascii="Times New Roman" w:cs="Times New Roman"/>
                <w:color w:val="auto"/>
                <w:spacing w:val="0"/>
                <w:kern w:val="0"/>
                <w:sz w:val="21"/>
                <w:szCs w:val="21"/>
                <w:lang w:eastAsia="zh-CN"/>
              </w:rPr>
              <w:t>（</w:t>
            </w:r>
            <w:r>
              <w:rPr>
                <w:rFonts w:hint="default" w:ascii="Times New Roman" w:hAnsi="Times New Roman" w:cs="Times New Roman"/>
                <w:color w:val="auto"/>
                <w:spacing w:val="0"/>
                <w:kern w:val="0"/>
                <w:sz w:val="21"/>
                <w:szCs w:val="21"/>
              </w:rPr>
              <w:t>龙口龙泉北安扈家</w:t>
            </w:r>
            <w:r>
              <w:rPr>
                <w:rFonts w:hint="eastAsia" w:ascii="Times New Roman" w:cs="Times New Roman"/>
                <w:color w:val="auto"/>
                <w:spacing w:val="0"/>
                <w:kern w:val="0"/>
                <w:sz w:val="21"/>
                <w:szCs w:val="21"/>
                <w:lang w:eastAsia="zh-CN"/>
              </w:rPr>
              <w:t>）</w:t>
            </w:r>
            <w:r>
              <w:rPr>
                <w:rFonts w:hint="default" w:ascii="Times New Roman" w:hAnsi="Times New Roman" w:cs="Times New Roman"/>
                <w:color w:val="auto"/>
                <w:spacing w:val="0"/>
                <w:kern w:val="0"/>
                <w:sz w:val="21"/>
                <w:szCs w:val="21"/>
              </w:rPr>
              <w:t>产业片区</w:t>
            </w:r>
            <w:r>
              <w:rPr>
                <w:rFonts w:hint="default" w:ascii="Times New Roman" w:hAnsi="Times New Roman" w:cs="Times New Roman"/>
                <w:color w:val="auto"/>
                <w:spacing w:val="0"/>
                <w:kern w:val="0"/>
                <w:sz w:val="21"/>
                <w:szCs w:val="21"/>
                <w:highlight w:val="none"/>
              </w:rPr>
              <w:t>，符合国土空间规划和产业发展规划要求。</w:t>
            </w:r>
          </w:p>
        </w:tc>
      </w:tr>
      <w:tr w14:paraId="15676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9" w:type="pct"/>
            <w:tcBorders>
              <w:tl2br w:val="nil"/>
              <w:tr2bl w:val="nil"/>
            </w:tcBorders>
            <w:shd w:val="clear" w:color="auto" w:fill="auto"/>
            <w:vAlign w:val="center"/>
          </w:tcPr>
          <w:p w14:paraId="583258AF">
            <w:pPr>
              <w:autoSpaceDE w:val="0"/>
              <w:autoSpaceDN w:val="0"/>
              <w:adjustRightInd w:val="0"/>
              <w:snapToGrid w:val="0"/>
              <w:jc w:val="center"/>
              <w:rPr>
                <w:rFonts w:hint="default" w:ascii="Times New Roman" w:hAnsi="Times New Roman" w:eastAsia="宋体" w:cs="Times New Roman"/>
                <w:spacing w:val="0"/>
                <w:kern w:val="0"/>
                <w:sz w:val="21"/>
                <w:szCs w:val="21"/>
                <w:lang w:val="en-US" w:eastAsia="zh-CN" w:bidi="ar-SA"/>
              </w:rPr>
            </w:pPr>
            <w:r>
              <w:rPr>
                <w:rFonts w:hint="default" w:ascii="Times New Roman" w:hAnsi="Times New Roman" w:cs="Times New Roman"/>
                <w:spacing w:val="0"/>
                <w:kern w:val="0"/>
                <w:sz w:val="21"/>
                <w:szCs w:val="21"/>
              </w:rPr>
              <w:t>其他符合性分析</w:t>
            </w:r>
          </w:p>
        </w:tc>
        <w:tc>
          <w:tcPr>
            <w:tcW w:w="4610" w:type="pct"/>
            <w:gridSpan w:val="4"/>
            <w:tcBorders>
              <w:tl2br w:val="nil"/>
              <w:tr2bl w:val="nil"/>
            </w:tcBorders>
            <w:shd w:val="clear" w:color="auto" w:fill="auto"/>
            <w:vAlign w:val="center"/>
          </w:tcPr>
          <w:p w14:paraId="488E8C47">
            <w:pPr>
              <w:snapToGrid w:val="0"/>
              <w:spacing w:line="360" w:lineRule="auto"/>
              <w:ind w:firstLine="422" w:firstLineChars="200"/>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1、产业政策符合性分析</w:t>
            </w:r>
          </w:p>
          <w:p w14:paraId="0B540CC0">
            <w:pPr>
              <w:spacing w:line="360" w:lineRule="auto"/>
              <w:ind w:firstLine="420" w:firstLineChars="200"/>
              <w:rPr>
                <w:rFonts w:hint="default" w:ascii="Times New Roman" w:hAnsi="Times New Roman" w:cs="Times New Roman"/>
                <w:spacing w:val="0"/>
                <w:sz w:val="21"/>
                <w:szCs w:val="21"/>
              </w:rPr>
            </w:pPr>
            <w:r>
              <w:rPr>
                <w:rFonts w:hint="default" w:ascii="Times New Roman" w:hAnsi="Times New Roman" w:cs="Times New Roman"/>
                <w:spacing w:val="0"/>
                <w:sz w:val="21"/>
                <w:szCs w:val="21"/>
              </w:rPr>
              <w:t>该项目行业类别为“</w:t>
            </w:r>
            <w:r>
              <w:rPr>
                <w:rFonts w:hint="default" w:ascii="Times New Roman" w:hAnsi="Times New Roman" w:cs="Times New Roman"/>
                <w:spacing w:val="0"/>
                <w:sz w:val="21"/>
                <w:szCs w:val="21"/>
                <w:lang w:eastAsia="zh-CN"/>
              </w:rPr>
              <w:t>C3099 其他非金属矿物制品制造</w:t>
            </w:r>
            <w:r>
              <w:rPr>
                <w:rFonts w:hint="default" w:ascii="Times New Roman" w:hAnsi="Times New Roman" w:cs="Times New Roman"/>
                <w:spacing w:val="0"/>
                <w:sz w:val="21"/>
                <w:szCs w:val="21"/>
              </w:rPr>
              <w:t>”，不属于国家发展和改革委员会发布的《产业结构调整指导目录（2024年本）》中鼓励类、限制类和淘汰类之列；也不属于《当前部分行业制止低水平重复建设目录》规定限制、禁止类产业范围，故该项目属允许类项目，符合国家的产业政策。</w:t>
            </w:r>
          </w:p>
          <w:p w14:paraId="7531242C">
            <w:pPr>
              <w:spacing w:line="360" w:lineRule="auto"/>
              <w:ind w:firstLine="420" w:firstLineChars="200"/>
              <w:rPr>
                <w:rFonts w:hint="default" w:ascii="Times New Roman" w:hAnsi="Times New Roman" w:cs="Times New Roman"/>
                <w:spacing w:val="0"/>
                <w:sz w:val="21"/>
                <w:szCs w:val="21"/>
              </w:rPr>
            </w:pPr>
            <w:r>
              <w:rPr>
                <w:rFonts w:hint="default" w:ascii="Times New Roman" w:hAnsi="Times New Roman" w:cs="Times New Roman"/>
                <w:spacing w:val="0"/>
                <w:sz w:val="21"/>
                <w:szCs w:val="21"/>
              </w:rPr>
              <w:t>该项目所用设备、生产工艺不属于淄博市《全市重点淘汰的落后工艺技术、装备及产品目录》中落后的工艺技术、装备及产品项目，不属于淄博市人民政府办公厅发布的《关于印发淄博市产业结构调整指导意见和指导目录的通知》（淄政办发[2011]35号）中鼓励类、限制类和淘汰类之列，故该项目属允许类项目，符合当地的产业政策。</w:t>
            </w:r>
          </w:p>
          <w:p w14:paraId="34073BBE">
            <w:pPr>
              <w:tabs>
                <w:tab w:val="left" w:pos="5427"/>
              </w:tabs>
              <w:spacing w:line="360" w:lineRule="auto"/>
              <w:ind w:firstLine="420" w:firstLineChars="200"/>
              <w:rPr>
                <w:rFonts w:hint="default" w:ascii="Times New Roman" w:hAnsi="Times New Roman" w:cs="Times New Roman"/>
                <w:spacing w:val="0"/>
                <w:sz w:val="21"/>
                <w:szCs w:val="21"/>
              </w:rPr>
            </w:pPr>
            <w:r>
              <w:rPr>
                <w:rFonts w:hint="default" w:ascii="Times New Roman" w:hAnsi="Times New Roman" w:cs="Times New Roman"/>
                <w:spacing w:val="0"/>
                <w:sz w:val="21"/>
                <w:szCs w:val="21"/>
              </w:rPr>
              <w:t>因此，本项目的建设符合国家及淄博市的产业政策。</w:t>
            </w:r>
          </w:p>
          <w:p w14:paraId="20C0E8D2">
            <w:pPr>
              <w:tabs>
                <w:tab w:val="left" w:pos="5427"/>
              </w:tabs>
              <w:spacing w:line="360" w:lineRule="auto"/>
              <w:ind w:firstLine="422" w:firstLineChars="200"/>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2、土地利用总体规划符合性分析</w:t>
            </w:r>
          </w:p>
          <w:p w14:paraId="6F5CE40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both"/>
              <w:textAlignment w:val="auto"/>
              <w:outlineLvl w:val="9"/>
              <w:rPr>
                <w:rFonts w:hint="default" w:ascii="Times New Roman" w:hAnsi="Times New Roman" w:eastAsia="宋体" w:cs="Times New Roman"/>
                <w:spacing w:val="0"/>
                <w:sz w:val="21"/>
                <w:szCs w:val="21"/>
              </w:rPr>
            </w:pPr>
            <w:r>
              <w:rPr>
                <w:rFonts w:hint="default" w:ascii="Times New Roman" w:hAnsi="Times New Roman" w:eastAsia="宋体" w:cs="Times New Roman"/>
                <w:spacing w:val="0"/>
                <w:sz w:val="21"/>
                <w:szCs w:val="21"/>
              </w:rPr>
              <w:t>本项目位于</w:t>
            </w:r>
            <w:r>
              <w:rPr>
                <w:rFonts w:hint="eastAsia" w:cs="Times New Roman"/>
                <w:spacing w:val="0"/>
                <w:sz w:val="21"/>
                <w:szCs w:val="21"/>
                <w:lang w:eastAsia="zh-CN"/>
              </w:rPr>
              <w:t>山东省淄博市文昌湖区萌水镇龙口村村委北150米</w:t>
            </w:r>
            <w:r>
              <w:rPr>
                <w:rFonts w:hint="default" w:ascii="Times New Roman" w:hAnsi="Times New Roman" w:eastAsia="宋体" w:cs="Times New Roman"/>
                <w:spacing w:val="0"/>
                <w:sz w:val="21"/>
                <w:szCs w:val="21"/>
              </w:rPr>
              <w:t>，项目用地不属于</w:t>
            </w:r>
            <w:r>
              <w:rPr>
                <w:rFonts w:hint="default" w:ascii="Times New Roman" w:hAnsi="Times New Roman" w:eastAsia="宋体" w:cs="Times New Roman"/>
                <w:spacing w:val="0"/>
                <w:sz w:val="21"/>
                <w:szCs w:val="21"/>
                <w:lang w:val="en-US" w:eastAsia="zh-CN"/>
              </w:rPr>
              <w:t>自然资源部、国家发展和改革委员会、国家林业和草原局印发的《自然资源要素支撑产业高质量发展指导目录（2024年本）》的通知中的“限制类”和“禁止类”</w:t>
            </w:r>
            <w:r>
              <w:rPr>
                <w:rFonts w:hint="eastAsia" w:cs="Times New Roman"/>
                <w:spacing w:val="0"/>
                <w:sz w:val="21"/>
                <w:szCs w:val="21"/>
                <w:lang w:val="en-US" w:eastAsia="zh-CN"/>
              </w:rPr>
              <w:t>，</w:t>
            </w:r>
            <w:r>
              <w:rPr>
                <w:rFonts w:hint="default" w:ascii="Times New Roman" w:hAnsi="Times New Roman" w:cs="Times New Roman"/>
                <w:color w:val="auto"/>
                <w:sz w:val="21"/>
                <w:highlight w:val="none"/>
                <w:lang w:val="en-US" w:eastAsia="zh-CN"/>
              </w:rPr>
              <w:t>符合用地规划。</w:t>
            </w:r>
          </w:p>
          <w:p w14:paraId="63FD335C">
            <w:pPr>
              <w:tabs>
                <w:tab w:val="left" w:pos="5427"/>
              </w:tabs>
              <w:spacing w:line="360" w:lineRule="auto"/>
              <w:ind w:firstLine="422" w:firstLineChars="200"/>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3、与《淄博市人民政府关于印发淄博市“三线一单”生态环境分区管控方案的通知》（淄政字〔2021〕49号）符合性分析</w:t>
            </w:r>
          </w:p>
          <w:p w14:paraId="1C6646D2">
            <w:pPr>
              <w:snapToGrid w:val="0"/>
              <w:spacing w:line="360" w:lineRule="auto"/>
              <w:ind w:firstLine="422" w:firstLineChars="200"/>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 xml:space="preserve">（1）与生态保护红线及一般生态空间符合性分析 </w:t>
            </w:r>
          </w:p>
          <w:p w14:paraId="516C8BA5">
            <w:pPr>
              <w:snapToGrid w:val="0"/>
              <w:spacing w:line="360" w:lineRule="auto"/>
              <w:ind w:firstLine="422" w:firstLineChars="200"/>
              <w:rPr>
                <w:rFonts w:hint="default" w:ascii="Times New Roman" w:hAnsi="Times New Roman" w:cs="Times New Roman"/>
                <w:spacing w:val="0"/>
                <w:sz w:val="21"/>
                <w:szCs w:val="21"/>
                <w:highlight w:val="none"/>
              </w:rPr>
            </w:pPr>
            <w:r>
              <w:rPr>
                <w:rFonts w:hint="default" w:ascii="Times New Roman" w:hAnsi="Times New Roman" w:cs="Times New Roman"/>
                <w:b/>
                <w:bCs/>
                <w:spacing w:val="0"/>
                <w:sz w:val="21"/>
                <w:szCs w:val="21"/>
                <w:highlight w:val="none"/>
              </w:rPr>
              <w:t>主要目标：</w:t>
            </w:r>
            <w:r>
              <w:rPr>
                <w:rFonts w:hint="default" w:ascii="Times New Roman" w:hAnsi="Times New Roman" w:cs="Times New Roman"/>
                <w:spacing w:val="0"/>
                <w:sz w:val="21"/>
                <w:szCs w:val="21"/>
                <w:highlight w:val="none"/>
              </w:rPr>
              <w:t xml:space="preserve">全市生态保护红线充分衔接最新成果数据，主要生态系统服务功能为防风固沙、水土保持及水源涵养。一般生态空间涵盖水产种质资源保护区、城市集中式饮用水水源保护区等各类受保护区域，以及生态公益林等其他需保护区。 </w:t>
            </w:r>
          </w:p>
          <w:p w14:paraId="7DD6D718">
            <w:pPr>
              <w:adjustRightInd w:val="0"/>
              <w:snapToGrid w:val="0"/>
              <w:spacing w:line="360" w:lineRule="auto"/>
              <w:ind w:firstLine="422" w:firstLineChars="200"/>
              <w:rPr>
                <w:rFonts w:hint="default" w:ascii="Times New Roman" w:hAnsi="Times New Roman" w:cs="Times New Roman"/>
                <w:b/>
                <w:color w:val="FF0000"/>
                <w:spacing w:val="0"/>
                <w:kern w:val="0"/>
                <w:sz w:val="21"/>
                <w:szCs w:val="21"/>
                <w:highlight w:val="none"/>
              </w:rPr>
            </w:pPr>
            <w:r>
              <w:rPr>
                <w:rFonts w:hint="default" w:ascii="Times New Roman" w:hAnsi="Times New Roman" w:cs="Times New Roman"/>
                <w:b/>
                <w:bCs/>
                <w:color w:val="auto"/>
                <w:spacing w:val="0"/>
                <w:sz w:val="21"/>
                <w:szCs w:val="21"/>
                <w:highlight w:val="none"/>
              </w:rPr>
              <w:t>符合性分析：</w:t>
            </w:r>
            <w:r>
              <w:rPr>
                <w:rFonts w:hint="default" w:ascii="Times New Roman" w:hAnsi="Times New Roman" w:cs="Times New Roman"/>
                <w:bCs/>
                <w:color w:val="auto"/>
                <w:spacing w:val="0"/>
                <w:sz w:val="21"/>
                <w:szCs w:val="21"/>
                <w:highlight w:val="none"/>
              </w:rPr>
              <w:t>本项目位于</w:t>
            </w:r>
            <w:r>
              <w:rPr>
                <w:rFonts w:hint="eastAsia" w:cs="Times New Roman"/>
                <w:color w:val="auto"/>
                <w:spacing w:val="0"/>
                <w:sz w:val="21"/>
                <w:szCs w:val="21"/>
                <w:highlight w:val="none"/>
                <w:lang w:eastAsia="zh-CN"/>
              </w:rPr>
              <w:t>山东省淄博市文昌湖区萌水镇龙口村村委北150米</w:t>
            </w:r>
            <w:r>
              <w:rPr>
                <w:rFonts w:hint="default" w:ascii="Times New Roman" w:hAnsi="Times New Roman" w:cs="Times New Roman"/>
                <w:color w:val="auto"/>
                <w:spacing w:val="0"/>
                <w:sz w:val="21"/>
                <w:szCs w:val="21"/>
                <w:highlight w:val="none"/>
              </w:rPr>
              <w:t>，距离本项目最近的生态保护红线区为西南侧的文昌湖水源涵养生态保护红线区，最近距离为</w:t>
            </w:r>
            <w:r>
              <w:rPr>
                <w:rFonts w:hint="default" w:ascii="Times New Roman" w:hAnsi="Times New Roman" w:cs="Times New Roman"/>
                <w:color w:val="auto"/>
                <w:spacing w:val="0"/>
                <w:sz w:val="21"/>
                <w:szCs w:val="21"/>
                <w:highlight w:val="none"/>
                <w:lang w:val="en-US" w:eastAsia="zh-CN"/>
              </w:rPr>
              <w:t>4.89</w:t>
            </w:r>
            <w:r>
              <w:rPr>
                <w:rFonts w:hint="default" w:ascii="Times New Roman" w:hAnsi="Times New Roman" w:cs="Times New Roman"/>
                <w:color w:val="auto"/>
                <w:spacing w:val="0"/>
                <w:sz w:val="21"/>
                <w:szCs w:val="21"/>
                <w:highlight w:val="none"/>
              </w:rPr>
              <w:t>km</w:t>
            </w:r>
            <w:r>
              <w:rPr>
                <w:rFonts w:hint="default" w:ascii="Times New Roman" w:hAnsi="Times New Roman" w:cs="Times New Roman"/>
                <w:color w:val="auto"/>
                <w:spacing w:val="0"/>
                <w:kern w:val="0"/>
                <w:sz w:val="21"/>
                <w:szCs w:val="21"/>
                <w:highlight w:val="none"/>
              </w:rPr>
              <w:t>，</w:t>
            </w:r>
            <w:r>
              <w:rPr>
                <w:rFonts w:hint="default" w:ascii="Times New Roman" w:hAnsi="Times New Roman" w:cs="Times New Roman"/>
                <w:color w:val="auto"/>
                <w:spacing w:val="0"/>
                <w:sz w:val="21"/>
                <w:szCs w:val="21"/>
                <w:highlight w:val="none"/>
              </w:rPr>
              <w:t>根据自然资源部办公厅发布的《自然资源部办公厅关于北京等省(区、市)启用“三区三线”划定成果作为报批建设项目用地用海依据的函》(自然资办函[2022]2207号)：按照《全国国土空间规划纲要(2021-2035)年》确定的耕地和永久基本农田保护红线任务和《全国“三区三线”划定规划》山东省“三区三线”划定成果符合质检要求，即日起正式启用，作为建设项目用地用海组卷报批的依据。根据山东省生态保护红线2022版矢量数据及</w:t>
            </w:r>
            <w:r>
              <w:rPr>
                <w:rFonts w:hint="default" w:ascii="Times New Roman" w:hAnsi="Times New Roman" w:cs="Times New Roman"/>
                <w:color w:val="auto"/>
                <w:spacing w:val="0"/>
                <w:sz w:val="21"/>
                <w:szCs w:val="21"/>
                <w:highlight w:val="none"/>
                <w:lang w:eastAsia="zh-CN"/>
              </w:rPr>
              <w:t>文昌湖区</w:t>
            </w:r>
            <w:r>
              <w:rPr>
                <w:rFonts w:hint="default" w:ascii="Times New Roman" w:hAnsi="Times New Roman" w:cs="Times New Roman"/>
                <w:color w:val="auto"/>
                <w:spacing w:val="0"/>
                <w:sz w:val="21"/>
                <w:szCs w:val="21"/>
                <w:highlight w:val="none"/>
              </w:rPr>
              <w:t>“三区三线”永久基本农田及城镇开发边界分布示意图，本项目不涉及生态保护红线，符合“三区三线”要求。</w:t>
            </w:r>
          </w:p>
          <w:p w14:paraId="00206135">
            <w:pPr>
              <w:numPr>
                <w:ilvl w:val="0"/>
                <w:numId w:val="3"/>
              </w:numPr>
              <w:snapToGrid w:val="0"/>
              <w:spacing w:line="360" w:lineRule="auto"/>
              <w:ind w:firstLine="422" w:firstLineChars="200"/>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 xml:space="preserve">与环境质量底线符合性分析 </w:t>
            </w:r>
          </w:p>
          <w:p w14:paraId="6C81ADE5">
            <w:pPr>
              <w:snapToGrid w:val="0"/>
              <w:spacing w:line="360" w:lineRule="auto"/>
              <w:ind w:firstLine="422" w:firstLineChars="200"/>
              <w:rPr>
                <w:rFonts w:hint="default" w:ascii="Times New Roman" w:hAnsi="Times New Roman" w:cs="Times New Roman"/>
                <w:spacing w:val="0"/>
                <w:sz w:val="21"/>
                <w:szCs w:val="21"/>
                <w:highlight w:val="none"/>
              </w:rPr>
            </w:pPr>
            <w:r>
              <w:rPr>
                <w:rFonts w:hint="default" w:ascii="Times New Roman" w:hAnsi="Times New Roman" w:cs="Times New Roman"/>
                <w:b/>
                <w:bCs/>
                <w:spacing w:val="0"/>
                <w:sz w:val="21"/>
                <w:szCs w:val="21"/>
                <w:highlight w:val="none"/>
              </w:rPr>
              <w:t>主要目标：</w:t>
            </w:r>
            <w:r>
              <w:rPr>
                <w:rFonts w:hint="default" w:ascii="Times New Roman" w:hAnsi="Times New Roman" w:cs="Times New Roman"/>
                <w:spacing w:val="0"/>
                <w:sz w:val="21"/>
                <w:szCs w:val="21"/>
                <w:highlight w:val="none"/>
              </w:rPr>
              <w:t>全市水环境质量持续改善，国控、省控、市控断面优良水质比例稳步提升，全面消除劣Ⅴ类水质控制断面，国控断面优良水质比例不低于50%，省控及以上断面优良水质比例不低于30%；县级及以上城市集中式饮用水水源水质全部达到或优于Ⅲ类；建成区黑臭水体全面消除，镇村黑臭水体数量持续减少。大气环境质量持续改善，全市PM</w:t>
            </w:r>
            <w:r>
              <w:rPr>
                <w:rFonts w:hint="default" w:ascii="Times New Roman" w:hAnsi="Times New Roman" w:cs="Times New Roman"/>
                <w:spacing w:val="0"/>
                <w:sz w:val="21"/>
                <w:szCs w:val="21"/>
                <w:highlight w:val="none"/>
                <w:vertAlign w:val="subscript"/>
              </w:rPr>
              <w:t>2.5</w:t>
            </w:r>
            <w:r>
              <w:rPr>
                <w:rFonts w:hint="default" w:ascii="Times New Roman" w:hAnsi="Times New Roman" w:cs="Times New Roman"/>
                <w:spacing w:val="0"/>
                <w:sz w:val="21"/>
                <w:szCs w:val="21"/>
                <w:highlight w:val="none"/>
              </w:rPr>
              <w:t>浓度不高于48μg/m</w:t>
            </w:r>
            <w:r>
              <w:rPr>
                <w:rFonts w:hint="default" w:ascii="Times New Roman" w:hAnsi="Times New Roman" w:cs="Times New Roman"/>
                <w:spacing w:val="0"/>
                <w:sz w:val="21"/>
                <w:szCs w:val="21"/>
                <w:highlight w:val="none"/>
                <w:vertAlign w:val="superscript"/>
              </w:rPr>
              <w:t>3</w:t>
            </w:r>
            <w:r>
              <w:rPr>
                <w:rFonts w:hint="default" w:ascii="Times New Roman" w:hAnsi="Times New Roman" w:cs="Times New Roman"/>
                <w:spacing w:val="0"/>
                <w:sz w:val="21"/>
                <w:szCs w:val="21"/>
                <w:highlight w:val="none"/>
              </w:rPr>
              <w:t xml:space="preserve">，空气质量优良天数比率不低于70%，臭氧污染得到有效遏制，重度及以上污染天数比率在2020年的基础上持续下降。土壤环境质量稳定改善，农用地、建设用地土壤环境风险防控能力逐步提升。全市受污染耕地安全利用率和污染地块安全利用率分别不低于95%。环境质量改善目标动态衔接“十四五”生态环境质量考核指标，以“十四五”生态环境质量考核指标为准。 </w:t>
            </w:r>
          </w:p>
          <w:p w14:paraId="11DF672F">
            <w:pPr>
              <w:snapToGrid w:val="0"/>
              <w:spacing w:line="360" w:lineRule="auto"/>
              <w:ind w:firstLine="422" w:firstLineChars="200"/>
              <w:rPr>
                <w:rFonts w:hint="default" w:ascii="Times New Roman" w:hAnsi="Times New Roman" w:eastAsia="宋体" w:cs="Times New Roman"/>
                <w:color w:val="auto"/>
                <w:kern w:val="0"/>
                <w:sz w:val="21"/>
                <w:szCs w:val="21"/>
                <w:highlight w:val="none"/>
                <w:lang w:val="zh-CN"/>
              </w:rPr>
            </w:pPr>
            <w:r>
              <w:rPr>
                <w:rFonts w:hint="default" w:ascii="Times New Roman" w:hAnsi="Times New Roman" w:cs="Times New Roman"/>
                <w:b/>
                <w:bCs/>
                <w:spacing w:val="0"/>
                <w:sz w:val="21"/>
                <w:szCs w:val="21"/>
                <w:highlight w:val="none"/>
              </w:rPr>
              <w:t>符合性分析：</w:t>
            </w:r>
            <w:r>
              <w:rPr>
                <w:rFonts w:hint="default" w:ascii="Times New Roman" w:hAnsi="Times New Roman" w:cs="Times New Roman"/>
                <w:color w:val="auto"/>
                <w:sz w:val="21"/>
                <w:szCs w:val="21"/>
                <w:highlight w:val="none"/>
              </w:rPr>
              <w:t>根据淄博市生态环境局</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日发布的《202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年12月份环境空气质量情况通报》，</w:t>
            </w:r>
            <w:r>
              <w:rPr>
                <w:rFonts w:hint="default" w:ascii="Times New Roman" w:hAnsi="Times New Roman" w:cs="Times New Roman"/>
                <w:color w:val="auto"/>
                <w:sz w:val="21"/>
                <w:szCs w:val="21"/>
                <w:highlight w:val="none"/>
                <w:lang w:val="en-US" w:eastAsia="zh-CN"/>
              </w:rPr>
              <w:t>2025年1</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12月份，</w:t>
            </w:r>
            <w:r>
              <w:rPr>
                <w:rFonts w:hint="eastAsia" w:cs="Times New Roman"/>
                <w:color w:val="auto"/>
                <w:sz w:val="21"/>
                <w:szCs w:val="21"/>
                <w:highlight w:val="none"/>
                <w:lang w:val="en-US" w:eastAsia="zh-CN"/>
              </w:rPr>
              <w:t>淄博市区域</w:t>
            </w:r>
            <w:r>
              <w:rPr>
                <w:rFonts w:hint="default" w:ascii="Times New Roman" w:hAnsi="Times New Roman" w:cs="Times New Roman"/>
                <w:color w:val="auto"/>
                <w:sz w:val="21"/>
                <w:szCs w:val="21"/>
                <w:highlight w:val="none"/>
                <w:lang w:val="en-US" w:eastAsia="zh-CN"/>
              </w:rPr>
              <w:t>二氧化硫(SO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)11微克/立方米，二氧化氮(NO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)27微克/立方米，可吸入颗粒物(PM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)59微克/立方米，细颗粒物(PM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)35微克/立方米，一氧化碳(CO)1.1毫克/立方米，臭氧(O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)169微克/立方米</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0"/>
                <w:sz w:val="21"/>
                <w:szCs w:val="21"/>
                <w:highlight w:val="none"/>
                <w:lang w:val="en-US" w:eastAsia="zh-CN"/>
              </w:rPr>
              <w:t>区域</w:t>
            </w:r>
            <w:r>
              <w:rPr>
                <w:rFonts w:hint="default" w:ascii="Times New Roman" w:hAnsi="Times New Roman" w:eastAsia="宋体" w:cs="Times New Roman"/>
                <w:color w:val="auto"/>
                <w:kern w:val="0"/>
                <w:sz w:val="21"/>
                <w:szCs w:val="21"/>
                <w:highlight w:val="none"/>
                <w:lang w:val="zh-CN"/>
              </w:rPr>
              <w:t>环境空气不满足《环境空气质量标准》（GB3095-2012）及修改单中的二级标准，淄博市及</w:t>
            </w:r>
            <w:r>
              <w:rPr>
                <w:rFonts w:hint="default" w:ascii="Times New Roman" w:hAnsi="Times New Roman" w:cs="Times New Roman"/>
                <w:color w:val="auto"/>
                <w:kern w:val="0"/>
                <w:sz w:val="21"/>
                <w:szCs w:val="21"/>
                <w:highlight w:val="none"/>
                <w:lang w:val="en-US" w:eastAsia="zh-CN"/>
              </w:rPr>
              <w:t>文昌湖省级旅游度假区</w:t>
            </w:r>
            <w:r>
              <w:rPr>
                <w:rFonts w:hint="default" w:ascii="Times New Roman" w:hAnsi="Times New Roman" w:eastAsia="宋体" w:cs="Times New Roman"/>
                <w:color w:val="auto"/>
                <w:kern w:val="0"/>
                <w:sz w:val="21"/>
                <w:szCs w:val="21"/>
                <w:highlight w:val="none"/>
                <w:lang w:val="zh-CN"/>
              </w:rPr>
              <w:t>已采取相关措施，该区域大气环境质量已日趋改善。</w:t>
            </w: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日淄博市生态环境局发布的</w:t>
            </w:r>
            <w:r>
              <w:rPr>
                <w:rFonts w:hint="default" w:ascii="Times New Roman" w:hAnsi="Times New Roman" w:eastAsia="宋体" w:cs="Times New Roman"/>
                <w:color w:val="auto"/>
                <w:sz w:val="21"/>
                <w:szCs w:val="21"/>
                <w:highlight w:val="none"/>
                <w:lang w:val="zh-CN" w:eastAsia="zh-CN"/>
              </w:rPr>
              <w:t>《202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zh-CN" w:eastAsia="zh-CN"/>
              </w:rPr>
              <w:t>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default" w:ascii="Times New Roman" w:hAnsi="Times New Roman" w:cs="Times New Roman"/>
                <w:color w:val="auto"/>
                <w:sz w:val="21"/>
                <w:szCs w:val="21"/>
                <w:highlight w:val="none"/>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r>
              <w:rPr>
                <w:rFonts w:hint="default" w:ascii="Times New Roman" w:hAnsi="Times New Roman" w:cs="Times New Roman"/>
                <w:color w:val="auto"/>
                <w:sz w:val="21"/>
                <w:szCs w:val="21"/>
                <w:highlight w:val="none"/>
                <w:lang w:val="zh-CN" w:eastAsia="zh-CN"/>
              </w:rPr>
              <w:t>项目夜间不生产，</w:t>
            </w:r>
            <w:r>
              <w:rPr>
                <w:rFonts w:hint="default" w:ascii="Times New Roman" w:hAnsi="Times New Roman" w:eastAsia="宋体" w:cs="Times New Roman"/>
                <w:color w:val="auto"/>
                <w:kern w:val="0"/>
                <w:sz w:val="21"/>
                <w:szCs w:val="21"/>
                <w:highlight w:val="none"/>
                <w:lang w:val="zh-CN"/>
              </w:rPr>
              <w:t>项目区域周围50m范围内无声环境保护目标，</w:t>
            </w:r>
            <w:r>
              <w:rPr>
                <w:rFonts w:hint="eastAsia" w:cs="Times New Roman"/>
                <w:color w:val="auto"/>
                <w:kern w:val="0"/>
                <w:sz w:val="21"/>
                <w:szCs w:val="21"/>
                <w:highlight w:val="none"/>
                <w:lang w:val="en-US" w:eastAsia="zh-CN"/>
              </w:rPr>
              <w:t>根据现场踏勘结果</w:t>
            </w:r>
            <w:r>
              <w:rPr>
                <w:rFonts w:hint="default" w:ascii="Times New Roman" w:hAnsi="Times New Roman" w:eastAsia="宋体" w:cs="Times New Roman"/>
                <w:color w:val="auto"/>
                <w:kern w:val="0"/>
                <w:sz w:val="21"/>
                <w:szCs w:val="21"/>
                <w:highlight w:val="none"/>
                <w:lang w:val="zh-CN"/>
              </w:rPr>
              <w:t>，能够达到《声环境质量标准》（GB3096-2008）中2类区环境噪声限值要求。</w:t>
            </w:r>
          </w:p>
          <w:p w14:paraId="6E5595F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left"/>
              <w:textAlignment w:val="auto"/>
              <w:outlineLvl w:val="9"/>
              <w:rPr>
                <w:rFonts w:hint="default" w:ascii="Times New Roman" w:hAnsi="Times New Roman" w:cs="Times New Roman"/>
                <w:b/>
                <w:spacing w:val="0"/>
                <w:kern w:val="0"/>
                <w:sz w:val="21"/>
                <w:szCs w:val="21"/>
                <w:highlight w:val="none"/>
              </w:rPr>
            </w:pPr>
            <w:r>
              <w:rPr>
                <w:rFonts w:hint="default" w:ascii="Times New Roman" w:hAnsi="Times New Roman" w:cs="Times New Roman"/>
                <w:color w:val="auto"/>
                <w:highlight w:val="none"/>
              </w:rPr>
              <w:t>本项目废气、废水和噪声经治理后对环境污染较小，固废可做到无害化处置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采取本环评提出的相关防治措施后，本项目排放的污染物不会对区域环境质量底线造成冲击</w:t>
            </w:r>
            <w:r>
              <w:rPr>
                <w:rFonts w:hint="default" w:ascii="Times New Roman" w:hAnsi="Times New Roman" w:cs="Times New Roman"/>
                <w:color w:val="auto"/>
                <w:highlight w:val="none"/>
                <w:lang w:val="en-US" w:eastAsia="zh-CN"/>
              </w:rPr>
              <w:t>。</w:t>
            </w:r>
          </w:p>
          <w:p w14:paraId="3D7AA2EF">
            <w:pPr>
              <w:numPr>
                <w:ilvl w:val="0"/>
                <w:numId w:val="3"/>
              </w:numPr>
              <w:snapToGrid w:val="0"/>
              <w:spacing w:line="360" w:lineRule="auto"/>
              <w:ind w:firstLine="422" w:firstLineChars="200"/>
              <w:rPr>
                <w:rFonts w:hint="default" w:ascii="Times New Roman" w:hAnsi="Times New Roman" w:cs="Times New Roman"/>
                <w:spacing w:val="0"/>
                <w:sz w:val="21"/>
                <w:szCs w:val="21"/>
                <w:highlight w:val="none"/>
              </w:rPr>
            </w:pPr>
            <w:r>
              <w:rPr>
                <w:rFonts w:hint="default" w:ascii="Times New Roman" w:hAnsi="Times New Roman" w:cs="Times New Roman"/>
                <w:b/>
                <w:bCs/>
                <w:spacing w:val="0"/>
                <w:sz w:val="21"/>
                <w:szCs w:val="21"/>
                <w:highlight w:val="none"/>
              </w:rPr>
              <w:t>与资源利用上线的符合性分析</w:t>
            </w:r>
            <w:r>
              <w:rPr>
                <w:rFonts w:hint="default" w:ascii="Times New Roman" w:hAnsi="Times New Roman" w:cs="Times New Roman"/>
                <w:spacing w:val="0"/>
                <w:sz w:val="21"/>
                <w:szCs w:val="21"/>
                <w:highlight w:val="none"/>
              </w:rPr>
              <w:t xml:space="preserve"> </w:t>
            </w:r>
          </w:p>
          <w:p w14:paraId="64FD3F58">
            <w:pPr>
              <w:snapToGrid w:val="0"/>
              <w:spacing w:line="360" w:lineRule="auto"/>
              <w:ind w:firstLine="422" w:firstLineChars="200"/>
              <w:rPr>
                <w:rFonts w:hint="default" w:ascii="Times New Roman" w:hAnsi="Times New Roman" w:cs="Times New Roman"/>
                <w:spacing w:val="0"/>
                <w:sz w:val="21"/>
                <w:szCs w:val="21"/>
                <w:highlight w:val="none"/>
              </w:rPr>
            </w:pPr>
            <w:r>
              <w:rPr>
                <w:rFonts w:hint="default" w:ascii="Times New Roman" w:hAnsi="Times New Roman" w:cs="Times New Roman"/>
                <w:b/>
                <w:bCs/>
                <w:spacing w:val="0"/>
                <w:sz w:val="21"/>
                <w:szCs w:val="21"/>
                <w:highlight w:val="none"/>
              </w:rPr>
              <w:t>主要目标：</w:t>
            </w:r>
            <w:r>
              <w:rPr>
                <w:rFonts w:hint="default" w:ascii="Times New Roman" w:hAnsi="Times New Roman" w:cs="Times New Roman"/>
                <w:spacing w:val="0"/>
                <w:sz w:val="21"/>
                <w:szCs w:val="21"/>
                <w:highlight w:val="none"/>
              </w:rPr>
              <w:t xml:space="preserve">强化节约集约利用，持续提升资源能源利用效率，水资源利用、土地资源利用、能源消耗等达到省下达的总量和强度控制目标。优化调整能源结构，实施煤炭消费减量替代和能源消费总量控制，能源消费总量完成省下达任务，煤炭消费量实现负增长，进一步降低万元国内生产总值能耗，严格落实高污染燃料禁燃区管控要求，加快清洁能源、新能源和可再生能源推广利用。建立最严格的水资源管理制度，强化水资源刚性约束。推进各领域节约用水，农田灌溉水有效利用系数、再生水规模逐年提高，万元国内生产总值用水量、万元工业增加值用水量等用水效率指标在2020年基础上持续下降，确保完成用水总量控制指标；优化建设用地结构和布局，严控总量、盘活存量，控制国土空间开发强度。确保耕地保有量，从严管控非农建设占用永久基本农田，守住永久基本农田控制线。全力做好河湖岸线保护，优先实施防洪护岸、河道治理等公共安全及公众利益的建设项目，依法依规开展桥梁、码头、取水工程等项目建设。 </w:t>
            </w:r>
          </w:p>
          <w:p w14:paraId="3D4BB1BB">
            <w:pPr>
              <w:snapToGrid w:val="0"/>
              <w:spacing w:line="360" w:lineRule="auto"/>
              <w:ind w:firstLine="422" w:firstLineChars="200"/>
              <w:rPr>
                <w:rFonts w:hint="default" w:ascii="Times New Roman" w:hAnsi="Times New Roman" w:cs="Times New Roman"/>
                <w:b/>
                <w:spacing w:val="0"/>
                <w:kern w:val="0"/>
                <w:sz w:val="21"/>
                <w:szCs w:val="21"/>
                <w:highlight w:val="none"/>
              </w:rPr>
            </w:pPr>
            <w:r>
              <w:rPr>
                <w:rFonts w:hint="default" w:ascii="Times New Roman" w:hAnsi="Times New Roman" w:cs="Times New Roman"/>
                <w:b/>
                <w:bCs/>
                <w:spacing w:val="0"/>
                <w:sz w:val="21"/>
                <w:szCs w:val="21"/>
                <w:highlight w:val="none"/>
              </w:rPr>
              <w:t>符合性分析：</w:t>
            </w:r>
            <w:r>
              <w:rPr>
                <w:rFonts w:hint="default" w:ascii="Times New Roman" w:hAnsi="Times New Roman" w:cs="Times New Roman"/>
                <w:spacing w:val="0"/>
                <w:sz w:val="21"/>
                <w:szCs w:val="21"/>
                <w:highlight w:val="none"/>
              </w:rPr>
              <w:t>该项目不属于高耗能、高污染、资源型项目，运营过程用水由文昌湖区供水管网提供，不开采地下水，</w:t>
            </w:r>
            <w:r>
              <w:rPr>
                <w:rFonts w:hint="default" w:ascii="Times New Roman" w:hAnsi="Times New Roman" w:cs="Times New Roman"/>
                <w:spacing w:val="0"/>
                <w:sz w:val="21"/>
                <w:szCs w:val="21"/>
                <w:highlight w:val="none"/>
                <w:lang w:eastAsia="zh-CN"/>
              </w:rPr>
              <w:t>项目</w:t>
            </w:r>
            <w:r>
              <w:rPr>
                <w:rFonts w:hint="default" w:ascii="Times New Roman" w:hAnsi="Times New Roman" w:cs="Times New Roman"/>
                <w:spacing w:val="0"/>
                <w:sz w:val="21"/>
                <w:szCs w:val="21"/>
                <w:highlight w:val="none"/>
              </w:rPr>
              <w:t>用水量为</w:t>
            </w:r>
            <w:r>
              <w:rPr>
                <w:rFonts w:hint="eastAsia" w:cs="Times New Roman"/>
                <w:spacing w:val="0"/>
                <w:sz w:val="21"/>
                <w:szCs w:val="21"/>
                <w:highlight w:val="none"/>
                <w:lang w:val="en-US" w:eastAsia="zh-CN"/>
              </w:rPr>
              <w:t>1342</w:t>
            </w:r>
            <w:r>
              <w:rPr>
                <w:rFonts w:hint="default" w:ascii="Times New Roman" w:hAnsi="Times New Roman" w:cs="Times New Roman"/>
                <w:spacing w:val="0"/>
                <w:sz w:val="21"/>
                <w:szCs w:val="21"/>
                <w:highlight w:val="none"/>
              </w:rPr>
              <w:t>m</w:t>
            </w:r>
            <w:r>
              <w:rPr>
                <w:rFonts w:hint="default" w:ascii="Times New Roman" w:hAnsi="Times New Roman" w:cs="Times New Roman"/>
                <w:spacing w:val="0"/>
                <w:sz w:val="21"/>
                <w:szCs w:val="21"/>
                <w:highlight w:val="none"/>
                <w:vertAlign w:val="superscript"/>
              </w:rPr>
              <w:t>3</w:t>
            </w:r>
            <w:r>
              <w:rPr>
                <w:rFonts w:hint="default" w:ascii="Times New Roman" w:hAnsi="Times New Roman" w:cs="Times New Roman"/>
                <w:spacing w:val="0"/>
                <w:sz w:val="21"/>
                <w:szCs w:val="21"/>
                <w:highlight w:val="none"/>
              </w:rPr>
              <w:t>/a；用电由当地供电系统提供，全厂用电量为</w:t>
            </w:r>
            <w:r>
              <w:rPr>
                <w:rFonts w:hint="eastAsia" w:cs="Times New Roman"/>
                <w:spacing w:val="0"/>
                <w:sz w:val="21"/>
                <w:szCs w:val="21"/>
                <w:highlight w:val="none"/>
                <w:lang w:val="en-US" w:eastAsia="zh-CN"/>
              </w:rPr>
              <w:t>50.0</w:t>
            </w:r>
            <w:r>
              <w:rPr>
                <w:rFonts w:hint="default" w:ascii="Times New Roman" w:hAnsi="Times New Roman" w:cs="Times New Roman"/>
                <w:spacing w:val="0"/>
                <w:sz w:val="21"/>
                <w:szCs w:val="21"/>
                <w:highlight w:val="none"/>
              </w:rPr>
              <w:t>万kW·h，项目通过内部管理、设备选择、污染治理等方面采取合理可行的防治措施，以“节能、降耗、减污”为目标，能够有效地控制污染。项目建设用地面积</w:t>
            </w:r>
            <w:r>
              <w:rPr>
                <w:rFonts w:hint="eastAsia" w:cs="Times New Roman"/>
                <w:spacing w:val="0"/>
                <w:sz w:val="21"/>
                <w:szCs w:val="21"/>
                <w:lang w:val="en-US" w:eastAsia="zh-CN"/>
              </w:rPr>
              <w:t>6133.34</w:t>
            </w:r>
            <w:r>
              <w:rPr>
                <w:rFonts w:hint="default" w:ascii="Times New Roman" w:hAnsi="Times New Roman" w:cs="Times New Roman"/>
                <w:spacing w:val="0"/>
                <w:sz w:val="21"/>
                <w:szCs w:val="21"/>
                <w:highlight w:val="none"/>
                <w:lang w:eastAsia="zh-CN"/>
              </w:rPr>
              <w:t>平方米</w:t>
            </w:r>
            <w:r>
              <w:rPr>
                <w:rFonts w:hint="default" w:ascii="Times New Roman" w:hAnsi="Times New Roman" w:cs="Times New Roman"/>
                <w:spacing w:val="0"/>
                <w:sz w:val="21"/>
                <w:szCs w:val="21"/>
                <w:highlight w:val="none"/>
              </w:rPr>
              <w:t>，不占用基本农田。项目资源利用相对区域资源利用量较少，不会突破区域资源利用上线。</w:t>
            </w:r>
          </w:p>
          <w:p w14:paraId="5D255D85">
            <w:pPr>
              <w:numPr>
                <w:ilvl w:val="0"/>
                <w:numId w:val="3"/>
              </w:numPr>
              <w:snapToGrid w:val="0"/>
              <w:spacing w:line="360" w:lineRule="auto"/>
              <w:ind w:firstLine="422" w:firstLineChars="200"/>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 xml:space="preserve">生态环境分区管控符合性分析 </w:t>
            </w:r>
          </w:p>
          <w:p w14:paraId="52726222">
            <w:pPr>
              <w:snapToGrid w:val="0"/>
              <w:spacing w:line="360" w:lineRule="auto"/>
              <w:ind w:firstLine="420" w:firstLineChars="200"/>
              <w:rPr>
                <w:rFonts w:hint="default" w:ascii="Times New Roman" w:hAnsi="Times New Roman" w:cs="Times New Roman"/>
                <w:spacing w:val="0"/>
                <w:sz w:val="21"/>
                <w:szCs w:val="21"/>
              </w:rPr>
            </w:pPr>
            <w:r>
              <w:rPr>
                <w:rFonts w:hint="default" w:ascii="Times New Roman" w:hAnsi="Times New Roman" w:cs="Times New Roman"/>
                <w:spacing w:val="0"/>
                <w:sz w:val="21"/>
                <w:szCs w:val="21"/>
              </w:rPr>
              <w:t>按照生态环境法律法规和国家、省环境管理政策，结合区域发展战略和生态功能定位，全市共划定环境管控单元118个，分为优先保护单元、重点管控单元和一般管控单元三类。本项目位于山东省淄博市文昌湖区萌水镇，根据淄博市环境管控单元图，项目所在区域属于一般管控单元，根据淄博市生态环境委员会办公室关于印发《淄博市2023年生态环境分区管控成果动态更新项目生态环境准入清单》的通知（2024.04.18），萌水镇环境准入清单见下表：</w:t>
            </w:r>
          </w:p>
          <w:p w14:paraId="14451531">
            <w:pPr>
              <w:snapToGrid w:val="0"/>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表1-</w:t>
            </w:r>
            <w:r>
              <w:rPr>
                <w:rFonts w:hint="default" w:ascii="Times New Roman" w:hAnsi="Times New Roman" w:cs="Times New Roman"/>
                <w:b/>
                <w:bCs/>
                <w:spacing w:val="0"/>
                <w:sz w:val="21"/>
                <w:szCs w:val="21"/>
                <w:lang w:val="en-US" w:eastAsia="zh-CN"/>
              </w:rPr>
              <w:t>2</w:t>
            </w:r>
            <w:r>
              <w:rPr>
                <w:rFonts w:hint="default" w:ascii="Times New Roman" w:hAnsi="Times New Roman" w:cs="Times New Roman"/>
                <w:b/>
                <w:bCs/>
                <w:spacing w:val="0"/>
                <w:sz w:val="21"/>
                <w:szCs w:val="21"/>
              </w:rPr>
              <w:t xml:space="preserve"> 项目与淄博市“三线一单”生态环境准入清单的符合性分析一览表</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4340"/>
              <w:gridCol w:w="2240"/>
              <w:gridCol w:w="857"/>
            </w:tblGrid>
            <w:tr w14:paraId="67395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Align w:val="center"/>
                </w:tcPr>
                <w:p w14:paraId="55043882">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kern w:val="0"/>
                      <w:sz w:val="21"/>
                      <w:szCs w:val="21"/>
                    </w:rPr>
                    <w:t>内容</w:t>
                  </w:r>
                </w:p>
              </w:tc>
              <w:tc>
                <w:tcPr>
                  <w:tcW w:w="2746" w:type="pct"/>
                  <w:vAlign w:val="center"/>
                </w:tcPr>
                <w:p w14:paraId="0100408E">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sz w:val="21"/>
                      <w:szCs w:val="21"/>
                    </w:rPr>
                    <w:t>文件要求</w:t>
                  </w:r>
                </w:p>
              </w:tc>
              <w:tc>
                <w:tcPr>
                  <w:tcW w:w="1417" w:type="pct"/>
                  <w:vAlign w:val="center"/>
                </w:tcPr>
                <w:p w14:paraId="06882EA9">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sz w:val="21"/>
                      <w:szCs w:val="21"/>
                    </w:rPr>
                    <w:t>本项目情况</w:t>
                  </w:r>
                </w:p>
              </w:tc>
              <w:tc>
                <w:tcPr>
                  <w:tcW w:w="542" w:type="pct"/>
                  <w:vAlign w:val="center"/>
                </w:tcPr>
                <w:p w14:paraId="731F69A7">
                  <w:pPr>
                    <w:snapToGrid w:val="0"/>
                    <w:jc w:val="center"/>
                    <w:rPr>
                      <w:rFonts w:hint="default" w:ascii="Times New Roman" w:hAnsi="Times New Roman" w:cs="Times New Roman"/>
                      <w:bCs/>
                      <w:spacing w:val="0"/>
                      <w:sz w:val="21"/>
                      <w:szCs w:val="21"/>
                    </w:rPr>
                  </w:pPr>
                  <w:r>
                    <w:rPr>
                      <w:rFonts w:hint="default" w:ascii="Times New Roman" w:hAnsi="Times New Roman" w:cs="Times New Roman"/>
                      <w:bCs/>
                      <w:spacing w:val="0"/>
                      <w:sz w:val="21"/>
                      <w:szCs w:val="21"/>
                    </w:rPr>
                    <w:t>符合性</w:t>
                  </w:r>
                </w:p>
              </w:tc>
            </w:tr>
            <w:tr w14:paraId="35B2D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restart"/>
                  <w:vAlign w:val="center"/>
                </w:tcPr>
                <w:p w14:paraId="710450E5">
                  <w:pPr>
                    <w:widowControl/>
                    <w:jc w:val="center"/>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空间布局约束</w:t>
                  </w:r>
                </w:p>
                <w:p w14:paraId="52C95476">
                  <w:pPr>
                    <w:tabs>
                      <w:tab w:val="left" w:pos="203"/>
                    </w:tabs>
                    <w:snapToGrid w:val="0"/>
                    <w:jc w:val="left"/>
                    <w:rPr>
                      <w:rFonts w:hint="default" w:ascii="Times New Roman" w:hAnsi="Times New Roman" w:cs="Times New Roman"/>
                      <w:bCs/>
                      <w:spacing w:val="0"/>
                      <w:kern w:val="0"/>
                      <w:sz w:val="21"/>
                      <w:szCs w:val="21"/>
                    </w:rPr>
                  </w:pPr>
                </w:p>
              </w:tc>
              <w:tc>
                <w:tcPr>
                  <w:tcW w:w="2746" w:type="pct"/>
                  <w:vAlign w:val="center"/>
                </w:tcPr>
                <w:p w14:paraId="6AAF6B50">
                  <w:pPr>
                    <w:widowControl/>
                    <w:jc w:val="left"/>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禁止新建、</w:t>
                  </w:r>
                  <w:r>
                    <w:rPr>
                      <w:rFonts w:hint="default" w:ascii="Times New Roman" w:hAnsi="Times New Roman" w:cs="Times New Roman"/>
                      <w:spacing w:val="0"/>
                      <w:kern w:val="0"/>
                      <w:sz w:val="21"/>
                      <w:szCs w:val="21"/>
                      <w:lang w:eastAsia="zh-CN" w:bidi="ar"/>
                    </w:rPr>
                    <w:t>技改</w:t>
                  </w:r>
                  <w:r>
                    <w:rPr>
                      <w:rFonts w:hint="default" w:ascii="Times New Roman" w:hAnsi="Times New Roman" w:cs="Times New Roman"/>
                      <w:spacing w:val="0"/>
                      <w:kern w:val="0"/>
                      <w:sz w:val="21"/>
                      <w:szCs w:val="21"/>
                      <w:lang w:bidi="ar"/>
                    </w:rPr>
                    <w:t>《产业结构调整指导目录》（现行）明确的淘汰类项目和引入《市场准入负面清单》（现行）禁止准入类事项；鼓励对列入《产业结构调整指导目录》的限制类、淘汰类工业项目进行淘汰和提升改造</w:t>
                  </w:r>
                </w:p>
              </w:tc>
              <w:tc>
                <w:tcPr>
                  <w:tcW w:w="1417" w:type="pct"/>
                  <w:vAlign w:val="center"/>
                </w:tcPr>
                <w:p w14:paraId="3B14CF57">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项目不属于《产业结构调整指导目录》（现行）明确的淘汰类项目和引入《市场准入负面清单》（现行）禁止准入类事项</w:t>
                  </w:r>
                </w:p>
              </w:tc>
              <w:tc>
                <w:tcPr>
                  <w:tcW w:w="542" w:type="pct"/>
                  <w:vMerge w:val="restart"/>
                  <w:vAlign w:val="center"/>
                </w:tcPr>
                <w:p w14:paraId="75B75E31">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kern w:val="0"/>
                      <w:sz w:val="21"/>
                      <w:szCs w:val="21"/>
                    </w:rPr>
                    <w:t>符合</w:t>
                  </w:r>
                </w:p>
              </w:tc>
            </w:tr>
            <w:tr w14:paraId="6A00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continue"/>
                  <w:vAlign w:val="center"/>
                </w:tcPr>
                <w:p w14:paraId="2780DF25">
                  <w:pPr>
                    <w:widowControl/>
                    <w:jc w:val="left"/>
                    <w:rPr>
                      <w:rFonts w:hint="default" w:ascii="Times New Roman" w:hAnsi="Times New Roman" w:cs="Times New Roman"/>
                      <w:spacing w:val="0"/>
                      <w:sz w:val="21"/>
                      <w:szCs w:val="21"/>
                    </w:rPr>
                  </w:pPr>
                </w:p>
              </w:tc>
              <w:tc>
                <w:tcPr>
                  <w:tcW w:w="2746" w:type="pct"/>
                  <w:vAlign w:val="center"/>
                </w:tcPr>
                <w:p w14:paraId="12606A2C">
                  <w:pPr>
                    <w:widowControl/>
                    <w:jc w:val="left"/>
                    <w:rPr>
                      <w:rFonts w:hint="default" w:ascii="Times New Roman" w:hAnsi="Times New Roman" w:cs="Times New Roman"/>
                      <w:color w:val="000000"/>
                      <w:spacing w:val="0"/>
                      <w:kern w:val="0"/>
                      <w:sz w:val="21"/>
                      <w:szCs w:val="21"/>
                      <w:lang w:bidi="ar"/>
                    </w:rPr>
                  </w:pPr>
                  <w:r>
                    <w:rPr>
                      <w:rFonts w:hint="default" w:ascii="Times New Roman" w:hAnsi="Times New Roman" w:cs="Times New Roman"/>
                      <w:color w:val="000000"/>
                      <w:spacing w:val="0"/>
                      <w:kern w:val="0"/>
                      <w:sz w:val="21"/>
                      <w:szCs w:val="21"/>
                      <w:lang w:bidi="ar"/>
                    </w:rPr>
                    <w:t>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2019年11月）、《关于划定并严守生态保护红线的若干意见》《自然生态空间用途管制办法（试行）》（国土资发〔2017〕33号）等相关要求管控。</w:t>
                  </w:r>
                </w:p>
              </w:tc>
              <w:tc>
                <w:tcPr>
                  <w:tcW w:w="1417" w:type="pct"/>
                  <w:vAlign w:val="center"/>
                </w:tcPr>
                <w:p w14:paraId="596260B4">
                  <w:pPr>
                    <w:widowControl/>
                    <w:jc w:val="center"/>
                    <w:rPr>
                      <w:rFonts w:hint="default" w:ascii="Times New Roman" w:hAnsi="Times New Roman" w:cs="Times New Roman"/>
                      <w:color w:val="000000"/>
                      <w:spacing w:val="0"/>
                      <w:kern w:val="0"/>
                      <w:sz w:val="21"/>
                      <w:szCs w:val="21"/>
                      <w:lang w:bidi="ar"/>
                    </w:rPr>
                  </w:pPr>
                  <w:r>
                    <w:rPr>
                      <w:rFonts w:hint="default" w:ascii="Times New Roman" w:hAnsi="Times New Roman" w:cs="Times New Roman"/>
                      <w:spacing w:val="0"/>
                      <w:kern w:val="0"/>
                      <w:sz w:val="21"/>
                      <w:szCs w:val="21"/>
                      <w:lang w:bidi="ar"/>
                    </w:rPr>
                    <w:t>项目不位于淄博市各生态保护红线区范围内</w:t>
                  </w:r>
                </w:p>
              </w:tc>
              <w:tc>
                <w:tcPr>
                  <w:tcW w:w="542" w:type="pct"/>
                  <w:vMerge w:val="continue"/>
                  <w:vAlign w:val="center"/>
                </w:tcPr>
                <w:p w14:paraId="11C8B6BD">
                  <w:pPr>
                    <w:widowControl/>
                    <w:jc w:val="left"/>
                    <w:rPr>
                      <w:rFonts w:hint="default" w:ascii="Times New Roman" w:hAnsi="Times New Roman" w:cs="Times New Roman"/>
                      <w:color w:val="000000"/>
                      <w:spacing w:val="0"/>
                      <w:kern w:val="0"/>
                      <w:sz w:val="21"/>
                      <w:szCs w:val="21"/>
                      <w:lang w:bidi="ar"/>
                    </w:rPr>
                  </w:pPr>
                </w:p>
              </w:tc>
            </w:tr>
            <w:tr w14:paraId="095C2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continue"/>
                  <w:vAlign w:val="center"/>
                </w:tcPr>
                <w:p w14:paraId="4FB949E4">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0FD0F649">
                  <w:pPr>
                    <w:widowControl/>
                    <w:jc w:val="left"/>
                    <w:rPr>
                      <w:rFonts w:hint="default" w:ascii="Times New Roman" w:hAnsi="Times New Roman" w:cs="Times New Roman"/>
                      <w:color w:val="000000"/>
                      <w:spacing w:val="0"/>
                      <w:kern w:val="0"/>
                      <w:sz w:val="21"/>
                      <w:szCs w:val="21"/>
                      <w:lang w:bidi="ar"/>
                    </w:rPr>
                  </w:pPr>
                  <w:r>
                    <w:rPr>
                      <w:rFonts w:hint="default" w:ascii="Times New Roman" w:hAnsi="Times New Roman" w:cs="Times New Roman"/>
                      <w:color w:val="000000"/>
                      <w:spacing w:val="0"/>
                      <w:kern w:val="0"/>
                      <w:sz w:val="21"/>
                      <w:szCs w:val="21"/>
                      <w:lang w:bidi="ar"/>
                    </w:rPr>
                    <w:t>生态保护红线外的生态空间，依法依规以保护为主，严格限制大规模、高强度的区域开发，并根据其主导生态功能进行分类管控</w:t>
                  </w:r>
                </w:p>
              </w:tc>
              <w:tc>
                <w:tcPr>
                  <w:tcW w:w="1417" w:type="pct"/>
                  <w:vAlign w:val="center"/>
                </w:tcPr>
                <w:p w14:paraId="007E71DE">
                  <w:pPr>
                    <w:widowControl/>
                    <w:jc w:val="center"/>
                    <w:rPr>
                      <w:rFonts w:hint="default" w:ascii="Times New Roman" w:hAnsi="Times New Roman" w:cs="Times New Roman"/>
                      <w:color w:val="000000"/>
                      <w:spacing w:val="0"/>
                      <w:kern w:val="0"/>
                      <w:sz w:val="21"/>
                      <w:szCs w:val="21"/>
                      <w:lang w:bidi="ar"/>
                    </w:rPr>
                  </w:pPr>
                  <w:r>
                    <w:rPr>
                      <w:rFonts w:hint="default" w:ascii="Times New Roman" w:hAnsi="Times New Roman" w:cs="Times New Roman"/>
                      <w:spacing w:val="0"/>
                      <w:kern w:val="0"/>
                      <w:sz w:val="21"/>
                      <w:szCs w:val="21"/>
                      <w:lang w:bidi="ar"/>
                    </w:rPr>
                    <w:t>项目位于山东省淄博市文昌湖区萌水镇，属于一般管控单元</w:t>
                  </w:r>
                </w:p>
              </w:tc>
              <w:tc>
                <w:tcPr>
                  <w:tcW w:w="542" w:type="pct"/>
                  <w:vMerge w:val="continue"/>
                  <w:vAlign w:val="center"/>
                </w:tcPr>
                <w:p w14:paraId="77FFB69F">
                  <w:pPr>
                    <w:widowControl/>
                    <w:jc w:val="left"/>
                    <w:rPr>
                      <w:rFonts w:hint="default" w:ascii="Times New Roman" w:hAnsi="Times New Roman" w:cs="Times New Roman"/>
                      <w:color w:val="000000"/>
                      <w:spacing w:val="0"/>
                      <w:kern w:val="0"/>
                      <w:sz w:val="21"/>
                      <w:szCs w:val="21"/>
                      <w:lang w:bidi="ar"/>
                    </w:rPr>
                  </w:pPr>
                </w:p>
              </w:tc>
            </w:tr>
            <w:tr w14:paraId="32479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continue"/>
                  <w:vAlign w:val="center"/>
                </w:tcPr>
                <w:p w14:paraId="0043E4F2">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4A2A7DE5">
                  <w:pPr>
                    <w:widowControl/>
                    <w:jc w:val="left"/>
                    <w:rPr>
                      <w:rFonts w:hint="default" w:ascii="Times New Roman" w:hAnsi="Times New Roman" w:cs="Times New Roman"/>
                      <w:color w:val="000000"/>
                      <w:spacing w:val="0"/>
                      <w:kern w:val="0"/>
                      <w:sz w:val="21"/>
                      <w:szCs w:val="21"/>
                      <w:lang w:bidi="ar"/>
                    </w:rPr>
                  </w:pPr>
                  <w:r>
                    <w:rPr>
                      <w:rFonts w:hint="default" w:ascii="Times New Roman" w:hAnsi="Times New Roman" w:cs="Times New Roman"/>
                      <w:color w:val="000000"/>
                      <w:spacing w:val="0"/>
                      <w:kern w:val="0"/>
                      <w:sz w:val="21"/>
                      <w:szCs w:val="21"/>
                      <w:lang w:bidi="ar"/>
                    </w:rPr>
                    <w:t>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417" w:type="pct"/>
                  <w:vAlign w:val="center"/>
                </w:tcPr>
                <w:p w14:paraId="4B24236D">
                  <w:pPr>
                    <w:widowControl/>
                    <w:jc w:val="center"/>
                    <w:rPr>
                      <w:rFonts w:hint="default" w:ascii="Times New Roman" w:hAnsi="Times New Roman" w:cs="Times New Roman"/>
                      <w:color w:val="000000"/>
                      <w:spacing w:val="0"/>
                      <w:kern w:val="0"/>
                      <w:sz w:val="21"/>
                      <w:szCs w:val="21"/>
                      <w:lang w:bidi="ar"/>
                    </w:rPr>
                  </w:pPr>
                  <w:r>
                    <w:rPr>
                      <w:rFonts w:hint="default" w:ascii="Times New Roman" w:hAnsi="Times New Roman" w:cs="Times New Roman"/>
                      <w:spacing w:val="0"/>
                      <w:kern w:val="0"/>
                      <w:sz w:val="21"/>
                      <w:szCs w:val="21"/>
                      <w:lang w:bidi="ar"/>
                    </w:rPr>
                    <w:t>项目不占用永久基本农田</w:t>
                  </w:r>
                </w:p>
              </w:tc>
              <w:tc>
                <w:tcPr>
                  <w:tcW w:w="542" w:type="pct"/>
                  <w:vMerge w:val="continue"/>
                  <w:vAlign w:val="center"/>
                </w:tcPr>
                <w:p w14:paraId="5664C352">
                  <w:pPr>
                    <w:widowControl/>
                    <w:jc w:val="left"/>
                    <w:rPr>
                      <w:rFonts w:hint="default" w:ascii="Times New Roman" w:hAnsi="Times New Roman" w:cs="Times New Roman"/>
                      <w:color w:val="000000"/>
                      <w:spacing w:val="0"/>
                      <w:kern w:val="0"/>
                      <w:sz w:val="21"/>
                      <w:szCs w:val="21"/>
                      <w:lang w:bidi="ar"/>
                    </w:rPr>
                  </w:pPr>
                </w:p>
              </w:tc>
            </w:tr>
            <w:tr w14:paraId="04C7F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continue"/>
                  <w:vAlign w:val="center"/>
                </w:tcPr>
                <w:p w14:paraId="5CE86BB6">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3CAD8FE3">
                  <w:pPr>
                    <w:widowControl/>
                    <w:jc w:val="left"/>
                    <w:rPr>
                      <w:rFonts w:hint="default" w:ascii="Times New Roman" w:hAnsi="Times New Roman" w:eastAsia="宋体" w:cs="Times New Roman"/>
                      <w:spacing w:val="0"/>
                      <w:kern w:val="0"/>
                      <w:sz w:val="21"/>
                      <w:szCs w:val="21"/>
                      <w:lang w:eastAsia="zh-CN" w:bidi="ar"/>
                    </w:rPr>
                  </w:pPr>
                  <w:r>
                    <w:rPr>
                      <w:rFonts w:hint="default" w:ascii="Times New Roman" w:hAnsi="Times New Roman" w:cs="Times New Roman"/>
                      <w:spacing w:val="0"/>
                      <w:kern w:val="0"/>
                      <w:sz w:val="21"/>
                      <w:szCs w:val="21"/>
                      <w:lang w:bidi="ar"/>
                    </w:rPr>
                    <w:t>大气布局敏感区从严控制新建、</w:t>
                  </w:r>
                  <w:r>
                    <w:rPr>
                      <w:rFonts w:hint="default" w:ascii="Times New Roman" w:hAnsi="Times New Roman" w:cs="Times New Roman"/>
                      <w:spacing w:val="0"/>
                      <w:kern w:val="0"/>
                      <w:sz w:val="21"/>
                      <w:szCs w:val="21"/>
                      <w:lang w:eastAsia="zh-CN" w:bidi="ar"/>
                    </w:rPr>
                    <w:t>技改</w:t>
                  </w:r>
                  <w:r>
                    <w:rPr>
                      <w:rFonts w:hint="default" w:ascii="Times New Roman" w:hAnsi="Times New Roman" w:cs="Times New Roman"/>
                      <w:spacing w:val="0"/>
                      <w:kern w:val="0"/>
                      <w:sz w:val="21"/>
                      <w:szCs w:val="21"/>
                      <w:lang w:bidi="ar"/>
                    </w:rPr>
                    <w:t>排放大气污染物的工业项目；科学合理规划布局商业、居住并严格执行。</w:t>
                  </w:r>
                </w:p>
              </w:tc>
              <w:tc>
                <w:tcPr>
                  <w:tcW w:w="1417" w:type="pct"/>
                  <w:vAlign w:val="center"/>
                </w:tcPr>
                <w:p w14:paraId="238C9308">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项目位于山东省淄博市文昌湖区萌水镇，属于一般管控单元</w:t>
                  </w:r>
                </w:p>
              </w:tc>
              <w:tc>
                <w:tcPr>
                  <w:tcW w:w="542" w:type="pct"/>
                  <w:vMerge w:val="continue"/>
                  <w:vAlign w:val="center"/>
                </w:tcPr>
                <w:p w14:paraId="6E64B8A5">
                  <w:pPr>
                    <w:widowControl/>
                    <w:jc w:val="left"/>
                    <w:rPr>
                      <w:rFonts w:hint="default" w:ascii="Times New Roman" w:hAnsi="Times New Roman" w:cs="Times New Roman"/>
                      <w:color w:val="000000"/>
                      <w:spacing w:val="0"/>
                      <w:kern w:val="0"/>
                      <w:sz w:val="21"/>
                      <w:szCs w:val="21"/>
                      <w:lang w:bidi="ar"/>
                    </w:rPr>
                  </w:pPr>
                </w:p>
              </w:tc>
            </w:tr>
            <w:tr w14:paraId="2383E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continue"/>
                  <w:vAlign w:val="center"/>
                </w:tcPr>
                <w:p w14:paraId="794ECB48">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1D9D550D">
                  <w:pPr>
                    <w:widowControl/>
                    <w:jc w:val="left"/>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污水处理设施不健全、未正常运行或污水管网未覆盖的地区，未配套污水处理设施的项目不得建设</w:t>
                  </w:r>
                </w:p>
              </w:tc>
              <w:tc>
                <w:tcPr>
                  <w:tcW w:w="1417" w:type="pct"/>
                  <w:vAlign w:val="center"/>
                </w:tcPr>
                <w:p w14:paraId="48786411">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项目</w:t>
                  </w:r>
                  <w:r>
                    <w:rPr>
                      <w:rFonts w:hint="eastAsia" w:cs="Times New Roman"/>
                      <w:spacing w:val="0"/>
                      <w:kern w:val="0"/>
                      <w:sz w:val="21"/>
                      <w:szCs w:val="21"/>
                      <w:lang w:eastAsia="zh-CN" w:bidi="ar"/>
                    </w:rPr>
                    <w:t>抑尘用水全部损耗、不外排，清洗用水循环使用，定期补充损耗</w:t>
                  </w:r>
                  <w:r>
                    <w:rPr>
                      <w:rFonts w:hint="default" w:ascii="Times New Roman" w:hAnsi="Times New Roman" w:cs="Times New Roman"/>
                      <w:spacing w:val="0"/>
                      <w:kern w:val="0"/>
                      <w:sz w:val="21"/>
                      <w:szCs w:val="21"/>
                      <w:lang w:eastAsia="zh-CN" w:bidi="ar"/>
                    </w:rPr>
                    <w:t>，</w:t>
                  </w:r>
                  <w:r>
                    <w:rPr>
                      <w:rFonts w:hint="default" w:ascii="Times New Roman" w:hAnsi="Times New Roman" w:cs="Times New Roman"/>
                      <w:spacing w:val="0"/>
                      <w:kern w:val="0"/>
                      <w:sz w:val="21"/>
                      <w:szCs w:val="21"/>
                      <w:lang w:bidi="ar"/>
                    </w:rPr>
                    <w:t>生活污水经化粪池暂存后由环卫部门定期清运，不外排</w:t>
                  </w:r>
                </w:p>
              </w:tc>
              <w:tc>
                <w:tcPr>
                  <w:tcW w:w="542" w:type="pct"/>
                  <w:vMerge w:val="continue"/>
                  <w:vAlign w:val="center"/>
                </w:tcPr>
                <w:p w14:paraId="3A26F803">
                  <w:pPr>
                    <w:widowControl/>
                    <w:jc w:val="left"/>
                    <w:rPr>
                      <w:rFonts w:hint="default" w:ascii="Times New Roman" w:hAnsi="Times New Roman" w:cs="Times New Roman"/>
                      <w:color w:val="000000"/>
                      <w:spacing w:val="0"/>
                      <w:kern w:val="0"/>
                      <w:sz w:val="21"/>
                      <w:szCs w:val="21"/>
                      <w:lang w:bidi="ar"/>
                    </w:rPr>
                  </w:pPr>
                </w:p>
              </w:tc>
            </w:tr>
            <w:tr w14:paraId="55633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294" w:type="pct"/>
                  <w:vMerge w:val="continue"/>
                  <w:vAlign w:val="center"/>
                </w:tcPr>
                <w:p w14:paraId="26562554">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7EE6E3D3">
                  <w:pPr>
                    <w:widowControl/>
                    <w:jc w:val="left"/>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新建有污染物排放的工业项目，除在安全生产等方面有特殊要求的以外，应当进入工业园区或工业聚集区</w:t>
                  </w:r>
                </w:p>
              </w:tc>
              <w:tc>
                <w:tcPr>
                  <w:tcW w:w="1417" w:type="pct"/>
                  <w:vAlign w:val="center"/>
                </w:tcPr>
                <w:p w14:paraId="050B6584">
                  <w:pPr>
                    <w:widowControl/>
                    <w:jc w:val="center"/>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项目位于山东省淄博市文昌湖区萌水镇工业集聚区</w:t>
                  </w:r>
                </w:p>
              </w:tc>
              <w:tc>
                <w:tcPr>
                  <w:tcW w:w="542" w:type="pct"/>
                  <w:vMerge w:val="continue"/>
                  <w:vAlign w:val="center"/>
                </w:tcPr>
                <w:p w14:paraId="0EAEC1ED">
                  <w:pPr>
                    <w:widowControl/>
                    <w:jc w:val="left"/>
                    <w:rPr>
                      <w:rFonts w:hint="default" w:ascii="Times New Roman" w:hAnsi="Times New Roman" w:cs="Times New Roman"/>
                      <w:color w:val="000000"/>
                      <w:spacing w:val="0"/>
                      <w:kern w:val="0"/>
                      <w:sz w:val="21"/>
                      <w:szCs w:val="21"/>
                      <w:lang w:bidi="ar"/>
                    </w:rPr>
                  </w:pPr>
                </w:p>
              </w:tc>
            </w:tr>
            <w:tr w14:paraId="4FB8C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94" w:type="pct"/>
                  <w:vMerge w:val="continue"/>
                  <w:vAlign w:val="center"/>
                </w:tcPr>
                <w:p w14:paraId="7C4C7F21">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3F0B013D">
                  <w:pPr>
                    <w:widowControl/>
                    <w:jc w:val="left"/>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按照省市要求，严格控制“两高”项目，新“两高”项目实行“五个减量替代”。</w:t>
                  </w:r>
                </w:p>
              </w:tc>
              <w:tc>
                <w:tcPr>
                  <w:tcW w:w="1417" w:type="pct"/>
                  <w:vAlign w:val="center"/>
                </w:tcPr>
                <w:p w14:paraId="57FB5BF0">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sz w:val="21"/>
                      <w:szCs w:val="21"/>
                    </w:rPr>
                    <w:t>项目不属于“两高”项目</w:t>
                  </w:r>
                </w:p>
              </w:tc>
              <w:tc>
                <w:tcPr>
                  <w:tcW w:w="542" w:type="pct"/>
                  <w:vMerge w:val="continue"/>
                  <w:vAlign w:val="center"/>
                </w:tcPr>
                <w:p w14:paraId="33825386">
                  <w:pPr>
                    <w:widowControl/>
                    <w:jc w:val="left"/>
                    <w:rPr>
                      <w:rFonts w:hint="default" w:ascii="Times New Roman" w:hAnsi="Times New Roman" w:cs="Times New Roman"/>
                      <w:color w:val="000000"/>
                      <w:spacing w:val="0"/>
                      <w:kern w:val="0"/>
                      <w:sz w:val="21"/>
                      <w:szCs w:val="21"/>
                      <w:lang w:bidi="ar"/>
                    </w:rPr>
                  </w:pPr>
                </w:p>
              </w:tc>
            </w:tr>
            <w:tr w14:paraId="0BBFA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294" w:type="pct"/>
                  <w:vMerge w:val="restart"/>
                  <w:vAlign w:val="center"/>
                </w:tcPr>
                <w:p w14:paraId="58CB311C">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污</w:t>
                  </w:r>
                </w:p>
                <w:p w14:paraId="6D022F5A">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染</w:t>
                  </w:r>
                </w:p>
                <w:p w14:paraId="51569531">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物</w:t>
                  </w:r>
                </w:p>
                <w:p w14:paraId="5DD611D7">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排</w:t>
                  </w:r>
                </w:p>
                <w:p w14:paraId="3902F557">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放</w:t>
                  </w:r>
                </w:p>
                <w:p w14:paraId="2C07E46D">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管</w:t>
                  </w:r>
                </w:p>
                <w:p w14:paraId="222CFEC3">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控</w:t>
                  </w:r>
                </w:p>
                <w:p w14:paraId="4EC86FF4">
                  <w:pPr>
                    <w:widowControl/>
                    <w:jc w:val="left"/>
                    <w:rPr>
                      <w:rFonts w:hint="default" w:ascii="Times New Roman" w:hAnsi="Times New Roman" w:cs="Times New Roman"/>
                      <w:spacing w:val="0"/>
                      <w:kern w:val="0"/>
                      <w:sz w:val="21"/>
                      <w:szCs w:val="21"/>
                      <w:lang w:bidi="ar"/>
                    </w:rPr>
                  </w:pPr>
                </w:p>
              </w:tc>
              <w:tc>
                <w:tcPr>
                  <w:tcW w:w="2746" w:type="pct"/>
                  <w:vAlign w:val="center"/>
                </w:tcPr>
                <w:p w14:paraId="31ACCACF">
                  <w:pPr>
                    <w:widowControl/>
                    <w:jc w:val="left"/>
                    <w:rPr>
                      <w:rFonts w:hint="default" w:ascii="Times New Roman" w:hAnsi="Times New Roman" w:eastAsia="宋体" w:cs="Times New Roman"/>
                      <w:spacing w:val="0"/>
                      <w:kern w:val="0"/>
                      <w:sz w:val="21"/>
                      <w:szCs w:val="21"/>
                      <w:lang w:eastAsia="zh-CN" w:bidi="ar"/>
                    </w:rPr>
                  </w:pPr>
                  <w:r>
                    <w:rPr>
                      <w:rFonts w:hint="default" w:ascii="Times New Roman" w:hAnsi="Times New Roman" w:cs="Times New Roman"/>
                      <w:spacing w:val="0"/>
                      <w:kern w:val="0"/>
                      <w:sz w:val="21"/>
                      <w:szCs w:val="21"/>
                      <w:lang w:bidi="ar"/>
                    </w:rPr>
                    <w:t>涉“两高”项目企业应当积极实施节能改造提升，提高能源使用效率，推进节能减排。</w:t>
                  </w:r>
                </w:p>
              </w:tc>
              <w:tc>
                <w:tcPr>
                  <w:tcW w:w="1417" w:type="pct"/>
                  <w:vAlign w:val="center"/>
                </w:tcPr>
                <w:p w14:paraId="7863BF81">
                  <w:pPr>
                    <w:snapToGrid w:val="0"/>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项目不属于“两高”项目</w:t>
                  </w:r>
                </w:p>
              </w:tc>
              <w:tc>
                <w:tcPr>
                  <w:tcW w:w="542" w:type="pct"/>
                  <w:vMerge w:val="restart"/>
                  <w:vAlign w:val="center"/>
                </w:tcPr>
                <w:p w14:paraId="287CBFF6">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kern w:val="0"/>
                      <w:sz w:val="21"/>
                      <w:szCs w:val="21"/>
                    </w:rPr>
                    <w:t>符合</w:t>
                  </w:r>
                </w:p>
              </w:tc>
            </w:tr>
            <w:tr w14:paraId="52D1A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294" w:type="pct"/>
                  <w:vMerge w:val="continue"/>
                  <w:vAlign w:val="center"/>
                </w:tcPr>
                <w:p w14:paraId="14591366">
                  <w:pPr>
                    <w:widowControl/>
                    <w:jc w:val="left"/>
                    <w:rPr>
                      <w:rFonts w:hint="default" w:ascii="Times New Roman" w:hAnsi="Times New Roman" w:cs="Times New Roman"/>
                      <w:spacing w:val="0"/>
                      <w:sz w:val="21"/>
                      <w:szCs w:val="21"/>
                    </w:rPr>
                  </w:pPr>
                </w:p>
              </w:tc>
              <w:tc>
                <w:tcPr>
                  <w:tcW w:w="2746" w:type="pct"/>
                  <w:vAlign w:val="center"/>
                </w:tcPr>
                <w:p w14:paraId="5954AF9D">
                  <w:pPr>
                    <w:widowControl/>
                    <w:jc w:val="left"/>
                    <w:rPr>
                      <w:rFonts w:hint="default" w:ascii="Times New Roman" w:hAnsi="Times New Roman" w:eastAsia="宋体" w:cs="Times New Roman"/>
                      <w:bCs/>
                      <w:spacing w:val="0"/>
                      <w:kern w:val="0"/>
                      <w:sz w:val="21"/>
                      <w:szCs w:val="21"/>
                      <w:lang w:eastAsia="zh-CN"/>
                    </w:rPr>
                  </w:pPr>
                  <w:r>
                    <w:rPr>
                      <w:rFonts w:hint="default" w:ascii="Times New Roman" w:hAnsi="Times New Roman" w:cs="Times New Roman"/>
                      <w:spacing w:val="0"/>
                      <w:kern w:val="0"/>
                      <w:sz w:val="21"/>
                      <w:szCs w:val="21"/>
                      <w:lang w:bidi="ar"/>
                    </w:rPr>
                    <w:t>落实主要污染物总量替代要求，按照山东省生态环境厅《关于印发山东省建设项目主要大气污染物排放总量替代指标核算及管理办法的通知》，实施动态管控替代。</w:t>
                  </w:r>
                </w:p>
              </w:tc>
              <w:tc>
                <w:tcPr>
                  <w:tcW w:w="1417" w:type="pct"/>
                  <w:vAlign w:val="center"/>
                </w:tcPr>
                <w:p w14:paraId="39065D3A">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spacing w:val="0"/>
                      <w:sz w:val="21"/>
                      <w:szCs w:val="21"/>
                    </w:rPr>
                    <w:t>项目需申请总量及倍量替代，建成后需及时申报排污许可</w:t>
                  </w:r>
                </w:p>
              </w:tc>
              <w:tc>
                <w:tcPr>
                  <w:tcW w:w="542" w:type="pct"/>
                  <w:vMerge w:val="continue"/>
                  <w:vAlign w:val="center"/>
                </w:tcPr>
                <w:p w14:paraId="57929EC2">
                  <w:pPr>
                    <w:widowControl/>
                    <w:jc w:val="left"/>
                    <w:rPr>
                      <w:rFonts w:hint="default" w:ascii="Times New Roman" w:hAnsi="Times New Roman" w:cs="Times New Roman"/>
                      <w:bCs/>
                      <w:spacing w:val="0"/>
                      <w:kern w:val="0"/>
                      <w:sz w:val="21"/>
                      <w:szCs w:val="21"/>
                    </w:rPr>
                  </w:pPr>
                </w:p>
              </w:tc>
            </w:tr>
            <w:tr w14:paraId="3EB83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294" w:type="pct"/>
                  <w:vMerge w:val="continue"/>
                  <w:vAlign w:val="center"/>
                </w:tcPr>
                <w:p w14:paraId="728BAAF4">
                  <w:pPr>
                    <w:widowControl/>
                    <w:jc w:val="left"/>
                    <w:rPr>
                      <w:rFonts w:hint="default" w:ascii="Times New Roman" w:hAnsi="Times New Roman" w:cs="Times New Roman"/>
                      <w:bCs/>
                      <w:spacing w:val="0"/>
                      <w:kern w:val="0"/>
                      <w:sz w:val="21"/>
                      <w:szCs w:val="21"/>
                    </w:rPr>
                  </w:pPr>
                </w:p>
              </w:tc>
              <w:tc>
                <w:tcPr>
                  <w:tcW w:w="2746" w:type="pct"/>
                  <w:vAlign w:val="center"/>
                </w:tcPr>
                <w:p w14:paraId="6D0C2E21">
                  <w:pPr>
                    <w:widowControl/>
                    <w:jc w:val="left"/>
                    <w:rPr>
                      <w:rFonts w:hint="default" w:ascii="Times New Roman" w:hAnsi="Times New Roman" w:cs="Times New Roman"/>
                      <w:bCs/>
                      <w:spacing w:val="0"/>
                      <w:kern w:val="0"/>
                      <w:sz w:val="21"/>
                      <w:szCs w:val="21"/>
                    </w:rPr>
                  </w:pPr>
                  <w:r>
                    <w:rPr>
                      <w:rFonts w:hint="default" w:ascii="Times New Roman" w:hAnsi="Times New Roman" w:cs="Times New Roman"/>
                      <w:spacing w:val="0"/>
                      <w:kern w:val="0"/>
                      <w:sz w:val="21"/>
                      <w:szCs w:val="21"/>
                      <w:lang w:bidi="ar"/>
                    </w:rPr>
                    <w:t>废水应当按照要求进行预处理，达到行业</w:t>
                  </w:r>
                  <w:r>
                    <w:rPr>
                      <w:rFonts w:hint="default" w:ascii="Times New Roman" w:hAnsi="Times New Roman" w:cs="Times New Roman"/>
                      <w:spacing w:val="0"/>
                      <w:kern w:val="0"/>
                      <w:sz w:val="21"/>
                      <w:szCs w:val="21"/>
                      <w:lang w:val="en-US" w:eastAsia="zh-CN" w:bidi="ar"/>
                    </w:rPr>
                    <w:t>排</w:t>
                  </w:r>
                  <w:r>
                    <w:rPr>
                      <w:rFonts w:hint="default" w:ascii="Times New Roman" w:hAnsi="Times New Roman" w:cs="Times New Roman"/>
                      <w:spacing w:val="0"/>
                      <w:kern w:val="0"/>
                      <w:sz w:val="21"/>
                      <w:szCs w:val="21"/>
                      <w:lang w:bidi="ar"/>
                    </w:rPr>
                    <w:t>放标准或是综合排放标准后方可排放</w:t>
                  </w:r>
                </w:p>
              </w:tc>
              <w:tc>
                <w:tcPr>
                  <w:tcW w:w="1417" w:type="pct"/>
                  <w:vAlign w:val="center"/>
                </w:tcPr>
                <w:p w14:paraId="4579E104">
                  <w:pPr>
                    <w:pStyle w:val="2"/>
                    <w:spacing w:before="0" w:beforeLines="0" w:line="240" w:lineRule="auto"/>
                    <w:ind w:firstLine="0"/>
                    <w:jc w:val="center"/>
                    <w:rPr>
                      <w:rFonts w:hint="default" w:ascii="Times New Roman" w:hAnsi="Times New Roman" w:cs="Times New Roman"/>
                      <w:bCs/>
                      <w:color w:val="auto"/>
                      <w:spacing w:val="0"/>
                      <w:kern w:val="0"/>
                      <w:sz w:val="21"/>
                      <w:szCs w:val="21"/>
                    </w:rPr>
                  </w:pPr>
                  <w:r>
                    <w:rPr>
                      <w:rFonts w:hint="default" w:ascii="Times New Roman" w:hAnsi="Times New Roman" w:cs="Times New Roman"/>
                      <w:spacing w:val="0"/>
                      <w:kern w:val="0"/>
                      <w:sz w:val="21"/>
                      <w:szCs w:val="21"/>
                      <w:lang w:bidi="ar"/>
                    </w:rPr>
                    <w:t>项目</w:t>
                  </w:r>
                  <w:r>
                    <w:rPr>
                      <w:rFonts w:hint="eastAsia" w:cs="Times New Roman"/>
                      <w:spacing w:val="0"/>
                      <w:kern w:val="0"/>
                      <w:sz w:val="21"/>
                      <w:szCs w:val="21"/>
                      <w:lang w:eastAsia="zh-CN" w:bidi="ar"/>
                    </w:rPr>
                    <w:t>抑尘用水全部损耗、不外排，清洗用水循环使用，定期补充损耗</w:t>
                  </w:r>
                  <w:r>
                    <w:rPr>
                      <w:rFonts w:hint="default" w:ascii="Times New Roman" w:hAnsi="Times New Roman" w:cs="Times New Roman"/>
                      <w:spacing w:val="0"/>
                      <w:kern w:val="0"/>
                      <w:sz w:val="21"/>
                      <w:szCs w:val="21"/>
                      <w:lang w:eastAsia="zh-CN" w:bidi="ar"/>
                    </w:rPr>
                    <w:t>，</w:t>
                  </w:r>
                  <w:r>
                    <w:rPr>
                      <w:rFonts w:hint="default" w:ascii="Times New Roman" w:hAnsi="Times New Roman" w:cs="Times New Roman"/>
                      <w:spacing w:val="0"/>
                      <w:kern w:val="0"/>
                      <w:sz w:val="21"/>
                      <w:szCs w:val="21"/>
                      <w:lang w:bidi="ar"/>
                    </w:rPr>
                    <w:t>生活污水经化粪池暂存后由环卫部门定期清运，不外排</w:t>
                  </w:r>
                </w:p>
              </w:tc>
              <w:tc>
                <w:tcPr>
                  <w:tcW w:w="542" w:type="pct"/>
                  <w:vMerge w:val="continue"/>
                  <w:vAlign w:val="center"/>
                </w:tcPr>
                <w:p w14:paraId="77F6BFD2">
                  <w:pPr>
                    <w:widowControl/>
                    <w:jc w:val="left"/>
                    <w:rPr>
                      <w:rFonts w:hint="default" w:ascii="Times New Roman" w:hAnsi="Times New Roman" w:cs="Times New Roman"/>
                      <w:bCs/>
                      <w:spacing w:val="0"/>
                      <w:kern w:val="0"/>
                      <w:sz w:val="21"/>
                      <w:szCs w:val="21"/>
                    </w:rPr>
                  </w:pPr>
                </w:p>
              </w:tc>
            </w:tr>
            <w:tr w14:paraId="10D1E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294" w:type="pct"/>
                  <w:vMerge w:val="continue"/>
                  <w:vAlign w:val="center"/>
                </w:tcPr>
                <w:p w14:paraId="295306B1">
                  <w:pPr>
                    <w:widowControl/>
                    <w:jc w:val="left"/>
                    <w:rPr>
                      <w:rFonts w:hint="default" w:ascii="Times New Roman" w:hAnsi="Times New Roman" w:cs="Times New Roman"/>
                      <w:bCs/>
                      <w:spacing w:val="0"/>
                      <w:kern w:val="0"/>
                      <w:sz w:val="21"/>
                      <w:szCs w:val="21"/>
                    </w:rPr>
                  </w:pPr>
                </w:p>
              </w:tc>
              <w:tc>
                <w:tcPr>
                  <w:tcW w:w="2746" w:type="pct"/>
                  <w:vAlign w:val="center"/>
                </w:tcPr>
                <w:p w14:paraId="302DF4E3">
                  <w:pPr>
                    <w:widowControl/>
                    <w:jc w:val="left"/>
                    <w:rPr>
                      <w:rFonts w:hint="default" w:ascii="Times New Roman" w:hAnsi="Times New Roman" w:eastAsia="宋体" w:cs="Times New Roman"/>
                      <w:bCs/>
                      <w:spacing w:val="0"/>
                      <w:kern w:val="0"/>
                      <w:sz w:val="21"/>
                      <w:szCs w:val="21"/>
                      <w:lang w:eastAsia="zh-CN"/>
                    </w:rPr>
                  </w:pPr>
                  <w:r>
                    <w:rPr>
                      <w:rFonts w:hint="default" w:ascii="Times New Roman" w:hAnsi="Times New Roman" w:cs="Times New Roman"/>
                      <w:spacing w:val="0"/>
                      <w:kern w:val="0"/>
                      <w:sz w:val="21"/>
                      <w:szCs w:val="21"/>
                      <w:lang w:bidi="ar"/>
                    </w:rPr>
                    <w:t>禁止工业废水和生活污水未经处理直排环境；原则上除工业污水集中处理设施、城镇污水处理厂外不得新建入河排污口。</w:t>
                  </w:r>
                </w:p>
              </w:tc>
              <w:tc>
                <w:tcPr>
                  <w:tcW w:w="1417" w:type="pct"/>
                  <w:vAlign w:val="center"/>
                </w:tcPr>
                <w:p w14:paraId="734B31FF">
                  <w:pPr>
                    <w:pStyle w:val="2"/>
                    <w:spacing w:before="0" w:beforeLines="0" w:line="240" w:lineRule="auto"/>
                    <w:ind w:firstLine="0"/>
                    <w:jc w:val="center"/>
                    <w:rPr>
                      <w:rFonts w:hint="default" w:ascii="Times New Roman" w:hAnsi="Times New Roman" w:cs="Times New Roman"/>
                      <w:bCs/>
                      <w:color w:val="auto"/>
                      <w:spacing w:val="0"/>
                      <w:kern w:val="0"/>
                      <w:sz w:val="21"/>
                      <w:szCs w:val="21"/>
                    </w:rPr>
                  </w:pPr>
                  <w:r>
                    <w:rPr>
                      <w:rFonts w:hint="default" w:ascii="Times New Roman" w:hAnsi="Times New Roman" w:cs="Times New Roman"/>
                      <w:spacing w:val="0"/>
                      <w:kern w:val="0"/>
                      <w:sz w:val="21"/>
                      <w:szCs w:val="21"/>
                      <w:lang w:bidi="ar"/>
                    </w:rPr>
                    <w:t>项目</w:t>
                  </w:r>
                  <w:r>
                    <w:rPr>
                      <w:rFonts w:hint="eastAsia" w:cs="Times New Roman"/>
                      <w:spacing w:val="0"/>
                      <w:kern w:val="0"/>
                      <w:sz w:val="21"/>
                      <w:szCs w:val="21"/>
                      <w:lang w:eastAsia="zh-CN" w:bidi="ar"/>
                    </w:rPr>
                    <w:t>抑尘用水全部损耗、不外排，清洗用水循环使用，定期补充损耗</w:t>
                  </w:r>
                  <w:r>
                    <w:rPr>
                      <w:rFonts w:hint="default" w:ascii="Times New Roman" w:hAnsi="Times New Roman" w:cs="Times New Roman"/>
                      <w:spacing w:val="0"/>
                      <w:kern w:val="0"/>
                      <w:sz w:val="21"/>
                      <w:szCs w:val="21"/>
                      <w:lang w:eastAsia="zh-CN" w:bidi="ar"/>
                    </w:rPr>
                    <w:t>，</w:t>
                  </w:r>
                  <w:r>
                    <w:rPr>
                      <w:rFonts w:hint="default" w:ascii="Times New Roman" w:hAnsi="Times New Roman" w:cs="Times New Roman"/>
                      <w:spacing w:val="0"/>
                      <w:kern w:val="0"/>
                      <w:sz w:val="21"/>
                      <w:szCs w:val="21"/>
                      <w:lang w:bidi="ar"/>
                    </w:rPr>
                    <w:t>生活污水经化粪池暂存后由环卫部门定期清运，不外排</w:t>
                  </w:r>
                </w:p>
              </w:tc>
              <w:tc>
                <w:tcPr>
                  <w:tcW w:w="542" w:type="pct"/>
                  <w:vMerge w:val="continue"/>
                  <w:vAlign w:val="center"/>
                </w:tcPr>
                <w:p w14:paraId="4F6C72ED">
                  <w:pPr>
                    <w:widowControl/>
                    <w:jc w:val="left"/>
                    <w:rPr>
                      <w:rFonts w:hint="default" w:ascii="Times New Roman" w:hAnsi="Times New Roman" w:cs="Times New Roman"/>
                      <w:bCs/>
                      <w:spacing w:val="0"/>
                      <w:kern w:val="0"/>
                      <w:sz w:val="21"/>
                      <w:szCs w:val="21"/>
                    </w:rPr>
                  </w:pPr>
                </w:p>
              </w:tc>
            </w:tr>
            <w:tr w14:paraId="76F39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294" w:type="pct"/>
                  <w:vMerge w:val="continue"/>
                  <w:vAlign w:val="center"/>
                </w:tcPr>
                <w:p w14:paraId="05A42E6B">
                  <w:pPr>
                    <w:widowControl/>
                    <w:jc w:val="left"/>
                    <w:rPr>
                      <w:rFonts w:hint="default" w:ascii="Times New Roman" w:hAnsi="Times New Roman" w:cs="Times New Roman"/>
                      <w:bCs/>
                      <w:spacing w:val="0"/>
                      <w:kern w:val="0"/>
                      <w:sz w:val="21"/>
                      <w:szCs w:val="21"/>
                    </w:rPr>
                  </w:pPr>
                </w:p>
              </w:tc>
              <w:tc>
                <w:tcPr>
                  <w:tcW w:w="2746" w:type="pct"/>
                  <w:vAlign w:val="center"/>
                </w:tcPr>
                <w:p w14:paraId="53E318F2">
                  <w:pPr>
                    <w:widowControl/>
                    <w:jc w:val="left"/>
                    <w:rPr>
                      <w:rFonts w:hint="default" w:ascii="Times New Roman" w:hAnsi="Times New Roman" w:cs="Times New Roman"/>
                      <w:bCs/>
                      <w:spacing w:val="0"/>
                      <w:kern w:val="0"/>
                      <w:sz w:val="21"/>
                      <w:szCs w:val="21"/>
                    </w:rPr>
                  </w:pPr>
                  <w:r>
                    <w:rPr>
                      <w:rFonts w:hint="default" w:ascii="Times New Roman" w:hAnsi="Times New Roman" w:cs="Times New Roman"/>
                      <w:spacing w:val="0"/>
                      <w:kern w:val="0"/>
                      <w:sz w:val="21"/>
                      <w:szCs w:val="21"/>
                      <w:lang w:bidi="ar"/>
                    </w:rPr>
                    <w:t>化工、包装印刷、表面涂装、铸造、建材、塑料加工等严格按照淄博市行业环境管控要求，实施源头替代，建立健全治理设施，确保污染物稳定达标排放，做到持证排污</w:t>
                  </w:r>
                </w:p>
              </w:tc>
              <w:tc>
                <w:tcPr>
                  <w:tcW w:w="1417" w:type="pct"/>
                  <w:vAlign w:val="center"/>
                </w:tcPr>
                <w:p w14:paraId="144174E9">
                  <w:pPr>
                    <w:pStyle w:val="2"/>
                    <w:spacing w:before="0" w:beforeLines="0" w:line="240" w:lineRule="auto"/>
                    <w:ind w:firstLine="0"/>
                    <w:jc w:val="center"/>
                    <w:rPr>
                      <w:rFonts w:hint="default" w:ascii="Times New Roman" w:hAnsi="Times New Roman" w:cs="Times New Roman"/>
                      <w:bCs/>
                      <w:color w:val="auto"/>
                      <w:spacing w:val="0"/>
                      <w:kern w:val="0"/>
                      <w:sz w:val="21"/>
                      <w:szCs w:val="21"/>
                    </w:rPr>
                  </w:pPr>
                  <w:r>
                    <w:rPr>
                      <w:rFonts w:hint="default" w:ascii="Times New Roman" w:hAnsi="Times New Roman" w:cs="Times New Roman"/>
                      <w:color w:val="auto"/>
                      <w:spacing w:val="0"/>
                      <w:sz w:val="21"/>
                      <w:szCs w:val="21"/>
                    </w:rPr>
                    <w:t>经计算，项目各污染物排放均满足标准要求，项目建成后及时申领排污许可</w:t>
                  </w:r>
                </w:p>
              </w:tc>
              <w:tc>
                <w:tcPr>
                  <w:tcW w:w="542" w:type="pct"/>
                  <w:vMerge w:val="continue"/>
                  <w:vAlign w:val="center"/>
                </w:tcPr>
                <w:p w14:paraId="1B4E0949">
                  <w:pPr>
                    <w:widowControl/>
                    <w:jc w:val="left"/>
                    <w:rPr>
                      <w:rFonts w:hint="default" w:ascii="Times New Roman" w:hAnsi="Times New Roman" w:cs="Times New Roman"/>
                      <w:bCs/>
                      <w:spacing w:val="0"/>
                      <w:kern w:val="0"/>
                      <w:sz w:val="21"/>
                      <w:szCs w:val="21"/>
                    </w:rPr>
                  </w:pPr>
                </w:p>
              </w:tc>
            </w:tr>
            <w:tr w14:paraId="413F0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294" w:type="pct"/>
                  <w:vMerge w:val="restart"/>
                  <w:vAlign w:val="center"/>
                </w:tcPr>
                <w:p w14:paraId="1D7A6D64">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环</w:t>
                  </w:r>
                </w:p>
                <w:p w14:paraId="77CD7EE9">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境</w:t>
                  </w:r>
                </w:p>
                <w:p w14:paraId="7CF12111">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风</w:t>
                  </w:r>
                </w:p>
                <w:p w14:paraId="643E04B1">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险</w:t>
                  </w:r>
                </w:p>
                <w:p w14:paraId="61FB072B">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防</w:t>
                  </w:r>
                </w:p>
                <w:p w14:paraId="6FD1C7C2">
                  <w:pPr>
                    <w:widowControl/>
                    <w:jc w:val="center"/>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控</w:t>
                  </w:r>
                </w:p>
                <w:p w14:paraId="1CECB6E5">
                  <w:pPr>
                    <w:snapToGrid w:val="0"/>
                    <w:jc w:val="center"/>
                    <w:rPr>
                      <w:rFonts w:hint="default" w:ascii="Times New Roman" w:hAnsi="Times New Roman" w:cs="Times New Roman"/>
                      <w:bCs/>
                      <w:spacing w:val="0"/>
                      <w:kern w:val="0"/>
                      <w:sz w:val="21"/>
                      <w:szCs w:val="21"/>
                    </w:rPr>
                  </w:pPr>
                </w:p>
              </w:tc>
              <w:tc>
                <w:tcPr>
                  <w:tcW w:w="2746" w:type="pct"/>
                  <w:vAlign w:val="center"/>
                </w:tcPr>
                <w:p w14:paraId="7327972C">
                  <w:pPr>
                    <w:pStyle w:val="2"/>
                    <w:spacing w:before="0" w:beforeLines="0" w:line="240" w:lineRule="auto"/>
                    <w:ind w:firstLine="0"/>
                    <w:jc w:val="both"/>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建立生态保护红线常态化日常巡护</w:t>
                  </w:r>
                </w:p>
              </w:tc>
              <w:tc>
                <w:tcPr>
                  <w:tcW w:w="1417" w:type="pct"/>
                  <w:vAlign w:val="center"/>
                </w:tcPr>
                <w:p w14:paraId="5297E402">
                  <w:pPr>
                    <w:widowControl/>
                    <w:jc w:val="center"/>
                    <w:rPr>
                      <w:rFonts w:hint="default" w:ascii="Times New Roman" w:hAnsi="Times New Roman" w:cs="Times New Roman"/>
                      <w:spacing w:val="0"/>
                      <w:kern w:val="0"/>
                      <w:sz w:val="21"/>
                      <w:szCs w:val="21"/>
                      <w:lang w:bidi="ar"/>
                    </w:rPr>
                  </w:pPr>
                  <w:r>
                    <w:rPr>
                      <w:rFonts w:hint="default" w:ascii="Times New Roman" w:hAnsi="Times New Roman" w:cs="Times New Roman"/>
                      <w:spacing w:val="0"/>
                      <w:kern w:val="0"/>
                      <w:sz w:val="21"/>
                      <w:szCs w:val="21"/>
                      <w:lang w:bidi="ar"/>
                    </w:rPr>
                    <w:t>项目不位于淄博市各生态保护红线区范围内</w:t>
                  </w:r>
                </w:p>
              </w:tc>
              <w:tc>
                <w:tcPr>
                  <w:tcW w:w="542" w:type="pct"/>
                  <w:vMerge w:val="restart"/>
                  <w:vAlign w:val="center"/>
                </w:tcPr>
                <w:p w14:paraId="75EBFAB7">
                  <w:pPr>
                    <w:snapToGrid w:val="0"/>
                    <w:jc w:val="center"/>
                    <w:rPr>
                      <w:rFonts w:hint="default" w:ascii="Times New Roman" w:hAnsi="Times New Roman" w:cs="Times New Roman"/>
                      <w:bCs/>
                      <w:spacing w:val="0"/>
                      <w:kern w:val="0"/>
                      <w:sz w:val="21"/>
                      <w:szCs w:val="21"/>
                    </w:rPr>
                  </w:pPr>
                  <w:r>
                    <w:rPr>
                      <w:rFonts w:hint="default" w:ascii="Times New Roman" w:hAnsi="Times New Roman" w:cs="Times New Roman"/>
                      <w:bCs/>
                      <w:spacing w:val="0"/>
                      <w:kern w:val="0"/>
                      <w:sz w:val="21"/>
                      <w:szCs w:val="21"/>
                    </w:rPr>
                    <w:t>符合</w:t>
                  </w:r>
                </w:p>
              </w:tc>
            </w:tr>
            <w:tr w14:paraId="1A2AF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continue"/>
                  <w:vAlign w:val="center"/>
                </w:tcPr>
                <w:p w14:paraId="0CC75E48">
                  <w:pPr>
                    <w:widowControl/>
                    <w:jc w:val="left"/>
                    <w:rPr>
                      <w:rFonts w:hint="default" w:ascii="Times New Roman" w:hAnsi="Times New Roman" w:cs="Times New Roman"/>
                      <w:spacing w:val="0"/>
                      <w:sz w:val="21"/>
                      <w:szCs w:val="21"/>
                    </w:rPr>
                  </w:pPr>
                </w:p>
              </w:tc>
              <w:tc>
                <w:tcPr>
                  <w:tcW w:w="2746" w:type="pct"/>
                  <w:vAlign w:val="center"/>
                </w:tcPr>
                <w:p w14:paraId="600F176A">
                  <w:pPr>
                    <w:pStyle w:val="2"/>
                    <w:spacing w:before="0" w:beforeLines="0" w:line="240" w:lineRule="auto"/>
                    <w:ind w:firstLine="0"/>
                    <w:jc w:val="both"/>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加强农田土壤、灌溉水的监测，对周边区域环境风险源进行评估</w:t>
                  </w:r>
                </w:p>
              </w:tc>
              <w:tc>
                <w:tcPr>
                  <w:tcW w:w="1417" w:type="pct"/>
                  <w:vAlign w:val="center"/>
                </w:tcPr>
                <w:p w14:paraId="1EEA297D">
                  <w:pPr>
                    <w:widowControl/>
                    <w:jc w:val="center"/>
                    <w:rPr>
                      <w:rFonts w:hint="default" w:ascii="Times New Roman" w:hAnsi="Times New Roman" w:cs="Times New Roman"/>
                      <w:color w:val="000000"/>
                      <w:spacing w:val="0"/>
                      <w:kern w:val="0"/>
                      <w:sz w:val="21"/>
                      <w:szCs w:val="21"/>
                      <w:lang w:bidi="ar"/>
                    </w:rPr>
                  </w:pPr>
                  <w:r>
                    <w:rPr>
                      <w:rFonts w:hint="default" w:ascii="Times New Roman" w:hAnsi="Times New Roman" w:cs="Times New Roman"/>
                      <w:spacing w:val="0"/>
                      <w:kern w:val="0"/>
                      <w:sz w:val="21"/>
                      <w:szCs w:val="21"/>
                      <w:lang w:bidi="ar"/>
                    </w:rPr>
                    <w:t>项目不占用永久基本农田</w:t>
                  </w:r>
                </w:p>
              </w:tc>
              <w:tc>
                <w:tcPr>
                  <w:tcW w:w="542" w:type="pct"/>
                  <w:vMerge w:val="continue"/>
                  <w:vAlign w:val="center"/>
                </w:tcPr>
                <w:p w14:paraId="02D32567">
                  <w:pPr>
                    <w:widowControl/>
                    <w:jc w:val="left"/>
                    <w:rPr>
                      <w:rFonts w:hint="default" w:ascii="Times New Roman" w:hAnsi="Times New Roman" w:cs="Times New Roman"/>
                      <w:color w:val="000000"/>
                      <w:spacing w:val="0"/>
                      <w:kern w:val="0"/>
                      <w:sz w:val="21"/>
                      <w:szCs w:val="21"/>
                      <w:lang w:bidi="ar"/>
                    </w:rPr>
                  </w:pPr>
                </w:p>
              </w:tc>
            </w:tr>
            <w:tr w14:paraId="58777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trPr>
              <w:tc>
                <w:tcPr>
                  <w:tcW w:w="294" w:type="pct"/>
                  <w:vMerge w:val="continue"/>
                  <w:vAlign w:val="center"/>
                </w:tcPr>
                <w:p w14:paraId="59F79312">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16C772B4">
                  <w:pPr>
                    <w:pStyle w:val="2"/>
                    <w:spacing w:before="0" w:beforeLines="0" w:line="240" w:lineRule="auto"/>
                    <w:ind w:firstLine="0"/>
                    <w:jc w:val="both"/>
                    <w:rPr>
                      <w:rFonts w:hint="default" w:ascii="Times New Roman" w:hAnsi="Times New Roman" w:cs="Times New Roman"/>
                      <w:color w:val="auto"/>
                      <w:spacing w:val="0"/>
                      <w:kern w:val="0"/>
                      <w:sz w:val="21"/>
                      <w:szCs w:val="21"/>
                      <w:highlight w:val="none"/>
                      <w:lang w:bidi="ar"/>
                    </w:rPr>
                  </w:pPr>
                  <w:r>
                    <w:rPr>
                      <w:rFonts w:hint="default" w:ascii="Times New Roman" w:hAnsi="Times New Roman" w:cs="Times New Roman"/>
                      <w:color w:val="auto"/>
                      <w:spacing w:val="0"/>
                      <w:kern w:val="0"/>
                      <w:sz w:val="21"/>
                      <w:szCs w:val="21"/>
                      <w:highlight w:val="none"/>
                      <w:lang w:bidi="ar"/>
                    </w:rPr>
                    <w:t>企业事业单位按照《企业事业单位突发环境事件应急预案备案管理办法（试行）》等要求，依法依规编制环境应急预案并定期开展演练</w:t>
                  </w:r>
                </w:p>
              </w:tc>
              <w:tc>
                <w:tcPr>
                  <w:tcW w:w="1417" w:type="pct"/>
                  <w:vAlign w:val="center"/>
                </w:tcPr>
                <w:p w14:paraId="56B4CBFB">
                  <w:pPr>
                    <w:pStyle w:val="2"/>
                    <w:spacing w:before="0" w:beforeLines="0" w:line="240" w:lineRule="auto"/>
                    <w:ind w:firstLine="0"/>
                    <w:jc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cs="Times New Roman"/>
                      <w:color w:val="auto"/>
                      <w:spacing w:val="0"/>
                      <w:kern w:val="0"/>
                      <w:sz w:val="21"/>
                      <w:szCs w:val="21"/>
                      <w:highlight w:val="none"/>
                      <w:lang w:bidi="ar"/>
                    </w:rPr>
                    <w:t>项目建成后需及时编制企业事业单位突发环境事件应急预案并定期开展演练</w:t>
                  </w:r>
                </w:p>
              </w:tc>
              <w:tc>
                <w:tcPr>
                  <w:tcW w:w="542" w:type="pct"/>
                  <w:vMerge w:val="continue"/>
                  <w:vAlign w:val="center"/>
                </w:tcPr>
                <w:p w14:paraId="476BBF1D">
                  <w:pPr>
                    <w:widowControl/>
                    <w:jc w:val="left"/>
                    <w:rPr>
                      <w:rFonts w:hint="default" w:ascii="Times New Roman" w:hAnsi="Times New Roman" w:cs="Times New Roman"/>
                      <w:color w:val="000000"/>
                      <w:spacing w:val="0"/>
                      <w:kern w:val="0"/>
                      <w:sz w:val="21"/>
                      <w:szCs w:val="21"/>
                      <w:lang w:bidi="ar"/>
                    </w:rPr>
                  </w:pPr>
                </w:p>
              </w:tc>
            </w:tr>
            <w:tr w14:paraId="5B4A5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294" w:type="pct"/>
                  <w:vMerge w:val="continue"/>
                  <w:vAlign w:val="center"/>
                </w:tcPr>
                <w:p w14:paraId="03D962BA">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2AA83948">
                  <w:pPr>
                    <w:pStyle w:val="2"/>
                    <w:spacing w:before="0" w:beforeLines="0" w:line="240" w:lineRule="auto"/>
                    <w:ind w:firstLine="0"/>
                    <w:jc w:val="both"/>
                    <w:rPr>
                      <w:rFonts w:hint="default" w:ascii="Times New Roman" w:hAnsi="Times New Roman" w:eastAsia="宋体" w:cs="Times New Roman"/>
                      <w:color w:val="auto"/>
                      <w:spacing w:val="0"/>
                      <w:kern w:val="0"/>
                      <w:sz w:val="21"/>
                      <w:szCs w:val="21"/>
                      <w:lang w:eastAsia="zh-CN" w:bidi="ar"/>
                    </w:rPr>
                  </w:pPr>
                  <w:r>
                    <w:rPr>
                      <w:rFonts w:hint="default" w:ascii="Times New Roman" w:hAnsi="Times New Roman" w:cs="Times New Roman"/>
                      <w:color w:val="auto"/>
                      <w:spacing w:val="0"/>
                      <w:kern w:val="0"/>
                      <w:sz w:val="21"/>
                      <w:szCs w:val="21"/>
                      <w:lang w:bidi="ar"/>
                    </w:rPr>
                    <w:t>建立各企业危险废物的贮存、申报、经营许可（无废城市建设豁免的除外）、转移及处置管理制度，并负责对危废相应活动的全程监管和环境安全保障。</w:t>
                  </w:r>
                </w:p>
              </w:tc>
              <w:tc>
                <w:tcPr>
                  <w:tcW w:w="1417" w:type="pct"/>
                  <w:vAlign w:val="center"/>
                </w:tcPr>
                <w:p w14:paraId="30B55C2E">
                  <w:pPr>
                    <w:pStyle w:val="2"/>
                    <w:spacing w:before="0" w:beforeLines="0" w:line="240" w:lineRule="auto"/>
                    <w:ind w:firstLine="0"/>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不涉及</w:t>
                  </w:r>
                </w:p>
              </w:tc>
              <w:tc>
                <w:tcPr>
                  <w:tcW w:w="542" w:type="pct"/>
                  <w:vMerge w:val="continue"/>
                  <w:vAlign w:val="center"/>
                </w:tcPr>
                <w:p w14:paraId="14E97C30">
                  <w:pPr>
                    <w:widowControl/>
                    <w:jc w:val="left"/>
                    <w:rPr>
                      <w:rFonts w:hint="default" w:ascii="Times New Roman" w:hAnsi="Times New Roman" w:cs="Times New Roman"/>
                      <w:color w:val="000000"/>
                      <w:spacing w:val="0"/>
                      <w:kern w:val="0"/>
                      <w:sz w:val="21"/>
                      <w:szCs w:val="21"/>
                      <w:lang w:bidi="ar"/>
                    </w:rPr>
                  </w:pPr>
                </w:p>
              </w:tc>
            </w:tr>
            <w:tr w14:paraId="5A5DF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294" w:type="pct"/>
                  <w:vMerge w:val="continue"/>
                  <w:vAlign w:val="center"/>
                </w:tcPr>
                <w:p w14:paraId="6C4B6FC2">
                  <w:pPr>
                    <w:widowControl/>
                    <w:jc w:val="left"/>
                    <w:rPr>
                      <w:rFonts w:hint="default" w:ascii="Times New Roman" w:hAnsi="Times New Roman" w:cs="Times New Roman"/>
                      <w:color w:val="000000"/>
                      <w:spacing w:val="0"/>
                      <w:kern w:val="0"/>
                      <w:sz w:val="21"/>
                      <w:szCs w:val="21"/>
                      <w:lang w:bidi="ar"/>
                    </w:rPr>
                  </w:pPr>
                </w:p>
              </w:tc>
              <w:tc>
                <w:tcPr>
                  <w:tcW w:w="2746" w:type="pct"/>
                  <w:vAlign w:val="center"/>
                </w:tcPr>
                <w:p w14:paraId="60B23822">
                  <w:pPr>
                    <w:pStyle w:val="2"/>
                    <w:spacing w:before="0" w:beforeLines="0" w:line="240" w:lineRule="auto"/>
                    <w:ind w:firstLine="0"/>
                    <w:jc w:val="both"/>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按照省市要求，做好清洁取暖改造工作</w:t>
                  </w:r>
                </w:p>
              </w:tc>
              <w:tc>
                <w:tcPr>
                  <w:tcW w:w="1417" w:type="pct"/>
                  <w:vAlign w:val="center"/>
                </w:tcPr>
                <w:p w14:paraId="5C510D5D">
                  <w:pPr>
                    <w:pStyle w:val="2"/>
                    <w:spacing w:before="0" w:beforeLines="0" w:line="240" w:lineRule="auto"/>
                    <w:ind w:firstLine="0"/>
                    <w:jc w:val="both"/>
                    <w:rPr>
                      <w:rFonts w:hint="default" w:ascii="Times New Roman" w:hAnsi="Times New Roman" w:cs="Times New Roman"/>
                      <w:color w:val="auto"/>
                      <w:spacing w:val="0"/>
                      <w:kern w:val="0"/>
                      <w:sz w:val="21"/>
                      <w:szCs w:val="21"/>
                      <w:lang w:bidi="ar"/>
                    </w:rPr>
                  </w:pPr>
                  <w:r>
                    <w:rPr>
                      <w:rFonts w:hint="default" w:ascii="Times New Roman" w:hAnsi="Times New Roman" w:cs="Times New Roman"/>
                      <w:color w:val="auto"/>
                      <w:spacing w:val="0"/>
                      <w:kern w:val="0"/>
                      <w:sz w:val="21"/>
                      <w:szCs w:val="21"/>
                      <w:lang w:bidi="ar"/>
                    </w:rPr>
                    <w:t>本项目采用采暖为空调</w:t>
                  </w:r>
                </w:p>
              </w:tc>
              <w:tc>
                <w:tcPr>
                  <w:tcW w:w="542" w:type="pct"/>
                  <w:vMerge w:val="continue"/>
                  <w:vAlign w:val="center"/>
                </w:tcPr>
                <w:p w14:paraId="5E870454">
                  <w:pPr>
                    <w:widowControl/>
                    <w:jc w:val="left"/>
                    <w:rPr>
                      <w:rFonts w:hint="default" w:ascii="Times New Roman" w:hAnsi="Times New Roman" w:cs="Times New Roman"/>
                      <w:color w:val="000000"/>
                      <w:spacing w:val="0"/>
                      <w:kern w:val="0"/>
                      <w:sz w:val="21"/>
                      <w:szCs w:val="21"/>
                      <w:lang w:bidi="ar"/>
                    </w:rPr>
                  </w:pPr>
                </w:p>
              </w:tc>
            </w:tr>
          </w:tbl>
          <w:p w14:paraId="006236C8">
            <w:pPr>
              <w:spacing w:line="360" w:lineRule="auto"/>
              <w:ind w:firstLine="422" w:firstLineChars="200"/>
              <w:rPr>
                <w:rFonts w:hint="default" w:ascii="Times New Roman" w:hAnsi="Times New Roman" w:cs="Times New Roman"/>
                <w:b/>
                <w:spacing w:val="0"/>
                <w:sz w:val="21"/>
                <w:szCs w:val="21"/>
              </w:rPr>
            </w:pPr>
            <w:r>
              <w:rPr>
                <w:rFonts w:hint="default" w:ascii="Times New Roman" w:hAnsi="Times New Roman" w:cs="Times New Roman"/>
                <w:b/>
                <w:spacing w:val="0"/>
                <w:sz w:val="21"/>
                <w:szCs w:val="21"/>
                <w:lang w:val="en-US" w:eastAsia="zh-CN"/>
              </w:rPr>
              <w:t>4</w:t>
            </w:r>
            <w:r>
              <w:rPr>
                <w:rFonts w:hint="default" w:ascii="Times New Roman" w:hAnsi="Times New Roman" w:cs="Times New Roman"/>
                <w:b/>
                <w:spacing w:val="0"/>
                <w:sz w:val="21"/>
                <w:szCs w:val="21"/>
              </w:rPr>
              <w:t>、与《关于以改善环境质量为核心加强环境影响评价管理的通知》环环评[2016]150号文的符合性分析</w:t>
            </w:r>
          </w:p>
          <w:p w14:paraId="0A44E6AC">
            <w:pPr>
              <w:jc w:val="center"/>
              <w:rPr>
                <w:rFonts w:hint="default" w:ascii="Times New Roman" w:hAnsi="Times New Roman" w:cs="Times New Roman"/>
                <w:b/>
                <w:spacing w:val="0"/>
                <w:sz w:val="21"/>
                <w:szCs w:val="21"/>
              </w:rPr>
            </w:pPr>
            <w:r>
              <w:rPr>
                <w:rFonts w:hint="default" w:ascii="Times New Roman" w:hAnsi="Times New Roman" w:cs="Times New Roman"/>
                <w:b/>
                <w:spacing w:val="0"/>
                <w:sz w:val="21"/>
                <w:szCs w:val="21"/>
              </w:rPr>
              <w:t>表1-</w:t>
            </w:r>
            <w:r>
              <w:rPr>
                <w:rFonts w:hint="default" w:ascii="Times New Roman" w:hAnsi="Times New Roman" w:cs="Times New Roman"/>
                <w:b/>
                <w:spacing w:val="0"/>
                <w:sz w:val="21"/>
                <w:szCs w:val="21"/>
                <w:lang w:val="en-US" w:eastAsia="zh-CN"/>
              </w:rPr>
              <w:t>3</w:t>
            </w:r>
            <w:r>
              <w:rPr>
                <w:rFonts w:hint="default" w:ascii="Times New Roman" w:hAnsi="Times New Roman" w:cs="Times New Roman"/>
                <w:b/>
                <w:spacing w:val="0"/>
                <w:sz w:val="21"/>
                <w:szCs w:val="21"/>
              </w:rPr>
              <w:t xml:space="preserve">  项目与</w:t>
            </w:r>
            <w:r>
              <w:rPr>
                <w:rFonts w:hint="default" w:ascii="Times New Roman" w:hAnsi="Times New Roman" w:cs="Times New Roman"/>
                <w:b/>
                <w:bCs/>
                <w:spacing w:val="0"/>
                <w:sz w:val="21"/>
                <w:szCs w:val="21"/>
              </w:rPr>
              <w:t>环环评[2016]150号</w:t>
            </w:r>
            <w:r>
              <w:rPr>
                <w:rFonts w:hint="default" w:ascii="Times New Roman" w:hAnsi="Times New Roman" w:cs="Times New Roman"/>
                <w:b/>
                <w:spacing w:val="0"/>
                <w:sz w:val="21"/>
                <w:szCs w:val="21"/>
              </w:rPr>
              <w:t>文件符合性分析一览表</w:t>
            </w:r>
          </w:p>
          <w:tbl>
            <w:tblPr>
              <w:tblStyle w:val="35"/>
              <w:tblW w:w="498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42"/>
              <w:gridCol w:w="5052"/>
              <w:gridCol w:w="1784"/>
            </w:tblGrid>
            <w:tr w14:paraId="584D2D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tcBorders>
                    <w:tl2br w:val="nil"/>
                    <w:tr2bl w:val="nil"/>
                  </w:tcBorders>
                  <w:vAlign w:val="center"/>
                </w:tcPr>
                <w:p w14:paraId="77EE5E42">
                  <w:pPr>
                    <w:adjustRightInd w:val="0"/>
                    <w:snapToGrid w:val="0"/>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分类</w:t>
                  </w:r>
                </w:p>
              </w:tc>
              <w:tc>
                <w:tcPr>
                  <w:tcW w:w="3206" w:type="pct"/>
                  <w:tcBorders>
                    <w:tl2br w:val="nil"/>
                    <w:tr2bl w:val="nil"/>
                  </w:tcBorders>
                  <w:vAlign w:val="center"/>
                </w:tcPr>
                <w:p w14:paraId="681EA99D">
                  <w:pPr>
                    <w:adjustRightInd w:val="0"/>
                    <w:snapToGrid w:val="0"/>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具体要求</w:t>
                  </w:r>
                </w:p>
              </w:tc>
              <w:tc>
                <w:tcPr>
                  <w:tcW w:w="1131" w:type="pct"/>
                  <w:tcBorders>
                    <w:tl2br w:val="nil"/>
                    <w:tr2bl w:val="nil"/>
                  </w:tcBorders>
                  <w:vAlign w:val="center"/>
                </w:tcPr>
                <w:p w14:paraId="723026F2">
                  <w:pPr>
                    <w:adjustRightInd w:val="0"/>
                    <w:snapToGrid w:val="0"/>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本工程情况</w:t>
                  </w:r>
                </w:p>
              </w:tc>
            </w:tr>
            <w:tr w14:paraId="36B6CF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vMerge w:val="restart"/>
                  <w:tcBorders>
                    <w:tl2br w:val="nil"/>
                    <w:tr2bl w:val="nil"/>
                  </w:tcBorders>
                  <w:vAlign w:val="center"/>
                </w:tcPr>
                <w:p w14:paraId="3A05F6FB">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bCs/>
                      <w:spacing w:val="0"/>
                      <w:sz w:val="21"/>
                      <w:szCs w:val="21"/>
                    </w:rPr>
                    <w:t>一、强化“三线一单”约束作用</w:t>
                  </w:r>
                </w:p>
              </w:tc>
              <w:tc>
                <w:tcPr>
                  <w:tcW w:w="3206" w:type="pct"/>
                  <w:tcBorders>
                    <w:tl2br w:val="nil"/>
                    <w:tr2bl w:val="nil"/>
                  </w:tcBorders>
                  <w:vAlign w:val="center"/>
                </w:tcPr>
                <w:p w14:paraId="2AABAC34">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一）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w:t>
                  </w:r>
                  <w:r>
                    <w:rPr>
                      <w:rFonts w:hint="default" w:ascii="Times New Roman" w:hAnsi="Times New Roman" w:cs="Times New Roman"/>
                      <w:bCs/>
                      <w:spacing w:val="0"/>
                      <w:sz w:val="21"/>
                      <w:szCs w:val="21"/>
                    </w:rPr>
                    <w:t>在生态保护红线范围内，严控各类开发建设活动，依法不予审批新建工业项目和矿产开发项目的环评文件。</w:t>
                  </w:r>
                </w:p>
              </w:tc>
              <w:tc>
                <w:tcPr>
                  <w:tcW w:w="1131" w:type="pct"/>
                  <w:tcBorders>
                    <w:tl2br w:val="nil"/>
                    <w:tr2bl w:val="nil"/>
                  </w:tcBorders>
                  <w:vAlign w:val="center"/>
                </w:tcPr>
                <w:p w14:paraId="6E5B259B">
                  <w:pPr>
                    <w:widowControl/>
                    <w:jc w:val="left"/>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本</w:t>
                  </w:r>
                  <w:r>
                    <w:rPr>
                      <w:rFonts w:hint="default" w:ascii="Times New Roman" w:hAnsi="Times New Roman" w:cs="Times New Roman"/>
                      <w:spacing w:val="0"/>
                      <w:sz w:val="21"/>
                      <w:szCs w:val="21"/>
                    </w:rPr>
                    <w:t>项目位于</w:t>
                  </w:r>
                  <w:r>
                    <w:rPr>
                      <w:rFonts w:hint="eastAsia" w:cs="Times New Roman"/>
                      <w:spacing w:val="0"/>
                      <w:sz w:val="21"/>
                      <w:szCs w:val="21"/>
                      <w:lang w:eastAsia="zh-CN"/>
                    </w:rPr>
                    <w:t>山东省淄博市文昌湖区萌水镇龙口村村委北150米</w:t>
                  </w:r>
                  <w:r>
                    <w:rPr>
                      <w:rFonts w:hint="default" w:ascii="Times New Roman" w:hAnsi="Times New Roman" w:cs="Times New Roman"/>
                      <w:spacing w:val="0"/>
                      <w:sz w:val="21"/>
                      <w:szCs w:val="21"/>
                    </w:rPr>
                    <w:t>，不在生态保护红线范围内，符合要求</w:t>
                  </w:r>
                  <w:r>
                    <w:rPr>
                      <w:rFonts w:hint="default" w:ascii="Times New Roman" w:hAnsi="Times New Roman" w:cs="Times New Roman"/>
                      <w:spacing w:val="0"/>
                      <w:kern w:val="0"/>
                      <w:sz w:val="21"/>
                      <w:szCs w:val="21"/>
                      <w:lang w:bidi="ar"/>
                    </w:rPr>
                    <w:t>。</w:t>
                  </w:r>
                </w:p>
              </w:tc>
            </w:tr>
            <w:tr w14:paraId="13A6CC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vMerge w:val="continue"/>
                  <w:tcBorders>
                    <w:tl2br w:val="nil"/>
                    <w:tr2bl w:val="nil"/>
                  </w:tcBorders>
                  <w:vAlign w:val="center"/>
                </w:tcPr>
                <w:p w14:paraId="2CCE42C9">
                  <w:pPr>
                    <w:adjustRightInd w:val="0"/>
                    <w:snapToGrid w:val="0"/>
                    <w:rPr>
                      <w:rFonts w:hint="default" w:ascii="Times New Roman" w:hAnsi="Times New Roman" w:cs="Times New Roman"/>
                      <w:spacing w:val="0"/>
                      <w:sz w:val="21"/>
                      <w:szCs w:val="21"/>
                    </w:rPr>
                  </w:pPr>
                </w:p>
              </w:tc>
              <w:tc>
                <w:tcPr>
                  <w:tcW w:w="3206" w:type="pct"/>
                  <w:tcBorders>
                    <w:tl2br w:val="nil"/>
                    <w:tr2bl w:val="nil"/>
                  </w:tcBorders>
                  <w:vAlign w:val="center"/>
                </w:tcPr>
                <w:p w14:paraId="359613CD">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二）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w:t>
                  </w:r>
                  <w:r>
                    <w:rPr>
                      <w:rFonts w:hint="default" w:ascii="Times New Roman" w:hAnsi="Times New Roman" w:cs="Times New Roman"/>
                      <w:bCs/>
                      <w:spacing w:val="0"/>
                      <w:sz w:val="21"/>
                      <w:szCs w:val="21"/>
                    </w:rPr>
                    <w:t>环评应对照区域环境质量目标，深入分析预测项目建设对环境质量的影响，强化污染防治措施和污染物排放控制要求。</w:t>
                  </w:r>
                </w:p>
              </w:tc>
              <w:tc>
                <w:tcPr>
                  <w:tcW w:w="1131" w:type="pct"/>
                  <w:tcBorders>
                    <w:tl2br w:val="nil"/>
                    <w:tr2bl w:val="nil"/>
                  </w:tcBorders>
                  <w:vAlign w:val="center"/>
                </w:tcPr>
                <w:p w14:paraId="7EB6B9BB">
                  <w:pPr>
                    <w:widowControl/>
                    <w:jc w:val="left"/>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本项目实施后，在环评报告中提出了切实可行的污染防治措施和污染物排放控制要求；符合要求。</w:t>
                  </w:r>
                </w:p>
              </w:tc>
            </w:tr>
            <w:tr w14:paraId="33E1F2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vMerge w:val="continue"/>
                  <w:tcBorders>
                    <w:tl2br w:val="nil"/>
                    <w:tr2bl w:val="nil"/>
                  </w:tcBorders>
                  <w:vAlign w:val="center"/>
                </w:tcPr>
                <w:p w14:paraId="5A783E6B">
                  <w:pPr>
                    <w:adjustRightInd w:val="0"/>
                    <w:snapToGrid w:val="0"/>
                    <w:rPr>
                      <w:rFonts w:hint="default" w:ascii="Times New Roman" w:hAnsi="Times New Roman" w:cs="Times New Roman"/>
                      <w:spacing w:val="0"/>
                      <w:sz w:val="21"/>
                      <w:szCs w:val="21"/>
                    </w:rPr>
                  </w:pPr>
                </w:p>
              </w:tc>
              <w:tc>
                <w:tcPr>
                  <w:tcW w:w="3206" w:type="pct"/>
                  <w:tcBorders>
                    <w:tl2br w:val="nil"/>
                    <w:tr2bl w:val="nil"/>
                  </w:tcBorders>
                  <w:vAlign w:val="center"/>
                </w:tcPr>
                <w:p w14:paraId="623195F9">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三）资源是环境的载体，资源利用上限是各地区能源、水、土地等资源消耗不得突破的“天花板”。相关规划环评应依据有关资源利用上限，对规划实施以及规划内项目的资源开发利用，区分不同行业，从能源资源开发等量或减量替代、开采方式和规模控制、利用效率和保护措施等方面提出建议，为规划编制和审批决策提供重要依据。</w:t>
                  </w:r>
                </w:p>
              </w:tc>
              <w:tc>
                <w:tcPr>
                  <w:tcW w:w="1131" w:type="pct"/>
                  <w:tcBorders>
                    <w:tl2br w:val="nil"/>
                    <w:tr2bl w:val="nil"/>
                  </w:tcBorders>
                  <w:vAlign w:val="center"/>
                </w:tcPr>
                <w:p w14:paraId="29E783CC">
                  <w:pPr>
                    <w:widowControl/>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本项目不属于高耗能、高耗水项目；符合要求。</w:t>
                  </w:r>
                </w:p>
                <w:p w14:paraId="7DAD7A2A">
                  <w:pPr>
                    <w:adjustRightInd w:val="0"/>
                    <w:snapToGrid w:val="0"/>
                    <w:rPr>
                      <w:rFonts w:hint="default" w:ascii="Times New Roman" w:hAnsi="Times New Roman" w:cs="Times New Roman"/>
                      <w:spacing w:val="0"/>
                      <w:sz w:val="21"/>
                      <w:szCs w:val="21"/>
                    </w:rPr>
                  </w:pPr>
                </w:p>
              </w:tc>
            </w:tr>
            <w:tr w14:paraId="4F9CEC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tcBorders>
                    <w:tl2br w:val="nil"/>
                    <w:tr2bl w:val="nil"/>
                  </w:tcBorders>
                  <w:vAlign w:val="center"/>
                </w:tcPr>
                <w:p w14:paraId="365466D3">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bCs/>
                      <w:spacing w:val="0"/>
                      <w:sz w:val="21"/>
                      <w:szCs w:val="21"/>
                    </w:rPr>
                    <w:t>三、多措并举清理和查处环保违法违规项目</w:t>
                  </w:r>
                </w:p>
              </w:tc>
              <w:tc>
                <w:tcPr>
                  <w:tcW w:w="3206" w:type="pct"/>
                  <w:tcBorders>
                    <w:tl2br w:val="nil"/>
                    <w:tr2bl w:val="nil"/>
                  </w:tcBorders>
                  <w:vAlign w:val="center"/>
                </w:tcPr>
                <w:p w14:paraId="1C003874">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（八）各省级环保部门要落实“</w:t>
                  </w:r>
                  <w:r>
                    <w:rPr>
                      <w:rFonts w:hint="default" w:ascii="Times New Roman" w:hAnsi="Times New Roman" w:cs="Times New Roman"/>
                      <w:bCs/>
                      <w:spacing w:val="0"/>
                      <w:sz w:val="21"/>
                      <w:szCs w:val="21"/>
                    </w:rPr>
                    <w:t>三个一批</w:t>
                  </w:r>
                  <w:r>
                    <w:rPr>
                      <w:rFonts w:hint="default" w:ascii="Times New Roman" w:hAnsi="Times New Roman" w:cs="Times New Roman"/>
                      <w:spacing w:val="0"/>
                      <w:sz w:val="21"/>
                      <w:szCs w:val="21"/>
                    </w:rPr>
                    <w:t>”（淘汰关闭一批、整顿规范一批、完善备案一批）的要求，加大“未批先建”项目清理工作的力度。要定期开展督查检查，确保2016年12月31日前全部完成清理工作。从2017年1月1日起，对“未批先建”项目，要严格依法予以处罚。对“久拖不验”的项目，要研究制定措施予以解决，对造成严重环境污染或生态破坏的项目，要依法予以查处；对拒不执行的要依法实施“按日计罚”。</w:t>
                  </w:r>
                </w:p>
              </w:tc>
              <w:tc>
                <w:tcPr>
                  <w:tcW w:w="1131" w:type="pct"/>
                  <w:tcBorders>
                    <w:tl2br w:val="nil"/>
                    <w:tr2bl w:val="nil"/>
                  </w:tcBorders>
                  <w:vAlign w:val="center"/>
                </w:tcPr>
                <w:p w14:paraId="789E4851">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本项目不属于“未批先建”项目和“久拖不验”的项目。</w:t>
                  </w:r>
                </w:p>
              </w:tc>
            </w:tr>
            <w:tr w14:paraId="427880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61" w:type="pct"/>
                  <w:tcBorders>
                    <w:tl2br w:val="nil"/>
                    <w:tr2bl w:val="nil"/>
                  </w:tcBorders>
                  <w:vAlign w:val="center"/>
                </w:tcPr>
                <w:p w14:paraId="552D2143">
                  <w:pPr>
                    <w:adjustRightInd w:val="0"/>
                    <w:snapToGrid w:val="0"/>
                    <w:jc w:val="center"/>
                    <w:rPr>
                      <w:rFonts w:hint="default" w:ascii="Times New Roman" w:hAnsi="Times New Roman" w:cs="Times New Roman"/>
                      <w:spacing w:val="0"/>
                      <w:sz w:val="21"/>
                      <w:szCs w:val="21"/>
                    </w:rPr>
                  </w:pPr>
                  <w:r>
                    <w:rPr>
                      <w:rFonts w:hint="default" w:ascii="Times New Roman" w:hAnsi="Times New Roman" w:cs="Times New Roman"/>
                      <w:bCs/>
                      <w:spacing w:val="0"/>
                      <w:sz w:val="21"/>
                      <w:szCs w:val="21"/>
                    </w:rPr>
                    <w:t>四、“三管齐下”切实维护群众的环境权益</w:t>
                  </w:r>
                </w:p>
              </w:tc>
              <w:tc>
                <w:tcPr>
                  <w:tcW w:w="3206" w:type="pct"/>
                  <w:tcBorders>
                    <w:tl2br w:val="nil"/>
                    <w:tr2bl w:val="nil"/>
                  </w:tcBorders>
                  <w:vAlign w:val="center"/>
                </w:tcPr>
                <w:p w14:paraId="70AD3A1A">
                  <w:pPr>
                    <w:adjustRightInd w:val="0"/>
                    <w:snapToGrid w:val="0"/>
                    <w:rPr>
                      <w:rFonts w:hint="default" w:ascii="Times New Roman" w:hAnsi="Times New Roman" w:cs="Times New Roman"/>
                      <w:spacing w:val="0"/>
                      <w:sz w:val="21"/>
                      <w:szCs w:val="21"/>
                    </w:rPr>
                  </w:pPr>
                  <w:r>
                    <w:rPr>
                      <w:rFonts w:hint="default" w:ascii="Times New Roman" w:hAnsi="Times New Roman" w:cs="Times New Roman"/>
                      <w:spacing w:val="0"/>
                      <w:sz w:val="21"/>
                      <w:szCs w:val="21"/>
                    </w:rPr>
                    <w:t>（九）严格建设项目全过程管理。加强对在建和已建重点项目的事中事后监管，严格依法查处和纠正建设项目违法违规行为，督促建设单位认真执行环保“三同时”制度。对建设项目环境保护监督管理信息和处罚信息要及时公开，强化对环保严重失信企业的惩戒机制，建立健全建设单位环保诚信档案和黑名单制度。</w:t>
                  </w:r>
                </w:p>
              </w:tc>
              <w:tc>
                <w:tcPr>
                  <w:tcW w:w="1131" w:type="pct"/>
                  <w:tcBorders>
                    <w:tl2br w:val="nil"/>
                    <w:tr2bl w:val="nil"/>
                  </w:tcBorders>
                  <w:vAlign w:val="center"/>
                </w:tcPr>
                <w:p w14:paraId="429C0B32">
                  <w:pPr>
                    <w:widowControl/>
                    <w:jc w:val="left"/>
                    <w:rPr>
                      <w:rFonts w:hint="default" w:ascii="Times New Roman" w:hAnsi="Times New Roman" w:cs="Times New Roman"/>
                      <w:spacing w:val="0"/>
                      <w:sz w:val="21"/>
                      <w:szCs w:val="21"/>
                    </w:rPr>
                  </w:pPr>
                  <w:r>
                    <w:rPr>
                      <w:rFonts w:hint="default" w:ascii="Times New Roman" w:hAnsi="Times New Roman" w:cs="Times New Roman"/>
                      <w:spacing w:val="0"/>
                      <w:kern w:val="0"/>
                      <w:sz w:val="21"/>
                      <w:szCs w:val="21"/>
                      <w:lang w:bidi="ar"/>
                    </w:rPr>
                    <w:t>本项目不存在此类违法违规行为，符合要求。</w:t>
                  </w:r>
                </w:p>
                <w:p w14:paraId="7019A422">
                  <w:pPr>
                    <w:adjustRightInd w:val="0"/>
                    <w:snapToGrid w:val="0"/>
                    <w:jc w:val="center"/>
                    <w:rPr>
                      <w:rFonts w:hint="default" w:ascii="Times New Roman" w:hAnsi="Times New Roman" w:cs="Times New Roman"/>
                      <w:spacing w:val="0"/>
                      <w:sz w:val="21"/>
                      <w:szCs w:val="21"/>
                    </w:rPr>
                  </w:pPr>
                </w:p>
              </w:tc>
            </w:tr>
          </w:tbl>
          <w:p w14:paraId="13BD8314">
            <w:pPr>
              <w:spacing w:line="360" w:lineRule="auto"/>
              <w:ind w:firstLine="420" w:firstLineChars="200"/>
              <w:rPr>
                <w:rFonts w:hint="default" w:ascii="Times New Roman" w:hAnsi="Times New Roman" w:cs="Times New Roman"/>
                <w:bCs/>
                <w:snapToGrid w:val="0"/>
                <w:spacing w:val="0"/>
                <w:kern w:val="0"/>
                <w:sz w:val="21"/>
                <w:szCs w:val="21"/>
              </w:rPr>
            </w:pPr>
            <w:r>
              <w:rPr>
                <w:rFonts w:hint="default" w:ascii="Times New Roman" w:hAnsi="Times New Roman" w:cs="Times New Roman"/>
                <w:bCs/>
                <w:snapToGrid w:val="0"/>
                <w:spacing w:val="0"/>
                <w:kern w:val="0"/>
                <w:sz w:val="21"/>
                <w:szCs w:val="21"/>
              </w:rPr>
              <w:t>本项目的建设可满足环境保护部</w:t>
            </w:r>
            <w:r>
              <w:rPr>
                <w:rFonts w:hint="default" w:ascii="Times New Roman" w:hAnsi="Times New Roman" w:cs="Times New Roman"/>
                <w:snapToGrid w:val="0"/>
                <w:spacing w:val="0"/>
                <w:kern w:val="0"/>
                <w:sz w:val="21"/>
                <w:szCs w:val="21"/>
              </w:rPr>
              <w:t>《关于以改善环境质量为核心加强环境影响评价管理的通知》（环环评[2016]150号）</w:t>
            </w:r>
            <w:r>
              <w:rPr>
                <w:rFonts w:hint="default" w:ascii="Times New Roman" w:hAnsi="Times New Roman" w:cs="Times New Roman"/>
                <w:bCs/>
                <w:snapToGrid w:val="0"/>
                <w:spacing w:val="0"/>
                <w:kern w:val="0"/>
                <w:sz w:val="21"/>
                <w:szCs w:val="21"/>
              </w:rPr>
              <w:t>关于建设项目审批原则的设计条件的要求。</w:t>
            </w:r>
          </w:p>
          <w:p w14:paraId="607D6048">
            <w:pPr>
              <w:spacing w:line="360" w:lineRule="auto"/>
              <w:ind w:firstLine="422" w:firstLineChars="200"/>
              <w:rPr>
                <w:rFonts w:hint="default" w:ascii="Times New Roman" w:hAnsi="Times New Roman" w:cs="Times New Roman"/>
                <w:b/>
                <w:spacing w:val="0"/>
                <w:sz w:val="21"/>
                <w:szCs w:val="21"/>
              </w:rPr>
            </w:pPr>
            <w:r>
              <w:rPr>
                <w:rFonts w:hint="default" w:ascii="Times New Roman" w:hAnsi="Times New Roman" w:cs="Times New Roman"/>
                <w:b/>
                <w:spacing w:val="0"/>
                <w:sz w:val="21"/>
                <w:szCs w:val="21"/>
                <w:lang w:val="en-US" w:eastAsia="zh-CN"/>
              </w:rPr>
              <w:t>5</w:t>
            </w:r>
            <w:r>
              <w:rPr>
                <w:rFonts w:hint="default" w:ascii="Times New Roman" w:hAnsi="Times New Roman" w:cs="Times New Roman"/>
                <w:b/>
                <w:spacing w:val="0"/>
                <w:sz w:val="21"/>
                <w:szCs w:val="21"/>
              </w:rPr>
              <w:t>、项目与《山东省环境保护条例》符合性分析</w:t>
            </w:r>
          </w:p>
          <w:p w14:paraId="7EA6A8F0">
            <w:pPr>
              <w:jc w:val="center"/>
              <w:rPr>
                <w:rFonts w:hint="default" w:ascii="Times New Roman" w:hAnsi="Times New Roman" w:cs="Times New Roman"/>
                <w:b/>
                <w:spacing w:val="0"/>
                <w:sz w:val="21"/>
                <w:szCs w:val="21"/>
              </w:rPr>
            </w:pPr>
            <w:r>
              <w:rPr>
                <w:rFonts w:hint="default" w:ascii="Times New Roman" w:hAnsi="Times New Roman" w:cs="Times New Roman"/>
                <w:b/>
                <w:spacing w:val="0"/>
                <w:sz w:val="21"/>
                <w:szCs w:val="21"/>
              </w:rPr>
              <w:t>表1-</w:t>
            </w:r>
            <w:r>
              <w:rPr>
                <w:rFonts w:hint="default" w:ascii="Times New Roman" w:hAnsi="Times New Roman" w:cs="Times New Roman"/>
                <w:b/>
                <w:spacing w:val="0"/>
                <w:sz w:val="21"/>
                <w:szCs w:val="21"/>
                <w:lang w:val="en-US" w:eastAsia="zh-CN"/>
              </w:rPr>
              <w:t>4</w:t>
            </w:r>
            <w:r>
              <w:rPr>
                <w:rFonts w:hint="default" w:ascii="Times New Roman" w:hAnsi="Times New Roman" w:cs="Times New Roman"/>
                <w:b/>
                <w:spacing w:val="0"/>
                <w:sz w:val="21"/>
                <w:szCs w:val="21"/>
              </w:rPr>
              <w:t xml:space="preserve"> 与《山东省环境保护条例》符合性分析一览表</w:t>
            </w:r>
          </w:p>
          <w:tbl>
            <w:tblPr>
              <w:tblStyle w:val="35"/>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1" w:type="dxa"/>
                <w:bottom w:w="0" w:type="dxa"/>
                <w:right w:w="51" w:type="dxa"/>
              </w:tblCellMar>
            </w:tblPr>
            <w:tblGrid>
              <w:gridCol w:w="5859"/>
              <w:gridCol w:w="1179"/>
              <w:gridCol w:w="868"/>
            </w:tblGrid>
            <w:tr w14:paraId="18C55E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3704" w:type="pct"/>
                  <w:tcBorders>
                    <w:tl2br w:val="nil"/>
                    <w:tr2bl w:val="nil"/>
                  </w:tcBorders>
                  <w:vAlign w:val="center"/>
                </w:tcPr>
                <w:p w14:paraId="4450A655">
                  <w:pPr>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相关要求</w:t>
                  </w:r>
                </w:p>
              </w:tc>
              <w:tc>
                <w:tcPr>
                  <w:tcW w:w="746" w:type="pct"/>
                  <w:tcBorders>
                    <w:tl2br w:val="nil"/>
                    <w:tr2bl w:val="nil"/>
                  </w:tcBorders>
                  <w:vAlign w:val="center"/>
                </w:tcPr>
                <w:p w14:paraId="4FC53D4F">
                  <w:pPr>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建设内容</w:t>
                  </w:r>
                </w:p>
              </w:tc>
              <w:tc>
                <w:tcPr>
                  <w:tcW w:w="549" w:type="pct"/>
                  <w:tcBorders>
                    <w:tl2br w:val="nil"/>
                    <w:tr2bl w:val="nil"/>
                  </w:tcBorders>
                  <w:vAlign w:val="center"/>
                </w:tcPr>
                <w:p w14:paraId="4F844309">
                  <w:pPr>
                    <w:jc w:val="center"/>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符合性</w:t>
                  </w:r>
                </w:p>
              </w:tc>
            </w:tr>
            <w:tr w14:paraId="63ACDA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729" w:hRule="atLeast"/>
                <w:jc w:val="center"/>
              </w:trPr>
              <w:tc>
                <w:tcPr>
                  <w:tcW w:w="3704" w:type="pct"/>
                  <w:tcBorders>
                    <w:tl2br w:val="nil"/>
                    <w:tr2bl w:val="nil"/>
                  </w:tcBorders>
                  <w:vAlign w:val="center"/>
                </w:tcPr>
                <w:p w14:paraId="389C0BD3">
                  <w:pPr>
                    <w:rPr>
                      <w:rFonts w:hint="default" w:ascii="Times New Roman" w:hAnsi="Times New Roman" w:cs="Times New Roman"/>
                      <w:spacing w:val="0"/>
                      <w:sz w:val="21"/>
                      <w:szCs w:val="21"/>
                    </w:rPr>
                  </w:pPr>
                  <w:r>
                    <w:rPr>
                      <w:rFonts w:hint="default" w:ascii="Times New Roman" w:hAnsi="Times New Roman" w:cs="Times New Roman"/>
                      <w:spacing w:val="0"/>
                      <w:sz w:val="21"/>
                      <w:szCs w:val="21"/>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746" w:type="pct"/>
                  <w:tcBorders>
                    <w:tl2br w:val="nil"/>
                    <w:tr2bl w:val="nil"/>
                  </w:tcBorders>
                  <w:vAlign w:val="center"/>
                </w:tcPr>
                <w:p w14:paraId="26C8CE9D">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项目采取了相应的污染防治措施，各污染物达标排放</w:t>
                  </w:r>
                </w:p>
              </w:tc>
              <w:tc>
                <w:tcPr>
                  <w:tcW w:w="549" w:type="pct"/>
                  <w:tcBorders>
                    <w:tl2br w:val="nil"/>
                    <w:tr2bl w:val="nil"/>
                  </w:tcBorders>
                  <w:vAlign w:val="center"/>
                </w:tcPr>
                <w:p w14:paraId="258D190B">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符合</w:t>
                  </w:r>
                </w:p>
              </w:tc>
            </w:tr>
            <w:tr w14:paraId="6403F9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778" w:hRule="atLeast"/>
                <w:jc w:val="center"/>
              </w:trPr>
              <w:tc>
                <w:tcPr>
                  <w:tcW w:w="3704" w:type="pct"/>
                  <w:tcBorders>
                    <w:tl2br w:val="nil"/>
                    <w:tr2bl w:val="nil"/>
                  </w:tcBorders>
                  <w:vAlign w:val="center"/>
                </w:tcPr>
                <w:p w14:paraId="2B2D631C">
                  <w:pPr>
                    <w:rPr>
                      <w:rFonts w:hint="default" w:ascii="Times New Roman" w:hAnsi="Times New Roman" w:eastAsia="宋体" w:cs="Times New Roman"/>
                      <w:spacing w:val="0"/>
                      <w:sz w:val="21"/>
                      <w:szCs w:val="21"/>
                      <w:lang w:eastAsia="zh-CN"/>
                    </w:rPr>
                  </w:pPr>
                  <w:r>
                    <w:rPr>
                      <w:rFonts w:hint="default" w:ascii="Times New Roman" w:hAnsi="Times New Roman" w:cs="Times New Roman"/>
                      <w:spacing w:val="0"/>
                      <w:sz w:val="21"/>
                      <w:szCs w:val="21"/>
                    </w:rPr>
                    <w:t>新建、改建、技改建设项目，应当根据环境影响评价文件以及生态环境主管部门审批决定的要求建设环境保护设施、落实环境保护措施。环境保护设施应当与主体工程同时设计、同时施工、同时投产使用。</w:t>
                  </w:r>
                </w:p>
              </w:tc>
              <w:tc>
                <w:tcPr>
                  <w:tcW w:w="746" w:type="pct"/>
                  <w:tcBorders>
                    <w:tl2br w:val="nil"/>
                    <w:tr2bl w:val="nil"/>
                  </w:tcBorders>
                  <w:vAlign w:val="center"/>
                </w:tcPr>
                <w:p w14:paraId="2B4833B1">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项目环保设施遵循三同时要求</w:t>
                  </w:r>
                </w:p>
              </w:tc>
              <w:tc>
                <w:tcPr>
                  <w:tcW w:w="549" w:type="pct"/>
                  <w:tcBorders>
                    <w:tl2br w:val="nil"/>
                    <w:tr2bl w:val="nil"/>
                  </w:tcBorders>
                  <w:vAlign w:val="center"/>
                </w:tcPr>
                <w:p w14:paraId="096AEBF2">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符合</w:t>
                  </w:r>
                </w:p>
              </w:tc>
            </w:tr>
            <w:tr w14:paraId="0A0F57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3704" w:type="pct"/>
                  <w:tcBorders>
                    <w:tl2br w:val="nil"/>
                    <w:tr2bl w:val="nil"/>
                  </w:tcBorders>
                  <w:vAlign w:val="center"/>
                </w:tcPr>
                <w:p w14:paraId="52A582BD">
                  <w:pPr>
                    <w:rPr>
                      <w:rFonts w:hint="default" w:ascii="Times New Roman" w:hAnsi="Times New Roman" w:eastAsia="宋体" w:cs="Times New Roman"/>
                      <w:spacing w:val="0"/>
                      <w:sz w:val="21"/>
                      <w:szCs w:val="21"/>
                      <w:lang w:eastAsia="zh-CN"/>
                    </w:rPr>
                  </w:pPr>
                  <w:r>
                    <w:rPr>
                      <w:rFonts w:hint="default" w:ascii="Times New Roman" w:hAnsi="Times New Roman" w:cs="Times New Roman"/>
                      <w:spacing w:val="0"/>
                      <w:sz w:val="21"/>
                      <w:szCs w:val="21"/>
                    </w:rPr>
                    <w:t>排污单位应当按照环境保护设施的设计要求和排污许可证规定的排放要求，制定完善环境保护管理制度和操作规程，并保障环境保护设施正常运行。排污单位应当根据生产经营和污染防治的需要，建设应急环境保护设施。鼓励排污单位建设污染防治备用设施，在必要时投入使用。</w:t>
                  </w:r>
                </w:p>
              </w:tc>
              <w:tc>
                <w:tcPr>
                  <w:tcW w:w="746" w:type="pct"/>
                  <w:tcBorders>
                    <w:tl2br w:val="nil"/>
                    <w:tr2bl w:val="nil"/>
                  </w:tcBorders>
                  <w:vAlign w:val="center"/>
                </w:tcPr>
                <w:p w14:paraId="79DE1829">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项目制定了环保管理制度，保证环保设施正常运行</w:t>
                  </w:r>
                </w:p>
              </w:tc>
              <w:tc>
                <w:tcPr>
                  <w:tcW w:w="549" w:type="pct"/>
                  <w:tcBorders>
                    <w:tl2br w:val="nil"/>
                    <w:tr2bl w:val="nil"/>
                  </w:tcBorders>
                  <w:vAlign w:val="center"/>
                </w:tcPr>
                <w:p w14:paraId="072F9B2C">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符合</w:t>
                  </w:r>
                </w:p>
              </w:tc>
            </w:tr>
            <w:tr w14:paraId="485115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3704" w:type="pct"/>
                  <w:tcBorders>
                    <w:tl2br w:val="nil"/>
                    <w:tr2bl w:val="nil"/>
                  </w:tcBorders>
                  <w:vAlign w:val="center"/>
                </w:tcPr>
                <w:p w14:paraId="1AD8A0E2">
                  <w:pPr>
                    <w:rPr>
                      <w:rFonts w:hint="default" w:ascii="Times New Roman" w:hAnsi="Times New Roman" w:eastAsia="宋体" w:cs="Times New Roman"/>
                      <w:spacing w:val="0"/>
                      <w:sz w:val="21"/>
                      <w:szCs w:val="21"/>
                      <w:lang w:eastAsia="zh-CN"/>
                    </w:rPr>
                  </w:pPr>
                  <w:r>
                    <w:rPr>
                      <w:rFonts w:hint="default" w:ascii="Times New Roman" w:hAnsi="Times New Roman" w:cs="Times New Roman"/>
                      <w:spacing w:val="0"/>
                      <w:sz w:val="21"/>
                      <w:szCs w:val="21"/>
                    </w:rPr>
                    <w:t>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对未实行自动监测的污染物，排污单位应当按照国家和省的规定进行人工监测，并保存原始监测记录。自动监测数据以及生态环境主管部门委托的具有相应资质的环境监测机构的监测数据，可以作为环境执法和管理的依据。</w:t>
                  </w:r>
                </w:p>
              </w:tc>
              <w:tc>
                <w:tcPr>
                  <w:tcW w:w="746" w:type="pct"/>
                  <w:tcBorders>
                    <w:tl2br w:val="nil"/>
                    <w:tr2bl w:val="nil"/>
                  </w:tcBorders>
                  <w:vAlign w:val="center"/>
                </w:tcPr>
                <w:p w14:paraId="7BF0CB21">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项目制定了例行监测计划，并严格执行</w:t>
                  </w:r>
                </w:p>
              </w:tc>
              <w:tc>
                <w:tcPr>
                  <w:tcW w:w="549" w:type="pct"/>
                  <w:tcBorders>
                    <w:tl2br w:val="nil"/>
                    <w:tr2bl w:val="nil"/>
                  </w:tcBorders>
                  <w:vAlign w:val="center"/>
                </w:tcPr>
                <w:p w14:paraId="3098CA13">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符合</w:t>
                  </w:r>
                </w:p>
              </w:tc>
            </w:tr>
            <w:tr w14:paraId="65460F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3704" w:type="pct"/>
                  <w:tcBorders>
                    <w:tl2br w:val="nil"/>
                    <w:tr2bl w:val="nil"/>
                  </w:tcBorders>
                  <w:vAlign w:val="center"/>
                </w:tcPr>
                <w:p w14:paraId="52FE2BFF">
                  <w:pPr>
                    <w:rPr>
                      <w:rFonts w:hint="default" w:ascii="Times New Roman" w:hAnsi="Times New Roman" w:cs="Times New Roman"/>
                      <w:spacing w:val="0"/>
                      <w:sz w:val="21"/>
                      <w:szCs w:val="21"/>
                    </w:rPr>
                  </w:pPr>
                  <w:r>
                    <w:rPr>
                      <w:rFonts w:hint="default" w:ascii="Times New Roman" w:hAnsi="Times New Roman" w:cs="Times New Roman"/>
                      <w:spacing w:val="0"/>
                      <w:sz w:val="21"/>
                      <w:szCs w:val="21"/>
                    </w:rPr>
                    <w:t>排污单位应当按照国家和省有关规定建立环境管理台账，记录污染治理设施运行管理、危险废物产生与处置情况、监测记录以及其他环境管理等信息，并对台账的真实性和完整性负责。台账的保存期限不得少于三年，法律、法规另有规定的除外。</w:t>
                  </w:r>
                </w:p>
              </w:tc>
              <w:tc>
                <w:tcPr>
                  <w:tcW w:w="746" w:type="pct"/>
                  <w:tcBorders>
                    <w:tl2br w:val="nil"/>
                    <w:tr2bl w:val="nil"/>
                  </w:tcBorders>
                  <w:vAlign w:val="center"/>
                </w:tcPr>
                <w:p w14:paraId="643A8B10">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项目建立污染源档案和环保管理台账</w:t>
                  </w:r>
                </w:p>
              </w:tc>
              <w:tc>
                <w:tcPr>
                  <w:tcW w:w="549" w:type="pct"/>
                  <w:tcBorders>
                    <w:tl2br w:val="nil"/>
                    <w:tr2bl w:val="nil"/>
                  </w:tcBorders>
                  <w:vAlign w:val="center"/>
                </w:tcPr>
                <w:p w14:paraId="56DF9B43">
                  <w:pPr>
                    <w:jc w:val="center"/>
                    <w:rPr>
                      <w:rFonts w:hint="default" w:ascii="Times New Roman" w:hAnsi="Times New Roman" w:cs="Times New Roman"/>
                      <w:spacing w:val="0"/>
                      <w:sz w:val="21"/>
                      <w:szCs w:val="21"/>
                    </w:rPr>
                  </w:pPr>
                  <w:r>
                    <w:rPr>
                      <w:rFonts w:hint="default" w:ascii="Times New Roman" w:hAnsi="Times New Roman" w:cs="Times New Roman"/>
                      <w:spacing w:val="0"/>
                      <w:sz w:val="21"/>
                      <w:szCs w:val="21"/>
                    </w:rPr>
                    <w:t>符合</w:t>
                  </w:r>
                </w:p>
              </w:tc>
            </w:tr>
          </w:tbl>
          <w:p w14:paraId="149CE66C">
            <w:pPr>
              <w:pStyle w:val="64"/>
              <w:ind w:firstLine="482"/>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lang w:val="en-US" w:eastAsia="zh-CN"/>
              </w:rPr>
              <w:t>6</w:t>
            </w:r>
            <w:r>
              <w:rPr>
                <w:rFonts w:hint="default" w:ascii="Times New Roman" w:hAnsi="Times New Roman" w:cs="Times New Roman"/>
                <w:b/>
                <w:color w:val="auto"/>
                <w:spacing w:val="0"/>
                <w:sz w:val="21"/>
                <w:szCs w:val="21"/>
              </w:rPr>
              <w:t>、与《关于严格项目审批工作坚决防止新上“散乱污”项目的通知》（鲁环字【2021】58号）符合性分析</w:t>
            </w:r>
          </w:p>
          <w:p w14:paraId="2707E61A">
            <w:pPr>
              <w:pStyle w:val="64"/>
              <w:spacing w:line="240" w:lineRule="auto"/>
              <w:ind w:firstLine="0" w:firstLineChars="0"/>
              <w:jc w:val="center"/>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rPr>
              <w:t>表1-</w:t>
            </w:r>
            <w:r>
              <w:rPr>
                <w:rFonts w:hint="default" w:ascii="Times New Roman" w:hAnsi="Times New Roman" w:cs="Times New Roman"/>
                <w:b/>
                <w:color w:val="auto"/>
                <w:spacing w:val="0"/>
                <w:sz w:val="21"/>
                <w:szCs w:val="21"/>
                <w:lang w:val="en-US" w:eastAsia="zh-CN"/>
              </w:rPr>
              <w:t>5</w:t>
            </w:r>
            <w:r>
              <w:rPr>
                <w:rFonts w:hint="default" w:ascii="Times New Roman" w:hAnsi="Times New Roman" w:cs="Times New Roman"/>
                <w:b/>
                <w:color w:val="auto"/>
                <w:spacing w:val="0"/>
                <w:sz w:val="21"/>
                <w:szCs w:val="21"/>
              </w:rPr>
              <w:t>与《关于严格项目审批工作坚决防止新上“散乱污”项目的通知》（鲁环字【2021】58号）符合性一览表</w:t>
            </w:r>
          </w:p>
          <w:tbl>
            <w:tblPr>
              <w:tblStyle w:val="36"/>
              <w:tblW w:w="80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3950"/>
              <w:gridCol w:w="2510"/>
              <w:gridCol w:w="895"/>
            </w:tblGrid>
            <w:tr w14:paraId="346AB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532B6BFA">
                  <w:pPr>
                    <w:pStyle w:val="64"/>
                    <w:spacing w:line="240" w:lineRule="auto"/>
                    <w:ind w:firstLine="0" w:firstLineChars="0"/>
                    <w:jc w:val="center"/>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rPr>
                    <w:t>序号</w:t>
                  </w:r>
                </w:p>
              </w:tc>
              <w:tc>
                <w:tcPr>
                  <w:tcW w:w="3950" w:type="dxa"/>
                  <w:vAlign w:val="center"/>
                </w:tcPr>
                <w:p w14:paraId="69085F4C">
                  <w:pPr>
                    <w:pStyle w:val="64"/>
                    <w:spacing w:line="240" w:lineRule="auto"/>
                    <w:ind w:firstLine="0" w:firstLineChars="0"/>
                    <w:jc w:val="center"/>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rPr>
                    <w:t>文件要求</w:t>
                  </w:r>
                </w:p>
              </w:tc>
              <w:tc>
                <w:tcPr>
                  <w:tcW w:w="2510" w:type="dxa"/>
                  <w:vAlign w:val="center"/>
                </w:tcPr>
                <w:p w14:paraId="15536533">
                  <w:pPr>
                    <w:pStyle w:val="64"/>
                    <w:spacing w:line="240" w:lineRule="auto"/>
                    <w:ind w:firstLine="0" w:firstLineChars="0"/>
                    <w:jc w:val="center"/>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rPr>
                    <w:t>项目情况</w:t>
                  </w:r>
                </w:p>
              </w:tc>
              <w:tc>
                <w:tcPr>
                  <w:tcW w:w="895" w:type="dxa"/>
                  <w:vAlign w:val="center"/>
                </w:tcPr>
                <w:p w14:paraId="3C213575">
                  <w:pPr>
                    <w:pStyle w:val="64"/>
                    <w:spacing w:line="240" w:lineRule="auto"/>
                    <w:ind w:firstLine="0" w:firstLineChars="0"/>
                    <w:jc w:val="center"/>
                    <w:rPr>
                      <w:rFonts w:hint="default" w:ascii="Times New Roman" w:hAnsi="Times New Roman" w:cs="Times New Roman"/>
                      <w:b/>
                      <w:color w:val="auto"/>
                      <w:spacing w:val="0"/>
                      <w:sz w:val="21"/>
                      <w:szCs w:val="21"/>
                    </w:rPr>
                  </w:pPr>
                  <w:r>
                    <w:rPr>
                      <w:rFonts w:hint="default" w:ascii="Times New Roman" w:hAnsi="Times New Roman" w:cs="Times New Roman"/>
                      <w:b/>
                      <w:color w:val="auto"/>
                      <w:spacing w:val="0"/>
                      <w:sz w:val="21"/>
                      <w:szCs w:val="21"/>
                    </w:rPr>
                    <w:t>符合性</w:t>
                  </w:r>
                </w:p>
              </w:tc>
            </w:tr>
            <w:tr w14:paraId="30229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43CCC24F">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1认真贯彻执行产业政策</w:t>
                  </w:r>
                </w:p>
              </w:tc>
              <w:tc>
                <w:tcPr>
                  <w:tcW w:w="3950" w:type="dxa"/>
                  <w:vAlign w:val="center"/>
                </w:tcPr>
                <w:p w14:paraId="57D5E469">
                  <w:pPr>
                    <w:pStyle w:val="64"/>
                    <w:spacing w:line="240" w:lineRule="auto"/>
                    <w:ind w:firstLine="0" w:firstLineChars="0"/>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省发展改革委、省工业和信息化厅、省生态环境厅）</w:t>
                  </w:r>
                </w:p>
              </w:tc>
              <w:tc>
                <w:tcPr>
                  <w:tcW w:w="2510" w:type="dxa"/>
                  <w:vAlign w:val="center"/>
                </w:tcPr>
                <w:p w14:paraId="2DF7289D">
                  <w:pPr>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不属于国家发展和改革委员会发布的《产业结构调整指导目录（2024年本）》中鼓励类、限制类和淘汰类之列；也不属于《当前部分行业制止低水平重复建设目录》规定限制、禁止类产业范围，故该项目属允许类项目，符合国家的产业政策。</w:t>
                  </w:r>
                </w:p>
              </w:tc>
              <w:tc>
                <w:tcPr>
                  <w:tcW w:w="895" w:type="dxa"/>
                  <w:vAlign w:val="center"/>
                </w:tcPr>
                <w:p w14:paraId="4A644565">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r w14:paraId="7E287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1DE59779">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2强化规划刚性约束</w:t>
                  </w:r>
                </w:p>
              </w:tc>
              <w:tc>
                <w:tcPr>
                  <w:tcW w:w="3950" w:type="dxa"/>
                  <w:vAlign w:val="center"/>
                </w:tcPr>
                <w:p w14:paraId="707A3656">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省发展改革委、省工业和信息化厅、省自然资源厅、省生态环境厅分别负责）</w:t>
                  </w:r>
                </w:p>
              </w:tc>
              <w:tc>
                <w:tcPr>
                  <w:tcW w:w="2510" w:type="dxa"/>
                  <w:vAlign w:val="center"/>
                </w:tcPr>
                <w:p w14:paraId="238B001A">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”，位于萌水镇工业集聚区内</w:t>
                  </w:r>
                </w:p>
              </w:tc>
              <w:tc>
                <w:tcPr>
                  <w:tcW w:w="895" w:type="dxa"/>
                  <w:vAlign w:val="center"/>
                </w:tcPr>
                <w:p w14:paraId="411FB020">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r w14:paraId="0F235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3ACC6C5C">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3科学把好项目选址关</w:t>
                  </w:r>
                </w:p>
              </w:tc>
              <w:tc>
                <w:tcPr>
                  <w:tcW w:w="3950" w:type="dxa"/>
                  <w:vAlign w:val="center"/>
                </w:tcPr>
                <w:p w14:paraId="7EA136D2">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省自然资源厅、省生态环境厅）</w:t>
                  </w:r>
                </w:p>
              </w:tc>
              <w:tc>
                <w:tcPr>
                  <w:tcW w:w="2510" w:type="dxa"/>
                  <w:vAlign w:val="center"/>
                </w:tcPr>
                <w:p w14:paraId="7F20E9DA">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”，位于萌水镇工业集聚区内</w:t>
                  </w:r>
                </w:p>
              </w:tc>
              <w:tc>
                <w:tcPr>
                  <w:tcW w:w="895" w:type="dxa"/>
                  <w:vAlign w:val="center"/>
                </w:tcPr>
                <w:p w14:paraId="6A506572">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r w14:paraId="3932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0A2EE012">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4严把项目环评审批关</w:t>
                  </w:r>
                </w:p>
              </w:tc>
              <w:tc>
                <w:tcPr>
                  <w:tcW w:w="3950" w:type="dxa"/>
                  <w:vAlign w:val="center"/>
                </w:tcPr>
                <w:p w14:paraId="418D2FEE">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省生态环境厅、省发展改革委、省工业和信息化厅）</w:t>
                  </w:r>
                </w:p>
              </w:tc>
              <w:tc>
                <w:tcPr>
                  <w:tcW w:w="2510" w:type="dxa"/>
                  <w:vAlign w:val="center"/>
                </w:tcPr>
                <w:p w14:paraId="04C1450D">
                  <w:pPr>
                    <w:adjustRightInd w:val="0"/>
                    <w:snapToGrid w:val="0"/>
                    <w:jc w:val="center"/>
                    <w:rPr>
                      <w:rFonts w:hint="eastAsia" w:ascii="Times New Roman" w:hAnsi="Times New Roman" w:eastAsia="宋体" w:cs="Times New Roman"/>
                      <w:bCs/>
                      <w:color w:val="auto"/>
                      <w:spacing w:val="0"/>
                      <w:sz w:val="21"/>
                      <w:szCs w:val="21"/>
                      <w:lang w:eastAsia="zh-CN"/>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w:t>
                  </w:r>
                  <w:r>
                    <w:rPr>
                      <w:rFonts w:hint="default" w:ascii="Times New Roman" w:hAnsi="Times New Roman" w:cs="Times New Roman"/>
                      <w:color w:val="auto"/>
                      <w:spacing w:val="0"/>
                      <w:sz w:val="21"/>
                      <w:szCs w:val="21"/>
                    </w:rPr>
                    <w:t>本项目不属于环境污染或生态破坏严重项目。</w:t>
                  </w:r>
                </w:p>
              </w:tc>
              <w:tc>
                <w:tcPr>
                  <w:tcW w:w="895" w:type="dxa"/>
                  <w:vAlign w:val="center"/>
                </w:tcPr>
                <w:p w14:paraId="7AFD251B">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r w14:paraId="7657E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4A9D9955">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5建立部门联动协调机制</w:t>
                  </w:r>
                </w:p>
              </w:tc>
              <w:tc>
                <w:tcPr>
                  <w:tcW w:w="3950" w:type="dxa"/>
                  <w:vAlign w:val="center"/>
                </w:tcPr>
                <w:p w14:paraId="353734F6">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各级发展改革、工业和信息化、自然资源、生态环境等部门要按照职责分工，建立长效工作机制，密切配合，强化对项目产业政策、固定资产投资、能耗、用地标准、环境等的论证，对不符合要求的，一律不得办理立项、规划、土地、环评等手续。（省发展改革委、省工业和信息化厅、省自然资源厅、省生态环境厅）</w:t>
                  </w:r>
                </w:p>
              </w:tc>
              <w:tc>
                <w:tcPr>
                  <w:tcW w:w="2510" w:type="dxa"/>
                  <w:vAlign w:val="center"/>
                </w:tcPr>
                <w:p w14:paraId="6C8DE768">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不属于国家发展和改革委员会发布的《产业结构调整指导目录（2024年本）》中鼓励类、限制类和淘汰类之列；也不属于《当前部分行业制止低水平重复建设目录》规定限制、禁止类产业范围，故该项目属允许类项目，符合国家的产业政策。项目位于萌水镇工业集聚区内</w:t>
                  </w:r>
                </w:p>
              </w:tc>
              <w:tc>
                <w:tcPr>
                  <w:tcW w:w="895" w:type="dxa"/>
                  <w:vAlign w:val="center"/>
                </w:tcPr>
                <w:p w14:paraId="510608DB">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r w14:paraId="74B44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3" w:type="dxa"/>
                  <w:vAlign w:val="center"/>
                </w:tcPr>
                <w:p w14:paraId="0A7BAE30">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6强化日常监管执法</w:t>
                  </w:r>
                </w:p>
              </w:tc>
              <w:tc>
                <w:tcPr>
                  <w:tcW w:w="3950" w:type="dxa"/>
                  <w:vAlign w:val="center"/>
                </w:tcPr>
                <w:p w14:paraId="164BD42B">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持续加大对违反产业政策、规划、准入规定等违法违规建设行为的查处力度，坚决遏制“未批先建”等违法行为。畅通群众举报投诉渠道，对“散乱污”项目做到早发现、早应对、早处置，严防死灰复燃。（省生态环境厅、省发展改革委、省工业和信息化厅、省自然资源厅）</w:t>
                  </w:r>
                </w:p>
              </w:tc>
              <w:tc>
                <w:tcPr>
                  <w:tcW w:w="2510" w:type="dxa"/>
                  <w:vAlign w:val="center"/>
                </w:tcPr>
                <w:p w14:paraId="0BEEC46D">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该项目行业类别为“</w:t>
                  </w:r>
                  <w:r>
                    <w:rPr>
                      <w:rFonts w:hint="default" w:ascii="Times New Roman" w:hAnsi="Times New Roman" w:cs="Times New Roman"/>
                      <w:bCs/>
                      <w:color w:val="auto"/>
                      <w:spacing w:val="0"/>
                      <w:sz w:val="21"/>
                      <w:szCs w:val="21"/>
                      <w:lang w:eastAsia="zh-CN"/>
                    </w:rPr>
                    <w:t>C3099其他非金属矿物制品制造</w:t>
                  </w:r>
                  <w:r>
                    <w:rPr>
                      <w:rFonts w:hint="default" w:ascii="Times New Roman" w:hAnsi="Times New Roman" w:cs="Times New Roman"/>
                      <w:bCs/>
                      <w:color w:val="auto"/>
                      <w:spacing w:val="0"/>
                      <w:sz w:val="21"/>
                      <w:szCs w:val="21"/>
                    </w:rPr>
                    <w:t>”，不属于国家发展和改革委员会发布的《产业结构调整指导目录（2024年本）》中鼓励类、限制类和淘汰类之列；也不属于《当前部分行业制止低水平重复建设目录》规定限制、禁止类产业范围，项目位于萌水镇工业集聚区内</w:t>
                  </w:r>
                </w:p>
              </w:tc>
              <w:tc>
                <w:tcPr>
                  <w:tcW w:w="895" w:type="dxa"/>
                  <w:vAlign w:val="center"/>
                </w:tcPr>
                <w:p w14:paraId="6A1E63BF">
                  <w:pPr>
                    <w:pStyle w:val="64"/>
                    <w:spacing w:line="240" w:lineRule="auto"/>
                    <w:ind w:firstLine="0" w:firstLineChars="0"/>
                    <w:jc w:val="center"/>
                    <w:rPr>
                      <w:rFonts w:hint="default" w:ascii="Times New Roman" w:hAnsi="Times New Roman" w:cs="Times New Roman"/>
                      <w:bCs/>
                      <w:color w:val="auto"/>
                      <w:spacing w:val="0"/>
                      <w:sz w:val="21"/>
                      <w:szCs w:val="21"/>
                    </w:rPr>
                  </w:pPr>
                  <w:r>
                    <w:rPr>
                      <w:rFonts w:hint="default" w:ascii="Times New Roman" w:hAnsi="Times New Roman" w:cs="Times New Roman"/>
                      <w:bCs/>
                      <w:color w:val="auto"/>
                      <w:spacing w:val="0"/>
                      <w:sz w:val="21"/>
                      <w:szCs w:val="21"/>
                    </w:rPr>
                    <w:t>符合</w:t>
                  </w:r>
                </w:p>
              </w:tc>
            </w:tr>
          </w:tbl>
          <w:p w14:paraId="40F0D59E">
            <w:pPr>
              <w:spacing w:before="120" w:beforeLines="50" w:line="360" w:lineRule="auto"/>
              <w:ind w:firstLine="422" w:firstLineChars="200"/>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、与《山东省“两高”项目管理目录（2025年版）》符合性分析</w:t>
            </w:r>
          </w:p>
          <w:p w14:paraId="2E4A4EE6">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 xml:space="preserve">  《山东省“两高”项目管理目录（2025年版）》</w:t>
            </w:r>
          </w:p>
          <w:tbl>
            <w:tblPr>
              <w:tblStyle w:val="35"/>
              <w:tblW w:w="495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81"/>
              <w:gridCol w:w="633"/>
              <w:gridCol w:w="2372"/>
              <w:gridCol w:w="1950"/>
              <w:gridCol w:w="2270"/>
            </w:tblGrid>
            <w:tr w14:paraId="0F764A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408E6F5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序号</w:t>
                  </w:r>
                </w:p>
              </w:tc>
              <w:tc>
                <w:tcPr>
                  <w:tcW w:w="606" w:type="dxa"/>
                  <w:tcBorders>
                    <w:tl2br w:val="nil"/>
                    <w:tr2bl w:val="nil"/>
                  </w:tcBorders>
                  <w:noWrap w:val="0"/>
                  <w:vAlign w:val="center"/>
                </w:tcPr>
                <w:p w14:paraId="7A0EE796">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产业分类</w:t>
                  </w:r>
                </w:p>
              </w:tc>
              <w:tc>
                <w:tcPr>
                  <w:tcW w:w="2270" w:type="dxa"/>
                  <w:tcBorders>
                    <w:tl2br w:val="nil"/>
                    <w:tr2bl w:val="nil"/>
                  </w:tcBorders>
                  <w:noWrap w:val="0"/>
                  <w:vAlign w:val="center"/>
                </w:tcPr>
                <w:p w14:paraId="2A1AFB1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产品</w:t>
                  </w:r>
                </w:p>
              </w:tc>
              <w:tc>
                <w:tcPr>
                  <w:tcW w:w="1866" w:type="dxa"/>
                  <w:tcBorders>
                    <w:tl2br w:val="nil"/>
                    <w:tr2bl w:val="nil"/>
                  </w:tcBorders>
                  <w:noWrap w:val="0"/>
                  <w:vAlign w:val="center"/>
                </w:tcPr>
                <w:p w14:paraId="47911FE1">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核心装置</w:t>
                  </w:r>
                </w:p>
              </w:tc>
              <w:tc>
                <w:tcPr>
                  <w:tcW w:w="2173" w:type="dxa"/>
                  <w:tcBorders>
                    <w:tl2br w:val="nil"/>
                    <w:tr2bl w:val="nil"/>
                  </w:tcBorders>
                  <w:noWrap w:val="0"/>
                  <w:vAlign w:val="center"/>
                </w:tcPr>
                <w:p w14:paraId="11882496">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对应国民经济行业小类</w:t>
                  </w:r>
                </w:p>
              </w:tc>
            </w:tr>
            <w:tr w14:paraId="7E66BF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06DAD1A4">
                  <w:pPr>
                    <w:pStyle w:val="81"/>
                    <w:rPr>
                      <w:rFonts w:hint="default" w:ascii="Times New Roman" w:hAnsi="Times New Roman" w:cs="Times New Roman"/>
                      <w:color w:val="auto"/>
                      <w:kern w:val="0"/>
                      <w:sz w:val="21"/>
                      <w:szCs w:val="21"/>
                      <w:lang w:bidi="ar"/>
                    </w:rPr>
                  </w:pPr>
                </w:p>
                <w:p w14:paraId="39C9206C">
                  <w:pPr>
                    <w:pStyle w:val="81"/>
                    <w:rPr>
                      <w:rFonts w:hint="default" w:ascii="Times New Roman" w:hAnsi="Times New Roman" w:cs="Times New Roman"/>
                      <w:color w:val="auto"/>
                      <w:kern w:val="0"/>
                      <w:sz w:val="21"/>
                      <w:szCs w:val="21"/>
                      <w:lang w:bidi="ar"/>
                    </w:rPr>
                  </w:pPr>
                </w:p>
                <w:p w14:paraId="16ABD46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w:t>
                  </w:r>
                </w:p>
              </w:tc>
              <w:tc>
                <w:tcPr>
                  <w:tcW w:w="606" w:type="dxa"/>
                  <w:vMerge w:val="restart"/>
                  <w:tcBorders>
                    <w:tl2br w:val="nil"/>
                    <w:tr2bl w:val="nil"/>
                  </w:tcBorders>
                  <w:noWrap w:val="0"/>
                  <w:vAlign w:val="center"/>
                </w:tcPr>
                <w:p w14:paraId="2C69E3A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炼化</w:t>
                  </w:r>
                </w:p>
              </w:tc>
              <w:tc>
                <w:tcPr>
                  <w:tcW w:w="2270" w:type="dxa"/>
                  <w:tcBorders>
                    <w:tl2br w:val="nil"/>
                    <w:tr2bl w:val="nil"/>
                  </w:tcBorders>
                  <w:noWrap w:val="0"/>
                  <w:vAlign w:val="center"/>
                </w:tcPr>
                <w:p w14:paraId="6E4A683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汽油、煤油、柴油、燃料油、石脑油、溶剂油、石油气、沥青及其他相关产品，不含一二次炼油之外的质量升级油品</w:t>
                  </w:r>
                </w:p>
              </w:tc>
              <w:tc>
                <w:tcPr>
                  <w:tcW w:w="1866" w:type="dxa"/>
                  <w:tcBorders>
                    <w:tl2br w:val="nil"/>
                    <w:tr2bl w:val="nil"/>
                  </w:tcBorders>
                  <w:noWrap w:val="0"/>
                  <w:vAlign w:val="center"/>
                </w:tcPr>
                <w:p w14:paraId="18B9407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一次炼油（常减压）、二次炼油（催化裂化、加氢裂化、催化重整、延迟焦化）</w:t>
                  </w:r>
                </w:p>
              </w:tc>
              <w:tc>
                <w:tcPr>
                  <w:tcW w:w="2173" w:type="dxa"/>
                  <w:tcBorders>
                    <w:tl2br w:val="nil"/>
                    <w:tr2bl w:val="nil"/>
                  </w:tcBorders>
                  <w:noWrap w:val="0"/>
                  <w:vAlign w:val="center"/>
                </w:tcPr>
                <w:p w14:paraId="096E4A6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原油加工及石油制品制造 （2511）</w:t>
                  </w:r>
                </w:p>
              </w:tc>
            </w:tr>
            <w:tr w14:paraId="6F0051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76413B1E">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5109646C">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2FEB181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乙烯、对二甲苯（PX）</w:t>
                  </w:r>
                </w:p>
              </w:tc>
              <w:tc>
                <w:tcPr>
                  <w:tcW w:w="1866" w:type="dxa"/>
                  <w:tcBorders>
                    <w:tl2br w:val="nil"/>
                    <w:tr2bl w:val="nil"/>
                  </w:tcBorders>
                  <w:noWrap w:val="0"/>
                  <w:vAlign w:val="center"/>
                </w:tcPr>
                <w:p w14:paraId="73EE38B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乙烯装置、PX装置</w:t>
                  </w:r>
                </w:p>
              </w:tc>
              <w:tc>
                <w:tcPr>
                  <w:tcW w:w="2173" w:type="dxa"/>
                  <w:tcBorders>
                    <w:tl2br w:val="nil"/>
                    <w:tr2bl w:val="nil"/>
                  </w:tcBorders>
                  <w:noWrap w:val="0"/>
                  <w:vAlign w:val="center"/>
                </w:tcPr>
                <w:p w14:paraId="2E83D61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有机化学原料制造（2614）</w:t>
                  </w:r>
                </w:p>
              </w:tc>
            </w:tr>
            <w:tr w14:paraId="645C03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60BCA24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2</w:t>
                  </w:r>
                </w:p>
              </w:tc>
              <w:tc>
                <w:tcPr>
                  <w:tcW w:w="606" w:type="dxa"/>
                  <w:tcBorders>
                    <w:tl2br w:val="nil"/>
                    <w:tr2bl w:val="nil"/>
                  </w:tcBorders>
                  <w:noWrap w:val="0"/>
                  <w:vAlign w:val="center"/>
                </w:tcPr>
                <w:p w14:paraId="427BD18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焦化</w:t>
                  </w:r>
                </w:p>
              </w:tc>
              <w:tc>
                <w:tcPr>
                  <w:tcW w:w="2270" w:type="dxa"/>
                  <w:tcBorders>
                    <w:tl2br w:val="nil"/>
                    <w:tr2bl w:val="nil"/>
                  </w:tcBorders>
                  <w:noWrap w:val="0"/>
                  <w:vAlign w:val="center"/>
                </w:tcPr>
                <w:p w14:paraId="37218F22">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焦炭</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val="en-US" w:eastAsia="zh-CN" w:bidi="ar"/>
                    </w:rPr>
                    <w:t>半焦（兰炭）</w:t>
                  </w:r>
                </w:p>
              </w:tc>
              <w:tc>
                <w:tcPr>
                  <w:tcW w:w="1866" w:type="dxa"/>
                  <w:tcBorders>
                    <w:tl2br w:val="nil"/>
                    <w:tr2bl w:val="nil"/>
                  </w:tcBorders>
                  <w:noWrap w:val="0"/>
                  <w:vAlign w:val="center"/>
                </w:tcPr>
                <w:p w14:paraId="652A67B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焦炉</w:t>
                  </w:r>
                </w:p>
              </w:tc>
              <w:tc>
                <w:tcPr>
                  <w:tcW w:w="2173" w:type="dxa"/>
                  <w:tcBorders>
                    <w:tl2br w:val="nil"/>
                    <w:tr2bl w:val="nil"/>
                  </w:tcBorders>
                  <w:noWrap w:val="0"/>
                  <w:vAlign w:val="center"/>
                </w:tcPr>
                <w:p w14:paraId="305A7057">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炼焦（2521）</w:t>
                  </w:r>
                </w:p>
              </w:tc>
            </w:tr>
            <w:tr w14:paraId="5FD6C8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582D75FF">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3</w:t>
                  </w:r>
                </w:p>
              </w:tc>
              <w:tc>
                <w:tcPr>
                  <w:tcW w:w="606" w:type="dxa"/>
                  <w:tcBorders>
                    <w:tl2br w:val="nil"/>
                    <w:tr2bl w:val="nil"/>
                  </w:tcBorders>
                  <w:noWrap w:val="0"/>
                  <w:vAlign w:val="center"/>
                </w:tcPr>
                <w:p w14:paraId="59BEF617">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煤制合成气</w:t>
                  </w:r>
                </w:p>
              </w:tc>
              <w:tc>
                <w:tcPr>
                  <w:tcW w:w="2270" w:type="dxa"/>
                  <w:tcBorders>
                    <w:tl2br w:val="nil"/>
                    <w:tr2bl w:val="nil"/>
                  </w:tcBorders>
                  <w:noWrap w:val="0"/>
                  <w:vAlign w:val="center"/>
                </w:tcPr>
                <w:p w14:paraId="7980C2D3">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煤制气</w:t>
                  </w:r>
                </w:p>
              </w:tc>
              <w:tc>
                <w:tcPr>
                  <w:tcW w:w="1866" w:type="dxa"/>
                  <w:tcBorders>
                    <w:tl2br w:val="nil"/>
                    <w:tr2bl w:val="nil"/>
                  </w:tcBorders>
                  <w:noWrap w:val="0"/>
                  <w:vAlign w:val="center"/>
                </w:tcPr>
                <w:p w14:paraId="36FD9784">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煤气化炉</w:t>
                  </w:r>
                </w:p>
              </w:tc>
              <w:tc>
                <w:tcPr>
                  <w:tcW w:w="2173" w:type="dxa"/>
                  <w:tcBorders>
                    <w:tl2br w:val="nil"/>
                    <w:tr2bl w:val="nil"/>
                  </w:tcBorders>
                  <w:noWrap w:val="0"/>
                  <w:vAlign w:val="center"/>
                </w:tcPr>
                <w:p w14:paraId="23F09B18">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煤制合成气生产（2522）</w:t>
                  </w:r>
                </w:p>
              </w:tc>
            </w:tr>
            <w:tr w14:paraId="3ED4F7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59B28749">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4</w:t>
                  </w:r>
                </w:p>
              </w:tc>
              <w:tc>
                <w:tcPr>
                  <w:tcW w:w="606" w:type="dxa"/>
                  <w:vMerge w:val="restart"/>
                  <w:tcBorders>
                    <w:tl2br w:val="nil"/>
                    <w:tr2bl w:val="nil"/>
                  </w:tcBorders>
                  <w:noWrap w:val="0"/>
                  <w:vAlign w:val="center"/>
                </w:tcPr>
                <w:p w14:paraId="06AEBDB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煤制液体燃料</w:t>
                  </w:r>
                </w:p>
              </w:tc>
              <w:tc>
                <w:tcPr>
                  <w:tcW w:w="2270" w:type="dxa"/>
                  <w:tcBorders>
                    <w:tl2br w:val="nil"/>
                    <w:tr2bl w:val="nil"/>
                  </w:tcBorders>
                  <w:noWrap w:val="0"/>
                  <w:vAlign w:val="center"/>
                </w:tcPr>
                <w:p w14:paraId="17E6B190">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煤制</w:t>
                  </w:r>
                  <w:r>
                    <w:rPr>
                      <w:rFonts w:hint="default" w:ascii="Times New Roman" w:hAnsi="Times New Roman" w:cs="Times New Roman"/>
                      <w:color w:val="auto"/>
                      <w:kern w:val="0"/>
                      <w:sz w:val="21"/>
                      <w:szCs w:val="21"/>
                      <w:lang w:val="en-US" w:eastAsia="zh-CN" w:bidi="ar"/>
                    </w:rPr>
                    <w:t>油</w:t>
                  </w:r>
                </w:p>
              </w:tc>
              <w:tc>
                <w:tcPr>
                  <w:tcW w:w="1866" w:type="dxa"/>
                  <w:vMerge w:val="restart"/>
                  <w:tcBorders>
                    <w:tl2br w:val="nil"/>
                    <w:tr2bl w:val="nil"/>
                  </w:tcBorders>
                  <w:noWrap w:val="0"/>
                  <w:vAlign w:val="center"/>
                </w:tcPr>
                <w:p w14:paraId="75ED099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煤气化炉、合成塔</w:t>
                  </w:r>
                </w:p>
              </w:tc>
              <w:tc>
                <w:tcPr>
                  <w:tcW w:w="2173" w:type="dxa"/>
                  <w:vMerge w:val="restart"/>
                  <w:tcBorders>
                    <w:tl2br w:val="nil"/>
                    <w:tr2bl w:val="nil"/>
                  </w:tcBorders>
                  <w:noWrap w:val="0"/>
                  <w:vAlign w:val="center"/>
                </w:tcPr>
                <w:p w14:paraId="6A4DDD1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煤制液体燃料生产（2523）</w:t>
                  </w:r>
                </w:p>
              </w:tc>
            </w:tr>
            <w:tr w14:paraId="79DF0D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4BE2DDA1">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62BB2034">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0805B03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煤制甲醇</w:t>
                  </w:r>
                </w:p>
              </w:tc>
              <w:tc>
                <w:tcPr>
                  <w:tcW w:w="1866" w:type="dxa"/>
                  <w:vMerge w:val="continue"/>
                  <w:tcBorders>
                    <w:tl2br w:val="nil"/>
                    <w:tr2bl w:val="nil"/>
                  </w:tcBorders>
                  <w:noWrap w:val="0"/>
                  <w:vAlign w:val="center"/>
                </w:tcPr>
                <w:p w14:paraId="48EDF1DF">
                  <w:pPr>
                    <w:pStyle w:val="81"/>
                    <w:rPr>
                      <w:rFonts w:hint="default" w:ascii="Times New Roman" w:hAnsi="Times New Roman" w:cs="Times New Roman"/>
                      <w:color w:val="auto"/>
                      <w:kern w:val="0"/>
                      <w:sz w:val="21"/>
                      <w:szCs w:val="21"/>
                      <w:lang w:bidi="ar"/>
                    </w:rPr>
                  </w:pPr>
                </w:p>
              </w:tc>
              <w:tc>
                <w:tcPr>
                  <w:tcW w:w="2173" w:type="dxa"/>
                  <w:vMerge w:val="continue"/>
                  <w:tcBorders>
                    <w:tl2br w:val="nil"/>
                    <w:tr2bl w:val="nil"/>
                  </w:tcBorders>
                  <w:noWrap w:val="0"/>
                  <w:vAlign w:val="center"/>
                </w:tcPr>
                <w:p w14:paraId="7F05096E">
                  <w:pPr>
                    <w:pStyle w:val="81"/>
                    <w:rPr>
                      <w:rFonts w:hint="default" w:ascii="Times New Roman" w:hAnsi="Times New Roman" w:cs="Times New Roman"/>
                      <w:color w:val="auto"/>
                      <w:kern w:val="0"/>
                      <w:sz w:val="21"/>
                      <w:szCs w:val="21"/>
                      <w:lang w:bidi="ar"/>
                    </w:rPr>
                  </w:pPr>
                </w:p>
              </w:tc>
            </w:tr>
            <w:tr w14:paraId="6C0AC1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3B468131">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5D9AEAF7">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6C79711A">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煤制烯烃（乙烯、丙烯）</w:t>
                  </w:r>
                </w:p>
              </w:tc>
              <w:tc>
                <w:tcPr>
                  <w:tcW w:w="1866" w:type="dxa"/>
                  <w:vMerge w:val="continue"/>
                  <w:tcBorders>
                    <w:tl2br w:val="nil"/>
                    <w:tr2bl w:val="nil"/>
                  </w:tcBorders>
                  <w:noWrap w:val="0"/>
                  <w:vAlign w:val="center"/>
                </w:tcPr>
                <w:p w14:paraId="3C7C4209">
                  <w:pPr>
                    <w:pStyle w:val="81"/>
                    <w:rPr>
                      <w:rFonts w:hint="default" w:ascii="Times New Roman" w:hAnsi="Times New Roman" w:cs="Times New Roman"/>
                      <w:color w:val="auto"/>
                      <w:kern w:val="0"/>
                      <w:sz w:val="21"/>
                      <w:szCs w:val="21"/>
                      <w:lang w:bidi="ar"/>
                    </w:rPr>
                  </w:pPr>
                </w:p>
              </w:tc>
              <w:tc>
                <w:tcPr>
                  <w:tcW w:w="2173" w:type="dxa"/>
                  <w:vMerge w:val="continue"/>
                  <w:tcBorders>
                    <w:tl2br w:val="nil"/>
                    <w:tr2bl w:val="nil"/>
                  </w:tcBorders>
                  <w:noWrap w:val="0"/>
                  <w:vAlign w:val="center"/>
                </w:tcPr>
                <w:p w14:paraId="314CCF0B">
                  <w:pPr>
                    <w:pStyle w:val="81"/>
                    <w:rPr>
                      <w:rFonts w:hint="default" w:ascii="Times New Roman" w:hAnsi="Times New Roman" w:cs="Times New Roman"/>
                      <w:color w:val="auto"/>
                      <w:kern w:val="0"/>
                      <w:sz w:val="21"/>
                      <w:szCs w:val="21"/>
                      <w:lang w:bidi="ar"/>
                    </w:rPr>
                  </w:pPr>
                </w:p>
              </w:tc>
            </w:tr>
            <w:tr w14:paraId="2CF91B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35956FB9">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5E2DEEF0">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6BCFD13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煤制乙二醇</w:t>
                  </w:r>
                </w:p>
              </w:tc>
              <w:tc>
                <w:tcPr>
                  <w:tcW w:w="1866" w:type="dxa"/>
                  <w:vMerge w:val="continue"/>
                  <w:tcBorders>
                    <w:tl2br w:val="nil"/>
                    <w:tr2bl w:val="nil"/>
                  </w:tcBorders>
                  <w:noWrap w:val="0"/>
                  <w:vAlign w:val="center"/>
                </w:tcPr>
                <w:p w14:paraId="1AB09556">
                  <w:pPr>
                    <w:pStyle w:val="81"/>
                    <w:rPr>
                      <w:rFonts w:hint="default" w:ascii="Times New Roman" w:hAnsi="Times New Roman" w:cs="Times New Roman"/>
                      <w:color w:val="auto"/>
                      <w:kern w:val="0"/>
                      <w:sz w:val="21"/>
                      <w:szCs w:val="21"/>
                      <w:lang w:bidi="ar"/>
                    </w:rPr>
                  </w:pPr>
                </w:p>
              </w:tc>
              <w:tc>
                <w:tcPr>
                  <w:tcW w:w="2173" w:type="dxa"/>
                  <w:vMerge w:val="continue"/>
                  <w:tcBorders>
                    <w:tl2br w:val="nil"/>
                    <w:tr2bl w:val="nil"/>
                  </w:tcBorders>
                  <w:noWrap w:val="0"/>
                  <w:vAlign w:val="center"/>
                </w:tcPr>
                <w:p w14:paraId="43E4D1A5">
                  <w:pPr>
                    <w:pStyle w:val="81"/>
                    <w:rPr>
                      <w:rFonts w:hint="default" w:ascii="Times New Roman" w:hAnsi="Times New Roman" w:cs="Times New Roman"/>
                      <w:color w:val="auto"/>
                      <w:kern w:val="0"/>
                      <w:sz w:val="21"/>
                      <w:szCs w:val="21"/>
                      <w:lang w:bidi="ar"/>
                    </w:rPr>
                  </w:pPr>
                </w:p>
              </w:tc>
            </w:tr>
            <w:tr w14:paraId="3E9B2D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4FD222E3">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5</w:t>
                  </w:r>
                </w:p>
              </w:tc>
              <w:tc>
                <w:tcPr>
                  <w:tcW w:w="606" w:type="dxa"/>
                  <w:vMerge w:val="restart"/>
                  <w:tcBorders>
                    <w:tl2br w:val="nil"/>
                    <w:tr2bl w:val="nil"/>
                  </w:tcBorders>
                  <w:noWrap w:val="0"/>
                  <w:vAlign w:val="center"/>
                </w:tcPr>
                <w:p w14:paraId="216A35C3">
                  <w:pPr>
                    <w:pStyle w:val="81"/>
                    <w:rPr>
                      <w:rFonts w:hint="default" w:ascii="Times New Roman" w:hAnsi="Times New Roman" w:cs="Times New Roman"/>
                      <w:color w:val="auto"/>
                      <w:kern w:val="0"/>
                      <w:sz w:val="21"/>
                      <w:szCs w:val="21"/>
                      <w:lang w:bidi="ar"/>
                    </w:rPr>
                  </w:pPr>
                </w:p>
                <w:p w14:paraId="7CDA9FE7">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基础化学原料</w:t>
                  </w:r>
                </w:p>
              </w:tc>
              <w:tc>
                <w:tcPr>
                  <w:tcW w:w="2270" w:type="dxa"/>
                  <w:tcBorders>
                    <w:tl2br w:val="nil"/>
                    <w:tr2bl w:val="nil"/>
                  </w:tcBorders>
                  <w:noWrap w:val="0"/>
                  <w:vAlign w:val="center"/>
                </w:tcPr>
                <w:p w14:paraId="4259ED1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氯碱（烧碱）</w:t>
                  </w:r>
                </w:p>
              </w:tc>
              <w:tc>
                <w:tcPr>
                  <w:tcW w:w="1866" w:type="dxa"/>
                  <w:tcBorders>
                    <w:tl2br w:val="nil"/>
                    <w:tr2bl w:val="nil"/>
                  </w:tcBorders>
                  <w:noWrap w:val="0"/>
                  <w:vAlign w:val="center"/>
                </w:tcPr>
                <w:p w14:paraId="6F731267">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电解槽</w:t>
                  </w:r>
                </w:p>
              </w:tc>
              <w:tc>
                <w:tcPr>
                  <w:tcW w:w="2173" w:type="dxa"/>
                  <w:tcBorders>
                    <w:tl2br w:val="nil"/>
                    <w:tr2bl w:val="nil"/>
                  </w:tcBorders>
                  <w:noWrap w:val="0"/>
                  <w:vAlign w:val="center"/>
                </w:tcPr>
                <w:p w14:paraId="6F97E6B8">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无机碱制造（2612）</w:t>
                  </w:r>
                </w:p>
              </w:tc>
            </w:tr>
            <w:tr w14:paraId="58981B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331622F9">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A52E760">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601A2CA8">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纯碱</w:t>
                  </w:r>
                </w:p>
              </w:tc>
              <w:tc>
                <w:tcPr>
                  <w:tcW w:w="1866" w:type="dxa"/>
                  <w:tcBorders>
                    <w:tl2br w:val="nil"/>
                    <w:tr2bl w:val="nil"/>
                  </w:tcBorders>
                  <w:noWrap w:val="0"/>
                  <w:vAlign w:val="center"/>
                </w:tcPr>
                <w:p w14:paraId="19E5ED6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碳化塔</w:t>
                  </w:r>
                </w:p>
              </w:tc>
              <w:tc>
                <w:tcPr>
                  <w:tcW w:w="2173" w:type="dxa"/>
                  <w:tcBorders>
                    <w:tl2br w:val="nil"/>
                    <w:tr2bl w:val="nil"/>
                  </w:tcBorders>
                  <w:noWrap w:val="0"/>
                  <w:vAlign w:val="center"/>
                </w:tcPr>
                <w:p w14:paraId="17743F7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无机碱制造（2612）</w:t>
                  </w:r>
                </w:p>
              </w:tc>
            </w:tr>
            <w:tr w14:paraId="2689CE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5EC3EB12">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7BC5761">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49361C48">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电石</w:t>
                  </w:r>
                </w:p>
              </w:tc>
              <w:tc>
                <w:tcPr>
                  <w:tcW w:w="1866" w:type="dxa"/>
                  <w:tcBorders>
                    <w:tl2br w:val="nil"/>
                    <w:tr2bl w:val="nil"/>
                  </w:tcBorders>
                  <w:noWrap w:val="0"/>
                  <w:vAlign w:val="center"/>
                </w:tcPr>
                <w:p w14:paraId="21C5E14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电石炉</w:t>
                  </w:r>
                </w:p>
              </w:tc>
              <w:tc>
                <w:tcPr>
                  <w:tcW w:w="2173" w:type="dxa"/>
                  <w:tcBorders>
                    <w:tl2br w:val="nil"/>
                    <w:tr2bl w:val="nil"/>
                  </w:tcBorders>
                  <w:noWrap w:val="0"/>
                  <w:vAlign w:val="center"/>
                </w:tcPr>
                <w:p w14:paraId="07E48AA1">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无机盐制造（2613）</w:t>
                  </w:r>
                </w:p>
              </w:tc>
            </w:tr>
            <w:tr w14:paraId="457C98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59E892FA">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5046430F">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5420E99F">
                  <w:pPr>
                    <w:pStyle w:val="81"/>
                    <w:rPr>
                      <w:rFonts w:hint="default" w:ascii="Times New Roman" w:hAnsi="Times New Roman" w:eastAsia="宋体" w:cs="Times New Roman"/>
                      <w:color w:val="auto"/>
                      <w:kern w:val="0"/>
                      <w:sz w:val="21"/>
                      <w:szCs w:val="21"/>
                      <w:lang w:eastAsia="zh-CN" w:bidi="ar"/>
                    </w:rPr>
                  </w:pPr>
                  <w:r>
                    <w:rPr>
                      <w:rFonts w:hint="default" w:ascii="Times New Roman" w:hAnsi="Times New Roman" w:cs="Times New Roman"/>
                      <w:color w:val="auto"/>
                      <w:kern w:val="0"/>
                      <w:sz w:val="21"/>
                      <w:szCs w:val="21"/>
                      <w:lang w:bidi="ar"/>
                    </w:rPr>
                    <w:t>碳化</w:t>
                  </w:r>
                  <w:r>
                    <w:rPr>
                      <w:rFonts w:hint="default" w:ascii="Times New Roman" w:hAnsi="Times New Roman" w:cs="Times New Roman"/>
                      <w:color w:val="auto"/>
                      <w:kern w:val="0"/>
                      <w:sz w:val="21"/>
                      <w:szCs w:val="21"/>
                      <w:lang w:val="en-US" w:eastAsia="zh-CN" w:bidi="ar"/>
                    </w:rPr>
                    <w:t>硅</w:t>
                  </w:r>
                </w:p>
              </w:tc>
              <w:tc>
                <w:tcPr>
                  <w:tcW w:w="1866" w:type="dxa"/>
                  <w:tcBorders>
                    <w:tl2br w:val="nil"/>
                    <w:tr2bl w:val="nil"/>
                  </w:tcBorders>
                  <w:noWrap w:val="0"/>
                  <w:vAlign w:val="center"/>
                </w:tcPr>
                <w:p w14:paraId="0887DEDF">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石墨化炉</w:t>
                  </w:r>
                </w:p>
              </w:tc>
              <w:tc>
                <w:tcPr>
                  <w:tcW w:w="2173" w:type="dxa"/>
                  <w:tcBorders>
                    <w:tl2br w:val="nil"/>
                    <w:tr2bl w:val="nil"/>
                  </w:tcBorders>
                  <w:noWrap w:val="0"/>
                  <w:vAlign w:val="center"/>
                </w:tcPr>
                <w:p w14:paraId="3AC91861">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无机盐制造（2613）</w:t>
                  </w:r>
                </w:p>
              </w:tc>
            </w:tr>
            <w:tr w14:paraId="168955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068FCE13">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D4C8118">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3586377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黄磷</w:t>
                  </w:r>
                </w:p>
              </w:tc>
              <w:tc>
                <w:tcPr>
                  <w:tcW w:w="1866" w:type="dxa"/>
                  <w:tcBorders>
                    <w:tl2br w:val="nil"/>
                    <w:tr2bl w:val="nil"/>
                  </w:tcBorders>
                  <w:noWrap w:val="0"/>
                  <w:vAlign w:val="center"/>
                </w:tcPr>
                <w:p w14:paraId="7685373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黄磷制取设备</w:t>
                  </w:r>
                </w:p>
              </w:tc>
              <w:tc>
                <w:tcPr>
                  <w:tcW w:w="2173" w:type="dxa"/>
                  <w:tcBorders>
                    <w:tl2br w:val="nil"/>
                    <w:tr2bl w:val="nil"/>
                  </w:tcBorders>
                  <w:noWrap w:val="0"/>
                  <w:vAlign w:val="center"/>
                </w:tcPr>
                <w:p w14:paraId="25478AA1">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其他基础化学原料制造（2619）</w:t>
                  </w:r>
                </w:p>
              </w:tc>
            </w:tr>
            <w:tr w14:paraId="7ACC98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4393F4D4">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6</w:t>
                  </w:r>
                </w:p>
              </w:tc>
              <w:tc>
                <w:tcPr>
                  <w:tcW w:w="606" w:type="dxa"/>
                  <w:vMerge w:val="restart"/>
                  <w:tcBorders>
                    <w:tl2br w:val="nil"/>
                    <w:tr2bl w:val="nil"/>
                  </w:tcBorders>
                  <w:noWrap w:val="0"/>
                  <w:vAlign w:val="center"/>
                </w:tcPr>
                <w:p w14:paraId="3CD5835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化肥</w:t>
                  </w:r>
                </w:p>
              </w:tc>
              <w:tc>
                <w:tcPr>
                  <w:tcW w:w="2270" w:type="dxa"/>
                  <w:tcBorders>
                    <w:tl2br w:val="nil"/>
                    <w:tr2bl w:val="nil"/>
                  </w:tcBorders>
                  <w:noWrap w:val="0"/>
                  <w:vAlign w:val="center"/>
                </w:tcPr>
                <w:p w14:paraId="7FEA66C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合成氨、尿素</w:t>
                  </w:r>
                </w:p>
              </w:tc>
              <w:tc>
                <w:tcPr>
                  <w:tcW w:w="1866" w:type="dxa"/>
                  <w:tcBorders>
                    <w:tl2br w:val="nil"/>
                    <w:tr2bl w:val="nil"/>
                  </w:tcBorders>
                  <w:noWrap w:val="0"/>
                  <w:vAlign w:val="center"/>
                </w:tcPr>
                <w:p w14:paraId="1B2F511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合成氨装置</w:t>
                  </w:r>
                </w:p>
              </w:tc>
              <w:tc>
                <w:tcPr>
                  <w:tcW w:w="2173" w:type="dxa"/>
                  <w:tcBorders>
                    <w:tl2br w:val="nil"/>
                    <w:tr2bl w:val="nil"/>
                  </w:tcBorders>
                  <w:noWrap w:val="0"/>
                  <w:vAlign w:val="center"/>
                </w:tcPr>
                <w:p w14:paraId="3FCD268A">
                  <w:pPr>
                    <w:pStyle w:val="81"/>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氮肥制造（2621）</w:t>
                  </w:r>
                </w:p>
              </w:tc>
            </w:tr>
            <w:tr w14:paraId="14B90E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0CAFC261">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B097F2E">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top"/>
                </w:tcPr>
                <w:p w14:paraId="2AC047EC">
                  <w:pPr>
                    <w:pStyle w:val="75"/>
                    <w:spacing w:before="60" w:line="220" w:lineRule="auto"/>
                    <w:ind w:firstLine="0" w:firstLineChars="0"/>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spacing w:val="8"/>
                      <w:sz w:val="21"/>
                      <w:szCs w:val="21"/>
                    </w:rPr>
                    <w:t>磷酸一铵、磷酸二铵</w:t>
                  </w:r>
                </w:p>
              </w:tc>
              <w:tc>
                <w:tcPr>
                  <w:tcW w:w="1866" w:type="dxa"/>
                  <w:tcBorders>
                    <w:tl2br w:val="nil"/>
                    <w:tr2bl w:val="nil"/>
                  </w:tcBorders>
                  <w:noWrap w:val="0"/>
                  <w:vAlign w:val="top"/>
                </w:tcPr>
                <w:p w14:paraId="7C6D311F">
                  <w:pPr>
                    <w:pStyle w:val="75"/>
                    <w:spacing w:before="60" w:line="220" w:lineRule="auto"/>
                    <w:ind w:firstLine="0" w:firstLineChars="0"/>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spacing w:val="7"/>
                      <w:sz w:val="21"/>
                      <w:szCs w:val="21"/>
                    </w:rPr>
                    <w:t>氨化装置</w:t>
                  </w:r>
                </w:p>
              </w:tc>
              <w:tc>
                <w:tcPr>
                  <w:tcW w:w="2173" w:type="dxa"/>
                  <w:tcBorders>
                    <w:tl2br w:val="nil"/>
                    <w:tr2bl w:val="nil"/>
                  </w:tcBorders>
                  <w:noWrap w:val="0"/>
                  <w:vAlign w:val="center"/>
                </w:tcPr>
                <w:p w14:paraId="68056F31">
                  <w:pPr>
                    <w:pStyle w:val="81"/>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磷肥制造（2622）</w:t>
                  </w:r>
                </w:p>
              </w:tc>
            </w:tr>
            <w:tr w14:paraId="34B9E0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170C7507">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7</w:t>
                  </w:r>
                </w:p>
              </w:tc>
              <w:tc>
                <w:tcPr>
                  <w:tcW w:w="606" w:type="dxa"/>
                  <w:tcBorders>
                    <w:tl2br w:val="nil"/>
                    <w:tr2bl w:val="nil"/>
                  </w:tcBorders>
                  <w:noWrap w:val="0"/>
                  <w:vAlign w:val="center"/>
                </w:tcPr>
                <w:p w14:paraId="13F6C77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水泥</w:t>
                  </w:r>
                </w:p>
              </w:tc>
              <w:tc>
                <w:tcPr>
                  <w:tcW w:w="2270" w:type="dxa"/>
                  <w:tcBorders>
                    <w:tl2br w:val="nil"/>
                    <w:tr2bl w:val="nil"/>
                  </w:tcBorders>
                  <w:noWrap w:val="0"/>
                  <w:vAlign w:val="center"/>
                </w:tcPr>
                <w:p w14:paraId="1ABB2D4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水泥熟料</w:t>
                  </w:r>
                </w:p>
              </w:tc>
              <w:tc>
                <w:tcPr>
                  <w:tcW w:w="1866" w:type="dxa"/>
                  <w:tcBorders>
                    <w:tl2br w:val="nil"/>
                    <w:tr2bl w:val="nil"/>
                  </w:tcBorders>
                  <w:noWrap w:val="0"/>
                  <w:vAlign w:val="center"/>
                </w:tcPr>
                <w:p w14:paraId="1E5DE35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水泥窑</w:t>
                  </w:r>
                </w:p>
              </w:tc>
              <w:tc>
                <w:tcPr>
                  <w:tcW w:w="2173" w:type="dxa"/>
                  <w:tcBorders>
                    <w:tl2br w:val="nil"/>
                    <w:tr2bl w:val="nil"/>
                  </w:tcBorders>
                  <w:noWrap w:val="0"/>
                  <w:vAlign w:val="center"/>
                </w:tcPr>
                <w:p w14:paraId="30B786B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水泥制造（3011）</w:t>
                  </w:r>
                </w:p>
              </w:tc>
            </w:tr>
            <w:tr w14:paraId="47772A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2BB79B5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8</w:t>
                  </w:r>
                </w:p>
              </w:tc>
              <w:tc>
                <w:tcPr>
                  <w:tcW w:w="606" w:type="dxa"/>
                  <w:tcBorders>
                    <w:tl2br w:val="nil"/>
                    <w:tr2bl w:val="nil"/>
                  </w:tcBorders>
                  <w:noWrap w:val="0"/>
                  <w:vAlign w:val="center"/>
                </w:tcPr>
                <w:p w14:paraId="6CBEF3A8">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石灰</w:t>
                  </w:r>
                </w:p>
              </w:tc>
              <w:tc>
                <w:tcPr>
                  <w:tcW w:w="2270" w:type="dxa"/>
                  <w:tcBorders>
                    <w:tl2br w:val="nil"/>
                    <w:tr2bl w:val="nil"/>
                  </w:tcBorders>
                  <w:noWrap w:val="0"/>
                  <w:vAlign w:val="center"/>
                </w:tcPr>
                <w:p w14:paraId="2A1B569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生石灰、消石灰、水硬石灰</w:t>
                  </w:r>
                </w:p>
              </w:tc>
              <w:tc>
                <w:tcPr>
                  <w:tcW w:w="1866" w:type="dxa"/>
                  <w:tcBorders>
                    <w:tl2br w:val="nil"/>
                    <w:tr2bl w:val="nil"/>
                  </w:tcBorders>
                  <w:noWrap w:val="0"/>
                  <w:vAlign w:val="center"/>
                </w:tcPr>
                <w:p w14:paraId="49751C9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石灰窑</w:t>
                  </w:r>
                </w:p>
              </w:tc>
              <w:tc>
                <w:tcPr>
                  <w:tcW w:w="2173" w:type="dxa"/>
                  <w:tcBorders>
                    <w:tl2br w:val="nil"/>
                    <w:tr2bl w:val="nil"/>
                  </w:tcBorders>
                  <w:noWrap w:val="0"/>
                  <w:vAlign w:val="center"/>
                </w:tcPr>
                <w:p w14:paraId="5B8E7B6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石灰和石膏制造（3012）</w:t>
                  </w:r>
                </w:p>
              </w:tc>
            </w:tr>
            <w:tr w14:paraId="42C0A6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6008EA2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9</w:t>
                  </w:r>
                </w:p>
              </w:tc>
              <w:tc>
                <w:tcPr>
                  <w:tcW w:w="606" w:type="dxa"/>
                  <w:tcBorders>
                    <w:tl2br w:val="nil"/>
                    <w:tr2bl w:val="nil"/>
                  </w:tcBorders>
                  <w:noWrap w:val="0"/>
                  <w:vAlign w:val="center"/>
                </w:tcPr>
                <w:p w14:paraId="47020DBD">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粘土砖瓦</w:t>
                  </w:r>
                </w:p>
              </w:tc>
              <w:tc>
                <w:tcPr>
                  <w:tcW w:w="2270" w:type="dxa"/>
                  <w:tcBorders>
                    <w:tl2br w:val="nil"/>
                    <w:tr2bl w:val="nil"/>
                  </w:tcBorders>
                  <w:noWrap w:val="0"/>
                  <w:vAlign w:val="center"/>
                </w:tcPr>
                <w:p w14:paraId="3617976F">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烧结砖、烧结瓦，不包括资源综合利用烧结砖瓦</w:t>
                  </w:r>
                </w:p>
              </w:tc>
              <w:tc>
                <w:tcPr>
                  <w:tcW w:w="1866" w:type="dxa"/>
                  <w:tcBorders>
                    <w:tl2br w:val="nil"/>
                    <w:tr2bl w:val="nil"/>
                  </w:tcBorders>
                  <w:noWrap w:val="0"/>
                  <w:vAlign w:val="center"/>
                </w:tcPr>
                <w:p w14:paraId="384F0319">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砖瓦窑</w:t>
                  </w:r>
                </w:p>
              </w:tc>
              <w:tc>
                <w:tcPr>
                  <w:tcW w:w="2173" w:type="dxa"/>
                  <w:tcBorders>
                    <w:tl2br w:val="nil"/>
                    <w:tr2bl w:val="nil"/>
                  </w:tcBorders>
                  <w:noWrap w:val="0"/>
                  <w:vAlign w:val="center"/>
                </w:tcPr>
                <w:p w14:paraId="35E40292">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黏土砖瓦及建筑砌块制造（3031）</w:t>
                  </w:r>
                </w:p>
              </w:tc>
            </w:tr>
            <w:tr w14:paraId="17CDE1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7F30B12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10</w:t>
                  </w:r>
                </w:p>
              </w:tc>
              <w:tc>
                <w:tcPr>
                  <w:tcW w:w="606" w:type="dxa"/>
                  <w:tcBorders>
                    <w:tl2br w:val="nil"/>
                    <w:tr2bl w:val="nil"/>
                  </w:tcBorders>
                  <w:noWrap w:val="0"/>
                  <w:vAlign w:val="center"/>
                </w:tcPr>
                <w:p w14:paraId="45FFBCA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平板玻璃</w:t>
                  </w:r>
                </w:p>
              </w:tc>
              <w:tc>
                <w:tcPr>
                  <w:tcW w:w="2270" w:type="dxa"/>
                  <w:tcBorders>
                    <w:tl2br w:val="nil"/>
                    <w:tr2bl w:val="nil"/>
                  </w:tcBorders>
                  <w:noWrap w:val="0"/>
                  <w:vAlign w:val="center"/>
                </w:tcPr>
                <w:p w14:paraId="5F0EB77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浮法平板玻璃</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val="en-US" w:eastAsia="zh-CN" w:bidi="ar"/>
                    </w:rPr>
                    <w:t>不包括基板玻璃</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bidi="ar"/>
                    </w:rPr>
                    <w:t>，压延玻璃</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bidi="ar"/>
                    </w:rPr>
                    <w:t>不包括光伏压延玻璃、</w:t>
                  </w:r>
                  <w:r>
                    <w:rPr>
                      <w:rFonts w:hint="default" w:ascii="Times New Roman" w:hAnsi="Times New Roman" w:cs="Times New Roman"/>
                      <w:color w:val="auto"/>
                      <w:kern w:val="0"/>
                      <w:sz w:val="21"/>
                      <w:szCs w:val="21"/>
                      <w:lang w:val="en-US" w:eastAsia="zh-CN" w:bidi="ar"/>
                    </w:rPr>
                    <w:t>微晶</w:t>
                  </w:r>
                  <w:r>
                    <w:rPr>
                      <w:rFonts w:hint="default" w:ascii="Times New Roman" w:hAnsi="Times New Roman" w:cs="Times New Roman"/>
                      <w:color w:val="auto"/>
                      <w:kern w:val="0"/>
                      <w:sz w:val="21"/>
                      <w:szCs w:val="21"/>
                      <w:lang w:bidi="ar"/>
                    </w:rPr>
                    <w:t>玻璃</w:t>
                  </w:r>
                  <w:r>
                    <w:rPr>
                      <w:rFonts w:hint="default" w:ascii="Times New Roman" w:hAnsi="Times New Roman" w:cs="Times New Roman"/>
                      <w:color w:val="auto"/>
                      <w:kern w:val="0"/>
                      <w:sz w:val="21"/>
                      <w:szCs w:val="21"/>
                      <w:lang w:eastAsia="zh-CN" w:bidi="ar"/>
                    </w:rPr>
                    <w:t>）</w:t>
                  </w:r>
                </w:p>
              </w:tc>
              <w:tc>
                <w:tcPr>
                  <w:tcW w:w="1866" w:type="dxa"/>
                  <w:tcBorders>
                    <w:tl2br w:val="nil"/>
                    <w:tr2bl w:val="nil"/>
                  </w:tcBorders>
                  <w:noWrap w:val="0"/>
                  <w:vAlign w:val="center"/>
                </w:tcPr>
                <w:p w14:paraId="7BEAF48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玻璃熔炉</w:t>
                  </w:r>
                </w:p>
              </w:tc>
              <w:tc>
                <w:tcPr>
                  <w:tcW w:w="2173" w:type="dxa"/>
                  <w:tcBorders>
                    <w:tl2br w:val="nil"/>
                    <w:tr2bl w:val="nil"/>
                  </w:tcBorders>
                  <w:noWrap w:val="0"/>
                  <w:vAlign w:val="center"/>
                </w:tcPr>
                <w:p w14:paraId="34E3399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平板玻璃制造（3041）</w:t>
                  </w:r>
                </w:p>
              </w:tc>
            </w:tr>
            <w:tr w14:paraId="04B131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58326AD0">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11</w:t>
                  </w:r>
                </w:p>
              </w:tc>
              <w:tc>
                <w:tcPr>
                  <w:tcW w:w="606" w:type="dxa"/>
                  <w:tcBorders>
                    <w:tl2br w:val="nil"/>
                    <w:tr2bl w:val="nil"/>
                  </w:tcBorders>
                  <w:noWrap w:val="0"/>
                  <w:vAlign w:val="center"/>
                </w:tcPr>
                <w:p w14:paraId="463A2B21">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玻璃纤维</w:t>
                  </w:r>
                </w:p>
              </w:tc>
              <w:tc>
                <w:tcPr>
                  <w:tcW w:w="2270" w:type="dxa"/>
                  <w:tcBorders>
                    <w:tl2br w:val="nil"/>
                    <w:tr2bl w:val="nil"/>
                  </w:tcBorders>
                  <w:noWrap w:val="0"/>
                  <w:vAlign w:val="center"/>
                </w:tcPr>
                <w:p w14:paraId="5B998F8B">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玻璃纤维</w:t>
                  </w:r>
                </w:p>
              </w:tc>
              <w:tc>
                <w:tcPr>
                  <w:tcW w:w="1866" w:type="dxa"/>
                  <w:tcBorders>
                    <w:tl2br w:val="nil"/>
                    <w:tr2bl w:val="nil"/>
                  </w:tcBorders>
                  <w:noWrap w:val="0"/>
                  <w:vAlign w:val="center"/>
                </w:tcPr>
                <w:p w14:paraId="0DC6F742">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玻璃纤维熔炉</w:t>
                  </w:r>
                </w:p>
              </w:tc>
              <w:tc>
                <w:tcPr>
                  <w:tcW w:w="2173" w:type="dxa"/>
                  <w:tcBorders>
                    <w:tl2br w:val="nil"/>
                    <w:tr2bl w:val="nil"/>
                  </w:tcBorders>
                  <w:noWrap w:val="0"/>
                  <w:vAlign w:val="center"/>
                </w:tcPr>
                <w:p w14:paraId="6D50AE8B">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玻璃纤维及制品制造（3061）</w:t>
                  </w:r>
                </w:p>
              </w:tc>
            </w:tr>
            <w:tr w14:paraId="082880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47668158">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12</w:t>
                  </w:r>
                </w:p>
              </w:tc>
              <w:tc>
                <w:tcPr>
                  <w:tcW w:w="606" w:type="dxa"/>
                  <w:vMerge w:val="restart"/>
                  <w:tcBorders>
                    <w:tl2br w:val="nil"/>
                    <w:tr2bl w:val="nil"/>
                  </w:tcBorders>
                  <w:noWrap w:val="0"/>
                  <w:vAlign w:val="center"/>
                </w:tcPr>
                <w:p w14:paraId="0374648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陶瓷</w:t>
                  </w:r>
                </w:p>
              </w:tc>
              <w:tc>
                <w:tcPr>
                  <w:tcW w:w="2270" w:type="dxa"/>
                  <w:tcBorders>
                    <w:tl2br w:val="nil"/>
                    <w:tr2bl w:val="nil"/>
                  </w:tcBorders>
                  <w:noWrap w:val="0"/>
                  <w:vAlign w:val="center"/>
                </w:tcPr>
                <w:p w14:paraId="3A10628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建筑陶瓷，不包括非经高温烧结的发泡陶瓷板等</w:t>
                  </w:r>
                </w:p>
              </w:tc>
              <w:tc>
                <w:tcPr>
                  <w:tcW w:w="1866" w:type="dxa"/>
                  <w:tcBorders>
                    <w:tl2br w:val="nil"/>
                    <w:tr2bl w:val="nil"/>
                  </w:tcBorders>
                  <w:noWrap w:val="0"/>
                  <w:vAlign w:val="center"/>
                </w:tcPr>
                <w:p w14:paraId="3CBC92F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辊道和隧道窑</w:t>
                  </w:r>
                </w:p>
              </w:tc>
              <w:tc>
                <w:tcPr>
                  <w:tcW w:w="2173" w:type="dxa"/>
                  <w:tcBorders>
                    <w:tl2br w:val="nil"/>
                    <w:tr2bl w:val="nil"/>
                  </w:tcBorders>
                  <w:noWrap w:val="0"/>
                  <w:vAlign w:val="center"/>
                </w:tcPr>
                <w:p w14:paraId="1E8A7DF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建筑陶瓷制品制造（3071）</w:t>
                  </w:r>
                </w:p>
              </w:tc>
            </w:tr>
            <w:tr w14:paraId="7B3735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747FA980">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70CA4DE">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0E0715C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卫生陶瓷</w:t>
                  </w:r>
                </w:p>
              </w:tc>
              <w:tc>
                <w:tcPr>
                  <w:tcW w:w="1866" w:type="dxa"/>
                  <w:tcBorders>
                    <w:tl2br w:val="nil"/>
                    <w:tr2bl w:val="nil"/>
                  </w:tcBorders>
                  <w:noWrap w:val="0"/>
                  <w:vAlign w:val="center"/>
                </w:tcPr>
                <w:p w14:paraId="3A0A16A8">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隧道窑</w:t>
                  </w:r>
                </w:p>
              </w:tc>
              <w:tc>
                <w:tcPr>
                  <w:tcW w:w="2173" w:type="dxa"/>
                  <w:tcBorders>
                    <w:tl2br w:val="nil"/>
                    <w:tr2bl w:val="nil"/>
                  </w:tcBorders>
                  <w:noWrap w:val="0"/>
                  <w:vAlign w:val="center"/>
                </w:tcPr>
                <w:p w14:paraId="1E102E6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卫生陶瓷制品制造（3072）</w:t>
                  </w:r>
                </w:p>
              </w:tc>
            </w:tr>
            <w:tr w14:paraId="584F5F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5528F9E8">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13</w:t>
                  </w:r>
                </w:p>
              </w:tc>
              <w:tc>
                <w:tcPr>
                  <w:tcW w:w="606" w:type="dxa"/>
                  <w:tcBorders>
                    <w:tl2br w:val="nil"/>
                    <w:tr2bl w:val="nil"/>
                  </w:tcBorders>
                  <w:noWrap w:val="0"/>
                  <w:vAlign w:val="center"/>
                </w:tcPr>
                <w:p w14:paraId="36AF6804">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耐火材料</w:t>
                  </w:r>
                </w:p>
              </w:tc>
              <w:tc>
                <w:tcPr>
                  <w:tcW w:w="2270" w:type="dxa"/>
                  <w:tcBorders>
                    <w:tl2br w:val="nil"/>
                    <w:tr2bl w:val="nil"/>
                  </w:tcBorders>
                  <w:noWrap w:val="0"/>
                  <w:vAlign w:val="center"/>
                </w:tcPr>
                <w:p w14:paraId="5881A0F2">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耐火材料</w:t>
                  </w:r>
                </w:p>
              </w:tc>
              <w:tc>
                <w:tcPr>
                  <w:tcW w:w="1866" w:type="dxa"/>
                  <w:tcBorders>
                    <w:tl2br w:val="nil"/>
                    <w:tr2bl w:val="nil"/>
                  </w:tcBorders>
                  <w:noWrap w:val="0"/>
                  <w:vAlign w:val="center"/>
                </w:tcPr>
                <w:p w14:paraId="4B14DA9E">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耐火材料高温窑炉</w:t>
                  </w:r>
                </w:p>
              </w:tc>
              <w:tc>
                <w:tcPr>
                  <w:tcW w:w="2173" w:type="dxa"/>
                  <w:tcBorders>
                    <w:tl2br w:val="nil"/>
                    <w:tr2bl w:val="nil"/>
                  </w:tcBorders>
                  <w:noWrap w:val="0"/>
                  <w:vAlign w:val="center"/>
                </w:tcPr>
                <w:p w14:paraId="403F931C">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耐火材料制品及其他耐火材料制造（3089）</w:t>
                  </w:r>
                </w:p>
              </w:tc>
            </w:tr>
            <w:tr w14:paraId="6E54B5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0C56D7A3">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14</w:t>
                  </w:r>
                </w:p>
              </w:tc>
              <w:tc>
                <w:tcPr>
                  <w:tcW w:w="606" w:type="dxa"/>
                  <w:tcBorders>
                    <w:tl2br w:val="nil"/>
                    <w:tr2bl w:val="nil"/>
                  </w:tcBorders>
                  <w:noWrap w:val="0"/>
                  <w:vAlign w:val="center"/>
                </w:tcPr>
                <w:p w14:paraId="64E55D8C">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石墨及碳素</w:t>
                  </w:r>
                </w:p>
              </w:tc>
              <w:tc>
                <w:tcPr>
                  <w:tcW w:w="2270" w:type="dxa"/>
                  <w:tcBorders>
                    <w:tl2br w:val="nil"/>
                    <w:tr2bl w:val="nil"/>
                  </w:tcBorders>
                  <w:noWrap w:val="0"/>
                  <w:vAlign w:val="center"/>
                </w:tcPr>
                <w:p w14:paraId="56025335">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碳块、碳电极、碳糊、铝用碳素（不包括天然石墨及制品）</w:t>
                  </w:r>
                </w:p>
              </w:tc>
              <w:tc>
                <w:tcPr>
                  <w:tcW w:w="1866" w:type="dxa"/>
                  <w:tcBorders>
                    <w:tl2br w:val="nil"/>
                    <w:tr2bl w:val="nil"/>
                  </w:tcBorders>
                  <w:noWrap w:val="0"/>
                  <w:vAlign w:val="center"/>
                </w:tcPr>
                <w:p w14:paraId="047F62CD">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煅烧炉、焙烧炉、石墨化炉</w:t>
                  </w:r>
                </w:p>
              </w:tc>
              <w:tc>
                <w:tcPr>
                  <w:tcW w:w="2173" w:type="dxa"/>
                  <w:tcBorders>
                    <w:tl2br w:val="nil"/>
                    <w:tr2bl w:val="nil"/>
                  </w:tcBorders>
                  <w:noWrap w:val="0"/>
                  <w:vAlign w:val="center"/>
                </w:tcPr>
                <w:p w14:paraId="75F86050">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石墨及碳素制品制造（3091）</w:t>
                  </w:r>
                </w:p>
              </w:tc>
            </w:tr>
            <w:tr w14:paraId="2B35C8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556" w:type="dxa"/>
                  <w:tcBorders>
                    <w:tl2br w:val="nil"/>
                    <w:tr2bl w:val="nil"/>
                  </w:tcBorders>
                  <w:noWrap w:val="0"/>
                  <w:vAlign w:val="center"/>
                </w:tcPr>
                <w:p w14:paraId="7C07D63F">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15</w:t>
                  </w:r>
                </w:p>
              </w:tc>
              <w:tc>
                <w:tcPr>
                  <w:tcW w:w="606" w:type="dxa"/>
                  <w:tcBorders>
                    <w:tl2br w:val="nil"/>
                    <w:tr2bl w:val="nil"/>
                  </w:tcBorders>
                  <w:noWrap w:val="0"/>
                  <w:vAlign w:val="center"/>
                </w:tcPr>
                <w:p w14:paraId="5BD622B8">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晶体硅</w:t>
                  </w:r>
                </w:p>
              </w:tc>
              <w:tc>
                <w:tcPr>
                  <w:tcW w:w="2270" w:type="dxa"/>
                  <w:tcBorders>
                    <w:tl2br w:val="nil"/>
                    <w:tr2bl w:val="nil"/>
                  </w:tcBorders>
                  <w:noWrap w:val="0"/>
                  <w:vAlign w:val="center"/>
                </w:tcPr>
                <w:p w14:paraId="4077184B">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多晶硅、单晶硅</w:t>
                  </w:r>
                </w:p>
              </w:tc>
              <w:tc>
                <w:tcPr>
                  <w:tcW w:w="1866" w:type="dxa"/>
                  <w:tcBorders>
                    <w:tl2br w:val="nil"/>
                    <w:tr2bl w:val="nil"/>
                  </w:tcBorders>
                  <w:noWrap w:val="0"/>
                  <w:vAlign w:val="center"/>
                </w:tcPr>
                <w:p w14:paraId="37C2B7D2">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单晶炉、还原炉、精馏塔</w:t>
                  </w:r>
                </w:p>
              </w:tc>
              <w:tc>
                <w:tcPr>
                  <w:tcW w:w="2173" w:type="dxa"/>
                  <w:tcBorders>
                    <w:tl2br w:val="nil"/>
                    <w:tr2bl w:val="nil"/>
                  </w:tcBorders>
                  <w:noWrap w:val="0"/>
                  <w:vAlign w:val="center"/>
                </w:tcPr>
                <w:p w14:paraId="584AD4FA">
                  <w:pPr>
                    <w:pStyle w:val="81"/>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其他非金属矿物制品制造（3099）</w:t>
                  </w:r>
                </w:p>
              </w:tc>
            </w:tr>
            <w:tr w14:paraId="527BE8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00768920">
                  <w:pPr>
                    <w:pStyle w:val="81"/>
                    <w:rPr>
                      <w:rFonts w:hint="default" w:ascii="Times New Roman" w:hAnsi="Times New Roman" w:eastAsia="宋体" w:cs="Times New Roman"/>
                      <w:color w:val="auto"/>
                      <w:kern w:val="0"/>
                      <w:sz w:val="21"/>
                      <w:szCs w:val="21"/>
                      <w:lang w:eastAsia="zh-CN" w:bidi="ar"/>
                    </w:rPr>
                  </w:pPr>
                  <w:r>
                    <w:rPr>
                      <w:rFonts w:hint="default" w:ascii="Times New Roman" w:hAnsi="Times New Roman" w:cs="Times New Roman"/>
                      <w:color w:val="auto"/>
                      <w:kern w:val="0"/>
                      <w:sz w:val="21"/>
                      <w:szCs w:val="21"/>
                      <w:lang w:bidi="ar"/>
                    </w:rPr>
                    <w:t>1</w:t>
                  </w:r>
                  <w:r>
                    <w:rPr>
                      <w:rFonts w:hint="default" w:ascii="Times New Roman" w:hAnsi="Times New Roman" w:cs="Times New Roman"/>
                      <w:color w:val="auto"/>
                      <w:kern w:val="0"/>
                      <w:sz w:val="21"/>
                      <w:szCs w:val="21"/>
                      <w:lang w:val="en-US" w:eastAsia="zh-CN" w:bidi="ar"/>
                    </w:rPr>
                    <w:t>6</w:t>
                  </w:r>
                </w:p>
              </w:tc>
              <w:tc>
                <w:tcPr>
                  <w:tcW w:w="606" w:type="dxa"/>
                  <w:vMerge w:val="restart"/>
                  <w:tcBorders>
                    <w:tl2br w:val="nil"/>
                    <w:tr2bl w:val="nil"/>
                  </w:tcBorders>
                  <w:noWrap w:val="0"/>
                  <w:vAlign w:val="center"/>
                </w:tcPr>
                <w:p w14:paraId="45798E05">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钢铁</w:t>
                  </w:r>
                </w:p>
              </w:tc>
              <w:tc>
                <w:tcPr>
                  <w:tcW w:w="2270" w:type="dxa"/>
                  <w:tcBorders>
                    <w:tl2br w:val="nil"/>
                    <w:tr2bl w:val="nil"/>
                  </w:tcBorders>
                  <w:noWrap w:val="0"/>
                  <w:vAlign w:val="center"/>
                </w:tcPr>
                <w:p w14:paraId="27D54AD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炼钢用生铁、熔融还原铁</w:t>
                  </w:r>
                </w:p>
              </w:tc>
              <w:tc>
                <w:tcPr>
                  <w:tcW w:w="1866" w:type="dxa"/>
                  <w:tcBorders>
                    <w:tl2br w:val="nil"/>
                    <w:tr2bl w:val="nil"/>
                  </w:tcBorders>
                  <w:noWrap w:val="0"/>
                  <w:vAlign w:val="center"/>
                </w:tcPr>
                <w:p w14:paraId="3DFAE00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高炉、非高炉炼铁装置（氢还原除外）</w:t>
                  </w:r>
                </w:p>
              </w:tc>
              <w:tc>
                <w:tcPr>
                  <w:tcW w:w="2173" w:type="dxa"/>
                  <w:tcBorders>
                    <w:tl2br w:val="nil"/>
                    <w:tr2bl w:val="nil"/>
                  </w:tcBorders>
                  <w:noWrap w:val="0"/>
                  <w:vAlign w:val="center"/>
                </w:tcPr>
                <w:p w14:paraId="3CE50C4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炼铁（3110）</w:t>
                  </w:r>
                </w:p>
              </w:tc>
            </w:tr>
            <w:tr w14:paraId="2B3E72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6E197F10">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1F077170">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6836388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非合金钢粗钢、低合金钢粗钢、合金钢粗钢</w:t>
                  </w:r>
                </w:p>
              </w:tc>
              <w:tc>
                <w:tcPr>
                  <w:tcW w:w="1866" w:type="dxa"/>
                  <w:tcBorders>
                    <w:tl2br w:val="nil"/>
                    <w:tr2bl w:val="nil"/>
                  </w:tcBorders>
                  <w:noWrap w:val="0"/>
                  <w:vAlign w:val="center"/>
                </w:tcPr>
                <w:p w14:paraId="22857E9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转炉</w:t>
                  </w:r>
                </w:p>
              </w:tc>
              <w:tc>
                <w:tcPr>
                  <w:tcW w:w="2173" w:type="dxa"/>
                  <w:tcBorders>
                    <w:tl2br w:val="nil"/>
                    <w:tr2bl w:val="nil"/>
                  </w:tcBorders>
                  <w:noWrap w:val="0"/>
                  <w:vAlign w:val="center"/>
                </w:tcPr>
                <w:p w14:paraId="483C8C1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炼钢（3120）</w:t>
                  </w:r>
                </w:p>
              </w:tc>
            </w:tr>
            <w:tr w14:paraId="6660FA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41BCBA71">
                  <w:pPr>
                    <w:pStyle w:val="81"/>
                    <w:rPr>
                      <w:rFonts w:hint="default" w:ascii="Times New Roman" w:hAnsi="Times New Roman" w:eastAsia="宋体" w:cs="Times New Roman"/>
                      <w:color w:val="auto"/>
                      <w:kern w:val="0"/>
                      <w:sz w:val="21"/>
                      <w:szCs w:val="21"/>
                      <w:lang w:eastAsia="zh-CN" w:bidi="ar"/>
                    </w:rPr>
                  </w:pPr>
                  <w:r>
                    <w:rPr>
                      <w:rFonts w:hint="default" w:ascii="Times New Roman" w:hAnsi="Times New Roman" w:cs="Times New Roman"/>
                      <w:color w:val="auto"/>
                      <w:kern w:val="0"/>
                      <w:sz w:val="21"/>
                      <w:szCs w:val="21"/>
                      <w:lang w:bidi="ar"/>
                    </w:rPr>
                    <w:t>1</w:t>
                  </w:r>
                  <w:r>
                    <w:rPr>
                      <w:rFonts w:hint="default" w:ascii="Times New Roman" w:hAnsi="Times New Roman" w:cs="Times New Roman"/>
                      <w:color w:val="auto"/>
                      <w:kern w:val="0"/>
                      <w:sz w:val="21"/>
                      <w:szCs w:val="21"/>
                      <w:lang w:val="en-US" w:eastAsia="zh-CN" w:bidi="ar"/>
                    </w:rPr>
                    <w:t>7</w:t>
                  </w:r>
                </w:p>
              </w:tc>
              <w:tc>
                <w:tcPr>
                  <w:tcW w:w="606" w:type="dxa"/>
                  <w:tcBorders>
                    <w:tl2br w:val="nil"/>
                    <w:tr2bl w:val="nil"/>
                  </w:tcBorders>
                  <w:noWrap w:val="0"/>
                  <w:vAlign w:val="center"/>
                </w:tcPr>
                <w:p w14:paraId="71D1508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铸造用生铁</w:t>
                  </w:r>
                </w:p>
              </w:tc>
              <w:tc>
                <w:tcPr>
                  <w:tcW w:w="2270" w:type="dxa"/>
                  <w:tcBorders>
                    <w:tl2br w:val="nil"/>
                    <w:tr2bl w:val="nil"/>
                  </w:tcBorders>
                  <w:noWrap w:val="0"/>
                  <w:vAlign w:val="center"/>
                </w:tcPr>
                <w:p w14:paraId="2A386E8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铸造用生铁</w:t>
                  </w:r>
                </w:p>
              </w:tc>
              <w:tc>
                <w:tcPr>
                  <w:tcW w:w="1866" w:type="dxa"/>
                  <w:tcBorders>
                    <w:tl2br w:val="nil"/>
                    <w:tr2bl w:val="nil"/>
                  </w:tcBorders>
                  <w:noWrap w:val="0"/>
                  <w:vAlign w:val="center"/>
                </w:tcPr>
                <w:p w14:paraId="2F175D8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高炉</w:t>
                  </w:r>
                </w:p>
              </w:tc>
              <w:tc>
                <w:tcPr>
                  <w:tcW w:w="2173" w:type="dxa"/>
                  <w:tcBorders>
                    <w:tl2br w:val="nil"/>
                    <w:tr2bl w:val="nil"/>
                  </w:tcBorders>
                  <w:noWrap w:val="0"/>
                  <w:vAlign w:val="center"/>
                </w:tcPr>
                <w:p w14:paraId="78E9A68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炼铁（3110）</w:t>
                  </w:r>
                </w:p>
              </w:tc>
            </w:tr>
            <w:tr w14:paraId="6F8D67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tcBorders>
                    <w:tl2br w:val="nil"/>
                    <w:tr2bl w:val="nil"/>
                  </w:tcBorders>
                  <w:noWrap w:val="0"/>
                  <w:vAlign w:val="center"/>
                </w:tcPr>
                <w:p w14:paraId="210864BA">
                  <w:pPr>
                    <w:pStyle w:val="81"/>
                    <w:rPr>
                      <w:rFonts w:hint="default" w:ascii="Times New Roman" w:hAnsi="Times New Roman" w:eastAsia="宋体" w:cs="Times New Roman"/>
                      <w:color w:val="auto"/>
                      <w:kern w:val="0"/>
                      <w:sz w:val="21"/>
                      <w:szCs w:val="21"/>
                      <w:lang w:eastAsia="zh-CN" w:bidi="ar"/>
                    </w:rPr>
                  </w:pPr>
                  <w:r>
                    <w:rPr>
                      <w:rFonts w:hint="default" w:ascii="Times New Roman" w:hAnsi="Times New Roman" w:cs="Times New Roman"/>
                      <w:color w:val="auto"/>
                      <w:kern w:val="0"/>
                      <w:sz w:val="21"/>
                      <w:szCs w:val="21"/>
                      <w:lang w:bidi="ar"/>
                    </w:rPr>
                    <w:t>1</w:t>
                  </w:r>
                  <w:r>
                    <w:rPr>
                      <w:rFonts w:hint="default" w:ascii="Times New Roman" w:hAnsi="Times New Roman" w:cs="Times New Roman"/>
                      <w:color w:val="auto"/>
                      <w:kern w:val="0"/>
                      <w:sz w:val="21"/>
                      <w:szCs w:val="21"/>
                      <w:lang w:val="en-US" w:eastAsia="zh-CN" w:bidi="ar"/>
                    </w:rPr>
                    <w:t>8</w:t>
                  </w:r>
                </w:p>
              </w:tc>
              <w:tc>
                <w:tcPr>
                  <w:tcW w:w="606" w:type="dxa"/>
                  <w:tcBorders>
                    <w:tl2br w:val="nil"/>
                    <w:tr2bl w:val="nil"/>
                  </w:tcBorders>
                  <w:noWrap w:val="0"/>
                  <w:vAlign w:val="center"/>
                </w:tcPr>
                <w:p w14:paraId="65A855A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铁合金</w:t>
                  </w:r>
                </w:p>
              </w:tc>
              <w:tc>
                <w:tcPr>
                  <w:tcW w:w="2270" w:type="dxa"/>
                  <w:tcBorders>
                    <w:tl2br w:val="nil"/>
                    <w:tr2bl w:val="nil"/>
                  </w:tcBorders>
                  <w:noWrap w:val="0"/>
                  <w:vAlign w:val="center"/>
                </w:tcPr>
                <w:p w14:paraId="090957CC">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硅铁、锰硅合金、高碳铬铁、镍铁及其他铁合金产品</w:t>
                  </w:r>
                </w:p>
              </w:tc>
              <w:tc>
                <w:tcPr>
                  <w:tcW w:w="1866" w:type="dxa"/>
                  <w:tcBorders>
                    <w:tl2br w:val="nil"/>
                    <w:tr2bl w:val="nil"/>
                  </w:tcBorders>
                  <w:noWrap w:val="0"/>
                  <w:vAlign w:val="center"/>
                </w:tcPr>
                <w:p w14:paraId="65147DB5">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矿热炉、电弧炉、高炉</w:t>
                  </w:r>
                </w:p>
              </w:tc>
              <w:tc>
                <w:tcPr>
                  <w:tcW w:w="2173" w:type="dxa"/>
                  <w:tcBorders>
                    <w:tl2br w:val="nil"/>
                    <w:tr2bl w:val="nil"/>
                  </w:tcBorders>
                  <w:noWrap w:val="0"/>
                  <w:vAlign w:val="center"/>
                </w:tcPr>
                <w:p w14:paraId="10FE8286">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铁合金冶炼（3140）</w:t>
                  </w:r>
                </w:p>
              </w:tc>
            </w:tr>
            <w:tr w14:paraId="0C3F22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0328B7F5">
                  <w:pPr>
                    <w:pStyle w:val="81"/>
                    <w:rPr>
                      <w:rFonts w:hint="default" w:ascii="Times New Roman" w:hAnsi="Times New Roman" w:eastAsia="宋体" w:cs="Times New Roman"/>
                      <w:color w:val="auto"/>
                      <w:kern w:val="0"/>
                      <w:sz w:val="21"/>
                      <w:szCs w:val="21"/>
                      <w:lang w:eastAsia="zh-CN" w:bidi="ar"/>
                    </w:rPr>
                  </w:pPr>
                  <w:r>
                    <w:rPr>
                      <w:rFonts w:hint="default" w:ascii="Times New Roman" w:hAnsi="Times New Roman" w:cs="Times New Roman"/>
                      <w:color w:val="auto"/>
                      <w:kern w:val="0"/>
                      <w:sz w:val="21"/>
                      <w:szCs w:val="21"/>
                      <w:lang w:bidi="ar"/>
                    </w:rPr>
                    <w:t>1</w:t>
                  </w:r>
                  <w:r>
                    <w:rPr>
                      <w:rFonts w:hint="default" w:ascii="Times New Roman" w:hAnsi="Times New Roman" w:cs="Times New Roman"/>
                      <w:color w:val="auto"/>
                      <w:kern w:val="0"/>
                      <w:sz w:val="21"/>
                      <w:szCs w:val="21"/>
                      <w:lang w:val="en-US" w:eastAsia="zh-CN" w:bidi="ar"/>
                    </w:rPr>
                    <w:t>9</w:t>
                  </w:r>
                </w:p>
              </w:tc>
              <w:tc>
                <w:tcPr>
                  <w:tcW w:w="606" w:type="dxa"/>
                  <w:vMerge w:val="restart"/>
                  <w:tcBorders>
                    <w:tl2br w:val="nil"/>
                    <w:tr2bl w:val="nil"/>
                  </w:tcBorders>
                  <w:noWrap w:val="0"/>
                  <w:vAlign w:val="center"/>
                </w:tcPr>
                <w:p w14:paraId="5667162B">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有色</w:t>
                  </w:r>
                </w:p>
              </w:tc>
              <w:tc>
                <w:tcPr>
                  <w:tcW w:w="2270" w:type="dxa"/>
                  <w:tcBorders>
                    <w:tl2br w:val="nil"/>
                    <w:tr2bl w:val="nil"/>
                  </w:tcBorders>
                  <w:noWrap w:val="0"/>
                  <w:vAlign w:val="center"/>
                </w:tcPr>
                <w:p w14:paraId="1B92944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氧化铝，不包括以铝酸钠、氢氧化铝或氧化铝为原料加工形成的非冶金级氧化铝</w:t>
                  </w:r>
                </w:p>
              </w:tc>
              <w:tc>
                <w:tcPr>
                  <w:tcW w:w="1866" w:type="dxa"/>
                  <w:tcBorders>
                    <w:tl2br w:val="nil"/>
                    <w:tr2bl w:val="nil"/>
                  </w:tcBorders>
                  <w:noWrap w:val="0"/>
                  <w:vAlign w:val="center"/>
                </w:tcPr>
                <w:p w14:paraId="59203A2E">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煅烧或焙烧炉</w:t>
                  </w:r>
                </w:p>
              </w:tc>
              <w:tc>
                <w:tcPr>
                  <w:tcW w:w="2173" w:type="dxa"/>
                  <w:tcBorders>
                    <w:tl2br w:val="nil"/>
                    <w:tr2bl w:val="nil"/>
                  </w:tcBorders>
                  <w:noWrap w:val="0"/>
                  <w:vAlign w:val="center"/>
                </w:tcPr>
                <w:p w14:paraId="72CAC2F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 xml:space="preserve">铝冶炼（3216） </w:t>
                  </w:r>
                </w:p>
              </w:tc>
            </w:tr>
            <w:tr w14:paraId="320444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2712D2BE">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7A47BBC0">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4A9F351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电解铝，不包括再生铝</w:t>
                  </w:r>
                </w:p>
              </w:tc>
              <w:tc>
                <w:tcPr>
                  <w:tcW w:w="1866" w:type="dxa"/>
                  <w:tcBorders>
                    <w:tl2br w:val="nil"/>
                    <w:tr2bl w:val="nil"/>
                  </w:tcBorders>
                  <w:noWrap w:val="0"/>
                  <w:vAlign w:val="center"/>
                </w:tcPr>
                <w:p w14:paraId="0B62B6FE">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电解槽</w:t>
                  </w:r>
                </w:p>
              </w:tc>
              <w:tc>
                <w:tcPr>
                  <w:tcW w:w="2173" w:type="dxa"/>
                  <w:tcBorders>
                    <w:tl2br w:val="nil"/>
                    <w:tr2bl w:val="nil"/>
                  </w:tcBorders>
                  <w:noWrap w:val="0"/>
                  <w:vAlign w:val="center"/>
                </w:tcPr>
                <w:p w14:paraId="1B39745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 xml:space="preserve">铝冶炼（3216） </w:t>
                  </w:r>
                </w:p>
              </w:tc>
            </w:tr>
            <w:tr w14:paraId="34F3B2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7E0044DA">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435BA6ED">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0E2FF87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阴极铜、阳极铜、粗铜、电解铜，不包括再生铜</w:t>
                  </w:r>
                </w:p>
              </w:tc>
              <w:tc>
                <w:tcPr>
                  <w:tcW w:w="1866" w:type="dxa"/>
                  <w:tcBorders>
                    <w:tl2br w:val="nil"/>
                    <w:tr2bl w:val="nil"/>
                  </w:tcBorders>
                  <w:noWrap w:val="0"/>
                  <w:vAlign w:val="center"/>
                </w:tcPr>
                <w:p w14:paraId="5CE41B0D">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电解槽</w:t>
                  </w:r>
                </w:p>
              </w:tc>
              <w:tc>
                <w:tcPr>
                  <w:tcW w:w="2173" w:type="dxa"/>
                  <w:tcBorders>
                    <w:tl2br w:val="nil"/>
                    <w:tr2bl w:val="nil"/>
                  </w:tcBorders>
                  <w:noWrap w:val="0"/>
                  <w:vAlign w:val="center"/>
                </w:tcPr>
                <w:p w14:paraId="5162B5D5">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铜冶炼（3211）</w:t>
                  </w:r>
                </w:p>
              </w:tc>
            </w:tr>
            <w:tr w14:paraId="74F18E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09EC7A3A">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11A7DBA5">
                  <w:pPr>
                    <w:pStyle w:val="81"/>
                    <w:rPr>
                      <w:rFonts w:hint="default" w:ascii="Times New Roman" w:hAnsi="Times New Roman" w:cs="Times New Roman"/>
                      <w:color w:val="auto"/>
                      <w:kern w:val="0"/>
                      <w:sz w:val="21"/>
                      <w:szCs w:val="21"/>
                      <w:lang w:bidi="ar"/>
                    </w:rPr>
                  </w:pPr>
                </w:p>
              </w:tc>
              <w:tc>
                <w:tcPr>
                  <w:tcW w:w="2270" w:type="dxa"/>
                  <w:tcBorders>
                    <w:tl2br w:val="nil"/>
                    <w:tr2bl w:val="nil"/>
                  </w:tcBorders>
                  <w:shd w:val="clear" w:color="auto" w:fill="auto"/>
                  <w:noWrap w:val="0"/>
                  <w:vAlign w:val="center"/>
                </w:tcPr>
                <w:p w14:paraId="26E53A58">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粗铅、电解铅、粗锌、电解锌，不包括再生有色资源冶炼</w:t>
                  </w:r>
                </w:p>
              </w:tc>
              <w:tc>
                <w:tcPr>
                  <w:tcW w:w="1866" w:type="dxa"/>
                  <w:tcBorders>
                    <w:tl2br w:val="nil"/>
                    <w:tr2bl w:val="nil"/>
                  </w:tcBorders>
                  <w:shd w:val="clear" w:color="auto" w:fill="auto"/>
                  <w:noWrap w:val="0"/>
                  <w:vAlign w:val="center"/>
                </w:tcPr>
                <w:p w14:paraId="581C1AD0">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电解槽</w:t>
                  </w:r>
                </w:p>
              </w:tc>
              <w:tc>
                <w:tcPr>
                  <w:tcW w:w="2173" w:type="dxa"/>
                  <w:tcBorders>
                    <w:tl2br w:val="nil"/>
                    <w:tr2bl w:val="nil"/>
                  </w:tcBorders>
                  <w:shd w:val="clear" w:color="auto" w:fill="auto"/>
                  <w:noWrap w:val="0"/>
                  <w:vAlign w:val="center"/>
                </w:tcPr>
                <w:p w14:paraId="28FF5D95">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铅锌冶炼（3212）</w:t>
                  </w:r>
                </w:p>
              </w:tc>
            </w:tr>
            <w:tr w14:paraId="1F5E9E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1490FD6E">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2AD65EDC">
                  <w:pPr>
                    <w:pStyle w:val="81"/>
                    <w:rPr>
                      <w:rFonts w:hint="default" w:ascii="Times New Roman" w:hAnsi="Times New Roman" w:cs="Times New Roman"/>
                      <w:color w:val="auto"/>
                      <w:kern w:val="0"/>
                      <w:sz w:val="21"/>
                      <w:szCs w:val="21"/>
                      <w:lang w:bidi="ar"/>
                    </w:rPr>
                  </w:pPr>
                </w:p>
              </w:tc>
              <w:tc>
                <w:tcPr>
                  <w:tcW w:w="2270" w:type="dxa"/>
                  <w:tcBorders>
                    <w:tl2br w:val="nil"/>
                    <w:tr2bl w:val="nil"/>
                  </w:tcBorders>
                  <w:noWrap w:val="0"/>
                  <w:vAlign w:val="center"/>
                </w:tcPr>
                <w:p w14:paraId="40ABFF3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工业硅</w:t>
                  </w:r>
                </w:p>
              </w:tc>
              <w:tc>
                <w:tcPr>
                  <w:tcW w:w="1866" w:type="dxa"/>
                  <w:tcBorders>
                    <w:tl2br w:val="nil"/>
                    <w:tr2bl w:val="nil"/>
                  </w:tcBorders>
                  <w:noWrap w:val="0"/>
                  <w:vAlign w:val="center"/>
                </w:tcPr>
                <w:p w14:paraId="045BBD13">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 xml:space="preserve">矿热炉 </w:t>
                  </w:r>
                </w:p>
              </w:tc>
              <w:tc>
                <w:tcPr>
                  <w:tcW w:w="2173" w:type="dxa"/>
                  <w:tcBorders>
                    <w:tl2br w:val="nil"/>
                    <w:tr2bl w:val="nil"/>
                  </w:tcBorders>
                  <w:noWrap w:val="0"/>
                  <w:vAlign w:val="center"/>
                </w:tcPr>
                <w:p w14:paraId="03B1931F">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硅冶炼（3218）</w:t>
                  </w:r>
                </w:p>
              </w:tc>
            </w:tr>
            <w:tr w14:paraId="52891F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restart"/>
                  <w:tcBorders>
                    <w:tl2br w:val="nil"/>
                    <w:tr2bl w:val="nil"/>
                  </w:tcBorders>
                  <w:noWrap w:val="0"/>
                  <w:vAlign w:val="center"/>
                </w:tcPr>
                <w:p w14:paraId="46272F0A">
                  <w:pPr>
                    <w:pStyle w:val="81"/>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20</w:t>
                  </w:r>
                </w:p>
              </w:tc>
              <w:tc>
                <w:tcPr>
                  <w:tcW w:w="606" w:type="dxa"/>
                  <w:vMerge w:val="restart"/>
                  <w:tcBorders>
                    <w:tl2br w:val="nil"/>
                    <w:tr2bl w:val="nil"/>
                  </w:tcBorders>
                  <w:noWrap w:val="0"/>
                  <w:vAlign w:val="center"/>
                </w:tcPr>
                <w:p w14:paraId="685BADB0">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煤电</w:t>
                  </w:r>
                </w:p>
              </w:tc>
              <w:tc>
                <w:tcPr>
                  <w:tcW w:w="2270" w:type="dxa"/>
                  <w:tcBorders>
                    <w:tl2br w:val="nil"/>
                    <w:tr2bl w:val="nil"/>
                  </w:tcBorders>
                  <w:noWrap w:val="0"/>
                  <w:vAlign w:val="center"/>
                </w:tcPr>
                <w:p w14:paraId="7A828A14">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电力（燃煤发电，包含煤矸石发电）</w:t>
                  </w:r>
                </w:p>
              </w:tc>
              <w:tc>
                <w:tcPr>
                  <w:tcW w:w="1866" w:type="dxa"/>
                  <w:tcBorders>
                    <w:tl2br w:val="nil"/>
                    <w:tr2bl w:val="nil"/>
                  </w:tcBorders>
                  <w:noWrap w:val="0"/>
                  <w:vAlign w:val="center"/>
                </w:tcPr>
                <w:p w14:paraId="7E18C8A1">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抽凝、纯凝机组</w:t>
                  </w:r>
                </w:p>
              </w:tc>
              <w:tc>
                <w:tcPr>
                  <w:tcW w:w="2173" w:type="dxa"/>
                  <w:tcBorders>
                    <w:tl2br w:val="nil"/>
                    <w:tr2bl w:val="nil"/>
                  </w:tcBorders>
                  <w:noWrap w:val="0"/>
                  <w:vAlign w:val="center"/>
                </w:tcPr>
                <w:p w14:paraId="4A0ACD4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火力发电（4411）</w:t>
                  </w:r>
                </w:p>
              </w:tc>
            </w:tr>
            <w:tr w14:paraId="672904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0E00B146">
                  <w:pPr>
                    <w:pStyle w:val="81"/>
                    <w:rPr>
                      <w:rFonts w:hint="default" w:ascii="Times New Roman" w:hAnsi="Times New Roman" w:cs="Times New Roman"/>
                      <w:color w:val="auto"/>
                      <w:kern w:val="0"/>
                      <w:sz w:val="21"/>
                      <w:szCs w:val="21"/>
                      <w:lang w:bidi="ar"/>
                    </w:rPr>
                  </w:pPr>
                </w:p>
              </w:tc>
              <w:tc>
                <w:tcPr>
                  <w:tcW w:w="606" w:type="dxa"/>
                  <w:vMerge w:val="continue"/>
                  <w:tcBorders>
                    <w:tl2br w:val="nil"/>
                    <w:tr2bl w:val="nil"/>
                  </w:tcBorders>
                  <w:noWrap w:val="0"/>
                  <w:vAlign w:val="center"/>
                </w:tcPr>
                <w:p w14:paraId="58E7FE2E">
                  <w:pPr>
                    <w:pStyle w:val="81"/>
                    <w:rPr>
                      <w:rFonts w:hint="default" w:ascii="Times New Roman" w:hAnsi="Times New Roman" w:cs="Times New Roman"/>
                      <w:color w:val="auto"/>
                      <w:kern w:val="0"/>
                      <w:sz w:val="21"/>
                      <w:szCs w:val="21"/>
                      <w:lang w:bidi="ar"/>
                    </w:rPr>
                  </w:pPr>
                </w:p>
              </w:tc>
              <w:tc>
                <w:tcPr>
                  <w:tcW w:w="2270" w:type="dxa"/>
                  <w:vMerge w:val="restart"/>
                  <w:tcBorders>
                    <w:tl2br w:val="nil"/>
                    <w:tr2bl w:val="nil"/>
                  </w:tcBorders>
                  <w:noWrap w:val="0"/>
                  <w:vAlign w:val="center"/>
                </w:tcPr>
                <w:p w14:paraId="08A21395">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电力和热力（热电联产）</w:t>
                  </w:r>
                </w:p>
              </w:tc>
              <w:tc>
                <w:tcPr>
                  <w:tcW w:w="1866" w:type="dxa"/>
                  <w:tcBorders>
                    <w:tl2br w:val="nil"/>
                    <w:tr2bl w:val="nil"/>
                  </w:tcBorders>
                  <w:noWrap w:val="0"/>
                  <w:vAlign w:val="center"/>
                </w:tcPr>
                <w:p w14:paraId="2F649A59">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抽凝机组</w:t>
                  </w:r>
                </w:p>
              </w:tc>
              <w:tc>
                <w:tcPr>
                  <w:tcW w:w="2173" w:type="dxa"/>
                  <w:vMerge w:val="restart"/>
                  <w:tcBorders>
                    <w:tl2br w:val="nil"/>
                    <w:tr2bl w:val="nil"/>
                  </w:tcBorders>
                  <w:noWrap w:val="0"/>
                  <w:vAlign w:val="center"/>
                </w:tcPr>
                <w:p w14:paraId="4D52F9A5">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热电联产（4412）</w:t>
                  </w:r>
                </w:p>
              </w:tc>
            </w:tr>
            <w:tr w14:paraId="677206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6" w:type="dxa"/>
                  <w:vMerge w:val="continue"/>
                  <w:tcBorders>
                    <w:tl2br w:val="nil"/>
                    <w:tr2bl w:val="nil"/>
                  </w:tcBorders>
                  <w:noWrap w:val="0"/>
                  <w:vAlign w:val="center"/>
                </w:tcPr>
                <w:p w14:paraId="4082C6AD">
                  <w:pPr>
                    <w:pStyle w:val="81"/>
                    <w:rPr>
                      <w:rFonts w:hint="default" w:ascii="Times New Roman" w:hAnsi="Times New Roman" w:cs="Times New Roman"/>
                      <w:color w:val="auto"/>
                      <w:sz w:val="21"/>
                      <w:szCs w:val="21"/>
                    </w:rPr>
                  </w:pPr>
                </w:p>
              </w:tc>
              <w:tc>
                <w:tcPr>
                  <w:tcW w:w="606" w:type="dxa"/>
                  <w:vMerge w:val="continue"/>
                  <w:tcBorders>
                    <w:tl2br w:val="nil"/>
                    <w:tr2bl w:val="nil"/>
                  </w:tcBorders>
                  <w:noWrap w:val="0"/>
                  <w:vAlign w:val="center"/>
                </w:tcPr>
                <w:p w14:paraId="1A690324">
                  <w:pPr>
                    <w:pStyle w:val="81"/>
                    <w:rPr>
                      <w:rFonts w:hint="default" w:ascii="Times New Roman" w:hAnsi="Times New Roman" w:cs="Times New Roman"/>
                      <w:color w:val="auto"/>
                      <w:sz w:val="21"/>
                      <w:szCs w:val="21"/>
                    </w:rPr>
                  </w:pPr>
                </w:p>
              </w:tc>
              <w:tc>
                <w:tcPr>
                  <w:tcW w:w="2270" w:type="dxa"/>
                  <w:vMerge w:val="continue"/>
                  <w:tcBorders>
                    <w:tl2br w:val="nil"/>
                    <w:tr2bl w:val="nil"/>
                  </w:tcBorders>
                  <w:noWrap w:val="0"/>
                  <w:vAlign w:val="top"/>
                </w:tcPr>
                <w:p w14:paraId="27CC63C7">
                  <w:pPr>
                    <w:pStyle w:val="81"/>
                    <w:rPr>
                      <w:rFonts w:hint="default" w:ascii="Times New Roman" w:hAnsi="Times New Roman" w:cs="Times New Roman"/>
                      <w:color w:val="auto"/>
                      <w:sz w:val="21"/>
                      <w:szCs w:val="21"/>
                    </w:rPr>
                  </w:pPr>
                </w:p>
              </w:tc>
              <w:tc>
                <w:tcPr>
                  <w:tcW w:w="1866" w:type="dxa"/>
                  <w:tcBorders>
                    <w:tl2br w:val="nil"/>
                    <w:tr2bl w:val="nil"/>
                  </w:tcBorders>
                  <w:noWrap w:val="0"/>
                  <w:vAlign w:val="top"/>
                </w:tcPr>
                <w:p w14:paraId="70232702">
                  <w:pPr>
                    <w:pStyle w:val="81"/>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背压机组</w:t>
                  </w:r>
                </w:p>
              </w:tc>
              <w:tc>
                <w:tcPr>
                  <w:tcW w:w="2173" w:type="dxa"/>
                  <w:vMerge w:val="continue"/>
                  <w:tcBorders>
                    <w:tl2br w:val="nil"/>
                    <w:tr2bl w:val="nil"/>
                  </w:tcBorders>
                  <w:noWrap w:val="0"/>
                  <w:vAlign w:val="top"/>
                </w:tcPr>
                <w:p w14:paraId="2DE33728">
                  <w:pPr>
                    <w:pStyle w:val="81"/>
                    <w:rPr>
                      <w:rFonts w:hint="default" w:ascii="Times New Roman" w:hAnsi="Times New Roman" w:cs="Times New Roman"/>
                      <w:color w:val="auto"/>
                      <w:kern w:val="0"/>
                      <w:sz w:val="21"/>
                      <w:szCs w:val="21"/>
                      <w:lang w:bidi="ar"/>
                    </w:rPr>
                  </w:pPr>
                </w:p>
              </w:tc>
            </w:tr>
          </w:tbl>
          <w:p w14:paraId="57B2B3A8">
            <w:pPr>
              <w:adjustRightInd w:val="0"/>
              <w:snapToGrid w:val="0"/>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本项目为</w:t>
            </w:r>
            <w:r>
              <w:rPr>
                <w:rFonts w:hint="default" w:ascii="Times New Roman" w:hAnsi="Times New Roman" w:cs="Times New Roman"/>
                <w:bCs/>
                <w:color w:val="auto"/>
                <w:spacing w:val="0"/>
                <w:sz w:val="21"/>
                <w:szCs w:val="21"/>
                <w:highlight w:val="none"/>
                <w:lang w:eastAsia="zh-CN"/>
              </w:rPr>
              <w:t>C3099 其他非金属矿物制品制造项目</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b w:val="0"/>
                <w:bCs w:val="0"/>
                <w:color w:val="auto"/>
                <w:sz w:val="21"/>
                <w:szCs w:val="21"/>
                <w:highlight w:val="none"/>
                <w:lang w:val="en-US" w:eastAsia="zh-CN"/>
              </w:rPr>
              <w:t>根据上表，</w:t>
            </w:r>
            <w:r>
              <w:rPr>
                <w:rFonts w:hint="default" w:ascii="Times New Roman" w:hAnsi="Times New Roman" w:cs="Times New Roman"/>
                <w:b w:val="0"/>
                <w:bCs w:val="0"/>
                <w:color w:val="auto"/>
                <w:sz w:val="21"/>
                <w:szCs w:val="21"/>
                <w:highlight w:val="none"/>
                <w:lang w:val="en-US" w:eastAsia="zh-CN"/>
              </w:rPr>
              <w:t>本项目均不</w:t>
            </w:r>
            <w:r>
              <w:rPr>
                <w:rFonts w:hint="default" w:ascii="Times New Roman" w:hAnsi="Times New Roman" w:eastAsia="宋体" w:cs="Times New Roman"/>
                <w:b w:val="0"/>
                <w:bCs w:val="0"/>
                <w:color w:val="auto"/>
                <w:sz w:val="21"/>
                <w:szCs w:val="21"/>
                <w:highlight w:val="none"/>
                <w:lang w:val="en-US" w:eastAsia="zh-CN"/>
              </w:rPr>
              <w:t>属于“两高”项目。</w:t>
            </w:r>
          </w:p>
          <w:p w14:paraId="1178DD9F">
            <w:pPr>
              <w:adjustRightInd w:val="0"/>
              <w:snapToGrid w:val="0"/>
              <w:spacing w:line="360" w:lineRule="auto"/>
              <w:ind w:firstLine="420" w:firstLineChars="200"/>
              <w:rPr>
                <w:rFonts w:hint="default" w:ascii="Times New Roman" w:hAnsi="Times New Roman" w:eastAsia="宋体" w:cs="Times New Roman"/>
                <w:color w:val="auto"/>
                <w:spacing w:val="0"/>
                <w:kern w:val="2"/>
                <w:sz w:val="21"/>
                <w:szCs w:val="21"/>
                <w:lang w:val="en-US" w:eastAsia="zh-CN" w:bidi="ar-SA"/>
              </w:rPr>
            </w:pPr>
          </w:p>
        </w:tc>
      </w:tr>
    </w:tbl>
    <w:p w14:paraId="2AFADED8">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14:paraId="5E3AAECE">
      <w:pPr>
        <w:pStyle w:val="30"/>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6"/>
        <w:gridCol w:w="8544"/>
      </w:tblGrid>
      <w:tr w14:paraId="30B4A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2" w:hRule="atLeast"/>
          <w:jc w:val="center"/>
        </w:trPr>
        <w:tc>
          <w:tcPr>
            <w:tcW w:w="516" w:type="dxa"/>
            <w:vAlign w:val="center"/>
          </w:tcPr>
          <w:p w14:paraId="70AD271B">
            <w:pPr>
              <w:pStyle w:val="30"/>
              <w:adjustRightInd w:val="0"/>
              <w:snapToGrid w:val="0"/>
              <w:spacing w:before="0" w:beforeAutospacing="0" w:after="0" w:afterAutospacing="0"/>
              <w:jc w:val="center"/>
              <w:rPr>
                <w:rFonts w:cs="宋体"/>
                <w:sz w:val="21"/>
                <w:szCs w:val="21"/>
              </w:rPr>
            </w:pPr>
            <w:r>
              <w:rPr>
                <w:rFonts w:hint="eastAsia" w:cs="宋体"/>
                <w:sz w:val="21"/>
                <w:szCs w:val="21"/>
              </w:rPr>
              <w:t>建设内容</w:t>
            </w:r>
          </w:p>
        </w:tc>
        <w:tc>
          <w:tcPr>
            <w:tcW w:w="8544" w:type="dxa"/>
          </w:tcPr>
          <w:p w14:paraId="4398B362">
            <w:pPr>
              <w:pStyle w:val="65"/>
              <w:spacing w:line="360" w:lineRule="auto"/>
              <w:ind w:firstLine="420" w:firstLineChars="20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一、项目由来</w:t>
            </w:r>
          </w:p>
          <w:p w14:paraId="13E0D9AE">
            <w:pPr>
              <w:adjustRightInd w:val="0"/>
              <w:snapToGrid w:val="0"/>
              <w:spacing w:line="360" w:lineRule="auto"/>
              <w:ind w:firstLine="420" w:firstLineChars="200"/>
              <w:jc w:val="left"/>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淄博驰越新材料有限公司成立于2026-02-09，法定代表人为刘爱芳，注册资本为600万元，统一社会信用代码为91370306MAK5Y5WHX7，企业注册地址位于山东省淄博市文昌湖区萌水镇龙口村村委北150米，所属行业为科技推广和应用服务业，经营范围包含：一般项目：新材料技术推广服务；新材料技术研发；非金属矿物制品制造；非金属矿及制品销售；模</w:t>
            </w:r>
            <w:r>
              <w:rPr>
                <w:rFonts w:hint="eastAsia" w:ascii="Times New Roman" w:hAnsi="Times New Roman" w:eastAsia="宋体" w:cs="Times New Roman"/>
                <w:color w:val="auto"/>
                <w:kern w:val="2"/>
                <w:sz w:val="21"/>
                <w:szCs w:val="21"/>
                <w:highlight w:val="none"/>
                <w:lang w:val="en-US" w:eastAsia="zh-CN" w:bidi="ar-SA"/>
              </w:rPr>
              <w:t>具制造；模具销售；建筑材料销售；建筑装饰材料销售；耐火材料销售；五金产品零售；五金产品批发；化工产品销售（不含许可类化工产品）；金属工具销售；风动和电动工具销售。（除依法须经批准的项目外，凭营业执照依法自主开展经营活动）。</w:t>
            </w:r>
          </w:p>
          <w:p w14:paraId="5B57C5EB">
            <w:pP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公司拟投资</w:t>
            </w:r>
            <w:r>
              <w:rPr>
                <w:rFonts w:hint="eastAsia" w:ascii="Times New Roman" w:hAnsi="Times New Roman" w:eastAsia="宋体" w:cs="Times New Roman"/>
                <w:color w:val="auto"/>
                <w:kern w:val="2"/>
                <w:sz w:val="21"/>
                <w:szCs w:val="21"/>
                <w:highlight w:val="none"/>
                <w:lang w:val="en-US" w:eastAsia="zh-CN" w:bidi="ar-SA"/>
              </w:rPr>
              <w:t>2000</w:t>
            </w:r>
            <w:r>
              <w:rPr>
                <w:rFonts w:hint="default" w:ascii="Times New Roman" w:hAnsi="Times New Roman" w:eastAsia="宋体" w:cs="Times New Roman"/>
                <w:color w:val="auto"/>
                <w:kern w:val="2"/>
                <w:sz w:val="21"/>
                <w:szCs w:val="21"/>
                <w:highlight w:val="none"/>
                <w:lang w:val="en-US" w:eastAsia="zh-CN" w:bidi="ar-SA"/>
              </w:rPr>
              <w:t>万元，在</w:t>
            </w:r>
            <w:r>
              <w:rPr>
                <w:rFonts w:hint="eastAsia" w:ascii="Times New Roman" w:hAnsi="Times New Roman" w:eastAsia="宋体" w:cs="Times New Roman"/>
                <w:color w:val="auto"/>
                <w:kern w:val="2"/>
                <w:sz w:val="21"/>
                <w:szCs w:val="21"/>
                <w:highlight w:val="none"/>
                <w:lang w:val="en-US" w:eastAsia="zh-CN" w:bidi="ar-SA"/>
              </w:rPr>
              <w:t>山东省淄博市文昌湖区萌水镇龙口村村委北150米</w:t>
            </w:r>
            <w:r>
              <w:rPr>
                <w:rFonts w:hint="default" w:ascii="Times New Roman" w:hAnsi="Times New Roman" w:eastAsia="宋体" w:cs="Times New Roman"/>
                <w:color w:val="auto"/>
                <w:kern w:val="2"/>
                <w:sz w:val="21"/>
                <w:szCs w:val="21"/>
                <w:highlight w:val="none"/>
                <w:lang w:val="en-US" w:eastAsia="zh-CN" w:bidi="ar-SA"/>
              </w:rPr>
              <w:t>建设“</w:t>
            </w:r>
            <w:r>
              <w:rPr>
                <w:rFonts w:hint="eastAsia" w:ascii="Times New Roman" w:hAnsi="Times New Roman" w:eastAsia="宋体" w:cs="Times New Roman"/>
                <w:color w:val="auto"/>
                <w:kern w:val="2"/>
                <w:sz w:val="21"/>
                <w:szCs w:val="21"/>
                <w:highlight w:val="none"/>
                <w:lang w:val="en-US" w:eastAsia="zh-CN" w:bidi="ar-SA"/>
              </w:rPr>
              <w:t>淄博驰越新材料有限公司年产20000吨超硬复合新材料项目</w:t>
            </w:r>
            <w:r>
              <w:rPr>
                <w:rFonts w:hint="default" w:ascii="Times New Roman" w:hAnsi="Times New Roman" w:eastAsia="宋体" w:cs="Times New Roman"/>
                <w:color w:val="auto"/>
                <w:kern w:val="2"/>
                <w:sz w:val="21"/>
                <w:szCs w:val="21"/>
                <w:highlight w:val="none"/>
                <w:lang w:val="en-US" w:eastAsia="zh-CN" w:bidi="ar-SA"/>
              </w:rPr>
              <w:t>”（以下简称本项目）。本项目</w:t>
            </w:r>
            <w:r>
              <w:rPr>
                <w:rFonts w:hint="eastAsia" w:ascii="Times New Roman" w:hAnsi="Times New Roman" w:eastAsia="宋体" w:cs="Times New Roman"/>
                <w:color w:val="auto"/>
                <w:kern w:val="2"/>
                <w:sz w:val="21"/>
                <w:szCs w:val="21"/>
                <w:highlight w:val="none"/>
                <w:lang w:val="en-US" w:eastAsia="zh-CN" w:bidi="ar-SA"/>
              </w:rPr>
              <w:t>租赁</w:t>
            </w:r>
            <w:r>
              <w:rPr>
                <w:rFonts w:hint="default" w:ascii="Times New Roman" w:hAnsi="Times New Roman" w:eastAsia="宋体" w:cs="Times New Roman"/>
                <w:color w:val="auto"/>
                <w:kern w:val="2"/>
                <w:sz w:val="21"/>
                <w:szCs w:val="21"/>
                <w:highlight w:val="none"/>
                <w:lang w:val="en-US" w:eastAsia="zh-CN" w:bidi="ar-SA"/>
              </w:rPr>
              <w:t>现有厂房，占地面积</w:t>
            </w:r>
            <w:r>
              <w:rPr>
                <w:rFonts w:hint="eastAsia" w:cs="Times New Roman"/>
                <w:color w:val="auto"/>
                <w:kern w:val="2"/>
                <w:sz w:val="21"/>
                <w:szCs w:val="21"/>
                <w:highlight w:val="none"/>
                <w:lang w:val="en-US" w:eastAsia="zh-CN" w:bidi="ar-SA"/>
              </w:rPr>
              <w:t>6133.34</w:t>
            </w: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，购置</w:t>
            </w:r>
            <w:r>
              <w:rPr>
                <w:rFonts w:hint="eastAsia" w:ascii="Times New Roman" w:hAnsi="Times New Roman" w:eastAsia="宋体" w:cs="Times New Roman"/>
                <w:color w:val="auto"/>
                <w:kern w:val="2"/>
                <w:sz w:val="21"/>
                <w:szCs w:val="21"/>
                <w:highlight w:val="none"/>
                <w:lang w:val="en-US" w:eastAsia="zh-CN" w:bidi="ar-SA"/>
              </w:rPr>
              <w:t>颚式破碎</w:t>
            </w:r>
            <w:r>
              <w:rPr>
                <w:rFonts w:hint="default" w:ascii="Times New Roman" w:hAnsi="Times New Roman" w:eastAsia="宋体" w:cs="Times New Roman"/>
                <w:color w:val="auto"/>
                <w:kern w:val="2"/>
                <w:sz w:val="21"/>
                <w:szCs w:val="21"/>
                <w:highlight w:val="none"/>
                <w:lang w:val="en-US" w:eastAsia="zh-CN" w:bidi="ar-SA"/>
              </w:rPr>
              <w:t>机、对辊机、冲击制砂机、带筛球磨机、磁选机、提升机、球磨机、连续式球磨机、振动筛、电烘干箱、除尘设备、振动给料机、料仓、搅拌清洗槽、精细分级设备、高频精细脱水筛、沉淀池等设备，项目建成后</w:t>
            </w:r>
            <w:r>
              <w:rPr>
                <w:rFonts w:hint="eastAsia" w:ascii="Times New Roman" w:hAnsi="Times New Roman" w:eastAsia="宋体" w:cs="Times New Roman"/>
                <w:color w:val="auto"/>
                <w:kern w:val="2"/>
                <w:sz w:val="21"/>
                <w:szCs w:val="21"/>
                <w:highlight w:val="none"/>
                <w:lang w:val="en-US" w:eastAsia="zh-CN" w:bidi="ar-SA"/>
              </w:rPr>
              <w:t>20000吨超硬复合新材料</w:t>
            </w:r>
            <w:r>
              <w:rPr>
                <w:rFonts w:hint="default" w:ascii="Times New Roman" w:hAnsi="Times New Roman" w:eastAsia="宋体" w:cs="Times New Roman"/>
                <w:color w:val="auto"/>
                <w:spacing w:val="0"/>
                <w:w w:val="100"/>
                <w:sz w:val="21"/>
                <w:szCs w:val="21"/>
                <w:highlight w:val="none"/>
                <w:vertAlign w:val="baseline"/>
                <w:lang w:val="en-US" w:eastAsia="zh-CN"/>
              </w:rPr>
              <w:t>。</w:t>
            </w:r>
            <w:r>
              <w:rPr>
                <w:rFonts w:hint="default" w:ascii="Times New Roman" w:hAnsi="Times New Roman" w:cs="Times New Roman"/>
                <w:color w:val="auto"/>
                <w:spacing w:val="0"/>
                <w:w w:val="100"/>
                <w:sz w:val="21"/>
                <w:szCs w:val="21"/>
                <w:highlight w:val="none"/>
                <w:vertAlign w:val="baseline"/>
                <w:lang w:val="en-US" w:eastAsia="zh-CN"/>
              </w:rPr>
              <w:t>本</w:t>
            </w:r>
            <w:r>
              <w:rPr>
                <w:rFonts w:hint="default" w:ascii="Times New Roman" w:hAnsi="Times New Roman" w:eastAsia="宋体" w:cs="Times New Roman"/>
                <w:color w:val="auto"/>
                <w:spacing w:val="0"/>
                <w:w w:val="100"/>
                <w:sz w:val="21"/>
                <w:szCs w:val="21"/>
                <w:highlight w:val="none"/>
                <w:vertAlign w:val="baseline"/>
                <w:lang w:val="en-US" w:eastAsia="zh-CN"/>
              </w:rPr>
              <w:t>项目劳动定员</w:t>
            </w:r>
            <w:r>
              <w:rPr>
                <w:rFonts w:hint="eastAsia" w:ascii="Times New Roman" w:hAnsi="Times New Roman" w:cs="Times New Roman"/>
                <w:color w:val="auto"/>
                <w:spacing w:val="0"/>
                <w:w w:val="100"/>
                <w:sz w:val="21"/>
                <w:szCs w:val="21"/>
                <w:highlight w:val="none"/>
                <w:vertAlign w:val="baseline"/>
                <w:lang w:val="en-US" w:eastAsia="zh-CN"/>
              </w:rPr>
              <w:t>16</w:t>
            </w:r>
            <w:r>
              <w:rPr>
                <w:rFonts w:hint="default" w:ascii="Times New Roman" w:hAnsi="Times New Roman" w:cs="Times New Roman"/>
                <w:color w:val="auto"/>
                <w:spacing w:val="0"/>
                <w:w w:val="100"/>
                <w:sz w:val="21"/>
                <w:szCs w:val="21"/>
                <w:highlight w:val="none"/>
                <w:vertAlign w:val="baseline"/>
                <w:lang w:val="en-US" w:eastAsia="zh-CN"/>
              </w:rPr>
              <w:t>人</w:t>
            </w:r>
            <w:r>
              <w:rPr>
                <w:rFonts w:hint="default" w:ascii="Times New Roman" w:hAnsi="Times New Roman" w:eastAsia="宋体" w:cs="Times New Roman"/>
                <w:color w:val="auto"/>
                <w:spacing w:val="0"/>
                <w:w w:val="100"/>
                <w:sz w:val="21"/>
                <w:szCs w:val="21"/>
                <w:highlight w:val="none"/>
                <w:vertAlign w:val="baseline"/>
                <w:lang w:val="en-US" w:eastAsia="zh-CN"/>
              </w:rPr>
              <w:t>，实行一班</w:t>
            </w:r>
            <w:r>
              <w:rPr>
                <w:rFonts w:hint="eastAsia" w:cs="Times New Roman"/>
                <w:color w:val="auto"/>
                <w:spacing w:val="0"/>
                <w:w w:val="100"/>
                <w:sz w:val="21"/>
                <w:szCs w:val="21"/>
                <w:highlight w:val="none"/>
                <w:vertAlign w:val="baseline"/>
                <w:lang w:val="en-US" w:eastAsia="zh-CN"/>
              </w:rPr>
              <w:t>8</w:t>
            </w:r>
            <w:r>
              <w:rPr>
                <w:rFonts w:hint="default" w:ascii="Times New Roman" w:hAnsi="Times New Roman" w:eastAsia="宋体" w:cs="Times New Roman"/>
                <w:color w:val="auto"/>
                <w:spacing w:val="0"/>
                <w:w w:val="100"/>
                <w:sz w:val="21"/>
                <w:szCs w:val="21"/>
                <w:highlight w:val="none"/>
                <w:vertAlign w:val="baseline"/>
                <w:lang w:val="en-US" w:eastAsia="zh-CN"/>
              </w:rPr>
              <w:t>小时工作制，年运行300天，</w:t>
            </w:r>
            <w:r>
              <w:rPr>
                <w:rFonts w:hint="default" w:ascii="Times New Roman" w:hAnsi="Times New Roman" w:cs="Times New Roman"/>
                <w:color w:val="auto"/>
                <w:spacing w:val="0"/>
                <w:w w:val="100"/>
                <w:sz w:val="21"/>
                <w:szCs w:val="21"/>
                <w:highlight w:val="none"/>
                <w:vertAlign w:val="baseline"/>
                <w:lang w:val="en-US" w:eastAsia="zh-CN"/>
              </w:rPr>
              <w:t>年工作时</w:t>
            </w:r>
            <w:r>
              <w:rPr>
                <w:rFonts w:hint="eastAsia" w:cs="Times New Roman"/>
                <w:color w:val="auto"/>
                <w:spacing w:val="0"/>
                <w:w w:val="100"/>
                <w:sz w:val="21"/>
                <w:szCs w:val="21"/>
                <w:highlight w:val="none"/>
                <w:vertAlign w:val="baseline"/>
                <w:lang w:val="en-US" w:eastAsia="zh-CN"/>
              </w:rPr>
              <w:t>2400</w:t>
            </w:r>
            <w:r>
              <w:rPr>
                <w:rFonts w:hint="default" w:ascii="Times New Roman" w:hAnsi="Times New Roman" w:eastAsia="宋体" w:cs="Times New Roman"/>
                <w:color w:val="auto"/>
                <w:spacing w:val="0"/>
                <w:w w:val="100"/>
                <w:sz w:val="21"/>
                <w:szCs w:val="21"/>
                <w:highlight w:val="none"/>
                <w:vertAlign w:val="baseline"/>
                <w:lang w:val="en-US" w:eastAsia="zh-CN"/>
              </w:rPr>
              <w:t>h。</w:t>
            </w:r>
          </w:p>
          <w:p w14:paraId="36548A66">
            <w:pPr>
              <w:pStyle w:val="65"/>
              <w:spacing w:line="360" w:lineRule="auto"/>
              <w:ind w:firstLine="422" w:firstLineChars="200"/>
              <w:rPr>
                <w:b/>
                <w:bCs/>
                <w:sz w:val="21"/>
                <w:szCs w:val="21"/>
                <w:lang w:val="en-US"/>
              </w:rPr>
            </w:pPr>
            <w:r>
              <w:rPr>
                <w:rFonts w:hint="eastAsia"/>
                <w:b/>
                <w:bCs/>
                <w:sz w:val="21"/>
                <w:szCs w:val="21"/>
                <w:lang w:val="en-US"/>
              </w:rPr>
              <w:t>二、主要建设内容</w:t>
            </w:r>
          </w:p>
          <w:p w14:paraId="667E20C4">
            <w:pPr>
              <w:adjustRightInd w:val="0"/>
              <w:snapToGrid w:val="0"/>
              <w:spacing w:line="360" w:lineRule="auto"/>
              <w:ind w:firstLine="420" w:firstLineChars="200"/>
              <w:jc w:val="left"/>
              <w:rPr>
                <w:sz w:val="21"/>
                <w:szCs w:val="21"/>
              </w:rPr>
            </w:pPr>
            <w:r>
              <w:rPr>
                <w:sz w:val="21"/>
                <w:szCs w:val="21"/>
              </w:rPr>
              <w:t>本项目主要工程组成，见</w:t>
            </w:r>
            <w:r>
              <w:rPr>
                <w:rFonts w:hint="eastAsia"/>
                <w:sz w:val="21"/>
                <w:szCs w:val="21"/>
              </w:rPr>
              <w:t>下表。</w:t>
            </w:r>
          </w:p>
          <w:p w14:paraId="5CB16944">
            <w:pPr>
              <w:jc w:val="center"/>
              <w:outlineLvl w:val="4"/>
              <w:rPr>
                <w:b/>
                <w:bCs/>
                <w:sz w:val="21"/>
                <w:szCs w:val="21"/>
              </w:rPr>
            </w:pPr>
            <w:r>
              <w:rPr>
                <w:b/>
                <w:bCs/>
                <w:sz w:val="21"/>
                <w:szCs w:val="21"/>
              </w:rPr>
              <w:t>表</w:t>
            </w:r>
            <w:r>
              <w:rPr>
                <w:rFonts w:hint="eastAsia"/>
                <w:b/>
                <w:bCs/>
                <w:sz w:val="21"/>
                <w:szCs w:val="21"/>
              </w:rPr>
              <w:t>2-1 项目组成表</w:t>
            </w:r>
          </w:p>
          <w:tbl>
            <w:tblPr>
              <w:tblStyle w:val="35"/>
              <w:tblW w:w="498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909"/>
              <w:gridCol w:w="1518"/>
              <w:gridCol w:w="4859"/>
              <w:gridCol w:w="1008"/>
            </w:tblGrid>
            <w:tr w14:paraId="28E823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tcBorders>
                    <w:tl2br w:val="nil"/>
                    <w:tr2bl w:val="nil"/>
                  </w:tcBorders>
                  <w:noWrap/>
                  <w:vAlign w:val="center"/>
                </w:tcPr>
                <w:p w14:paraId="2BA34099">
                  <w:pPr>
                    <w:spacing w:line="312" w:lineRule="exact"/>
                    <w:jc w:val="center"/>
                    <w:rPr>
                      <w:sz w:val="21"/>
                      <w:szCs w:val="21"/>
                    </w:rPr>
                  </w:pPr>
                  <w:r>
                    <w:rPr>
                      <w:sz w:val="21"/>
                      <w:szCs w:val="21"/>
                    </w:rPr>
                    <w:t>工程分类</w:t>
                  </w:r>
                </w:p>
              </w:tc>
              <w:tc>
                <w:tcPr>
                  <w:tcW w:w="915" w:type="pct"/>
                  <w:tcBorders>
                    <w:tl2br w:val="nil"/>
                    <w:tr2bl w:val="nil"/>
                  </w:tcBorders>
                  <w:noWrap/>
                  <w:vAlign w:val="center"/>
                </w:tcPr>
                <w:p w14:paraId="4AAA2736">
                  <w:pPr>
                    <w:spacing w:line="312" w:lineRule="exact"/>
                    <w:jc w:val="center"/>
                    <w:rPr>
                      <w:sz w:val="21"/>
                      <w:szCs w:val="21"/>
                    </w:rPr>
                  </w:pPr>
                  <w:r>
                    <w:rPr>
                      <w:sz w:val="21"/>
                      <w:szCs w:val="21"/>
                    </w:rPr>
                    <w:t>项目名称</w:t>
                  </w:r>
                </w:p>
              </w:tc>
              <w:tc>
                <w:tcPr>
                  <w:tcW w:w="2929" w:type="pct"/>
                  <w:tcBorders>
                    <w:tl2br w:val="nil"/>
                    <w:tr2bl w:val="nil"/>
                  </w:tcBorders>
                  <w:noWrap/>
                  <w:vAlign w:val="center"/>
                </w:tcPr>
                <w:p w14:paraId="7B199DA5">
                  <w:pPr>
                    <w:spacing w:line="312" w:lineRule="exact"/>
                    <w:jc w:val="center"/>
                    <w:rPr>
                      <w:rFonts w:hint="eastAsia"/>
                      <w:sz w:val="21"/>
                      <w:szCs w:val="21"/>
                      <w:lang w:eastAsia="zh-CN"/>
                    </w:rPr>
                  </w:pPr>
                  <w:r>
                    <w:rPr>
                      <w:rFonts w:hint="eastAsia"/>
                      <w:sz w:val="21"/>
                      <w:szCs w:val="21"/>
                      <w:lang w:val="en-US" w:eastAsia="zh-CN"/>
                    </w:rPr>
                    <w:t xml:space="preserve">         </w:t>
                  </w:r>
                  <w:r>
                    <w:rPr>
                      <w:rFonts w:hint="eastAsia"/>
                      <w:sz w:val="21"/>
                      <w:szCs w:val="21"/>
                      <w:lang w:eastAsia="zh-CN"/>
                    </w:rPr>
                    <w:t>技改后建设内容及规模</w:t>
                  </w:r>
                </w:p>
              </w:tc>
              <w:tc>
                <w:tcPr>
                  <w:tcW w:w="607" w:type="pct"/>
                  <w:tcBorders>
                    <w:tl2br w:val="nil"/>
                    <w:tr2bl w:val="nil"/>
                  </w:tcBorders>
                  <w:noWrap/>
                  <w:vAlign w:val="center"/>
                </w:tcPr>
                <w:p w14:paraId="63CB2331">
                  <w:pPr>
                    <w:spacing w:line="312" w:lineRule="exact"/>
                    <w:jc w:val="center"/>
                    <w:rPr>
                      <w:sz w:val="21"/>
                      <w:szCs w:val="21"/>
                    </w:rPr>
                  </w:pPr>
                  <w:r>
                    <w:rPr>
                      <w:sz w:val="21"/>
                      <w:szCs w:val="21"/>
                    </w:rPr>
                    <w:t>备注</w:t>
                  </w:r>
                </w:p>
              </w:tc>
            </w:tr>
            <w:tr w14:paraId="0F2033F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restart"/>
                  <w:tcBorders>
                    <w:tl2br w:val="nil"/>
                    <w:tr2bl w:val="nil"/>
                  </w:tcBorders>
                  <w:noWrap/>
                  <w:vAlign w:val="center"/>
                </w:tcPr>
                <w:p w14:paraId="428C8E09">
                  <w:pPr>
                    <w:spacing w:line="312" w:lineRule="exact"/>
                    <w:jc w:val="center"/>
                    <w:rPr>
                      <w:sz w:val="21"/>
                      <w:szCs w:val="21"/>
                    </w:rPr>
                  </w:pPr>
                  <w:r>
                    <w:rPr>
                      <w:sz w:val="21"/>
                      <w:szCs w:val="21"/>
                    </w:rPr>
                    <w:t>主体工程</w:t>
                  </w:r>
                </w:p>
              </w:tc>
              <w:tc>
                <w:tcPr>
                  <w:tcW w:w="915" w:type="pct"/>
                  <w:tcBorders>
                    <w:tl2br w:val="nil"/>
                    <w:tr2bl w:val="nil"/>
                  </w:tcBorders>
                  <w:noWrap/>
                  <w:vAlign w:val="center"/>
                </w:tcPr>
                <w:p w14:paraId="4AD7B52B">
                  <w:pPr>
                    <w:spacing w:line="312" w:lineRule="exact"/>
                    <w:jc w:val="center"/>
                    <w:rPr>
                      <w:rFonts w:hint="eastAsia" w:eastAsia="宋体"/>
                      <w:color w:val="auto"/>
                      <w:sz w:val="21"/>
                      <w:szCs w:val="21"/>
                      <w:highlight w:val="none"/>
                      <w:lang w:eastAsia="zh-CN"/>
                    </w:rPr>
                  </w:pPr>
                  <w:r>
                    <w:rPr>
                      <w:rFonts w:hint="eastAsia"/>
                      <w:color w:val="auto"/>
                      <w:sz w:val="21"/>
                      <w:szCs w:val="21"/>
                      <w:highlight w:val="none"/>
                      <w:lang w:eastAsia="zh-CN"/>
                    </w:rPr>
                    <w:t>一车间</w:t>
                  </w:r>
                </w:p>
              </w:tc>
              <w:tc>
                <w:tcPr>
                  <w:tcW w:w="2929" w:type="pct"/>
                  <w:tcBorders>
                    <w:tl2br w:val="nil"/>
                    <w:tr2bl w:val="nil"/>
                  </w:tcBorders>
                  <w:noWrap/>
                  <w:vAlign w:val="center"/>
                </w:tcPr>
                <w:p w14:paraId="381F51FD">
                  <w:pPr>
                    <w:spacing w:line="312" w:lineRule="exact"/>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w:t>
                  </w:r>
                  <w:r>
                    <w:rPr>
                      <w:rFonts w:ascii="Times New Roman"/>
                      <w:bCs/>
                      <w:color w:val="auto"/>
                      <w:sz w:val="21"/>
                      <w:szCs w:val="21"/>
                      <w:highlight w:val="none"/>
                    </w:rPr>
                    <w:t>座，占地面积</w:t>
                  </w:r>
                  <w:r>
                    <w:rPr>
                      <w:rFonts w:hint="eastAsia"/>
                      <w:bCs/>
                      <w:color w:val="auto"/>
                      <w:sz w:val="21"/>
                      <w:szCs w:val="21"/>
                      <w:highlight w:val="none"/>
                      <w:lang w:val="en-US" w:eastAsia="zh-CN"/>
                    </w:rPr>
                    <w:t>500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w:t>
                  </w:r>
                  <w:r>
                    <w:rPr>
                      <w:rFonts w:ascii="Times New Roman"/>
                      <w:bCs/>
                      <w:color w:val="auto"/>
                      <w:sz w:val="21"/>
                      <w:szCs w:val="21"/>
                      <w:highlight w:val="none"/>
                    </w:rPr>
                    <w:t>主要</w:t>
                  </w:r>
                  <w:r>
                    <w:rPr>
                      <w:rFonts w:hint="eastAsia"/>
                      <w:bCs/>
                      <w:color w:val="auto"/>
                      <w:sz w:val="21"/>
                      <w:szCs w:val="21"/>
                      <w:highlight w:val="none"/>
                      <w:lang w:eastAsia="zh-CN"/>
                    </w:rPr>
                    <w:t>进行白刚玉</w:t>
                  </w:r>
                  <w:r>
                    <w:rPr>
                      <w:rFonts w:hint="eastAsia" w:ascii="Times New Roman"/>
                      <w:bCs/>
                      <w:color w:val="auto"/>
                      <w:sz w:val="21"/>
                      <w:szCs w:val="21"/>
                      <w:highlight w:val="none"/>
                    </w:rPr>
                    <w:t>破碎、粉碎、球磨、筛分、磁选、包装等加工工序</w:t>
                  </w:r>
                </w:p>
              </w:tc>
              <w:tc>
                <w:tcPr>
                  <w:tcW w:w="607" w:type="pct"/>
                  <w:tcBorders>
                    <w:tl2br w:val="nil"/>
                    <w:tr2bl w:val="nil"/>
                  </w:tcBorders>
                  <w:noWrap/>
                  <w:vAlign w:val="center"/>
                </w:tcPr>
                <w:p w14:paraId="6BDB2AA2">
                  <w:pPr>
                    <w:spacing w:line="312"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现有</w:t>
                  </w:r>
                </w:p>
              </w:tc>
            </w:tr>
            <w:tr w14:paraId="6A11F0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continue"/>
                  <w:tcBorders>
                    <w:tl2br w:val="nil"/>
                    <w:tr2bl w:val="nil"/>
                  </w:tcBorders>
                  <w:noWrap/>
                  <w:vAlign w:val="center"/>
                </w:tcPr>
                <w:p w14:paraId="5BC12A6B">
                  <w:pPr>
                    <w:spacing w:line="312" w:lineRule="exact"/>
                    <w:jc w:val="center"/>
                    <w:rPr>
                      <w:sz w:val="21"/>
                      <w:szCs w:val="21"/>
                    </w:rPr>
                  </w:pPr>
                </w:p>
              </w:tc>
              <w:tc>
                <w:tcPr>
                  <w:tcW w:w="915" w:type="pct"/>
                  <w:tcBorders>
                    <w:tl2br w:val="nil"/>
                    <w:tr2bl w:val="nil"/>
                  </w:tcBorders>
                  <w:noWrap/>
                  <w:vAlign w:val="center"/>
                </w:tcPr>
                <w:p w14:paraId="3B9F1A1C">
                  <w:pPr>
                    <w:spacing w:line="312" w:lineRule="exact"/>
                    <w:jc w:val="center"/>
                    <w:rPr>
                      <w:rFonts w:hint="eastAsia" w:ascii="Times New Roman" w:eastAsia="宋体"/>
                      <w:bCs/>
                      <w:color w:val="auto"/>
                      <w:sz w:val="21"/>
                      <w:szCs w:val="21"/>
                      <w:highlight w:val="none"/>
                      <w:lang w:eastAsia="zh-CN"/>
                    </w:rPr>
                  </w:pPr>
                  <w:r>
                    <w:rPr>
                      <w:rFonts w:hint="eastAsia"/>
                      <w:bCs/>
                      <w:color w:val="auto"/>
                      <w:sz w:val="21"/>
                      <w:szCs w:val="21"/>
                      <w:highlight w:val="none"/>
                      <w:lang w:eastAsia="zh-CN"/>
                    </w:rPr>
                    <w:t>二车间</w:t>
                  </w:r>
                </w:p>
              </w:tc>
              <w:tc>
                <w:tcPr>
                  <w:tcW w:w="2929" w:type="pct"/>
                  <w:tcBorders>
                    <w:tl2br w:val="nil"/>
                    <w:tr2bl w:val="nil"/>
                  </w:tcBorders>
                  <w:noWrap/>
                  <w:vAlign w:val="center"/>
                </w:tcPr>
                <w:p w14:paraId="4282EEF1">
                  <w:pPr>
                    <w:spacing w:line="312" w:lineRule="exact"/>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w:t>
                  </w:r>
                  <w:r>
                    <w:rPr>
                      <w:rFonts w:ascii="Times New Roman"/>
                      <w:bCs/>
                      <w:color w:val="auto"/>
                      <w:sz w:val="21"/>
                      <w:szCs w:val="21"/>
                      <w:highlight w:val="none"/>
                    </w:rPr>
                    <w:t>座，占地面积</w:t>
                  </w:r>
                  <w:r>
                    <w:rPr>
                      <w:rFonts w:hint="eastAsia"/>
                      <w:bCs/>
                      <w:color w:val="auto"/>
                      <w:sz w:val="21"/>
                      <w:szCs w:val="21"/>
                      <w:highlight w:val="none"/>
                      <w:lang w:val="en-US" w:eastAsia="zh-CN"/>
                    </w:rPr>
                    <w:t>500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w:t>
                  </w:r>
                  <w:r>
                    <w:rPr>
                      <w:rFonts w:ascii="Times New Roman"/>
                      <w:bCs/>
                      <w:color w:val="auto"/>
                      <w:sz w:val="21"/>
                      <w:szCs w:val="21"/>
                      <w:highlight w:val="none"/>
                    </w:rPr>
                    <w:t>主要</w:t>
                  </w:r>
                  <w:r>
                    <w:rPr>
                      <w:rFonts w:hint="eastAsia"/>
                      <w:bCs/>
                      <w:color w:val="auto"/>
                      <w:sz w:val="21"/>
                      <w:szCs w:val="21"/>
                      <w:highlight w:val="none"/>
                      <w:lang w:eastAsia="zh-CN"/>
                    </w:rPr>
                    <w:t>进行白刚玉</w:t>
                  </w:r>
                  <w:r>
                    <w:rPr>
                      <w:rFonts w:hint="eastAsia" w:ascii="Times New Roman"/>
                      <w:bCs/>
                      <w:color w:val="auto"/>
                      <w:sz w:val="21"/>
                      <w:szCs w:val="21"/>
                      <w:highlight w:val="none"/>
                    </w:rPr>
                    <w:t>破碎、粉碎、球磨、筛分、磁选、包装等加工工序</w:t>
                  </w:r>
                </w:p>
              </w:tc>
              <w:tc>
                <w:tcPr>
                  <w:tcW w:w="607" w:type="pct"/>
                  <w:tcBorders>
                    <w:tl2br w:val="nil"/>
                    <w:tr2bl w:val="nil"/>
                  </w:tcBorders>
                  <w:noWrap/>
                  <w:vAlign w:val="center"/>
                </w:tcPr>
                <w:p w14:paraId="06E12B73">
                  <w:pPr>
                    <w:spacing w:line="312" w:lineRule="exact"/>
                    <w:jc w:val="center"/>
                    <w:rPr>
                      <w:rFonts w:hint="eastAsia"/>
                      <w:color w:val="auto"/>
                      <w:sz w:val="21"/>
                      <w:szCs w:val="21"/>
                      <w:highlight w:val="none"/>
                    </w:rPr>
                  </w:pPr>
                  <w:r>
                    <w:rPr>
                      <w:rFonts w:hint="eastAsia"/>
                      <w:color w:val="auto"/>
                      <w:sz w:val="21"/>
                      <w:szCs w:val="21"/>
                      <w:highlight w:val="none"/>
                      <w:lang w:val="en-US" w:eastAsia="zh-CN"/>
                    </w:rPr>
                    <w:t>现有</w:t>
                  </w:r>
                </w:p>
              </w:tc>
            </w:tr>
            <w:tr w14:paraId="76155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continue"/>
                  <w:tcBorders>
                    <w:tl2br w:val="nil"/>
                    <w:tr2bl w:val="nil"/>
                  </w:tcBorders>
                  <w:noWrap/>
                  <w:vAlign w:val="center"/>
                </w:tcPr>
                <w:p w14:paraId="5803F00C">
                  <w:pPr>
                    <w:spacing w:line="312" w:lineRule="exact"/>
                    <w:jc w:val="center"/>
                    <w:rPr>
                      <w:sz w:val="21"/>
                      <w:szCs w:val="21"/>
                    </w:rPr>
                  </w:pPr>
                </w:p>
              </w:tc>
              <w:tc>
                <w:tcPr>
                  <w:tcW w:w="915" w:type="pct"/>
                  <w:tcBorders>
                    <w:tl2br w:val="nil"/>
                    <w:tr2bl w:val="nil"/>
                  </w:tcBorders>
                  <w:noWrap/>
                  <w:vAlign w:val="center"/>
                </w:tcPr>
                <w:p w14:paraId="7712FB88">
                  <w:pPr>
                    <w:spacing w:line="312" w:lineRule="exact"/>
                    <w:jc w:val="center"/>
                    <w:rPr>
                      <w:rFonts w:hint="eastAsia" w:ascii="Times New Roman" w:eastAsia="宋体"/>
                      <w:bCs/>
                      <w:color w:val="auto"/>
                      <w:sz w:val="21"/>
                      <w:szCs w:val="21"/>
                      <w:highlight w:val="none"/>
                      <w:lang w:eastAsia="zh-CN"/>
                    </w:rPr>
                  </w:pPr>
                  <w:r>
                    <w:rPr>
                      <w:rFonts w:hint="eastAsia"/>
                      <w:bCs/>
                      <w:color w:val="auto"/>
                      <w:sz w:val="21"/>
                      <w:szCs w:val="21"/>
                      <w:highlight w:val="none"/>
                      <w:lang w:eastAsia="zh-CN"/>
                    </w:rPr>
                    <w:t>三车间</w:t>
                  </w:r>
                </w:p>
              </w:tc>
              <w:tc>
                <w:tcPr>
                  <w:tcW w:w="2929" w:type="pct"/>
                  <w:tcBorders>
                    <w:tl2br w:val="nil"/>
                    <w:tr2bl w:val="nil"/>
                  </w:tcBorders>
                  <w:noWrap/>
                  <w:vAlign w:val="center"/>
                </w:tcPr>
                <w:p w14:paraId="040CB4EB">
                  <w:pPr>
                    <w:spacing w:line="312" w:lineRule="exact"/>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w:t>
                  </w:r>
                  <w:r>
                    <w:rPr>
                      <w:rFonts w:ascii="Times New Roman"/>
                      <w:bCs/>
                      <w:color w:val="auto"/>
                      <w:sz w:val="21"/>
                      <w:szCs w:val="21"/>
                      <w:highlight w:val="none"/>
                    </w:rPr>
                    <w:t>座，占地面积</w:t>
                  </w:r>
                  <w:r>
                    <w:rPr>
                      <w:rFonts w:hint="eastAsia"/>
                      <w:bCs/>
                      <w:color w:val="auto"/>
                      <w:sz w:val="21"/>
                      <w:szCs w:val="21"/>
                      <w:highlight w:val="none"/>
                      <w:lang w:val="en-US" w:eastAsia="zh-CN"/>
                    </w:rPr>
                    <w:t>500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w:t>
                  </w:r>
                  <w:r>
                    <w:rPr>
                      <w:rFonts w:ascii="Times New Roman"/>
                      <w:bCs/>
                      <w:color w:val="auto"/>
                      <w:sz w:val="21"/>
                      <w:szCs w:val="21"/>
                      <w:highlight w:val="none"/>
                    </w:rPr>
                    <w:t>主要</w:t>
                  </w:r>
                  <w:r>
                    <w:rPr>
                      <w:rFonts w:hint="eastAsia"/>
                      <w:bCs/>
                      <w:color w:val="auto"/>
                      <w:sz w:val="21"/>
                      <w:szCs w:val="21"/>
                      <w:highlight w:val="none"/>
                      <w:lang w:eastAsia="zh-CN"/>
                    </w:rPr>
                    <w:t>进行棕刚玉、</w:t>
                  </w:r>
                  <w:r>
                    <w:rPr>
                      <w:rFonts w:hint="eastAsia" w:ascii="Times New Roman" w:hAnsi="Times New Roman" w:eastAsia="宋体" w:cs="Times New Roman"/>
                      <w:color w:val="auto"/>
                      <w:highlight w:val="none"/>
                      <w:lang w:val="en-US" w:eastAsia="zh-CN"/>
                    </w:rPr>
                    <w:t>铬</w:t>
                  </w:r>
                  <w:r>
                    <w:rPr>
                      <w:rFonts w:hint="eastAsia"/>
                      <w:bCs/>
                      <w:color w:val="auto"/>
                      <w:sz w:val="21"/>
                      <w:szCs w:val="21"/>
                      <w:highlight w:val="none"/>
                      <w:lang w:eastAsia="zh-CN"/>
                    </w:rPr>
                    <w:t>刚玉</w:t>
                  </w:r>
                  <w:r>
                    <w:rPr>
                      <w:rFonts w:hint="eastAsia" w:ascii="Times New Roman"/>
                      <w:bCs/>
                      <w:color w:val="auto"/>
                      <w:sz w:val="21"/>
                      <w:szCs w:val="21"/>
                      <w:highlight w:val="none"/>
                    </w:rPr>
                    <w:t>破碎、粉碎、球磨、筛分、磁选、包装等加工工序</w:t>
                  </w:r>
                </w:p>
              </w:tc>
              <w:tc>
                <w:tcPr>
                  <w:tcW w:w="607" w:type="pct"/>
                  <w:tcBorders>
                    <w:tl2br w:val="nil"/>
                    <w:tr2bl w:val="nil"/>
                  </w:tcBorders>
                  <w:noWrap/>
                  <w:vAlign w:val="center"/>
                </w:tcPr>
                <w:p w14:paraId="4F5BDD5B">
                  <w:pPr>
                    <w:spacing w:line="312" w:lineRule="exact"/>
                    <w:jc w:val="center"/>
                    <w:rPr>
                      <w:rFonts w:hint="eastAsia"/>
                      <w:color w:val="auto"/>
                      <w:sz w:val="21"/>
                      <w:szCs w:val="21"/>
                      <w:highlight w:val="none"/>
                    </w:rPr>
                  </w:pPr>
                  <w:r>
                    <w:rPr>
                      <w:rFonts w:hint="eastAsia"/>
                      <w:color w:val="auto"/>
                      <w:sz w:val="21"/>
                      <w:szCs w:val="21"/>
                      <w:highlight w:val="none"/>
                      <w:lang w:val="en-US" w:eastAsia="zh-CN"/>
                    </w:rPr>
                    <w:t>现有</w:t>
                  </w:r>
                </w:p>
              </w:tc>
            </w:tr>
            <w:tr w14:paraId="425C2F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continue"/>
                  <w:tcBorders>
                    <w:tl2br w:val="nil"/>
                    <w:tr2bl w:val="nil"/>
                  </w:tcBorders>
                  <w:noWrap/>
                  <w:vAlign w:val="center"/>
                </w:tcPr>
                <w:p w14:paraId="59F8E1B1">
                  <w:pPr>
                    <w:spacing w:line="312" w:lineRule="exact"/>
                    <w:jc w:val="center"/>
                    <w:rPr>
                      <w:sz w:val="21"/>
                      <w:szCs w:val="21"/>
                    </w:rPr>
                  </w:pPr>
                </w:p>
              </w:tc>
              <w:tc>
                <w:tcPr>
                  <w:tcW w:w="915" w:type="pct"/>
                  <w:tcBorders>
                    <w:tl2br w:val="nil"/>
                    <w:tr2bl w:val="nil"/>
                  </w:tcBorders>
                  <w:noWrap/>
                  <w:vAlign w:val="center"/>
                </w:tcPr>
                <w:p w14:paraId="113058A0">
                  <w:pPr>
                    <w:spacing w:line="312" w:lineRule="exact"/>
                    <w:jc w:val="center"/>
                    <w:rPr>
                      <w:rFonts w:hint="eastAsia" w:ascii="Times New Roman" w:eastAsia="宋体"/>
                      <w:bCs/>
                      <w:color w:val="auto"/>
                      <w:sz w:val="21"/>
                      <w:szCs w:val="21"/>
                      <w:highlight w:val="none"/>
                      <w:lang w:eastAsia="zh-CN"/>
                    </w:rPr>
                  </w:pPr>
                  <w:r>
                    <w:rPr>
                      <w:rFonts w:hint="eastAsia"/>
                      <w:bCs/>
                      <w:color w:val="auto"/>
                      <w:sz w:val="21"/>
                      <w:szCs w:val="21"/>
                      <w:highlight w:val="none"/>
                      <w:lang w:eastAsia="zh-CN"/>
                    </w:rPr>
                    <w:t>四车间</w:t>
                  </w:r>
                </w:p>
              </w:tc>
              <w:tc>
                <w:tcPr>
                  <w:tcW w:w="2929" w:type="pct"/>
                  <w:tcBorders>
                    <w:tl2br w:val="nil"/>
                    <w:tr2bl w:val="nil"/>
                  </w:tcBorders>
                  <w:noWrap/>
                  <w:vAlign w:val="center"/>
                </w:tcPr>
                <w:p w14:paraId="5982C956">
                  <w:pPr>
                    <w:spacing w:line="312" w:lineRule="exact"/>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w:t>
                  </w:r>
                  <w:r>
                    <w:rPr>
                      <w:rFonts w:ascii="Times New Roman"/>
                      <w:bCs/>
                      <w:color w:val="auto"/>
                      <w:sz w:val="21"/>
                      <w:szCs w:val="21"/>
                      <w:highlight w:val="none"/>
                    </w:rPr>
                    <w:t>座，占地面积</w:t>
                  </w:r>
                  <w:r>
                    <w:rPr>
                      <w:rFonts w:hint="eastAsia"/>
                      <w:bCs/>
                      <w:color w:val="auto"/>
                      <w:sz w:val="21"/>
                      <w:szCs w:val="21"/>
                      <w:highlight w:val="none"/>
                      <w:lang w:val="en-US" w:eastAsia="zh-CN"/>
                    </w:rPr>
                    <w:t>500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w:t>
                  </w:r>
                  <w:r>
                    <w:rPr>
                      <w:rFonts w:ascii="Times New Roman"/>
                      <w:bCs/>
                      <w:color w:val="auto"/>
                      <w:sz w:val="21"/>
                      <w:szCs w:val="21"/>
                      <w:highlight w:val="none"/>
                    </w:rPr>
                    <w:t>主要</w:t>
                  </w:r>
                  <w:r>
                    <w:rPr>
                      <w:rFonts w:hint="eastAsia"/>
                      <w:bCs/>
                      <w:color w:val="auto"/>
                      <w:sz w:val="21"/>
                      <w:szCs w:val="21"/>
                      <w:highlight w:val="none"/>
                      <w:lang w:eastAsia="zh-CN"/>
                    </w:rPr>
                    <w:t>进行棕刚玉、</w:t>
                  </w:r>
                  <w:r>
                    <w:rPr>
                      <w:rFonts w:hint="eastAsia" w:ascii="Times New Roman" w:hAnsi="Times New Roman" w:eastAsia="宋体" w:cs="Times New Roman"/>
                      <w:color w:val="auto"/>
                      <w:highlight w:val="none"/>
                      <w:lang w:val="en-US" w:eastAsia="zh-CN"/>
                    </w:rPr>
                    <w:t>铬</w:t>
                  </w:r>
                  <w:r>
                    <w:rPr>
                      <w:rFonts w:hint="eastAsia"/>
                      <w:bCs/>
                      <w:color w:val="auto"/>
                      <w:sz w:val="21"/>
                      <w:szCs w:val="21"/>
                      <w:highlight w:val="none"/>
                      <w:lang w:eastAsia="zh-CN"/>
                    </w:rPr>
                    <w:t>刚玉</w:t>
                  </w:r>
                  <w:r>
                    <w:rPr>
                      <w:rFonts w:hint="eastAsia" w:ascii="Times New Roman"/>
                      <w:bCs/>
                      <w:color w:val="auto"/>
                      <w:sz w:val="21"/>
                      <w:szCs w:val="21"/>
                      <w:highlight w:val="none"/>
                    </w:rPr>
                    <w:t>破碎、粉碎、球磨、筛分、磁选、包装等加工工序</w:t>
                  </w:r>
                </w:p>
              </w:tc>
              <w:tc>
                <w:tcPr>
                  <w:tcW w:w="607" w:type="pct"/>
                  <w:tcBorders>
                    <w:tl2br w:val="nil"/>
                    <w:tr2bl w:val="nil"/>
                  </w:tcBorders>
                  <w:noWrap/>
                  <w:vAlign w:val="center"/>
                </w:tcPr>
                <w:p w14:paraId="7C21C5B6">
                  <w:pPr>
                    <w:spacing w:line="312" w:lineRule="exact"/>
                    <w:jc w:val="center"/>
                    <w:rPr>
                      <w:rFonts w:hint="eastAsia"/>
                      <w:color w:val="auto"/>
                      <w:sz w:val="21"/>
                      <w:szCs w:val="21"/>
                      <w:highlight w:val="none"/>
                    </w:rPr>
                  </w:pPr>
                  <w:r>
                    <w:rPr>
                      <w:rFonts w:hint="eastAsia"/>
                      <w:color w:val="auto"/>
                      <w:sz w:val="21"/>
                      <w:szCs w:val="21"/>
                      <w:highlight w:val="none"/>
                      <w:lang w:val="en-US" w:eastAsia="zh-CN"/>
                    </w:rPr>
                    <w:t>现有</w:t>
                  </w:r>
                </w:p>
              </w:tc>
            </w:tr>
            <w:tr w14:paraId="2C72BB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continue"/>
                  <w:tcBorders>
                    <w:tl2br w:val="nil"/>
                    <w:tr2bl w:val="nil"/>
                  </w:tcBorders>
                  <w:noWrap/>
                  <w:vAlign w:val="center"/>
                </w:tcPr>
                <w:p w14:paraId="5F8E486B">
                  <w:pPr>
                    <w:spacing w:line="312" w:lineRule="exact"/>
                    <w:jc w:val="center"/>
                    <w:rPr>
                      <w:sz w:val="21"/>
                      <w:szCs w:val="21"/>
                    </w:rPr>
                  </w:pPr>
                </w:p>
              </w:tc>
              <w:tc>
                <w:tcPr>
                  <w:tcW w:w="915" w:type="pct"/>
                  <w:tcBorders>
                    <w:tl2br w:val="nil"/>
                    <w:tr2bl w:val="nil"/>
                  </w:tcBorders>
                  <w:noWrap/>
                  <w:vAlign w:val="center"/>
                </w:tcPr>
                <w:p w14:paraId="22B9A7C0">
                  <w:pPr>
                    <w:spacing w:line="312" w:lineRule="exact"/>
                    <w:jc w:val="center"/>
                    <w:rPr>
                      <w:rFonts w:hint="default"/>
                      <w:bCs/>
                      <w:color w:val="auto"/>
                      <w:sz w:val="21"/>
                      <w:szCs w:val="21"/>
                      <w:highlight w:val="none"/>
                      <w:lang w:val="en-US" w:eastAsia="zh-CN"/>
                    </w:rPr>
                  </w:pPr>
                  <w:r>
                    <w:rPr>
                      <w:rFonts w:hint="eastAsia"/>
                      <w:bCs/>
                      <w:color w:val="auto"/>
                      <w:sz w:val="21"/>
                      <w:szCs w:val="21"/>
                      <w:highlight w:val="none"/>
                      <w:lang w:val="en-US" w:eastAsia="zh-CN"/>
                    </w:rPr>
                    <w:t>1#清洗车间</w:t>
                  </w:r>
                </w:p>
              </w:tc>
              <w:tc>
                <w:tcPr>
                  <w:tcW w:w="2929" w:type="pct"/>
                  <w:tcBorders>
                    <w:tl2br w:val="nil"/>
                    <w:tr2bl w:val="nil"/>
                  </w:tcBorders>
                  <w:noWrap/>
                  <w:vAlign w:val="center"/>
                </w:tcPr>
                <w:p w14:paraId="38B5EFBF">
                  <w:pPr>
                    <w:spacing w:line="312" w:lineRule="exact"/>
                    <w:jc w:val="center"/>
                    <w:rPr>
                      <w:rFonts w:hint="eastAsia" w:ascii="Times New Roman" w:hAnsi="Times New Roman" w:eastAsia="宋体"/>
                      <w:bCs/>
                      <w:color w:val="auto"/>
                      <w:sz w:val="21"/>
                      <w:szCs w:val="21"/>
                      <w:highlight w:val="none"/>
                      <w:vertAlign w:val="baseline"/>
                      <w:lang w:val="en-US" w:eastAsia="zh-CN"/>
                    </w:rPr>
                  </w:pPr>
                  <w:r>
                    <w:rPr>
                      <w:rFonts w:hint="eastAsia" w:ascii="Times New Roman" w:hAnsi="Times New Roman"/>
                      <w:bCs/>
                      <w:color w:val="auto"/>
                      <w:sz w:val="21"/>
                      <w:szCs w:val="21"/>
                      <w:highlight w:val="none"/>
                      <w:lang w:val="en-US" w:eastAsia="zh-CN"/>
                    </w:rPr>
                    <w:t>1座，位于仓库南侧，占地面积300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，主要用于部分</w:t>
                  </w:r>
                  <w:r>
                    <w:rPr>
                      <w:rFonts w:hint="eastAsia"/>
                      <w:bCs/>
                      <w:color w:val="auto"/>
                      <w:sz w:val="21"/>
                      <w:szCs w:val="21"/>
                      <w:highlight w:val="none"/>
                      <w:vertAlign w:val="baseline"/>
                      <w:lang w:eastAsia="zh-CN"/>
                    </w:rPr>
                    <w:t>产品</w:t>
                  </w:r>
                  <w:r>
                    <w:rPr>
                      <w:rFonts w:hint="eastAsia" w:ascii="Times New Roman" w:hAnsi="Times New Roman"/>
                      <w:bCs/>
                      <w:color w:val="auto"/>
                      <w:sz w:val="21"/>
                      <w:szCs w:val="21"/>
                      <w:highlight w:val="none"/>
                      <w:vertAlign w:val="baseline"/>
                      <w:lang w:eastAsia="zh-CN"/>
                    </w:rPr>
                    <w:t>清洗</w:t>
                  </w:r>
                  <w:r>
                    <w:rPr>
                      <w:rFonts w:hint="eastAsia"/>
                      <w:bCs/>
                      <w:color w:val="auto"/>
                      <w:sz w:val="21"/>
                      <w:szCs w:val="21"/>
                      <w:highlight w:val="none"/>
                      <w:vertAlign w:val="baseline"/>
                      <w:lang w:eastAsia="zh-CN"/>
                    </w:rPr>
                    <w:t>、烘干</w:t>
                  </w:r>
                  <w:r>
                    <w:rPr>
                      <w:rFonts w:hint="eastAsia" w:ascii="Times New Roman" w:hAnsi="Times New Roman"/>
                      <w:bCs/>
                      <w:color w:val="auto"/>
                      <w:sz w:val="21"/>
                      <w:szCs w:val="21"/>
                      <w:highlight w:val="none"/>
                      <w:vertAlign w:val="baseline"/>
                      <w:lang w:eastAsia="zh-CN"/>
                    </w:rPr>
                    <w:t>工作</w:t>
                  </w:r>
                </w:p>
              </w:tc>
              <w:tc>
                <w:tcPr>
                  <w:tcW w:w="607" w:type="pct"/>
                  <w:tcBorders>
                    <w:tl2br w:val="nil"/>
                    <w:tr2bl w:val="nil"/>
                  </w:tcBorders>
                  <w:noWrap/>
                  <w:vAlign w:val="center"/>
                </w:tcPr>
                <w:p w14:paraId="59617A09">
                  <w:pPr>
                    <w:spacing w:line="312" w:lineRule="exact"/>
                    <w:jc w:val="center"/>
                    <w:rPr>
                      <w:rFonts w:hint="eastAsia"/>
                      <w:color w:val="auto"/>
                      <w:sz w:val="21"/>
                      <w:szCs w:val="21"/>
                      <w:highlight w:val="none"/>
                      <w:lang w:val="en-US" w:eastAsia="zh-CN"/>
                    </w:rPr>
                  </w:pPr>
                  <w:r>
                    <w:rPr>
                      <w:rFonts w:hint="eastAsia"/>
                      <w:color w:val="auto"/>
                      <w:sz w:val="21"/>
                      <w:szCs w:val="21"/>
                      <w:highlight w:val="none"/>
                      <w:lang w:val="en-US" w:eastAsia="zh-CN"/>
                    </w:rPr>
                    <w:t>现有</w:t>
                  </w:r>
                </w:p>
              </w:tc>
            </w:tr>
            <w:tr w14:paraId="718E24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vMerge w:val="continue"/>
                  <w:tcBorders>
                    <w:tl2br w:val="nil"/>
                    <w:tr2bl w:val="nil"/>
                  </w:tcBorders>
                  <w:noWrap/>
                  <w:vAlign w:val="center"/>
                </w:tcPr>
                <w:p w14:paraId="6AA3F97B">
                  <w:pPr>
                    <w:spacing w:line="312" w:lineRule="exact"/>
                    <w:jc w:val="center"/>
                    <w:rPr>
                      <w:sz w:val="21"/>
                      <w:szCs w:val="21"/>
                    </w:rPr>
                  </w:pPr>
                </w:p>
              </w:tc>
              <w:tc>
                <w:tcPr>
                  <w:tcW w:w="915" w:type="pct"/>
                  <w:tcBorders>
                    <w:tl2br w:val="nil"/>
                    <w:tr2bl w:val="nil"/>
                  </w:tcBorders>
                  <w:noWrap/>
                  <w:vAlign w:val="center"/>
                </w:tcPr>
                <w:p w14:paraId="5C6CBBC0">
                  <w:pPr>
                    <w:spacing w:line="312" w:lineRule="exact"/>
                    <w:jc w:val="center"/>
                    <w:rPr>
                      <w:rFonts w:hint="default"/>
                      <w:bCs/>
                      <w:color w:val="auto"/>
                      <w:sz w:val="21"/>
                      <w:szCs w:val="21"/>
                      <w:highlight w:val="none"/>
                      <w:lang w:val="en-US" w:eastAsia="zh-CN"/>
                    </w:rPr>
                  </w:pPr>
                  <w:r>
                    <w:rPr>
                      <w:rFonts w:hint="eastAsia"/>
                      <w:bCs/>
                      <w:color w:val="auto"/>
                      <w:sz w:val="21"/>
                      <w:szCs w:val="21"/>
                      <w:highlight w:val="none"/>
                      <w:lang w:val="en-US" w:eastAsia="zh-CN"/>
                    </w:rPr>
                    <w:t>2#清洗车间</w:t>
                  </w:r>
                </w:p>
              </w:tc>
              <w:tc>
                <w:tcPr>
                  <w:tcW w:w="2929" w:type="pct"/>
                  <w:tcBorders>
                    <w:tl2br w:val="nil"/>
                    <w:tr2bl w:val="nil"/>
                  </w:tcBorders>
                  <w:noWrap/>
                  <w:vAlign w:val="center"/>
                </w:tcPr>
                <w:p w14:paraId="1F4F7872">
                  <w:pPr>
                    <w:spacing w:line="312" w:lineRule="exact"/>
                    <w:jc w:val="center"/>
                    <w:rPr>
                      <w:rFonts w:ascii="Times New Roman" w:hAnsi="Times New Roman"/>
                      <w:bCs/>
                      <w:color w:val="auto"/>
                      <w:sz w:val="21"/>
                      <w:szCs w:val="21"/>
                      <w:highlight w:val="none"/>
                    </w:rPr>
                  </w:pPr>
                  <w:r>
                    <w:rPr>
                      <w:rFonts w:hint="eastAsia" w:ascii="Times New Roman" w:hAnsi="Times New Roman"/>
                      <w:bCs/>
                      <w:color w:val="auto"/>
                      <w:sz w:val="21"/>
                      <w:szCs w:val="21"/>
                      <w:highlight w:val="none"/>
                      <w:lang w:val="en-US" w:eastAsia="zh-CN"/>
                    </w:rPr>
                    <w:t>1座，位于</w:t>
                  </w:r>
                  <w:r>
                    <w:rPr>
                      <w:rFonts w:hint="eastAsia"/>
                      <w:bCs/>
                      <w:color w:val="auto"/>
                      <w:sz w:val="21"/>
                      <w:szCs w:val="21"/>
                      <w:highlight w:val="none"/>
                      <w:lang w:val="en-US" w:eastAsia="zh-CN"/>
                    </w:rPr>
                    <w:t>厂区东南侧</w:t>
                  </w:r>
                  <w:r>
                    <w:rPr>
                      <w:rFonts w:hint="eastAsia" w:ascii="Times New Roman" w:hAnsi="Times New Roman"/>
                      <w:bCs/>
                      <w:color w:val="auto"/>
                      <w:sz w:val="21"/>
                      <w:szCs w:val="21"/>
                      <w:highlight w:val="none"/>
                      <w:lang w:val="en-US" w:eastAsia="zh-CN"/>
                    </w:rPr>
                    <w:t>，占地面积300</w:t>
                  </w:r>
                  <w:r>
                    <w:rPr>
                      <w:rFonts w:ascii="Times New Roman" w:hAnsi="Times New Roman"/>
                      <w:bCs/>
                      <w:color w:val="auto"/>
                      <w:sz w:val="21"/>
                      <w:szCs w:val="21"/>
                      <w:highlight w:val="none"/>
                    </w:rPr>
                    <w:t>m</w:t>
                  </w:r>
                  <w:r>
                    <w:rPr>
                      <w:rFonts w:ascii="Times New Roman" w:hAnsi="Times New Roman"/>
                      <w:bCs/>
                      <w:color w:val="auto"/>
                      <w:sz w:val="21"/>
                      <w:szCs w:val="21"/>
                      <w:highlight w:val="none"/>
                      <w:vertAlign w:val="superscript"/>
                    </w:rPr>
                    <w:t>2</w:t>
                  </w:r>
                  <w:r>
                    <w:rPr>
                      <w:rFonts w:hint="eastAsia" w:ascii="Times New Roman" w:hAnsi="Times New Roman"/>
                      <w:bCs/>
                      <w:color w:val="auto"/>
                      <w:sz w:val="21"/>
                      <w:szCs w:val="21"/>
                      <w:highlight w:val="none"/>
                      <w:vertAlign w:val="baseline"/>
                      <w:lang w:eastAsia="zh-CN"/>
                    </w:rPr>
                    <w:t>，主要用于部分</w:t>
                  </w:r>
                  <w:r>
                    <w:rPr>
                      <w:rFonts w:hint="eastAsia"/>
                      <w:bCs/>
                      <w:color w:val="auto"/>
                      <w:sz w:val="21"/>
                      <w:szCs w:val="21"/>
                      <w:highlight w:val="none"/>
                      <w:vertAlign w:val="baseline"/>
                      <w:lang w:eastAsia="zh-CN"/>
                    </w:rPr>
                    <w:t>产品</w:t>
                  </w:r>
                  <w:r>
                    <w:rPr>
                      <w:rFonts w:hint="eastAsia" w:ascii="Times New Roman" w:hAnsi="Times New Roman"/>
                      <w:bCs/>
                      <w:color w:val="auto"/>
                      <w:sz w:val="21"/>
                      <w:szCs w:val="21"/>
                      <w:highlight w:val="none"/>
                      <w:vertAlign w:val="baseline"/>
                      <w:lang w:eastAsia="zh-CN"/>
                    </w:rPr>
                    <w:t>清洗</w:t>
                  </w:r>
                  <w:r>
                    <w:rPr>
                      <w:rFonts w:hint="eastAsia"/>
                      <w:bCs/>
                      <w:color w:val="auto"/>
                      <w:sz w:val="21"/>
                      <w:szCs w:val="21"/>
                      <w:highlight w:val="none"/>
                      <w:vertAlign w:val="baseline"/>
                      <w:lang w:eastAsia="zh-CN"/>
                    </w:rPr>
                    <w:t>、烘干</w:t>
                  </w:r>
                  <w:r>
                    <w:rPr>
                      <w:rFonts w:hint="eastAsia" w:ascii="Times New Roman" w:hAnsi="Times New Roman"/>
                      <w:bCs/>
                      <w:color w:val="auto"/>
                      <w:sz w:val="21"/>
                      <w:szCs w:val="21"/>
                      <w:highlight w:val="none"/>
                      <w:vertAlign w:val="baseline"/>
                      <w:lang w:eastAsia="zh-CN"/>
                    </w:rPr>
                    <w:t>工作</w:t>
                  </w:r>
                </w:p>
              </w:tc>
              <w:tc>
                <w:tcPr>
                  <w:tcW w:w="607" w:type="pct"/>
                  <w:tcBorders>
                    <w:tl2br w:val="nil"/>
                    <w:tr2bl w:val="nil"/>
                  </w:tcBorders>
                  <w:noWrap/>
                  <w:vAlign w:val="center"/>
                </w:tcPr>
                <w:p w14:paraId="76F21C5C">
                  <w:pPr>
                    <w:spacing w:line="312" w:lineRule="exact"/>
                    <w:jc w:val="center"/>
                    <w:rPr>
                      <w:rFonts w:hint="eastAsia"/>
                      <w:color w:val="auto"/>
                      <w:sz w:val="21"/>
                      <w:szCs w:val="21"/>
                      <w:highlight w:val="none"/>
                      <w:lang w:val="en-US" w:eastAsia="zh-CN"/>
                    </w:rPr>
                  </w:pPr>
                  <w:r>
                    <w:rPr>
                      <w:rFonts w:hint="eastAsia"/>
                      <w:color w:val="auto"/>
                      <w:sz w:val="21"/>
                      <w:szCs w:val="21"/>
                      <w:highlight w:val="none"/>
                      <w:lang w:val="en-US" w:eastAsia="zh-CN"/>
                    </w:rPr>
                    <w:t>现有</w:t>
                  </w:r>
                </w:p>
              </w:tc>
            </w:tr>
            <w:tr w14:paraId="05FDCB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547" w:type="pct"/>
                  <w:tcBorders>
                    <w:tl2br w:val="nil"/>
                    <w:tr2bl w:val="nil"/>
                  </w:tcBorders>
                  <w:noWrap/>
                  <w:vAlign w:val="center"/>
                </w:tcPr>
                <w:p w14:paraId="22B968DF">
                  <w:pPr>
                    <w:spacing w:line="312" w:lineRule="exact"/>
                    <w:jc w:val="center"/>
                    <w:rPr>
                      <w:rFonts w:hint="eastAsia" w:eastAsia="宋体"/>
                      <w:sz w:val="21"/>
                      <w:szCs w:val="21"/>
                      <w:lang w:eastAsia="zh-CN"/>
                    </w:rPr>
                  </w:pPr>
                  <w:r>
                    <w:rPr>
                      <w:rFonts w:hint="eastAsia"/>
                      <w:sz w:val="21"/>
                      <w:szCs w:val="21"/>
                      <w:lang w:eastAsia="zh-CN"/>
                    </w:rPr>
                    <w:t>储运工程</w:t>
                  </w:r>
                </w:p>
              </w:tc>
              <w:tc>
                <w:tcPr>
                  <w:tcW w:w="915" w:type="pct"/>
                  <w:tcBorders>
                    <w:tl2br w:val="nil"/>
                    <w:tr2bl w:val="nil"/>
                  </w:tcBorders>
                  <w:noWrap/>
                  <w:vAlign w:val="center"/>
                </w:tcPr>
                <w:p w14:paraId="78B6C6C6">
                  <w:pPr>
                    <w:spacing w:line="312" w:lineRule="exact"/>
                    <w:jc w:val="center"/>
                    <w:rPr>
                      <w:rFonts w:hint="default" w:ascii="Times New Roman" w:eastAsia="宋体"/>
                      <w:bCs/>
                      <w:sz w:val="21"/>
                      <w:szCs w:val="21"/>
                      <w:highlight w:val="none"/>
                      <w:lang w:val="en-US" w:eastAsia="zh-CN"/>
                    </w:rPr>
                  </w:pPr>
                  <w:r>
                    <w:rPr>
                      <w:rFonts w:hint="eastAsia"/>
                      <w:bCs/>
                      <w:sz w:val="21"/>
                      <w:szCs w:val="21"/>
                      <w:highlight w:val="none"/>
                      <w:lang w:val="en-US" w:eastAsia="zh-CN"/>
                    </w:rPr>
                    <w:t>仓库</w:t>
                  </w:r>
                </w:p>
              </w:tc>
              <w:tc>
                <w:tcPr>
                  <w:tcW w:w="2929" w:type="pct"/>
                  <w:tcBorders>
                    <w:tl2br w:val="nil"/>
                    <w:tr2bl w:val="nil"/>
                  </w:tcBorders>
                  <w:shd w:val="clear" w:color="auto" w:fill="auto"/>
                  <w:noWrap/>
                  <w:vAlign w:val="center"/>
                </w:tcPr>
                <w:p w14:paraId="4F440157">
                  <w:pPr>
                    <w:spacing w:line="312" w:lineRule="exact"/>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1间，占地面积1500m</w:t>
                  </w:r>
                  <w:r>
                    <w:rPr>
                      <w:rFonts w:hint="eastAsia"/>
                      <w:bCs/>
                      <w:color w:val="auto"/>
                      <w:sz w:val="21"/>
                      <w:szCs w:val="21"/>
                      <w:highlight w:val="none"/>
                      <w:vertAlign w:val="superscript"/>
                      <w:lang w:val="en-US" w:eastAsia="zh-CN"/>
                    </w:rPr>
                    <w:t>2</w:t>
                  </w:r>
                  <w:r>
                    <w:rPr>
                      <w:rFonts w:hint="eastAsia"/>
                      <w:bCs/>
                      <w:color w:val="auto"/>
                      <w:sz w:val="21"/>
                      <w:szCs w:val="21"/>
                      <w:highlight w:val="none"/>
                      <w:lang w:val="en-US" w:eastAsia="zh-CN"/>
                    </w:rPr>
                    <w:t>，用于原辅料、成品储存</w:t>
                  </w:r>
                </w:p>
              </w:tc>
              <w:tc>
                <w:tcPr>
                  <w:tcW w:w="607" w:type="pct"/>
                  <w:tcBorders>
                    <w:tl2br w:val="nil"/>
                    <w:tr2bl w:val="nil"/>
                  </w:tcBorders>
                  <w:noWrap/>
                  <w:vAlign w:val="center"/>
                </w:tcPr>
                <w:p w14:paraId="0E2A834B">
                  <w:pPr>
                    <w:spacing w:line="312" w:lineRule="exact"/>
                    <w:jc w:val="center"/>
                    <w:rPr>
                      <w:rFonts w:hint="eastAsia" w:eastAsia="宋体"/>
                      <w:sz w:val="21"/>
                      <w:szCs w:val="21"/>
                      <w:highlight w:val="none"/>
                      <w:lang w:eastAsia="zh-CN"/>
                    </w:rPr>
                  </w:pPr>
                  <w:r>
                    <w:rPr>
                      <w:rFonts w:hint="eastAsia"/>
                      <w:sz w:val="21"/>
                      <w:szCs w:val="21"/>
                      <w:highlight w:val="none"/>
                      <w:lang w:eastAsia="zh-CN"/>
                    </w:rPr>
                    <w:t>现有</w:t>
                  </w:r>
                </w:p>
              </w:tc>
            </w:tr>
            <w:tr w14:paraId="78163B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tcBorders>
                    <w:tl2br w:val="nil"/>
                    <w:tr2bl w:val="nil"/>
                  </w:tcBorders>
                  <w:noWrap/>
                  <w:vAlign w:val="center"/>
                </w:tcPr>
                <w:p w14:paraId="59BF9F40">
                  <w:pPr>
                    <w:spacing w:line="312" w:lineRule="exact"/>
                    <w:jc w:val="center"/>
                    <w:rPr>
                      <w:rFonts w:hint="eastAsia" w:eastAsia="宋体"/>
                      <w:sz w:val="21"/>
                      <w:szCs w:val="21"/>
                      <w:lang w:eastAsia="zh-CN"/>
                    </w:rPr>
                  </w:pPr>
                  <w:r>
                    <w:rPr>
                      <w:rFonts w:hint="eastAsia"/>
                      <w:sz w:val="21"/>
                      <w:szCs w:val="21"/>
                      <w:lang w:eastAsia="zh-CN"/>
                    </w:rPr>
                    <w:t>辅助工程</w:t>
                  </w:r>
                </w:p>
              </w:tc>
              <w:tc>
                <w:tcPr>
                  <w:tcW w:w="915" w:type="pct"/>
                  <w:tcBorders>
                    <w:tl2br w:val="nil"/>
                    <w:tr2bl w:val="nil"/>
                  </w:tcBorders>
                  <w:noWrap/>
                  <w:vAlign w:val="center"/>
                </w:tcPr>
                <w:p w14:paraId="55E4E42E">
                  <w:pPr>
                    <w:autoSpaceDN w:val="0"/>
                    <w:adjustRightInd w:val="0"/>
                    <w:snapToGrid w:val="0"/>
                    <w:jc w:val="center"/>
                    <w:textAlignment w:val="center"/>
                    <w:rPr>
                      <w:sz w:val="21"/>
                      <w:szCs w:val="21"/>
                    </w:rPr>
                  </w:pPr>
                  <w:r>
                    <w:rPr>
                      <w:rFonts w:hint="eastAsia" w:ascii="Times New Roman"/>
                      <w:bCs/>
                      <w:sz w:val="21"/>
                      <w:szCs w:val="21"/>
                    </w:rPr>
                    <w:t>办公楼</w:t>
                  </w:r>
                </w:p>
              </w:tc>
              <w:tc>
                <w:tcPr>
                  <w:tcW w:w="2929" w:type="pct"/>
                  <w:tcBorders>
                    <w:tl2br w:val="nil"/>
                    <w:tr2bl w:val="nil"/>
                  </w:tcBorders>
                  <w:shd w:val="clear" w:color="auto" w:fill="auto"/>
                  <w:noWrap/>
                  <w:vAlign w:val="center"/>
                </w:tcPr>
                <w:p w14:paraId="7BC0045E">
                  <w:pPr>
                    <w:spacing w:line="312" w:lineRule="exact"/>
                    <w:jc w:val="center"/>
                    <w:rPr>
                      <w:rFonts w:hint="eastAsia" w:ascii="Times New Roman" w:hAnsi="Times New Roman" w:eastAsia="宋体" w:cs="Times New Roman"/>
                      <w:color w:val="auto"/>
                      <w:kern w:val="2"/>
                      <w:sz w:val="21"/>
                      <w:szCs w:val="21"/>
                      <w:lang w:val="en-US" w:eastAsia="zh-CN" w:bidi="ar-SA"/>
                    </w:rPr>
                  </w:pPr>
                  <w:r>
                    <w:rPr>
                      <w:rFonts w:hint="eastAsia"/>
                      <w:bCs/>
                      <w:color w:val="auto"/>
                      <w:sz w:val="21"/>
                      <w:szCs w:val="21"/>
                      <w:lang w:val="en-US" w:eastAsia="zh-CN"/>
                    </w:rPr>
                    <w:t>3</w:t>
                  </w:r>
                  <w:r>
                    <w:rPr>
                      <w:rFonts w:hint="eastAsia" w:ascii="Times New Roman" w:hAnsi="Times New Roman"/>
                      <w:bCs/>
                      <w:color w:val="auto"/>
                      <w:sz w:val="21"/>
                      <w:szCs w:val="21"/>
                    </w:rPr>
                    <w:t>F</w:t>
                  </w:r>
                  <w:r>
                    <w:rPr>
                      <w:rFonts w:ascii="Times New Roman"/>
                      <w:bCs/>
                      <w:color w:val="auto"/>
                      <w:sz w:val="21"/>
                      <w:szCs w:val="21"/>
                    </w:rPr>
                    <w:t>，占地面积</w:t>
                  </w:r>
                  <w:r>
                    <w:rPr>
                      <w:rFonts w:hint="eastAsia"/>
                      <w:bCs/>
                      <w:color w:val="auto"/>
                      <w:sz w:val="21"/>
                      <w:szCs w:val="21"/>
                      <w:lang w:val="en-US" w:eastAsia="zh-CN"/>
                    </w:rPr>
                    <w:t>800</w:t>
                  </w:r>
                  <w:r>
                    <w:rPr>
                      <w:rFonts w:ascii="Times New Roman" w:hAnsi="Times New Roman"/>
                      <w:bCs/>
                      <w:color w:val="auto"/>
                      <w:sz w:val="21"/>
                      <w:szCs w:val="21"/>
                    </w:rPr>
                    <w:t>m</w:t>
                  </w:r>
                  <w:r>
                    <w:rPr>
                      <w:rFonts w:ascii="Times New Roman" w:hAnsi="Times New Roman"/>
                      <w:bCs/>
                      <w:color w:val="auto"/>
                      <w:sz w:val="21"/>
                      <w:szCs w:val="21"/>
                      <w:vertAlign w:val="superscript"/>
                    </w:rPr>
                    <w:t>2</w:t>
                  </w:r>
                </w:p>
              </w:tc>
              <w:tc>
                <w:tcPr>
                  <w:tcW w:w="607" w:type="pct"/>
                  <w:tcBorders>
                    <w:tl2br w:val="nil"/>
                    <w:tr2bl w:val="nil"/>
                  </w:tcBorders>
                  <w:noWrap/>
                  <w:vAlign w:val="center"/>
                </w:tcPr>
                <w:p w14:paraId="053AEEE2">
                  <w:pPr>
                    <w:spacing w:line="312" w:lineRule="exact"/>
                    <w:jc w:val="center"/>
                    <w:rPr>
                      <w:sz w:val="21"/>
                      <w:szCs w:val="21"/>
                    </w:rPr>
                  </w:pPr>
                  <w:r>
                    <w:rPr>
                      <w:rFonts w:hint="eastAsia"/>
                      <w:sz w:val="21"/>
                      <w:szCs w:val="21"/>
                    </w:rPr>
                    <w:t>现有</w:t>
                  </w:r>
                </w:p>
              </w:tc>
            </w:tr>
            <w:tr w14:paraId="4D7F42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restart"/>
                  <w:tcBorders>
                    <w:tl2br w:val="nil"/>
                    <w:tr2bl w:val="nil"/>
                  </w:tcBorders>
                  <w:noWrap/>
                  <w:vAlign w:val="center"/>
                </w:tcPr>
                <w:p w14:paraId="58B06A43">
                  <w:pPr>
                    <w:spacing w:line="312" w:lineRule="exact"/>
                    <w:jc w:val="center"/>
                    <w:rPr>
                      <w:sz w:val="21"/>
                      <w:szCs w:val="21"/>
                    </w:rPr>
                  </w:pPr>
                  <w:r>
                    <w:rPr>
                      <w:sz w:val="21"/>
                      <w:szCs w:val="21"/>
                    </w:rPr>
                    <w:t>公用工程</w:t>
                  </w:r>
                </w:p>
              </w:tc>
              <w:tc>
                <w:tcPr>
                  <w:tcW w:w="915" w:type="pct"/>
                  <w:tcBorders>
                    <w:tl2br w:val="nil"/>
                    <w:tr2bl w:val="nil"/>
                  </w:tcBorders>
                  <w:noWrap/>
                  <w:vAlign w:val="center"/>
                </w:tcPr>
                <w:p w14:paraId="2DFB299B">
                  <w:pPr>
                    <w:spacing w:line="312" w:lineRule="exact"/>
                    <w:jc w:val="center"/>
                    <w:rPr>
                      <w:sz w:val="21"/>
                      <w:szCs w:val="21"/>
                    </w:rPr>
                  </w:pPr>
                  <w:r>
                    <w:rPr>
                      <w:sz w:val="21"/>
                      <w:szCs w:val="21"/>
                    </w:rPr>
                    <w:t>给水系统</w:t>
                  </w:r>
                </w:p>
              </w:tc>
              <w:tc>
                <w:tcPr>
                  <w:tcW w:w="2929" w:type="pct"/>
                  <w:tcBorders>
                    <w:tl2br w:val="nil"/>
                    <w:tr2bl w:val="nil"/>
                  </w:tcBorders>
                  <w:shd w:val="clear" w:color="auto" w:fill="auto"/>
                  <w:noWrap/>
                  <w:vAlign w:val="center"/>
                </w:tcPr>
                <w:p w14:paraId="0B29F9D5">
                  <w:pPr>
                    <w:spacing w:line="312" w:lineRule="exact"/>
                    <w:jc w:val="center"/>
                    <w:rPr>
                      <w:rFonts w:hint="eastAsia" w:ascii="Times New Roman" w:hAnsi="Times New Roman" w:eastAsia="宋体" w:cs="Times New Roman"/>
                      <w:color w:val="auto"/>
                      <w:kern w:val="2"/>
                      <w:sz w:val="21"/>
                      <w:szCs w:val="21"/>
                      <w:highlight w:val="yellow"/>
                      <w:lang w:val="en-US" w:eastAsia="zh-CN" w:bidi="ar-SA"/>
                    </w:rPr>
                  </w:pPr>
                  <w:r>
                    <w:rPr>
                      <w:rFonts w:hint="eastAsia"/>
                      <w:color w:val="auto"/>
                      <w:sz w:val="21"/>
                      <w:szCs w:val="21"/>
                    </w:rPr>
                    <w:t>由文昌湖区供水管网提供，年用水量</w:t>
                  </w:r>
                  <w:r>
                    <w:rPr>
                      <w:rFonts w:hint="eastAsia"/>
                      <w:color w:val="auto"/>
                      <w:sz w:val="21"/>
                      <w:szCs w:val="21"/>
                      <w:lang w:val="en-US" w:eastAsia="zh-CN"/>
                    </w:rPr>
                    <w:t>1342</w:t>
                  </w:r>
                  <w:r>
                    <w:rPr>
                      <w:rFonts w:hint="eastAsia"/>
                      <w:color w:val="auto"/>
                      <w:sz w:val="21"/>
                      <w:szCs w:val="21"/>
                    </w:rPr>
                    <w:t>m</w:t>
                  </w:r>
                  <w:r>
                    <w:rPr>
                      <w:rFonts w:hint="eastAsia"/>
                      <w:color w:val="auto"/>
                      <w:sz w:val="21"/>
                      <w:szCs w:val="21"/>
                      <w:vertAlign w:val="superscript"/>
                    </w:rPr>
                    <w:t>3</w:t>
                  </w:r>
                </w:p>
              </w:tc>
              <w:tc>
                <w:tcPr>
                  <w:tcW w:w="607" w:type="pct"/>
                  <w:tcBorders>
                    <w:tl2br w:val="nil"/>
                    <w:tr2bl w:val="nil"/>
                  </w:tcBorders>
                  <w:noWrap/>
                  <w:vAlign w:val="center"/>
                </w:tcPr>
                <w:p w14:paraId="50591964">
                  <w:pPr>
                    <w:spacing w:line="312" w:lineRule="exact"/>
                    <w:jc w:val="center"/>
                    <w:rPr>
                      <w:sz w:val="21"/>
                      <w:szCs w:val="21"/>
                    </w:rPr>
                  </w:pPr>
                  <w:r>
                    <w:rPr>
                      <w:rFonts w:hint="eastAsia"/>
                      <w:sz w:val="21"/>
                      <w:szCs w:val="21"/>
                      <w:lang w:eastAsia="zh-CN"/>
                    </w:rPr>
                    <w:t>依</w:t>
                  </w:r>
                  <w:r>
                    <w:rPr>
                      <w:sz w:val="21"/>
                      <w:szCs w:val="21"/>
                    </w:rPr>
                    <w:t>托</w:t>
                  </w:r>
                  <w:r>
                    <w:rPr>
                      <w:rFonts w:hint="eastAsia"/>
                      <w:sz w:val="21"/>
                      <w:szCs w:val="21"/>
                    </w:rPr>
                    <w:t>现有</w:t>
                  </w:r>
                </w:p>
              </w:tc>
            </w:tr>
            <w:tr w14:paraId="16384E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continue"/>
                  <w:tcBorders>
                    <w:tl2br w:val="nil"/>
                    <w:tr2bl w:val="nil"/>
                  </w:tcBorders>
                  <w:noWrap/>
                  <w:vAlign w:val="center"/>
                </w:tcPr>
                <w:p w14:paraId="25391941">
                  <w:pPr>
                    <w:spacing w:line="312" w:lineRule="exact"/>
                    <w:jc w:val="center"/>
                    <w:rPr>
                      <w:sz w:val="21"/>
                      <w:szCs w:val="21"/>
                    </w:rPr>
                  </w:pPr>
                </w:p>
              </w:tc>
              <w:tc>
                <w:tcPr>
                  <w:tcW w:w="915" w:type="pct"/>
                  <w:tcBorders>
                    <w:tl2br w:val="nil"/>
                    <w:tr2bl w:val="nil"/>
                  </w:tcBorders>
                  <w:noWrap/>
                  <w:vAlign w:val="center"/>
                </w:tcPr>
                <w:p w14:paraId="54607225">
                  <w:pPr>
                    <w:spacing w:line="312" w:lineRule="exact"/>
                    <w:jc w:val="center"/>
                    <w:rPr>
                      <w:sz w:val="21"/>
                      <w:szCs w:val="21"/>
                    </w:rPr>
                  </w:pPr>
                  <w:r>
                    <w:rPr>
                      <w:sz w:val="21"/>
                      <w:szCs w:val="21"/>
                    </w:rPr>
                    <w:t>排水系统</w:t>
                  </w:r>
                </w:p>
              </w:tc>
              <w:tc>
                <w:tcPr>
                  <w:tcW w:w="2929" w:type="pct"/>
                  <w:tcBorders>
                    <w:tl2br w:val="nil"/>
                    <w:tr2bl w:val="nil"/>
                  </w:tcBorders>
                  <w:shd w:val="clear" w:color="auto" w:fill="auto"/>
                  <w:noWrap/>
                  <w:vAlign w:val="center"/>
                </w:tcPr>
                <w:p w14:paraId="09E1EE67">
                  <w:pPr>
                    <w:spacing w:line="312" w:lineRule="exact"/>
                    <w:jc w:val="center"/>
                    <w:rPr>
                      <w:rFonts w:hint="eastAsia" w:ascii="Times New Roman" w:hAnsi="Times New Roman" w:eastAsia="宋体" w:cs="Times New Roman"/>
                      <w:kern w:val="2"/>
                      <w:sz w:val="21"/>
                      <w:szCs w:val="21"/>
                      <w:lang w:val="en-US" w:eastAsia="zh-CN" w:bidi="ar-SA"/>
                    </w:rPr>
                  </w:pPr>
                  <w:r>
                    <w:rPr>
                      <w:rFonts w:hint="eastAsia"/>
                      <w:sz w:val="21"/>
                      <w:szCs w:val="21"/>
                    </w:rPr>
                    <w:t>生活污水经化粪池暂存后，外运堆肥</w:t>
                  </w:r>
                </w:p>
              </w:tc>
              <w:tc>
                <w:tcPr>
                  <w:tcW w:w="607" w:type="pct"/>
                  <w:tcBorders>
                    <w:tl2br w:val="nil"/>
                    <w:tr2bl w:val="nil"/>
                  </w:tcBorders>
                  <w:noWrap/>
                  <w:vAlign w:val="center"/>
                </w:tcPr>
                <w:p w14:paraId="15C38183">
                  <w:pPr>
                    <w:spacing w:line="312" w:lineRule="exact"/>
                    <w:jc w:val="center"/>
                    <w:rPr>
                      <w:sz w:val="21"/>
                      <w:szCs w:val="21"/>
                    </w:rPr>
                  </w:pPr>
                  <w:r>
                    <w:rPr>
                      <w:sz w:val="21"/>
                      <w:szCs w:val="21"/>
                    </w:rPr>
                    <w:t>依托</w:t>
                  </w:r>
                  <w:r>
                    <w:rPr>
                      <w:rFonts w:hint="eastAsia"/>
                      <w:sz w:val="21"/>
                      <w:szCs w:val="21"/>
                    </w:rPr>
                    <w:t>现有</w:t>
                  </w:r>
                </w:p>
              </w:tc>
            </w:tr>
            <w:tr w14:paraId="4B91CA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continue"/>
                  <w:tcBorders>
                    <w:tl2br w:val="nil"/>
                    <w:tr2bl w:val="nil"/>
                  </w:tcBorders>
                  <w:noWrap/>
                  <w:vAlign w:val="center"/>
                </w:tcPr>
                <w:p w14:paraId="6DCCF9E6">
                  <w:pPr>
                    <w:spacing w:line="312" w:lineRule="exact"/>
                    <w:jc w:val="center"/>
                    <w:rPr>
                      <w:sz w:val="21"/>
                      <w:szCs w:val="21"/>
                    </w:rPr>
                  </w:pPr>
                </w:p>
              </w:tc>
              <w:tc>
                <w:tcPr>
                  <w:tcW w:w="915" w:type="pct"/>
                  <w:tcBorders>
                    <w:tl2br w:val="nil"/>
                    <w:tr2bl w:val="nil"/>
                  </w:tcBorders>
                  <w:noWrap/>
                  <w:vAlign w:val="center"/>
                </w:tcPr>
                <w:p w14:paraId="5A9EEAF9">
                  <w:pPr>
                    <w:spacing w:line="312" w:lineRule="exact"/>
                    <w:jc w:val="center"/>
                    <w:rPr>
                      <w:sz w:val="21"/>
                      <w:szCs w:val="21"/>
                    </w:rPr>
                  </w:pPr>
                  <w:r>
                    <w:rPr>
                      <w:sz w:val="21"/>
                      <w:szCs w:val="21"/>
                    </w:rPr>
                    <w:t>供电系统</w:t>
                  </w:r>
                </w:p>
              </w:tc>
              <w:tc>
                <w:tcPr>
                  <w:tcW w:w="2929" w:type="pct"/>
                  <w:tcBorders>
                    <w:tl2br w:val="nil"/>
                    <w:tr2bl w:val="nil"/>
                  </w:tcBorders>
                  <w:shd w:val="clear" w:color="auto" w:fill="auto"/>
                  <w:noWrap/>
                  <w:vAlign w:val="center"/>
                </w:tcPr>
                <w:p w14:paraId="036FB666">
                  <w:pPr>
                    <w:spacing w:line="312" w:lineRule="exact"/>
                    <w:jc w:val="center"/>
                    <w:rPr>
                      <w:rFonts w:ascii="Times New Roman" w:hAnsi="Times New Roman" w:eastAsia="宋体" w:cs="Times New Roman"/>
                      <w:kern w:val="2"/>
                      <w:sz w:val="21"/>
                      <w:szCs w:val="21"/>
                      <w:lang w:val="en-US" w:eastAsia="zh-CN" w:bidi="ar-SA"/>
                    </w:rPr>
                  </w:pPr>
                  <w:r>
                    <w:rPr>
                      <w:sz w:val="21"/>
                      <w:szCs w:val="21"/>
                    </w:rPr>
                    <w:t>由萌水镇供电所提供</w:t>
                  </w:r>
                </w:p>
              </w:tc>
              <w:tc>
                <w:tcPr>
                  <w:tcW w:w="607" w:type="pct"/>
                  <w:tcBorders>
                    <w:tl2br w:val="nil"/>
                    <w:tr2bl w:val="nil"/>
                  </w:tcBorders>
                  <w:noWrap/>
                  <w:vAlign w:val="center"/>
                </w:tcPr>
                <w:p w14:paraId="080A4C40">
                  <w:pPr>
                    <w:spacing w:line="312" w:lineRule="exact"/>
                    <w:jc w:val="center"/>
                    <w:rPr>
                      <w:sz w:val="21"/>
                      <w:szCs w:val="21"/>
                    </w:rPr>
                  </w:pPr>
                  <w:r>
                    <w:rPr>
                      <w:sz w:val="21"/>
                      <w:szCs w:val="21"/>
                    </w:rPr>
                    <w:t>依托</w:t>
                  </w:r>
                  <w:r>
                    <w:rPr>
                      <w:rFonts w:hint="eastAsia"/>
                      <w:sz w:val="21"/>
                      <w:szCs w:val="21"/>
                    </w:rPr>
                    <w:t>现有</w:t>
                  </w:r>
                </w:p>
              </w:tc>
            </w:tr>
            <w:tr w14:paraId="236612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restart"/>
                  <w:tcBorders>
                    <w:tl2br w:val="nil"/>
                    <w:tr2bl w:val="nil"/>
                  </w:tcBorders>
                  <w:noWrap/>
                  <w:vAlign w:val="center"/>
                </w:tcPr>
                <w:p w14:paraId="28A8D507">
                  <w:pPr>
                    <w:spacing w:line="312" w:lineRule="exact"/>
                    <w:jc w:val="center"/>
                    <w:rPr>
                      <w:color w:val="auto"/>
                      <w:sz w:val="21"/>
                      <w:szCs w:val="21"/>
                    </w:rPr>
                  </w:pPr>
                  <w:r>
                    <w:rPr>
                      <w:color w:val="auto"/>
                      <w:sz w:val="21"/>
                      <w:szCs w:val="21"/>
                    </w:rPr>
                    <w:t>环保工程</w:t>
                  </w:r>
                </w:p>
              </w:tc>
              <w:tc>
                <w:tcPr>
                  <w:tcW w:w="915" w:type="pct"/>
                  <w:tcBorders>
                    <w:tl2br w:val="nil"/>
                    <w:tr2bl w:val="nil"/>
                  </w:tcBorders>
                  <w:noWrap/>
                  <w:vAlign w:val="center"/>
                </w:tcPr>
                <w:p w14:paraId="36D78BBF">
                  <w:pPr>
                    <w:spacing w:line="312" w:lineRule="exact"/>
                    <w:jc w:val="center"/>
                    <w:rPr>
                      <w:color w:val="auto"/>
                      <w:sz w:val="21"/>
                      <w:szCs w:val="21"/>
                      <w:highlight w:val="none"/>
                    </w:rPr>
                  </w:pPr>
                  <w:r>
                    <w:rPr>
                      <w:rFonts w:hint="eastAsia"/>
                      <w:color w:val="auto"/>
                      <w:sz w:val="21"/>
                      <w:szCs w:val="21"/>
                      <w:highlight w:val="none"/>
                    </w:rPr>
                    <w:t>废气</w:t>
                  </w:r>
                </w:p>
              </w:tc>
              <w:tc>
                <w:tcPr>
                  <w:tcW w:w="2929" w:type="pct"/>
                  <w:tcBorders>
                    <w:tl2br w:val="nil"/>
                    <w:tr2bl w:val="nil"/>
                  </w:tcBorders>
                  <w:noWrap/>
                  <w:vAlign w:val="center"/>
                </w:tcPr>
                <w:p w14:paraId="3F71F428">
                  <w:pPr>
                    <w:spacing w:line="312" w:lineRule="exact"/>
                    <w:jc w:val="center"/>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项目</w:t>
                  </w:r>
                  <w:r>
                    <w:rPr>
                      <w:rFonts w:hint="eastAsia" w:ascii="Times New Roman" w:hAnsi="Times New Roman" w:eastAsia="宋体" w:cs="Times New Roman"/>
                      <w:color w:val="auto"/>
                      <w:sz w:val="21"/>
                      <w:szCs w:val="21"/>
                      <w:highlight w:val="none"/>
                      <w:lang w:val="en-US" w:eastAsia="zh-CN"/>
                    </w:rPr>
                    <w:t>一车间、二车间白刚玉投料、破碎、粉碎、筛分、球磨工序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15米高排气筒DA001排放；</w:t>
                  </w:r>
                  <w:r>
                    <w:rPr>
                      <w:rFonts w:hint="eastAsia" w:ascii="Times New Roman" w:hAnsi="Times New Roman" w:eastAsia="宋体" w:cs="Times New Roman"/>
                      <w:color w:val="auto"/>
                      <w:sz w:val="21"/>
                      <w:szCs w:val="21"/>
                      <w:highlight w:val="none"/>
                      <w:lang w:eastAsia="zh-CN"/>
                    </w:rPr>
                    <w:t>项目</w:t>
                  </w:r>
                  <w:r>
                    <w:rPr>
                      <w:rFonts w:hint="eastAsia" w:ascii="Times New Roman" w:hAnsi="Times New Roman" w:eastAsia="宋体" w:cs="Times New Roman"/>
                      <w:color w:val="auto"/>
                      <w:sz w:val="21"/>
                      <w:szCs w:val="21"/>
                      <w:highlight w:val="none"/>
                      <w:lang w:val="en-US" w:eastAsia="zh-CN"/>
                    </w:rPr>
                    <w:t>三车间棕刚玉、铬刚玉投料、破碎、粉碎、筛分、球磨工序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15米高排气筒DA002排放</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项目</w:t>
                  </w:r>
                  <w:r>
                    <w:rPr>
                      <w:rFonts w:hint="eastAsia" w:ascii="Times New Roman" w:cs="Times New Roman"/>
                      <w:color w:val="auto"/>
                      <w:sz w:val="21"/>
                      <w:szCs w:val="21"/>
                      <w:highlight w:val="none"/>
                      <w:lang w:val="en-US" w:eastAsia="zh-CN"/>
                    </w:rPr>
                    <w:t>四车间</w:t>
                  </w:r>
                  <w:r>
                    <w:rPr>
                      <w:rFonts w:hint="eastAsia" w:ascii="Times New Roman" w:hAnsi="Times New Roman" w:eastAsia="宋体" w:cs="Times New Roman"/>
                      <w:color w:val="auto"/>
                      <w:sz w:val="21"/>
                      <w:szCs w:val="21"/>
                      <w:highlight w:val="none"/>
                      <w:lang w:val="en-US" w:eastAsia="zh-CN"/>
                    </w:rPr>
                    <w:t>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15米高排气筒DA003排放</w:t>
                  </w:r>
                </w:p>
              </w:tc>
              <w:tc>
                <w:tcPr>
                  <w:tcW w:w="607" w:type="pct"/>
                  <w:tcBorders>
                    <w:tl2br w:val="nil"/>
                    <w:tr2bl w:val="nil"/>
                  </w:tcBorders>
                  <w:noWrap/>
                  <w:vAlign w:val="center"/>
                </w:tcPr>
                <w:p w14:paraId="6918CC38">
                  <w:pPr>
                    <w:spacing w:line="312" w:lineRule="exact"/>
                    <w:jc w:val="center"/>
                    <w:rPr>
                      <w:rFonts w:hint="eastAsia" w:eastAsia="宋体"/>
                      <w:color w:val="auto"/>
                      <w:sz w:val="21"/>
                      <w:szCs w:val="21"/>
                      <w:highlight w:val="none"/>
                      <w:lang w:eastAsia="zh-CN"/>
                    </w:rPr>
                  </w:pPr>
                  <w:r>
                    <w:rPr>
                      <w:rFonts w:hint="eastAsia"/>
                      <w:color w:val="auto"/>
                      <w:sz w:val="21"/>
                      <w:szCs w:val="21"/>
                      <w:highlight w:val="none"/>
                      <w:lang w:eastAsia="zh-CN"/>
                    </w:rPr>
                    <w:t>新建</w:t>
                  </w:r>
                </w:p>
              </w:tc>
            </w:tr>
            <w:tr w14:paraId="6CDEA9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continue"/>
                  <w:tcBorders>
                    <w:tl2br w:val="nil"/>
                    <w:tr2bl w:val="nil"/>
                  </w:tcBorders>
                  <w:noWrap/>
                  <w:vAlign w:val="center"/>
                </w:tcPr>
                <w:p w14:paraId="7C636E12">
                  <w:pPr>
                    <w:spacing w:line="312" w:lineRule="exact"/>
                    <w:jc w:val="center"/>
                    <w:rPr>
                      <w:color w:val="auto"/>
                      <w:sz w:val="21"/>
                      <w:szCs w:val="21"/>
                    </w:rPr>
                  </w:pPr>
                </w:p>
              </w:tc>
              <w:tc>
                <w:tcPr>
                  <w:tcW w:w="915" w:type="pct"/>
                  <w:tcBorders>
                    <w:tl2br w:val="nil"/>
                    <w:tr2bl w:val="nil"/>
                  </w:tcBorders>
                  <w:noWrap/>
                  <w:vAlign w:val="center"/>
                </w:tcPr>
                <w:p w14:paraId="3167D1FA">
                  <w:pPr>
                    <w:spacing w:line="312" w:lineRule="exact"/>
                    <w:jc w:val="center"/>
                    <w:rPr>
                      <w:color w:val="auto"/>
                      <w:sz w:val="21"/>
                      <w:szCs w:val="21"/>
                    </w:rPr>
                  </w:pPr>
                  <w:r>
                    <w:rPr>
                      <w:color w:val="auto"/>
                      <w:sz w:val="21"/>
                      <w:szCs w:val="21"/>
                    </w:rPr>
                    <w:t>废水处理</w:t>
                  </w:r>
                </w:p>
              </w:tc>
              <w:tc>
                <w:tcPr>
                  <w:tcW w:w="2929" w:type="pct"/>
                  <w:tcBorders>
                    <w:tl2br w:val="nil"/>
                    <w:tr2bl w:val="nil"/>
                  </w:tcBorders>
                  <w:shd w:val="clear" w:color="auto" w:fill="auto"/>
                  <w:noWrap/>
                  <w:vAlign w:val="center"/>
                </w:tcPr>
                <w:p w14:paraId="66C8BF15">
                  <w:pPr>
                    <w:spacing w:line="312"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生活污水经化粪池暂存后，</w:t>
                  </w:r>
                  <w:r>
                    <w:rPr>
                      <w:rFonts w:hint="eastAsia"/>
                      <w:color w:val="auto"/>
                      <w:sz w:val="21"/>
                      <w:szCs w:val="21"/>
                      <w:lang w:eastAsia="zh-CN"/>
                    </w:rPr>
                    <w:t>外运堆肥</w:t>
                  </w:r>
                </w:p>
              </w:tc>
              <w:tc>
                <w:tcPr>
                  <w:tcW w:w="607" w:type="pct"/>
                  <w:tcBorders>
                    <w:tl2br w:val="nil"/>
                    <w:tr2bl w:val="nil"/>
                  </w:tcBorders>
                  <w:noWrap/>
                  <w:vAlign w:val="center"/>
                </w:tcPr>
                <w:p w14:paraId="1839BB2E">
                  <w:pPr>
                    <w:spacing w:line="312" w:lineRule="exact"/>
                    <w:jc w:val="center"/>
                    <w:rPr>
                      <w:color w:val="auto"/>
                      <w:sz w:val="21"/>
                      <w:szCs w:val="21"/>
                    </w:rPr>
                  </w:pPr>
                  <w:r>
                    <w:rPr>
                      <w:color w:val="auto"/>
                      <w:sz w:val="21"/>
                      <w:szCs w:val="21"/>
                    </w:rPr>
                    <w:t>依托</w:t>
                  </w:r>
                  <w:r>
                    <w:rPr>
                      <w:rFonts w:hint="eastAsia"/>
                      <w:color w:val="auto"/>
                      <w:sz w:val="21"/>
                      <w:szCs w:val="21"/>
                    </w:rPr>
                    <w:t>现有</w:t>
                  </w:r>
                </w:p>
              </w:tc>
            </w:tr>
            <w:tr w14:paraId="2722CF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continue"/>
                  <w:tcBorders>
                    <w:tl2br w:val="nil"/>
                    <w:tr2bl w:val="nil"/>
                  </w:tcBorders>
                  <w:noWrap/>
                  <w:vAlign w:val="center"/>
                </w:tcPr>
                <w:p w14:paraId="16712288">
                  <w:pPr>
                    <w:spacing w:line="312" w:lineRule="exact"/>
                    <w:jc w:val="center"/>
                    <w:rPr>
                      <w:color w:val="auto"/>
                      <w:sz w:val="21"/>
                      <w:szCs w:val="21"/>
                    </w:rPr>
                  </w:pPr>
                </w:p>
              </w:tc>
              <w:tc>
                <w:tcPr>
                  <w:tcW w:w="915" w:type="pct"/>
                  <w:tcBorders>
                    <w:tl2br w:val="nil"/>
                    <w:tr2bl w:val="nil"/>
                  </w:tcBorders>
                  <w:noWrap/>
                  <w:vAlign w:val="center"/>
                </w:tcPr>
                <w:p w14:paraId="0F705253">
                  <w:pPr>
                    <w:spacing w:line="312" w:lineRule="exact"/>
                    <w:jc w:val="center"/>
                    <w:rPr>
                      <w:color w:val="auto"/>
                      <w:sz w:val="21"/>
                      <w:szCs w:val="21"/>
                      <w:highlight w:val="none"/>
                    </w:rPr>
                  </w:pPr>
                  <w:r>
                    <w:rPr>
                      <w:color w:val="auto"/>
                      <w:sz w:val="21"/>
                      <w:szCs w:val="21"/>
                      <w:highlight w:val="none"/>
                    </w:rPr>
                    <w:t>固体废物</w:t>
                  </w:r>
                </w:p>
              </w:tc>
              <w:tc>
                <w:tcPr>
                  <w:tcW w:w="2929" w:type="pct"/>
                  <w:tcBorders>
                    <w:tl2br w:val="nil"/>
                    <w:tr2bl w:val="nil"/>
                  </w:tcBorders>
                  <w:shd w:val="clear" w:color="auto" w:fill="auto"/>
                  <w:noWrap/>
                  <w:vAlign w:val="center"/>
                </w:tcPr>
                <w:p w14:paraId="18C77830">
                  <w:pPr>
                    <w:spacing w:line="312"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vertAlign w:val="baseline"/>
                      <w:lang w:eastAsia="zh-CN"/>
                    </w:rPr>
                    <w:t>本项目废布袋</w:t>
                  </w:r>
                  <w:r>
                    <w:rPr>
                      <w:rFonts w:hint="eastAsia" w:cs="Times New Roman"/>
                      <w:color w:val="auto"/>
                      <w:kern w:val="0"/>
                      <w:szCs w:val="21"/>
                      <w:highlight w:val="none"/>
                      <w:vertAlign w:val="baseline"/>
                      <w:lang w:eastAsia="zh-CN"/>
                    </w:rPr>
                    <w:t>、废包装材料、含铁物料</w:t>
                  </w:r>
                  <w:r>
                    <w:rPr>
                      <w:rFonts w:hint="default" w:ascii="Times New Roman" w:hAnsi="Times New Roman" w:eastAsia="宋体" w:cs="Times New Roman"/>
                      <w:color w:val="auto"/>
                      <w:kern w:val="0"/>
                      <w:szCs w:val="21"/>
                      <w:highlight w:val="none"/>
                      <w:vertAlign w:val="baseline"/>
                      <w:lang w:eastAsia="zh-CN"/>
                    </w:rPr>
                    <w:t>集中收集后外售，布袋除尘器收集</w:t>
                  </w:r>
                  <w:r>
                    <w:rPr>
                      <w:rFonts w:hint="eastAsia" w:cs="Times New Roman"/>
                      <w:color w:val="auto"/>
                      <w:kern w:val="0"/>
                      <w:szCs w:val="21"/>
                      <w:highlight w:val="none"/>
                      <w:vertAlign w:val="baseline"/>
                      <w:lang w:eastAsia="zh-CN"/>
                    </w:rPr>
                    <w:t>尘作为产品外卖；生活垃圾由环卫部门定期清运</w:t>
                  </w:r>
                </w:p>
              </w:tc>
              <w:tc>
                <w:tcPr>
                  <w:tcW w:w="607" w:type="pct"/>
                  <w:tcBorders>
                    <w:tl2br w:val="nil"/>
                    <w:tr2bl w:val="nil"/>
                  </w:tcBorders>
                  <w:noWrap/>
                  <w:vAlign w:val="center"/>
                </w:tcPr>
                <w:p w14:paraId="1D596687">
                  <w:pPr>
                    <w:spacing w:line="312" w:lineRule="exact"/>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r>
            <w:tr w14:paraId="1782EC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47" w:type="pct"/>
                  <w:vMerge w:val="continue"/>
                  <w:tcBorders>
                    <w:tl2br w:val="nil"/>
                    <w:tr2bl w:val="nil"/>
                  </w:tcBorders>
                  <w:noWrap/>
                  <w:vAlign w:val="center"/>
                </w:tcPr>
                <w:p w14:paraId="148E005E">
                  <w:pPr>
                    <w:spacing w:line="312" w:lineRule="exact"/>
                    <w:jc w:val="center"/>
                    <w:rPr>
                      <w:sz w:val="21"/>
                      <w:szCs w:val="21"/>
                      <w:highlight w:val="yellow"/>
                    </w:rPr>
                  </w:pPr>
                </w:p>
              </w:tc>
              <w:tc>
                <w:tcPr>
                  <w:tcW w:w="915" w:type="pct"/>
                  <w:tcBorders>
                    <w:tl2br w:val="nil"/>
                    <w:tr2bl w:val="nil"/>
                  </w:tcBorders>
                  <w:noWrap/>
                  <w:vAlign w:val="center"/>
                </w:tcPr>
                <w:p w14:paraId="5733F879">
                  <w:pPr>
                    <w:spacing w:line="312" w:lineRule="exact"/>
                    <w:jc w:val="center"/>
                    <w:rPr>
                      <w:sz w:val="21"/>
                      <w:szCs w:val="21"/>
                    </w:rPr>
                  </w:pPr>
                  <w:r>
                    <w:rPr>
                      <w:sz w:val="21"/>
                      <w:szCs w:val="21"/>
                    </w:rPr>
                    <w:t>噪声治理</w:t>
                  </w:r>
                </w:p>
              </w:tc>
              <w:tc>
                <w:tcPr>
                  <w:tcW w:w="2929" w:type="pct"/>
                  <w:tcBorders>
                    <w:tl2br w:val="nil"/>
                    <w:tr2bl w:val="nil"/>
                  </w:tcBorders>
                  <w:noWrap/>
                  <w:vAlign w:val="center"/>
                </w:tcPr>
                <w:p w14:paraId="23AF5693">
                  <w:pPr>
                    <w:spacing w:line="312" w:lineRule="exact"/>
                    <w:jc w:val="center"/>
                    <w:rPr>
                      <w:sz w:val="21"/>
                      <w:szCs w:val="21"/>
                    </w:rPr>
                  </w:pPr>
                  <w:r>
                    <w:rPr>
                      <w:sz w:val="21"/>
                      <w:szCs w:val="21"/>
                    </w:rPr>
                    <w:t>采取吸声、隔声和降噪等措施</w:t>
                  </w:r>
                </w:p>
              </w:tc>
              <w:tc>
                <w:tcPr>
                  <w:tcW w:w="607" w:type="pct"/>
                  <w:tcBorders>
                    <w:tl2br w:val="nil"/>
                    <w:tr2bl w:val="nil"/>
                  </w:tcBorders>
                  <w:noWrap/>
                  <w:vAlign w:val="center"/>
                </w:tcPr>
                <w:p w14:paraId="69CCB8C1">
                  <w:pPr>
                    <w:spacing w:line="312" w:lineRule="exact"/>
                    <w:jc w:val="center"/>
                    <w:rPr>
                      <w:rFonts w:hint="eastAsia" w:eastAsia="宋体"/>
                      <w:sz w:val="21"/>
                      <w:szCs w:val="21"/>
                      <w:lang w:eastAsia="zh-CN"/>
                    </w:rPr>
                  </w:pPr>
                  <w:r>
                    <w:rPr>
                      <w:rFonts w:hint="eastAsia"/>
                      <w:sz w:val="21"/>
                      <w:szCs w:val="21"/>
                      <w:lang w:val="en-US" w:eastAsia="zh-CN"/>
                    </w:rPr>
                    <w:t>/</w:t>
                  </w:r>
                </w:p>
              </w:tc>
            </w:tr>
          </w:tbl>
          <w:p w14:paraId="3D35A322">
            <w:pPr>
              <w:spacing w:line="360" w:lineRule="auto"/>
              <w:ind w:firstLine="422" w:firstLineChars="200"/>
              <w:jc w:val="left"/>
              <w:outlineLvl w:val="4"/>
              <w:rPr>
                <w:b/>
                <w:bCs/>
                <w:sz w:val="21"/>
                <w:szCs w:val="21"/>
              </w:rPr>
            </w:pPr>
            <w:r>
              <w:rPr>
                <w:rFonts w:hint="eastAsia"/>
                <w:b/>
                <w:bCs/>
                <w:sz w:val="21"/>
                <w:szCs w:val="21"/>
              </w:rPr>
              <w:t>二、项目主要生产设备一览表</w:t>
            </w:r>
          </w:p>
          <w:p w14:paraId="5AA1A346">
            <w:pPr>
              <w:jc w:val="center"/>
              <w:outlineLvl w:val="4"/>
              <w:rPr>
                <w:b/>
                <w:bCs/>
                <w:sz w:val="21"/>
                <w:szCs w:val="21"/>
              </w:rPr>
            </w:pPr>
            <w:r>
              <w:rPr>
                <w:b/>
                <w:bCs/>
                <w:sz w:val="21"/>
                <w:szCs w:val="21"/>
              </w:rPr>
              <w:t>表</w:t>
            </w:r>
            <w:r>
              <w:rPr>
                <w:rFonts w:hint="eastAsia"/>
                <w:b/>
                <w:bCs/>
                <w:sz w:val="21"/>
                <w:szCs w:val="21"/>
              </w:rPr>
              <w:t>2-2</w:t>
            </w:r>
            <w:r>
              <w:rPr>
                <w:rFonts w:hint="eastAsia"/>
                <w:b/>
                <w:bCs/>
                <w:sz w:val="21"/>
                <w:szCs w:val="21"/>
                <w:lang w:val="en-US" w:eastAsia="zh-CN"/>
              </w:rPr>
              <w:t xml:space="preserve"> </w:t>
            </w:r>
            <w:r>
              <w:rPr>
                <w:b/>
                <w:bCs/>
                <w:sz w:val="21"/>
                <w:szCs w:val="21"/>
              </w:rPr>
              <w:t>本项目主要生产设备一览表</w:t>
            </w:r>
          </w:p>
          <w:tbl>
            <w:tblPr>
              <w:tblStyle w:val="35"/>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958"/>
              <w:gridCol w:w="2820"/>
              <w:gridCol w:w="1610"/>
              <w:gridCol w:w="1208"/>
            </w:tblGrid>
            <w:tr w14:paraId="1633F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43D0ED1C">
                  <w:pPr>
                    <w:jc w:val="center"/>
                    <w:rPr>
                      <w:sz w:val="21"/>
                      <w:szCs w:val="21"/>
                    </w:rPr>
                  </w:pPr>
                  <w:r>
                    <w:rPr>
                      <w:sz w:val="21"/>
                      <w:szCs w:val="21"/>
                    </w:rPr>
                    <w:t>序号</w:t>
                  </w:r>
                </w:p>
              </w:tc>
              <w:tc>
                <w:tcPr>
                  <w:tcW w:w="1189" w:type="pct"/>
                  <w:tcBorders>
                    <w:tl2br w:val="nil"/>
                    <w:tr2bl w:val="nil"/>
                  </w:tcBorders>
                  <w:vAlign w:val="center"/>
                </w:tcPr>
                <w:p w14:paraId="5339FD78">
                  <w:pPr>
                    <w:jc w:val="center"/>
                    <w:rPr>
                      <w:sz w:val="21"/>
                      <w:szCs w:val="21"/>
                    </w:rPr>
                  </w:pPr>
                  <w:r>
                    <w:rPr>
                      <w:sz w:val="21"/>
                      <w:szCs w:val="21"/>
                    </w:rPr>
                    <w:t>设备名称</w:t>
                  </w:r>
                </w:p>
              </w:tc>
              <w:tc>
                <w:tcPr>
                  <w:tcW w:w="1712" w:type="pct"/>
                  <w:tcBorders>
                    <w:tl2br w:val="nil"/>
                    <w:tr2bl w:val="nil"/>
                  </w:tcBorders>
                  <w:vAlign w:val="center"/>
                </w:tcPr>
                <w:p w14:paraId="0C081EF0">
                  <w:pPr>
                    <w:jc w:val="center"/>
                    <w:rPr>
                      <w:rFonts w:hint="eastAsia" w:eastAsia="宋体"/>
                      <w:sz w:val="21"/>
                      <w:szCs w:val="21"/>
                      <w:lang w:eastAsia="zh-CN"/>
                    </w:rPr>
                  </w:pPr>
                  <w:r>
                    <w:rPr>
                      <w:rFonts w:hint="eastAsia"/>
                      <w:sz w:val="21"/>
                      <w:szCs w:val="21"/>
                      <w:lang w:eastAsia="zh-CN"/>
                    </w:rPr>
                    <w:t>规格、型号</w:t>
                  </w:r>
                </w:p>
              </w:tc>
              <w:tc>
                <w:tcPr>
                  <w:tcW w:w="977" w:type="pct"/>
                  <w:tcBorders>
                    <w:tl2br w:val="nil"/>
                    <w:tr2bl w:val="nil"/>
                  </w:tcBorders>
                  <w:vAlign w:val="center"/>
                </w:tcPr>
                <w:p w14:paraId="658CD1FC">
                  <w:pPr>
                    <w:jc w:val="center"/>
                    <w:rPr>
                      <w:sz w:val="21"/>
                      <w:szCs w:val="21"/>
                    </w:rPr>
                  </w:pPr>
                  <w:r>
                    <w:rPr>
                      <w:sz w:val="21"/>
                      <w:szCs w:val="21"/>
                    </w:rPr>
                    <w:t>数量</w:t>
                  </w:r>
                  <w:r>
                    <w:rPr>
                      <w:rFonts w:hint="eastAsia"/>
                      <w:sz w:val="21"/>
                      <w:szCs w:val="21"/>
                    </w:rPr>
                    <w:t>（台/套</w:t>
                  </w:r>
                  <w:r>
                    <w:rPr>
                      <w:rFonts w:hint="eastAsia"/>
                      <w:sz w:val="21"/>
                      <w:szCs w:val="21"/>
                      <w:lang w:val="en-US" w:eastAsia="zh-CN"/>
                    </w:rPr>
                    <w:t>/个</w:t>
                  </w:r>
                  <w:r>
                    <w:rPr>
                      <w:rFonts w:hint="eastAsia"/>
                      <w:sz w:val="21"/>
                      <w:szCs w:val="21"/>
                    </w:rPr>
                    <w:t>）</w:t>
                  </w:r>
                </w:p>
              </w:tc>
              <w:tc>
                <w:tcPr>
                  <w:tcW w:w="733" w:type="pct"/>
                  <w:tcBorders>
                    <w:tl2br w:val="nil"/>
                    <w:tr2bl w:val="nil"/>
                  </w:tcBorders>
                  <w:vAlign w:val="center"/>
                </w:tcPr>
                <w:p w14:paraId="184B6476">
                  <w:pPr>
                    <w:jc w:val="center"/>
                    <w:textAlignment w:val="baseline"/>
                    <w:rPr>
                      <w:sz w:val="21"/>
                      <w:szCs w:val="21"/>
                    </w:rPr>
                  </w:pPr>
                  <w:r>
                    <w:rPr>
                      <w:sz w:val="21"/>
                      <w:szCs w:val="21"/>
                    </w:rPr>
                    <w:t>备注</w:t>
                  </w:r>
                </w:p>
              </w:tc>
            </w:tr>
            <w:tr w14:paraId="3E6B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5D4E0F72">
                  <w:pPr>
                    <w:jc w:val="center"/>
                    <w:rPr>
                      <w:sz w:val="21"/>
                      <w:szCs w:val="21"/>
                    </w:rPr>
                  </w:pPr>
                  <w:r>
                    <w:rPr>
                      <w:rFonts w:hint="eastAsia"/>
                      <w:sz w:val="21"/>
                      <w:szCs w:val="21"/>
                    </w:rPr>
                    <w:t>1</w:t>
                  </w:r>
                </w:p>
              </w:tc>
              <w:tc>
                <w:tcPr>
                  <w:tcW w:w="1189" w:type="pct"/>
                  <w:tcBorders>
                    <w:tl2br w:val="nil"/>
                    <w:tr2bl w:val="nil"/>
                  </w:tcBorders>
                  <w:vAlign w:val="center"/>
                </w:tcPr>
                <w:p w14:paraId="2C6E8194">
                  <w:pPr>
                    <w:adjustRightInd w:val="0"/>
                    <w:snapToGrid w:val="0"/>
                    <w:jc w:val="center"/>
                    <w:rPr>
                      <w:rFonts w:hint="eastAsia" w:eastAsia="宋体"/>
                      <w:sz w:val="21"/>
                      <w:szCs w:val="21"/>
                      <w:lang w:eastAsia="zh-CN"/>
                    </w:rPr>
                  </w:pPr>
                  <w:r>
                    <w:rPr>
                      <w:rFonts w:hint="eastAsia"/>
                      <w:sz w:val="21"/>
                      <w:szCs w:val="21"/>
                      <w:lang w:eastAsia="zh-CN"/>
                    </w:rPr>
                    <w:t>颚式破碎机</w:t>
                  </w:r>
                </w:p>
              </w:tc>
              <w:tc>
                <w:tcPr>
                  <w:tcW w:w="1712" w:type="pct"/>
                  <w:tcBorders>
                    <w:tl2br w:val="nil"/>
                    <w:tr2bl w:val="nil"/>
                  </w:tcBorders>
                  <w:vAlign w:val="center"/>
                </w:tcPr>
                <w:p w14:paraId="47B27102">
                  <w:pPr>
                    <w:jc w:val="center"/>
                    <w:rPr>
                      <w:rFonts w:hint="default"/>
                      <w:sz w:val="21"/>
                      <w:szCs w:val="21"/>
                      <w:lang w:val="en-US" w:eastAsia="zh-CN"/>
                    </w:rPr>
                  </w:pPr>
                  <w:r>
                    <w:rPr>
                      <w:rFonts w:hint="eastAsia"/>
                      <w:sz w:val="21"/>
                      <w:szCs w:val="21"/>
                      <w:lang w:val="en-US" w:eastAsia="zh-CN"/>
                    </w:rPr>
                    <w:t>400*600/250*400</w:t>
                  </w:r>
                </w:p>
              </w:tc>
              <w:tc>
                <w:tcPr>
                  <w:tcW w:w="977" w:type="pct"/>
                  <w:tcBorders>
                    <w:tl2br w:val="nil"/>
                    <w:tr2bl w:val="nil"/>
                  </w:tcBorders>
                  <w:vAlign w:val="center"/>
                </w:tcPr>
                <w:p w14:paraId="508AB89B">
                  <w:pPr>
                    <w:jc w:val="center"/>
                    <w:rPr>
                      <w:rFonts w:hint="default" w:eastAsia="宋体"/>
                      <w:sz w:val="21"/>
                      <w:szCs w:val="21"/>
                      <w:lang w:val="en-US" w:eastAsia="zh-CN"/>
                    </w:rPr>
                  </w:pPr>
                  <w:r>
                    <w:rPr>
                      <w:rFonts w:hint="eastAsia"/>
                      <w:sz w:val="21"/>
                      <w:szCs w:val="21"/>
                      <w:lang w:val="en-US" w:eastAsia="zh-CN"/>
                    </w:rPr>
                    <w:t>12</w:t>
                  </w:r>
                </w:p>
              </w:tc>
              <w:tc>
                <w:tcPr>
                  <w:tcW w:w="733" w:type="pct"/>
                  <w:tcBorders>
                    <w:tl2br w:val="nil"/>
                    <w:tr2bl w:val="nil"/>
                  </w:tcBorders>
                  <w:vAlign w:val="center"/>
                </w:tcPr>
                <w:p w14:paraId="564460B6">
                  <w:pPr>
                    <w:jc w:val="center"/>
                    <w:textAlignment w:val="baseline"/>
                    <w:rPr>
                      <w:rFonts w:hint="default" w:eastAsia="宋体"/>
                      <w:sz w:val="21"/>
                      <w:szCs w:val="21"/>
                      <w:lang w:val="en-US" w:eastAsia="zh-CN"/>
                    </w:rPr>
                  </w:pPr>
                  <w:r>
                    <w:rPr>
                      <w:rFonts w:hint="eastAsia"/>
                      <w:sz w:val="21"/>
                      <w:szCs w:val="21"/>
                      <w:lang w:val="en-US" w:eastAsia="zh-CN"/>
                    </w:rPr>
                    <w:t>/</w:t>
                  </w:r>
                </w:p>
              </w:tc>
            </w:tr>
            <w:tr w14:paraId="698F8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8A1E2B2">
                  <w:pPr>
                    <w:jc w:val="center"/>
                    <w:rPr>
                      <w:sz w:val="21"/>
                      <w:szCs w:val="21"/>
                    </w:rPr>
                  </w:pPr>
                  <w:r>
                    <w:rPr>
                      <w:rFonts w:hint="eastAsia"/>
                      <w:sz w:val="21"/>
                      <w:szCs w:val="21"/>
                    </w:rPr>
                    <w:t>2</w:t>
                  </w:r>
                </w:p>
              </w:tc>
              <w:tc>
                <w:tcPr>
                  <w:tcW w:w="1189" w:type="pct"/>
                  <w:tcBorders>
                    <w:tl2br w:val="nil"/>
                    <w:tr2bl w:val="nil"/>
                  </w:tcBorders>
                  <w:vAlign w:val="center"/>
                </w:tcPr>
                <w:p w14:paraId="311D51F3">
                  <w:pPr>
                    <w:adjustRightInd w:val="0"/>
                    <w:snapToGrid w:val="0"/>
                    <w:jc w:val="center"/>
                    <w:rPr>
                      <w:rFonts w:hint="eastAsia" w:eastAsia="宋体"/>
                      <w:sz w:val="21"/>
                      <w:szCs w:val="21"/>
                      <w:lang w:eastAsia="zh-CN"/>
                    </w:rPr>
                  </w:pPr>
                  <w:r>
                    <w:rPr>
                      <w:rFonts w:hint="eastAsia"/>
                      <w:sz w:val="21"/>
                      <w:szCs w:val="21"/>
                      <w:lang w:eastAsia="zh-CN"/>
                    </w:rPr>
                    <w:t>对辊机</w:t>
                  </w:r>
                </w:p>
              </w:tc>
              <w:tc>
                <w:tcPr>
                  <w:tcW w:w="1712" w:type="pct"/>
                  <w:tcBorders>
                    <w:tl2br w:val="nil"/>
                    <w:tr2bl w:val="nil"/>
                  </w:tcBorders>
                  <w:shd w:val="clear" w:color="auto" w:fill="auto"/>
                  <w:vAlign w:val="center"/>
                </w:tcPr>
                <w:p w14:paraId="70B39FB0">
                  <w:pPr>
                    <w:adjustRightInd w:val="0"/>
                    <w:snapToGrid w:val="0"/>
                    <w:jc w:val="center"/>
                    <w:rPr>
                      <w:rFonts w:hint="default" w:ascii="Times New Roman" w:hAnsi="Times New Roman" w:eastAsia="宋体"/>
                      <w:sz w:val="21"/>
                      <w:szCs w:val="21"/>
                      <w:lang w:val="en-US" w:eastAsia="zh-CN"/>
                    </w:rPr>
                  </w:pPr>
                  <w:r>
                    <w:rPr>
                      <w:rFonts w:hint="eastAsia"/>
                      <w:sz w:val="21"/>
                      <w:szCs w:val="21"/>
                      <w:lang w:val="en-US" w:eastAsia="zh-CN"/>
                    </w:rPr>
                    <w:t>600*410</w:t>
                  </w:r>
                </w:p>
              </w:tc>
              <w:tc>
                <w:tcPr>
                  <w:tcW w:w="977" w:type="pct"/>
                  <w:tcBorders>
                    <w:tl2br w:val="nil"/>
                    <w:tr2bl w:val="nil"/>
                  </w:tcBorders>
                  <w:shd w:val="clear" w:color="auto" w:fill="auto"/>
                  <w:vAlign w:val="center"/>
                </w:tcPr>
                <w:p w14:paraId="54CF730E">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8</w:t>
                  </w:r>
                </w:p>
              </w:tc>
              <w:tc>
                <w:tcPr>
                  <w:tcW w:w="733" w:type="pct"/>
                  <w:tcBorders>
                    <w:tl2br w:val="nil"/>
                    <w:tr2bl w:val="nil"/>
                  </w:tcBorders>
                  <w:vAlign w:val="center"/>
                </w:tcPr>
                <w:p w14:paraId="3AB5A096">
                  <w:pPr>
                    <w:jc w:val="center"/>
                    <w:textAlignment w:val="baseline"/>
                    <w:rPr>
                      <w:sz w:val="21"/>
                      <w:szCs w:val="21"/>
                    </w:rPr>
                  </w:pPr>
                  <w:r>
                    <w:rPr>
                      <w:rFonts w:hint="eastAsia"/>
                      <w:sz w:val="21"/>
                      <w:szCs w:val="21"/>
                    </w:rPr>
                    <w:t>/</w:t>
                  </w:r>
                </w:p>
              </w:tc>
            </w:tr>
            <w:tr w14:paraId="05789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487F120">
                  <w:pPr>
                    <w:jc w:val="center"/>
                    <w:rPr>
                      <w:sz w:val="21"/>
                      <w:szCs w:val="21"/>
                    </w:rPr>
                  </w:pPr>
                  <w:r>
                    <w:rPr>
                      <w:rFonts w:hint="eastAsia"/>
                      <w:sz w:val="21"/>
                      <w:szCs w:val="21"/>
                    </w:rPr>
                    <w:t>3</w:t>
                  </w:r>
                </w:p>
              </w:tc>
              <w:tc>
                <w:tcPr>
                  <w:tcW w:w="1189" w:type="pct"/>
                  <w:tcBorders>
                    <w:tl2br w:val="nil"/>
                    <w:tr2bl w:val="nil"/>
                  </w:tcBorders>
                  <w:vAlign w:val="center"/>
                </w:tcPr>
                <w:p w14:paraId="0A6C5A46">
                  <w:pPr>
                    <w:widowControl/>
                    <w:jc w:val="center"/>
                    <w:textAlignment w:val="center"/>
                    <w:rPr>
                      <w:rFonts w:hint="eastAsia" w:eastAsia="宋体"/>
                      <w:sz w:val="21"/>
                      <w:szCs w:val="21"/>
                      <w:lang w:eastAsia="zh-CN"/>
                    </w:rPr>
                  </w:pPr>
                  <w:r>
                    <w:rPr>
                      <w:rFonts w:hint="eastAsia"/>
                      <w:sz w:val="21"/>
                      <w:szCs w:val="21"/>
                      <w:lang w:eastAsia="zh-CN"/>
                    </w:rPr>
                    <w:t>冲击制砂机</w:t>
                  </w:r>
                </w:p>
              </w:tc>
              <w:tc>
                <w:tcPr>
                  <w:tcW w:w="1712" w:type="pct"/>
                  <w:tcBorders>
                    <w:tl2br w:val="nil"/>
                    <w:tr2bl w:val="nil"/>
                  </w:tcBorders>
                  <w:shd w:val="clear" w:color="auto" w:fill="auto"/>
                  <w:vAlign w:val="center"/>
                </w:tcPr>
                <w:p w14:paraId="5EA7EF12">
                  <w:pPr>
                    <w:adjustRightInd w:val="0"/>
                    <w:snapToGrid w:val="0"/>
                    <w:jc w:val="center"/>
                    <w:rPr>
                      <w:rFonts w:hint="default" w:ascii="Times New Roman" w:hAnsi="Times New Roman" w:eastAsia="宋体"/>
                      <w:sz w:val="21"/>
                      <w:szCs w:val="21"/>
                      <w:lang w:val="en-US" w:eastAsia="zh-CN"/>
                    </w:rPr>
                  </w:pPr>
                  <w:r>
                    <w:rPr>
                      <w:rFonts w:hint="eastAsia"/>
                      <w:sz w:val="21"/>
                      <w:szCs w:val="21"/>
                      <w:lang w:val="en-US" w:eastAsia="zh-CN"/>
                    </w:rPr>
                    <w:t>7611制砂机1台、550制砂机3台、600制砂机4台</w:t>
                  </w:r>
                </w:p>
              </w:tc>
              <w:tc>
                <w:tcPr>
                  <w:tcW w:w="977" w:type="pct"/>
                  <w:tcBorders>
                    <w:tl2br w:val="nil"/>
                    <w:tr2bl w:val="nil"/>
                  </w:tcBorders>
                  <w:shd w:val="clear" w:color="auto" w:fill="auto"/>
                  <w:vAlign w:val="center"/>
                </w:tcPr>
                <w:p w14:paraId="0B7A94F1">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8</w:t>
                  </w:r>
                </w:p>
              </w:tc>
              <w:tc>
                <w:tcPr>
                  <w:tcW w:w="733" w:type="pct"/>
                  <w:tcBorders>
                    <w:tl2br w:val="nil"/>
                    <w:tr2bl w:val="nil"/>
                  </w:tcBorders>
                  <w:vAlign w:val="center"/>
                </w:tcPr>
                <w:p w14:paraId="43C05BF9">
                  <w:pPr>
                    <w:jc w:val="center"/>
                    <w:rPr>
                      <w:sz w:val="21"/>
                      <w:szCs w:val="21"/>
                    </w:rPr>
                  </w:pPr>
                  <w:r>
                    <w:rPr>
                      <w:rFonts w:hint="eastAsia"/>
                      <w:sz w:val="21"/>
                      <w:szCs w:val="21"/>
                    </w:rPr>
                    <w:t>/</w:t>
                  </w:r>
                </w:p>
              </w:tc>
            </w:tr>
            <w:tr w14:paraId="5F4E7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5C15A67">
                  <w:pPr>
                    <w:jc w:val="center"/>
                    <w:rPr>
                      <w:sz w:val="21"/>
                      <w:szCs w:val="21"/>
                    </w:rPr>
                  </w:pPr>
                  <w:r>
                    <w:rPr>
                      <w:rFonts w:hint="eastAsia"/>
                      <w:sz w:val="21"/>
                      <w:szCs w:val="21"/>
                    </w:rPr>
                    <w:t>4</w:t>
                  </w:r>
                </w:p>
              </w:tc>
              <w:tc>
                <w:tcPr>
                  <w:tcW w:w="1189" w:type="pct"/>
                  <w:tcBorders>
                    <w:tl2br w:val="nil"/>
                    <w:tr2bl w:val="nil"/>
                  </w:tcBorders>
                  <w:vAlign w:val="center"/>
                </w:tcPr>
                <w:p w14:paraId="5C2AAD80">
                  <w:pPr>
                    <w:adjustRightInd w:val="0"/>
                    <w:snapToGrid w:val="0"/>
                    <w:jc w:val="center"/>
                    <w:rPr>
                      <w:rFonts w:hint="eastAsia" w:eastAsia="宋体"/>
                      <w:sz w:val="21"/>
                      <w:szCs w:val="21"/>
                      <w:lang w:eastAsia="zh-CN"/>
                    </w:rPr>
                  </w:pPr>
                  <w:r>
                    <w:rPr>
                      <w:rFonts w:hint="eastAsia"/>
                      <w:sz w:val="21"/>
                      <w:szCs w:val="21"/>
                      <w:lang w:eastAsia="zh-CN"/>
                    </w:rPr>
                    <w:t>带筛球磨机</w:t>
                  </w:r>
                </w:p>
              </w:tc>
              <w:tc>
                <w:tcPr>
                  <w:tcW w:w="1712" w:type="pct"/>
                  <w:tcBorders>
                    <w:tl2br w:val="nil"/>
                    <w:tr2bl w:val="nil"/>
                  </w:tcBorders>
                  <w:shd w:val="clear" w:color="auto" w:fill="auto"/>
                  <w:vAlign w:val="center"/>
                </w:tcPr>
                <w:p w14:paraId="1C39BC37">
                  <w:pPr>
                    <w:adjustRightInd w:val="0"/>
                    <w:snapToGrid w:val="0"/>
                    <w:jc w:val="center"/>
                    <w:rPr>
                      <w:rFonts w:hint="default" w:ascii="Times New Roman" w:hAnsi="Times New Roman" w:eastAsia="微软雅黑"/>
                      <w:sz w:val="21"/>
                      <w:szCs w:val="21"/>
                      <w:lang w:val="en-US" w:eastAsia="zh-CN"/>
                    </w:rPr>
                  </w:pPr>
                  <w:r>
                    <w:rPr>
                      <w:rFonts w:hint="eastAsia" w:ascii="微软雅黑" w:hAnsi="微软雅黑" w:eastAsia="微软雅黑" w:cs="微软雅黑"/>
                      <w:sz w:val="21"/>
                      <w:szCs w:val="21"/>
                    </w:rPr>
                    <w:t>￠</w:t>
                  </w:r>
                  <w:r>
                    <w:rPr>
                      <w:rFonts w:hint="eastAsia" w:ascii="Times New Roman" w:hAnsi="Times New Roman" w:eastAsia="微软雅黑" w:cs="Times New Roman"/>
                      <w:sz w:val="21"/>
                      <w:szCs w:val="21"/>
                      <w:lang w:val="en-US" w:eastAsia="zh-CN"/>
                    </w:rPr>
                    <w:t>1.9*0.9</w:t>
                  </w:r>
                </w:p>
              </w:tc>
              <w:tc>
                <w:tcPr>
                  <w:tcW w:w="977" w:type="pct"/>
                  <w:tcBorders>
                    <w:tl2br w:val="nil"/>
                    <w:tr2bl w:val="nil"/>
                  </w:tcBorders>
                  <w:shd w:val="clear" w:color="auto" w:fill="auto"/>
                  <w:vAlign w:val="center"/>
                </w:tcPr>
                <w:p w14:paraId="3FF8B7D8">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4</w:t>
                  </w:r>
                </w:p>
              </w:tc>
              <w:tc>
                <w:tcPr>
                  <w:tcW w:w="733" w:type="pct"/>
                  <w:tcBorders>
                    <w:tl2br w:val="nil"/>
                    <w:tr2bl w:val="nil"/>
                  </w:tcBorders>
                  <w:vAlign w:val="center"/>
                </w:tcPr>
                <w:p w14:paraId="3FF153D0">
                  <w:pPr>
                    <w:jc w:val="center"/>
                    <w:textAlignment w:val="baseline"/>
                    <w:rPr>
                      <w:sz w:val="21"/>
                      <w:szCs w:val="21"/>
                    </w:rPr>
                  </w:pPr>
                  <w:r>
                    <w:rPr>
                      <w:rFonts w:hint="eastAsia"/>
                      <w:sz w:val="21"/>
                      <w:szCs w:val="21"/>
                    </w:rPr>
                    <w:t>/</w:t>
                  </w:r>
                </w:p>
              </w:tc>
            </w:tr>
            <w:tr w14:paraId="2F1D3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4435B14F">
                  <w:pPr>
                    <w:jc w:val="center"/>
                    <w:rPr>
                      <w:sz w:val="21"/>
                      <w:szCs w:val="21"/>
                    </w:rPr>
                  </w:pPr>
                  <w:r>
                    <w:rPr>
                      <w:rFonts w:hint="eastAsia"/>
                      <w:sz w:val="21"/>
                      <w:szCs w:val="21"/>
                    </w:rPr>
                    <w:t>5</w:t>
                  </w:r>
                </w:p>
              </w:tc>
              <w:tc>
                <w:tcPr>
                  <w:tcW w:w="1189" w:type="pct"/>
                  <w:tcBorders>
                    <w:tl2br w:val="nil"/>
                    <w:tr2bl w:val="nil"/>
                  </w:tcBorders>
                  <w:vAlign w:val="center"/>
                </w:tcPr>
                <w:p w14:paraId="63B93A2F">
                  <w:pPr>
                    <w:adjustRightInd w:val="0"/>
                    <w:snapToGrid w:val="0"/>
                    <w:jc w:val="center"/>
                    <w:rPr>
                      <w:rFonts w:hint="eastAsia" w:eastAsia="宋体"/>
                      <w:sz w:val="21"/>
                      <w:szCs w:val="21"/>
                      <w:lang w:eastAsia="zh-CN"/>
                    </w:rPr>
                  </w:pPr>
                  <w:r>
                    <w:rPr>
                      <w:rFonts w:hint="eastAsia"/>
                      <w:sz w:val="21"/>
                      <w:szCs w:val="21"/>
                      <w:lang w:eastAsia="zh-CN"/>
                    </w:rPr>
                    <w:t>磁选机</w:t>
                  </w:r>
                </w:p>
              </w:tc>
              <w:tc>
                <w:tcPr>
                  <w:tcW w:w="1712" w:type="pct"/>
                  <w:tcBorders>
                    <w:tl2br w:val="nil"/>
                    <w:tr2bl w:val="nil"/>
                  </w:tcBorders>
                  <w:shd w:val="clear" w:color="auto" w:fill="auto"/>
                  <w:vAlign w:val="center"/>
                </w:tcPr>
                <w:p w14:paraId="78A88865">
                  <w:pPr>
                    <w:adjustRightInd w:val="0"/>
                    <w:snapToGrid w:val="0"/>
                    <w:jc w:val="center"/>
                    <w:rPr>
                      <w:rFonts w:hint="default" w:ascii="Times New Roman" w:hAnsi="Times New Roman" w:eastAsia="宋体"/>
                      <w:sz w:val="21"/>
                      <w:szCs w:val="21"/>
                      <w:lang w:val="en-US" w:eastAsia="zh-CN"/>
                    </w:rPr>
                  </w:pPr>
                  <w:r>
                    <w:rPr>
                      <w:rFonts w:hint="eastAsia"/>
                      <w:sz w:val="21"/>
                      <w:szCs w:val="21"/>
                      <w:lang w:eastAsia="zh-CN"/>
                    </w:rPr>
                    <w:t>永磁</w:t>
                  </w:r>
                  <w:r>
                    <w:rPr>
                      <w:rFonts w:hint="eastAsia"/>
                      <w:sz w:val="21"/>
                      <w:szCs w:val="21"/>
                      <w:lang w:val="en-US" w:eastAsia="zh-CN"/>
                    </w:rPr>
                    <w:t>0.6</w:t>
                  </w:r>
                </w:p>
              </w:tc>
              <w:tc>
                <w:tcPr>
                  <w:tcW w:w="977" w:type="pct"/>
                  <w:tcBorders>
                    <w:tl2br w:val="nil"/>
                    <w:tr2bl w:val="nil"/>
                  </w:tcBorders>
                  <w:shd w:val="clear" w:color="auto" w:fill="auto"/>
                  <w:vAlign w:val="center"/>
                </w:tcPr>
                <w:p w14:paraId="710C53B1">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16</w:t>
                  </w:r>
                </w:p>
              </w:tc>
              <w:tc>
                <w:tcPr>
                  <w:tcW w:w="733" w:type="pct"/>
                  <w:tcBorders>
                    <w:tl2br w:val="nil"/>
                    <w:tr2bl w:val="nil"/>
                  </w:tcBorders>
                  <w:vAlign w:val="center"/>
                </w:tcPr>
                <w:p w14:paraId="2AE74A94">
                  <w:pPr>
                    <w:jc w:val="center"/>
                    <w:textAlignment w:val="baseline"/>
                    <w:rPr>
                      <w:sz w:val="21"/>
                      <w:szCs w:val="21"/>
                    </w:rPr>
                  </w:pPr>
                  <w:r>
                    <w:rPr>
                      <w:rFonts w:hint="eastAsia"/>
                      <w:sz w:val="21"/>
                      <w:szCs w:val="21"/>
                    </w:rPr>
                    <w:t>/</w:t>
                  </w:r>
                </w:p>
              </w:tc>
            </w:tr>
            <w:tr w14:paraId="420EF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CE7BCAA">
                  <w:pPr>
                    <w:jc w:val="center"/>
                    <w:rPr>
                      <w:rFonts w:hint="default" w:eastAsia="宋体"/>
                      <w:sz w:val="21"/>
                      <w:szCs w:val="21"/>
                      <w:lang w:val="en-US" w:eastAsia="zh-CN"/>
                    </w:rPr>
                  </w:pPr>
                  <w:r>
                    <w:rPr>
                      <w:rFonts w:hint="eastAsia"/>
                      <w:sz w:val="21"/>
                      <w:szCs w:val="21"/>
                      <w:lang w:val="en-US" w:eastAsia="zh-CN"/>
                    </w:rPr>
                    <w:t>6</w:t>
                  </w:r>
                </w:p>
              </w:tc>
              <w:tc>
                <w:tcPr>
                  <w:tcW w:w="1189" w:type="pct"/>
                  <w:tcBorders>
                    <w:tl2br w:val="nil"/>
                    <w:tr2bl w:val="nil"/>
                  </w:tcBorders>
                  <w:vAlign w:val="center"/>
                </w:tcPr>
                <w:p w14:paraId="7F595D6F">
                  <w:pPr>
                    <w:jc w:val="center"/>
                    <w:textAlignment w:val="baseline"/>
                    <w:rPr>
                      <w:rFonts w:hint="eastAsia" w:eastAsia="宋体"/>
                      <w:sz w:val="21"/>
                      <w:szCs w:val="21"/>
                      <w:lang w:eastAsia="zh-CN"/>
                    </w:rPr>
                  </w:pPr>
                  <w:r>
                    <w:rPr>
                      <w:rFonts w:hint="eastAsia"/>
                      <w:sz w:val="21"/>
                      <w:szCs w:val="21"/>
                      <w:lang w:eastAsia="zh-CN"/>
                    </w:rPr>
                    <w:t>提升机</w:t>
                  </w:r>
                </w:p>
              </w:tc>
              <w:tc>
                <w:tcPr>
                  <w:tcW w:w="1712" w:type="pct"/>
                  <w:tcBorders>
                    <w:tl2br w:val="nil"/>
                    <w:tr2bl w:val="nil"/>
                  </w:tcBorders>
                  <w:vAlign w:val="center"/>
                </w:tcPr>
                <w:p w14:paraId="2EE8DD4B">
                  <w:pPr>
                    <w:jc w:val="center"/>
                    <w:textAlignment w:val="baseline"/>
                    <w:rPr>
                      <w:rFonts w:hint="default"/>
                      <w:sz w:val="21"/>
                      <w:szCs w:val="21"/>
                      <w:lang w:val="en-US" w:eastAsia="zh-CN"/>
                    </w:rPr>
                  </w:pPr>
                  <w:r>
                    <w:rPr>
                      <w:rFonts w:hint="eastAsia"/>
                      <w:sz w:val="21"/>
                      <w:szCs w:val="21"/>
                      <w:lang w:val="en-US" w:eastAsia="zh-CN"/>
                    </w:rPr>
                    <w:t>400*700提升机20台；500*1700提升机5台</w:t>
                  </w:r>
                </w:p>
              </w:tc>
              <w:tc>
                <w:tcPr>
                  <w:tcW w:w="977" w:type="pct"/>
                  <w:tcBorders>
                    <w:tl2br w:val="nil"/>
                    <w:tr2bl w:val="nil"/>
                  </w:tcBorders>
                  <w:vAlign w:val="center"/>
                </w:tcPr>
                <w:p w14:paraId="5D6D4B31">
                  <w:pPr>
                    <w:jc w:val="center"/>
                    <w:textAlignment w:val="baseline"/>
                    <w:rPr>
                      <w:rFonts w:hint="default" w:eastAsia="宋体"/>
                      <w:sz w:val="21"/>
                      <w:szCs w:val="21"/>
                      <w:lang w:val="en-US" w:eastAsia="zh-CN"/>
                    </w:rPr>
                  </w:pPr>
                  <w:r>
                    <w:rPr>
                      <w:rFonts w:hint="eastAsia"/>
                      <w:sz w:val="21"/>
                      <w:szCs w:val="21"/>
                      <w:lang w:val="en-US" w:eastAsia="zh-CN"/>
                    </w:rPr>
                    <w:t>25</w:t>
                  </w:r>
                </w:p>
              </w:tc>
              <w:tc>
                <w:tcPr>
                  <w:tcW w:w="733" w:type="pct"/>
                  <w:tcBorders>
                    <w:tl2br w:val="nil"/>
                    <w:tr2bl w:val="nil"/>
                  </w:tcBorders>
                  <w:vAlign w:val="center"/>
                </w:tcPr>
                <w:p w14:paraId="713D2102">
                  <w:pPr>
                    <w:jc w:val="center"/>
                    <w:rPr>
                      <w:rFonts w:hint="default" w:eastAsia="宋体"/>
                      <w:sz w:val="21"/>
                      <w:szCs w:val="21"/>
                      <w:lang w:val="en-US" w:eastAsia="zh-CN"/>
                    </w:rPr>
                  </w:pPr>
                  <w:r>
                    <w:rPr>
                      <w:rFonts w:hint="eastAsia"/>
                      <w:sz w:val="21"/>
                      <w:szCs w:val="21"/>
                      <w:lang w:val="en-US" w:eastAsia="zh-CN"/>
                    </w:rPr>
                    <w:t>/</w:t>
                  </w:r>
                </w:p>
              </w:tc>
            </w:tr>
            <w:tr w14:paraId="75BA5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2108CBF4">
                  <w:pPr>
                    <w:jc w:val="center"/>
                    <w:rPr>
                      <w:rFonts w:hint="default"/>
                      <w:sz w:val="21"/>
                      <w:szCs w:val="21"/>
                      <w:lang w:val="en-US" w:eastAsia="zh-CN"/>
                    </w:rPr>
                  </w:pPr>
                  <w:r>
                    <w:rPr>
                      <w:rFonts w:hint="eastAsia"/>
                      <w:sz w:val="21"/>
                      <w:szCs w:val="21"/>
                      <w:lang w:val="en-US" w:eastAsia="zh-CN"/>
                    </w:rPr>
                    <w:t>7</w:t>
                  </w:r>
                </w:p>
              </w:tc>
              <w:tc>
                <w:tcPr>
                  <w:tcW w:w="1189" w:type="pct"/>
                  <w:tcBorders>
                    <w:tl2br w:val="nil"/>
                    <w:tr2bl w:val="nil"/>
                  </w:tcBorders>
                  <w:vAlign w:val="center"/>
                </w:tcPr>
                <w:p w14:paraId="2DC7F704">
                  <w:pPr>
                    <w:jc w:val="center"/>
                    <w:textAlignment w:val="baseline"/>
                    <w:rPr>
                      <w:rFonts w:hint="eastAsia"/>
                      <w:sz w:val="21"/>
                      <w:szCs w:val="21"/>
                      <w:lang w:eastAsia="zh-CN"/>
                    </w:rPr>
                  </w:pPr>
                  <w:r>
                    <w:rPr>
                      <w:rFonts w:hint="eastAsia"/>
                      <w:sz w:val="21"/>
                      <w:szCs w:val="21"/>
                      <w:lang w:eastAsia="zh-CN"/>
                    </w:rPr>
                    <w:t>球磨机</w:t>
                  </w:r>
                </w:p>
              </w:tc>
              <w:tc>
                <w:tcPr>
                  <w:tcW w:w="1712" w:type="pct"/>
                  <w:tcBorders>
                    <w:tl2br w:val="nil"/>
                    <w:tr2bl w:val="nil"/>
                  </w:tcBorders>
                  <w:vAlign w:val="center"/>
                </w:tcPr>
                <w:p w14:paraId="24A1275C">
                  <w:pPr>
                    <w:jc w:val="center"/>
                    <w:textAlignment w:val="baseline"/>
                    <w:rPr>
                      <w:rFonts w:hint="default"/>
                      <w:sz w:val="21"/>
                      <w:szCs w:val="21"/>
                      <w:lang w:val="en-US" w:eastAsia="zh-CN"/>
                    </w:rPr>
                  </w:pPr>
                  <w:r>
                    <w:rPr>
                      <w:rFonts w:hint="eastAsia"/>
                      <w:sz w:val="21"/>
                      <w:szCs w:val="21"/>
                      <w:lang w:val="en-US" w:eastAsia="zh-CN"/>
                    </w:rPr>
                    <w:t>30吨2台，1吨5台</w:t>
                  </w:r>
                </w:p>
              </w:tc>
              <w:tc>
                <w:tcPr>
                  <w:tcW w:w="977" w:type="pct"/>
                  <w:tcBorders>
                    <w:tl2br w:val="nil"/>
                    <w:tr2bl w:val="nil"/>
                  </w:tcBorders>
                  <w:vAlign w:val="center"/>
                </w:tcPr>
                <w:p w14:paraId="71CBE7F3">
                  <w:pPr>
                    <w:jc w:val="center"/>
                    <w:textAlignment w:val="baseline"/>
                    <w:rPr>
                      <w:rFonts w:hint="default"/>
                      <w:sz w:val="21"/>
                      <w:szCs w:val="21"/>
                      <w:lang w:val="en-US" w:eastAsia="zh-CN"/>
                    </w:rPr>
                  </w:pPr>
                  <w:r>
                    <w:rPr>
                      <w:rFonts w:hint="eastAsia"/>
                      <w:sz w:val="21"/>
                      <w:szCs w:val="21"/>
                      <w:lang w:val="en-US" w:eastAsia="zh-CN"/>
                    </w:rPr>
                    <w:t>7</w:t>
                  </w:r>
                </w:p>
              </w:tc>
              <w:tc>
                <w:tcPr>
                  <w:tcW w:w="733" w:type="pct"/>
                  <w:tcBorders>
                    <w:tl2br w:val="nil"/>
                    <w:tr2bl w:val="nil"/>
                  </w:tcBorders>
                  <w:vAlign w:val="center"/>
                </w:tcPr>
                <w:p w14:paraId="489855DC">
                  <w:pPr>
                    <w:jc w:val="center"/>
                    <w:rPr>
                      <w:rFonts w:hint="default"/>
                      <w:sz w:val="21"/>
                      <w:szCs w:val="21"/>
                      <w:lang w:val="en-US" w:eastAsia="zh-CN"/>
                    </w:rPr>
                  </w:pPr>
                  <w:r>
                    <w:rPr>
                      <w:rFonts w:hint="eastAsia"/>
                      <w:sz w:val="21"/>
                      <w:szCs w:val="21"/>
                      <w:lang w:val="en-US" w:eastAsia="zh-CN"/>
                    </w:rPr>
                    <w:t>/</w:t>
                  </w:r>
                </w:p>
              </w:tc>
            </w:tr>
            <w:tr w14:paraId="6373C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70505E12">
                  <w:pPr>
                    <w:jc w:val="center"/>
                    <w:rPr>
                      <w:rFonts w:hint="default"/>
                      <w:sz w:val="21"/>
                      <w:szCs w:val="21"/>
                      <w:lang w:val="en-US" w:eastAsia="zh-CN"/>
                    </w:rPr>
                  </w:pPr>
                  <w:r>
                    <w:rPr>
                      <w:rFonts w:hint="eastAsia"/>
                      <w:sz w:val="21"/>
                      <w:szCs w:val="21"/>
                      <w:lang w:val="en-US" w:eastAsia="zh-CN"/>
                    </w:rPr>
                    <w:t>8</w:t>
                  </w:r>
                </w:p>
              </w:tc>
              <w:tc>
                <w:tcPr>
                  <w:tcW w:w="1189" w:type="pct"/>
                  <w:tcBorders>
                    <w:tl2br w:val="nil"/>
                    <w:tr2bl w:val="nil"/>
                  </w:tcBorders>
                  <w:vAlign w:val="center"/>
                </w:tcPr>
                <w:p w14:paraId="3008886E">
                  <w:pPr>
                    <w:jc w:val="center"/>
                    <w:textAlignment w:val="baseline"/>
                    <w:rPr>
                      <w:rFonts w:hint="eastAsia"/>
                      <w:sz w:val="21"/>
                      <w:szCs w:val="21"/>
                      <w:highlight w:val="none"/>
                      <w:lang w:eastAsia="zh-CN"/>
                    </w:rPr>
                  </w:pPr>
                  <w:r>
                    <w:rPr>
                      <w:rFonts w:hint="eastAsia"/>
                      <w:sz w:val="21"/>
                      <w:szCs w:val="21"/>
                      <w:highlight w:val="none"/>
                      <w:lang w:eastAsia="zh-CN"/>
                    </w:rPr>
                    <w:t>连续式球磨机</w:t>
                  </w:r>
                </w:p>
              </w:tc>
              <w:tc>
                <w:tcPr>
                  <w:tcW w:w="1712" w:type="pct"/>
                  <w:tcBorders>
                    <w:tl2br w:val="nil"/>
                    <w:tr2bl w:val="nil"/>
                  </w:tcBorders>
                  <w:vAlign w:val="center"/>
                </w:tcPr>
                <w:p w14:paraId="722B2E36">
                  <w:pPr>
                    <w:jc w:val="center"/>
                    <w:textAlignment w:val="baseline"/>
                    <w:rPr>
                      <w:rFonts w:hint="default"/>
                      <w:sz w:val="21"/>
                      <w:szCs w:val="21"/>
                      <w:highlight w:val="none"/>
                      <w:lang w:val="en-US" w:eastAsia="zh-CN"/>
                    </w:rPr>
                  </w:pPr>
                  <w:r>
                    <w:rPr>
                      <w:rFonts w:hint="eastAsia"/>
                      <w:sz w:val="21"/>
                      <w:szCs w:val="21"/>
                      <w:highlight w:val="none"/>
                      <w:lang w:val="en-US" w:eastAsia="zh-CN"/>
                    </w:rPr>
                    <w:t>1.5*4.5   2台，153*7  1台</w:t>
                  </w:r>
                </w:p>
              </w:tc>
              <w:tc>
                <w:tcPr>
                  <w:tcW w:w="977" w:type="pct"/>
                  <w:tcBorders>
                    <w:tl2br w:val="nil"/>
                    <w:tr2bl w:val="nil"/>
                  </w:tcBorders>
                  <w:vAlign w:val="center"/>
                </w:tcPr>
                <w:p w14:paraId="175C5AB1">
                  <w:pPr>
                    <w:jc w:val="center"/>
                    <w:textAlignment w:val="baseline"/>
                    <w:rPr>
                      <w:rFonts w:hint="default"/>
                      <w:sz w:val="21"/>
                      <w:szCs w:val="21"/>
                      <w:highlight w:val="none"/>
                      <w:lang w:val="en-US" w:eastAsia="zh-CN"/>
                    </w:rPr>
                  </w:pPr>
                  <w:r>
                    <w:rPr>
                      <w:rFonts w:hint="eastAsia"/>
                      <w:sz w:val="21"/>
                      <w:szCs w:val="21"/>
                      <w:highlight w:val="none"/>
                      <w:lang w:val="en-US" w:eastAsia="zh-CN"/>
                    </w:rPr>
                    <w:t>3</w:t>
                  </w:r>
                </w:p>
              </w:tc>
              <w:tc>
                <w:tcPr>
                  <w:tcW w:w="733" w:type="pct"/>
                  <w:tcBorders>
                    <w:tl2br w:val="nil"/>
                    <w:tr2bl w:val="nil"/>
                  </w:tcBorders>
                  <w:vAlign w:val="center"/>
                </w:tcPr>
                <w:p w14:paraId="558540AF">
                  <w:pPr>
                    <w:jc w:val="center"/>
                    <w:rPr>
                      <w:rFonts w:hint="eastAsia"/>
                      <w:sz w:val="21"/>
                      <w:szCs w:val="21"/>
                      <w:highlight w:val="none"/>
                      <w:lang w:val="en-US" w:eastAsia="zh-CN"/>
                    </w:rPr>
                  </w:pPr>
                  <w:r>
                    <w:rPr>
                      <w:rFonts w:hint="eastAsia"/>
                      <w:sz w:val="21"/>
                      <w:szCs w:val="21"/>
                      <w:lang w:val="en-US" w:eastAsia="zh-CN"/>
                    </w:rPr>
                    <w:t>/</w:t>
                  </w:r>
                </w:p>
              </w:tc>
            </w:tr>
            <w:tr w14:paraId="5CEAC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48487211">
                  <w:pPr>
                    <w:jc w:val="center"/>
                    <w:rPr>
                      <w:rFonts w:hint="default"/>
                      <w:sz w:val="21"/>
                      <w:szCs w:val="21"/>
                      <w:lang w:val="en-US" w:eastAsia="zh-CN"/>
                    </w:rPr>
                  </w:pPr>
                  <w:r>
                    <w:rPr>
                      <w:rFonts w:hint="eastAsia"/>
                      <w:sz w:val="21"/>
                      <w:szCs w:val="21"/>
                      <w:lang w:val="en-US" w:eastAsia="zh-CN"/>
                    </w:rPr>
                    <w:t>9</w:t>
                  </w:r>
                </w:p>
              </w:tc>
              <w:tc>
                <w:tcPr>
                  <w:tcW w:w="1189" w:type="pct"/>
                  <w:tcBorders>
                    <w:tl2br w:val="nil"/>
                    <w:tr2bl w:val="nil"/>
                  </w:tcBorders>
                  <w:vAlign w:val="center"/>
                </w:tcPr>
                <w:p w14:paraId="76ED5956">
                  <w:pPr>
                    <w:jc w:val="center"/>
                    <w:textAlignment w:val="baseline"/>
                    <w:rPr>
                      <w:rFonts w:hint="eastAsia"/>
                      <w:sz w:val="21"/>
                      <w:szCs w:val="21"/>
                      <w:lang w:eastAsia="zh-CN"/>
                    </w:rPr>
                  </w:pPr>
                  <w:r>
                    <w:rPr>
                      <w:rFonts w:hint="eastAsia"/>
                      <w:sz w:val="21"/>
                      <w:szCs w:val="21"/>
                      <w:lang w:eastAsia="zh-CN"/>
                    </w:rPr>
                    <w:t>振动筛</w:t>
                  </w:r>
                </w:p>
              </w:tc>
              <w:tc>
                <w:tcPr>
                  <w:tcW w:w="1712" w:type="pct"/>
                  <w:tcBorders>
                    <w:tl2br w:val="nil"/>
                    <w:tr2bl w:val="nil"/>
                  </w:tcBorders>
                  <w:vAlign w:val="center"/>
                </w:tcPr>
                <w:p w14:paraId="60C1C560">
                  <w:pPr>
                    <w:jc w:val="center"/>
                    <w:textAlignment w:val="baseline"/>
                    <w:rPr>
                      <w:rFonts w:hint="default" w:eastAsia="宋体"/>
                      <w:sz w:val="21"/>
                      <w:szCs w:val="21"/>
                      <w:lang w:val="en-US" w:eastAsia="zh-CN"/>
                    </w:rPr>
                  </w:pPr>
                  <w:r>
                    <w:rPr>
                      <w:rFonts w:hint="eastAsia"/>
                      <w:sz w:val="21"/>
                      <w:szCs w:val="21"/>
                      <w:lang w:val="en-US" w:eastAsia="zh-CN"/>
                    </w:rPr>
                    <w:t>1米*3米15台，</w:t>
                  </w:r>
                  <w:r>
                    <w:rPr>
                      <w:rFonts w:hint="eastAsia"/>
                      <w:sz w:val="21"/>
                      <w:szCs w:val="21"/>
                      <w:lang w:val="en-US" w:eastAsia="zh-CN"/>
                    </w:rPr>
                    <w:br w:type="textWrapping"/>
                  </w:r>
                  <w:r>
                    <w:rPr>
                      <w:rFonts w:hint="eastAsia"/>
                      <w:sz w:val="21"/>
                      <w:szCs w:val="21"/>
                      <w:lang w:val="en-US" w:eastAsia="zh-CN"/>
                    </w:rPr>
                    <w:t>0.5米*4.5米17台</w:t>
                  </w:r>
                </w:p>
              </w:tc>
              <w:tc>
                <w:tcPr>
                  <w:tcW w:w="977" w:type="pct"/>
                  <w:tcBorders>
                    <w:tl2br w:val="nil"/>
                    <w:tr2bl w:val="nil"/>
                  </w:tcBorders>
                  <w:vAlign w:val="center"/>
                </w:tcPr>
                <w:p w14:paraId="7BCA96E7">
                  <w:pPr>
                    <w:jc w:val="center"/>
                    <w:textAlignment w:val="baseline"/>
                    <w:rPr>
                      <w:rFonts w:hint="default"/>
                      <w:sz w:val="21"/>
                      <w:szCs w:val="21"/>
                      <w:lang w:val="en-US" w:eastAsia="zh-CN"/>
                    </w:rPr>
                  </w:pPr>
                  <w:r>
                    <w:rPr>
                      <w:rFonts w:hint="eastAsia"/>
                      <w:sz w:val="21"/>
                      <w:szCs w:val="21"/>
                      <w:lang w:val="en-US" w:eastAsia="zh-CN"/>
                    </w:rPr>
                    <w:t>32</w:t>
                  </w:r>
                </w:p>
              </w:tc>
              <w:tc>
                <w:tcPr>
                  <w:tcW w:w="733" w:type="pct"/>
                  <w:tcBorders>
                    <w:tl2br w:val="nil"/>
                    <w:tr2bl w:val="nil"/>
                  </w:tcBorders>
                  <w:vAlign w:val="center"/>
                </w:tcPr>
                <w:p w14:paraId="3BDA4CE7">
                  <w:pPr>
                    <w:jc w:val="center"/>
                    <w:rPr>
                      <w:rFonts w:hint="eastAsia"/>
                      <w:sz w:val="21"/>
                      <w:szCs w:val="21"/>
                      <w:lang w:val="en-US" w:eastAsia="zh-CN"/>
                    </w:rPr>
                  </w:pPr>
                  <w:r>
                    <w:rPr>
                      <w:rFonts w:hint="eastAsia"/>
                      <w:sz w:val="21"/>
                      <w:szCs w:val="21"/>
                      <w:lang w:val="en-US" w:eastAsia="zh-CN"/>
                    </w:rPr>
                    <w:t>/</w:t>
                  </w:r>
                </w:p>
              </w:tc>
            </w:tr>
            <w:tr w14:paraId="17099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21803FBB">
                  <w:pPr>
                    <w:jc w:val="center"/>
                    <w:rPr>
                      <w:rFonts w:hint="default"/>
                      <w:sz w:val="21"/>
                      <w:szCs w:val="21"/>
                      <w:lang w:val="en-US" w:eastAsia="zh-CN"/>
                    </w:rPr>
                  </w:pPr>
                  <w:r>
                    <w:rPr>
                      <w:rFonts w:hint="eastAsia"/>
                      <w:sz w:val="21"/>
                      <w:szCs w:val="21"/>
                      <w:lang w:val="en-US" w:eastAsia="zh-CN"/>
                    </w:rPr>
                    <w:t>10</w:t>
                  </w:r>
                </w:p>
              </w:tc>
              <w:tc>
                <w:tcPr>
                  <w:tcW w:w="1189" w:type="pct"/>
                  <w:tcBorders>
                    <w:tl2br w:val="nil"/>
                    <w:tr2bl w:val="nil"/>
                  </w:tcBorders>
                  <w:vAlign w:val="center"/>
                </w:tcPr>
                <w:p w14:paraId="151097C0">
                  <w:pPr>
                    <w:jc w:val="center"/>
                    <w:textAlignment w:val="baseline"/>
                    <w:rPr>
                      <w:rFonts w:hint="eastAsia"/>
                      <w:sz w:val="21"/>
                      <w:szCs w:val="21"/>
                      <w:lang w:eastAsia="zh-CN"/>
                    </w:rPr>
                  </w:pPr>
                  <w:r>
                    <w:rPr>
                      <w:rFonts w:hint="eastAsia"/>
                      <w:sz w:val="21"/>
                      <w:szCs w:val="21"/>
                      <w:lang w:eastAsia="zh-CN"/>
                    </w:rPr>
                    <w:t>电烘干箱</w:t>
                  </w:r>
                </w:p>
              </w:tc>
              <w:tc>
                <w:tcPr>
                  <w:tcW w:w="1712" w:type="pct"/>
                  <w:tcBorders>
                    <w:tl2br w:val="nil"/>
                    <w:tr2bl w:val="nil"/>
                  </w:tcBorders>
                  <w:vAlign w:val="center"/>
                </w:tcPr>
                <w:p w14:paraId="13E5F176">
                  <w:pPr>
                    <w:jc w:val="center"/>
                    <w:textAlignment w:val="baseline"/>
                    <w:rPr>
                      <w:rFonts w:hint="default"/>
                      <w:sz w:val="21"/>
                      <w:szCs w:val="21"/>
                      <w:lang w:val="en-US" w:eastAsia="zh-CN"/>
                    </w:rPr>
                  </w:pPr>
                  <w:r>
                    <w:rPr>
                      <w:rFonts w:hint="eastAsia"/>
                      <w:sz w:val="21"/>
                      <w:szCs w:val="21"/>
                      <w:lang w:val="en-US" w:eastAsia="zh-CN"/>
                    </w:rPr>
                    <w:t>10立方</w:t>
                  </w:r>
                </w:p>
              </w:tc>
              <w:tc>
                <w:tcPr>
                  <w:tcW w:w="977" w:type="pct"/>
                  <w:tcBorders>
                    <w:tl2br w:val="nil"/>
                    <w:tr2bl w:val="nil"/>
                  </w:tcBorders>
                  <w:vAlign w:val="center"/>
                </w:tcPr>
                <w:p w14:paraId="5EFA3DFA">
                  <w:pPr>
                    <w:jc w:val="center"/>
                    <w:textAlignment w:val="baseline"/>
                    <w:rPr>
                      <w:rFonts w:hint="default"/>
                      <w:sz w:val="21"/>
                      <w:szCs w:val="21"/>
                      <w:lang w:val="en-US" w:eastAsia="zh-CN"/>
                    </w:rPr>
                  </w:pPr>
                  <w:r>
                    <w:rPr>
                      <w:rFonts w:hint="eastAsia"/>
                      <w:sz w:val="21"/>
                      <w:szCs w:val="21"/>
                      <w:lang w:val="en-US" w:eastAsia="zh-CN"/>
                    </w:rPr>
                    <w:t>4</w:t>
                  </w:r>
                </w:p>
              </w:tc>
              <w:tc>
                <w:tcPr>
                  <w:tcW w:w="733" w:type="pct"/>
                  <w:tcBorders>
                    <w:tl2br w:val="nil"/>
                    <w:tr2bl w:val="nil"/>
                  </w:tcBorders>
                  <w:vAlign w:val="center"/>
                </w:tcPr>
                <w:p w14:paraId="4B263C5A">
                  <w:pPr>
                    <w:jc w:val="center"/>
                    <w:rPr>
                      <w:rFonts w:hint="eastAsia"/>
                      <w:sz w:val="21"/>
                      <w:szCs w:val="21"/>
                      <w:lang w:val="en-US" w:eastAsia="zh-CN"/>
                    </w:rPr>
                  </w:pPr>
                  <w:r>
                    <w:rPr>
                      <w:rFonts w:hint="eastAsia"/>
                      <w:sz w:val="21"/>
                      <w:szCs w:val="21"/>
                      <w:lang w:val="en-US" w:eastAsia="zh-CN"/>
                    </w:rPr>
                    <w:t>/</w:t>
                  </w:r>
                </w:p>
              </w:tc>
            </w:tr>
            <w:tr w14:paraId="1EAAC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B669C53">
                  <w:pPr>
                    <w:jc w:val="center"/>
                    <w:rPr>
                      <w:rFonts w:hint="default"/>
                      <w:sz w:val="21"/>
                      <w:szCs w:val="21"/>
                      <w:lang w:val="en-US" w:eastAsia="zh-CN"/>
                    </w:rPr>
                  </w:pPr>
                  <w:r>
                    <w:rPr>
                      <w:rFonts w:hint="eastAsia"/>
                      <w:sz w:val="21"/>
                      <w:szCs w:val="21"/>
                      <w:lang w:val="en-US" w:eastAsia="zh-CN"/>
                    </w:rPr>
                    <w:t>11</w:t>
                  </w:r>
                </w:p>
              </w:tc>
              <w:tc>
                <w:tcPr>
                  <w:tcW w:w="1189" w:type="pct"/>
                  <w:tcBorders>
                    <w:tl2br w:val="nil"/>
                    <w:tr2bl w:val="nil"/>
                  </w:tcBorders>
                  <w:vAlign w:val="center"/>
                </w:tcPr>
                <w:p w14:paraId="28652D65">
                  <w:pPr>
                    <w:jc w:val="center"/>
                    <w:textAlignment w:val="baseline"/>
                    <w:rPr>
                      <w:rFonts w:hint="eastAsia"/>
                      <w:sz w:val="21"/>
                      <w:szCs w:val="21"/>
                      <w:lang w:eastAsia="zh-CN"/>
                    </w:rPr>
                  </w:pPr>
                  <w:r>
                    <w:rPr>
                      <w:rFonts w:hint="eastAsia"/>
                      <w:sz w:val="21"/>
                      <w:szCs w:val="21"/>
                      <w:lang w:eastAsia="zh-CN"/>
                    </w:rPr>
                    <w:t>震动给料机</w:t>
                  </w:r>
                </w:p>
              </w:tc>
              <w:tc>
                <w:tcPr>
                  <w:tcW w:w="1712" w:type="pct"/>
                  <w:tcBorders>
                    <w:tl2br w:val="nil"/>
                    <w:tr2bl w:val="nil"/>
                  </w:tcBorders>
                  <w:vAlign w:val="center"/>
                </w:tcPr>
                <w:p w14:paraId="47B15643">
                  <w:pPr>
                    <w:jc w:val="center"/>
                    <w:textAlignment w:val="baseline"/>
                    <w:rPr>
                      <w:rFonts w:hint="default"/>
                      <w:sz w:val="21"/>
                      <w:szCs w:val="21"/>
                      <w:lang w:val="en-US" w:eastAsia="zh-CN"/>
                    </w:rPr>
                  </w:pPr>
                  <w:r>
                    <w:rPr>
                      <w:rFonts w:hint="eastAsia"/>
                      <w:sz w:val="21"/>
                      <w:szCs w:val="21"/>
                      <w:lang w:val="en-US" w:eastAsia="zh-CN"/>
                    </w:rPr>
                    <w:t>ZD300</w:t>
                  </w:r>
                </w:p>
              </w:tc>
              <w:tc>
                <w:tcPr>
                  <w:tcW w:w="977" w:type="pct"/>
                  <w:tcBorders>
                    <w:tl2br w:val="nil"/>
                    <w:tr2bl w:val="nil"/>
                  </w:tcBorders>
                  <w:vAlign w:val="center"/>
                </w:tcPr>
                <w:p w14:paraId="431E33C6">
                  <w:pPr>
                    <w:jc w:val="center"/>
                    <w:textAlignment w:val="baseline"/>
                    <w:rPr>
                      <w:rFonts w:hint="default"/>
                      <w:sz w:val="21"/>
                      <w:szCs w:val="21"/>
                      <w:lang w:val="en-US" w:eastAsia="zh-CN"/>
                    </w:rPr>
                  </w:pPr>
                  <w:r>
                    <w:rPr>
                      <w:rFonts w:hint="eastAsia"/>
                      <w:sz w:val="21"/>
                      <w:szCs w:val="21"/>
                      <w:lang w:val="en-US" w:eastAsia="zh-CN"/>
                    </w:rPr>
                    <w:t>24</w:t>
                  </w:r>
                </w:p>
              </w:tc>
              <w:tc>
                <w:tcPr>
                  <w:tcW w:w="733" w:type="pct"/>
                  <w:tcBorders>
                    <w:tl2br w:val="nil"/>
                    <w:tr2bl w:val="nil"/>
                  </w:tcBorders>
                  <w:vAlign w:val="center"/>
                </w:tcPr>
                <w:p w14:paraId="3BA89D53">
                  <w:pPr>
                    <w:jc w:val="center"/>
                    <w:rPr>
                      <w:rFonts w:hint="eastAsia"/>
                      <w:sz w:val="21"/>
                      <w:szCs w:val="21"/>
                      <w:lang w:val="en-US" w:eastAsia="zh-CN"/>
                    </w:rPr>
                  </w:pPr>
                  <w:r>
                    <w:rPr>
                      <w:rFonts w:hint="eastAsia"/>
                      <w:sz w:val="21"/>
                      <w:szCs w:val="21"/>
                      <w:lang w:val="en-US" w:eastAsia="zh-CN"/>
                    </w:rPr>
                    <w:t>/</w:t>
                  </w:r>
                </w:p>
              </w:tc>
            </w:tr>
            <w:tr w14:paraId="2015B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3BFF2464">
                  <w:pPr>
                    <w:jc w:val="center"/>
                    <w:rPr>
                      <w:rFonts w:hint="default"/>
                      <w:sz w:val="21"/>
                      <w:szCs w:val="21"/>
                      <w:lang w:val="en-US" w:eastAsia="zh-CN"/>
                    </w:rPr>
                  </w:pPr>
                  <w:r>
                    <w:rPr>
                      <w:rFonts w:hint="eastAsia"/>
                      <w:sz w:val="21"/>
                      <w:szCs w:val="21"/>
                      <w:lang w:val="en-US" w:eastAsia="zh-CN"/>
                    </w:rPr>
                    <w:t>12</w:t>
                  </w:r>
                </w:p>
              </w:tc>
              <w:tc>
                <w:tcPr>
                  <w:tcW w:w="1189" w:type="pct"/>
                  <w:tcBorders>
                    <w:tl2br w:val="nil"/>
                    <w:tr2bl w:val="nil"/>
                  </w:tcBorders>
                  <w:vAlign w:val="center"/>
                </w:tcPr>
                <w:p w14:paraId="068451F1">
                  <w:pPr>
                    <w:jc w:val="center"/>
                    <w:textAlignment w:val="baseline"/>
                    <w:rPr>
                      <w:rFonts w:hint="eastAsia"/>
                      <w:sz w:val="21"/>
                      <w:szCs w:val="21"/>
                      <w:lang w:eastAsia="zh-CN"/>
                    </w:rPr>
                  </w:pPr>
                  <w:r>
                    <w:rPr>
                      <w:rFonts w:hint="eastAsia"/>
                      <w:sz w:val="21"/>
                      <w:szCs w:val="21"/>
                      <w:lang w:eastAsia="zh-CN"/>
                    </w:rPr>
                    <w:t>料仓</w:t>
                  </w:r>
                </w:p>
              </w:tc>
              <w:tc>
                <w:tcPr>
                  <w:tcW w:w="1712" w:type="pct"/>
                  <w:tcBorders>
                    <w:tl2br w:val="nil"/>
                    <w:tr2bl w:val="nil"/>
                  </w:tcBorders>
                  <w:vAlign w:val="center"/>
                </w:tcPr>
                <w:p w14:paraId="6278C1E3">
                  <w:pPr>
                    <w:jc w:val="center"/>
                    <w:textAlignment w:val="baseline"/>
                    <w:rPr>
                      <w:rFonts w:hint="default"/>
                      <w:sz w:val="21"/>
                      <w:szCs w:val="21"/>
                      <w:lang w:val="en-US" w:eastAsia="zh-CN"/>
                    </w:rPr>
                  </w:pPr>
                  <w:r>
                    <w:rPr>
                      <w:rFonts w:hint="eastAsia"/>
                      <w:sz w:val="21"/>
                      <w:szCs w:val="21"/>
                      <w:lang w:val="en-US" w:eastAsia="zh-CN"/>
                    </w:rPr>
                    <w:t>8立方3台，3立方6台，5立方7台</w:t>
                  </w:r>
                </w:p>
              </w:tc>
              <w:tc>
                <w:tcPr>
                  <w:tcW w:w="977" w:type="pct"/>
                  <w:tcBorders>
                    <w:tl2br w:val="nil"/>
                    <w:tr2bl w:val="nil"/>
                  </w:tcBorders>
                  <w:vAlign w:val="center"/>
                </w:tcPr>
                <w:p w14:paraId="56096F27">
                  <w:pPr>
                    <w:jc w:val="center"/>
                    <w:textAlignment w:val="baseline"/>
                    <w:rPr>
                      <w:rFonts w:hint="default"/>
                      <w:sz w:val="21"/>
                      <w:szCs w:val="21"/>
                      <w:lang w:val="en-US" w:eastAsia="zh-CN"/>
                    </w:rPr>
                  </w:pPr>
                  <w:r>
                    <w:rPr>
                      <w:rFonts w:hint="eastAsia"/>
                      <w:sz w:val="21"/>
                      <w:szCs w:val="21"/>
                      <w:lang w:val="en-US" w:eastAsia="zh-CN"/>
                    </w:rPr>
                    <w:t>16</w:t>
                  </w:r>
                </w:p>
              </w:tc>
              <w:tc>
                <w:tcPr>
                  <w:tcW w:w="733" w:type="pct"/>
                  <w:tcBorders>
                    <w:tl2br w:val="nil"/>
                    <w:tr2bl w:val="nil"/>
                  </w:tcBorders>
                  <w:vAlign w:val="center"/>
                </w:tcPr>
                <w:p w14:paraId="154C946E">
                  <w:pPr>
                    <w:jc w:val="center"/>
                    <w:rPr>
                      <w:rFonts w:hint="eastAsia"/>
                      <w:sz w:val="21"/>
                      <w:szCs w:val="21"/>
                      <w:lang w:val="en-US" w:eastAsia="zh-CN"/>
                    </w:rPr>
                  </w:pPr>
                  <w:r>
                    <w:rPr>
                      <w:rFonts w:hint="eastAsia"/>
                      <w:sz w:val="21"/>
                      <w:szCs w:val="21"/>
                      <w:lang w:val="en-US" w:eastAsia="zh-CN"/>
                    </w:rPr>
                    <w:t>/</w:t>
                  </w:r>
                </w:p>
              </w:tc>
            </w:tr>
            <w:tr w14:paraId="6FB37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3FDCF60D">
                  <w:pPr>
                    <w:jc w:val="center"/>
                    <w:rPr>
                      <w:rFonts w:hint="default"/>
                      <w:sz w:val="21"/>
                      <w:szCs w:val="21"/>
                      <w:lang w:val="en-US" w:eastAsia="zh-CN"/>
                    </w:rPr>
                  </w:pPr>
                  <w:r>
                    <w:rPr>
                      <w:rFonts w:hint="eastAsia"/>
                      <w:sz w:val="21"/>
                      <w:szCs w:val="21"/>
                      <w:lang w:val="en-US" w:eastAsia="zh-CN"/>
                    </w:rPr>
                    <w:t>13</w:t>
                  </w:r>
                </w:p>
              </w:tc>
              <w:tc>
                <w:tcPr>
                  <w:tcW w:w="1189" w:type="pct"/>
                  <w:tcBorders>
                    <w:tl2br w:val="nil"/>
                    <w:tr2bl w:val="nil"/>
                  </w:tcBorders>
                  <w:vAlign w:val="center"/>
                </w:tcPr>
                <w:p w14:paraId="4D435817">
                  <w:pPr>
                    <w:jc w:val="center"/>
                    <w:textAlignment w:val="baseline"/>
                    <w:rPr>
                      <w:rFonts w:hint="eastAsia"/>
                      <w:sz w:val="21"/>
                      <w:szCs w:val="21"/>
                      <w:lang w:eastAsia="zh-CN"/>
                    </w:rPr>
                  </w:pPr>
                  <w:r>
                    <w:rPr>
                      <w:rFonts w:hint="eastAsia"/>
                      <w:sz w:val="21"/>
                      <w:szCs w:val="21"/>
                      <w:lang w:eastAsia="zh-CN"/>
                    </w:rPr>
                    <w:t>搅拌清洗槽</w:t>
                  </w:r>
                </w:p>
              </w:tc>
              <w:tc>
                <w:tcPr>
                  <w:tcW w:w="1712" w:type="pct"/>
                  <w:tcBorders>
                    <w:tl2br w:val="nil"/>
                    <w:tr2bl w:val="nil"/>
                  </w:tcBorders>
                  <w:vAlign w:val="center"/>
                </w:tcPr>
                <w:p w14:paraId="7136942D">
                  <w:pPr>
                    <w:jc w:val="center"/>
                    <w:textAlignment w:val="baseline"/>
                    <w:rPr>
                      <w:rFonts w:hint="eastAsia"/>
                      <w:sz w:val="21"/>
                      <w:szCs w:val="21"/>
                      <w:lang w:val="en-US" w:eastAsia="zh-CN"/>
                    </w:rPr>
                  </w:pPr>
                  <w:r>
                    <w:rPr>
                      <w:rFonts w:hint="eastAsia"/>
                      <w:sz w:val="21"/>
                      <w:szCs w:val="21"/>
                      <w:lang w:val="en-US" w:eastAsia="zh-CN"/>
                    </w:rPr>
                    <w:t>4米*0.5米4个，</w:t>
                  </w:r>
                </w:p>
                <w:p w14:paraId="2025C095">
                  <w:pPr>
                    <w:jc w:val="center"/>
                    <w:textAlignment w:val="baseline"/>
                    <w:rPr>
                      <w:rFonts w:hint="default"/>
                      <w:sz w:val="21"/>
                      <w:szCs w:val="21"/>
                      <w:lang w:val="en-US" w:eastAsia="zh-CN"/>
                    </w:rPr>
                  </w:pPr>
                  <w:r>
                    <w:rPr>
                      <w:rFonts w:hint="eastAsia"/>
                      <w:sz w:val="21"/>
                      <w:szCs w:val="21"/>
                      <w:lang w:val="en-US" w:eastAsia="zh-CN"/>
                    </w:rPr>
                    <w:t>2米*0.5米6个</w:t>
                  </w:r>
                </w:p>
              </w:tc>
              <w:tc>
                <w:tcPr>
                  <w:tcW w:w="977" w:type="pct"/>
                  <w:tcBorders>
                    <w:tl2br w:val="nil"/>
                    <w:tr2bl w:val="nil"/>
                  </w:tcBorders>
                  <w:vAlign w:val="center"/>
                </w:tcPr>
                <w:p w14:paraId="032A1A6F">
                  <w:pPr>
                    <w:jc w:val="center"/>
                    <w:textAlignment w:val="baseline"/>
                    <w:rPr>
                      <w:rFonts w:hint="default"/>
                      <w:sz w:val="21"/>
                      <w:szCs w:val="21"/>
                      <w:lang w:val="en-US" w:eastAsia="zh-CN"/>
                    </w:rPr>
                  </w:pPr>
                  <w:r>
                    <w:rPr>
                      <w:rFonts w:hint="eastAsia"/>
                      <w:sz w:val="21"/>
                      <w:szCs w:val="21"/>
                      <w:lang w:val="en-US" w:eastAsia="zh-CN"/>
                    </w:rPr>
                    <w:t>10</w:t>
                  </w:r>
                </w:p>
              </w:tc>
              <w:tc>
                <w:tcPr>
                  <w:tcW w:w="733" w:type="pct"/>
                  <w:tcBorders>
                    <w:tl2br w:val="nil"/>
                    <w:tr2bl w:val="nil"/>
                  </w:tcBorders>
                  <w:vAlign w:val="center"/>
                </w:tcPr>
                <w:p w14:paraId="3B8799B0">
                  <w:pPr>
                    <w:jc w:val="center"/>
                    <w:rPr>
                      <w:rFonts w:hint="eastAsia"/>
                      <w:sz w:val="21"/>
                      <w:szCs w:val="21"/>
                      <w:lang w:val="en-US" w:eastAsia="zh-CN"/>
                    </w:rPr>
                  </w:pPr>
                  <w:r>
                    <w:rPr>
                      <w:rFonts w:hint="eastAsia"/>
                      <w:sz w:val="21"/>
                      <w:szCs w:val="21"/>
                      <w:lang w:val="en-US" w:eastAsia="zh-CN"/>
                    </w:rPr>
                    <w:t>/</w:t>
                  </w:r>
                </w:p>
              </w:tc>
            </w:tr>
            <w:tr w14:paraId="0A2B6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5B8F88F7">
                  <w:pPr>
                    <w:jc w:val="center"/>
                    <w:rPr>
                      <w:rFonts w:hint="default"/>
                      <w:sz w:val="21"/>
                      <w:szCs w:val="21"/>
                      <w:lang w:val="en-US" w:eastAsia="zh-CN"/>
                    </w:rPr>
                  </w:pPr>
                  <w:r>
                    <w:rPr>
                      <w:rFonts w:hint="eastAsia"/>
                      <w:sz w:val="21"/>
                      <w:szCs w:val="21"/>
                      <w:lang w:val="en-US" w:eastAsia="zh-CN"/>
                    </w:rPr>
                    <w:t>14</w:t>
                  </w:r>
                </w:p>
              </w:tc>
              <w:tc>
                <w:tcPr>
                  <w:tcW w:w="1189" w:type="pct"/>
                  <w:tcBorders>
                    <w:tl2br w:val="nil"/>
                    <w:tr2bl w:val="nil"/>
                  </w:tcBorders>
                  <w:vAlign w:val="center"/>
                </w:tcPr>
                <w:p w14:paraId="3AAE1A8A">
                  <w:pPr>
                    <w:jc w:val="center"/>
                    <w:textAlignment w:val="baseline"/>
                    <w:rPr>
                      <w:rFonts w:hint="eastAsia"/>
                      <w:sz w:val="21"/>
                      <w:szCs w:val="21"/>
                      <w:lang w:eastAsia="zh-CN"/>
                    </w:rPr>
                  </w:pPr>
                  <w:r>
                    <w:rPr>
                      <w:rFonts w:hint="eastAsia"/>
                      <w:sz w:val="21"/>
                      <w:szCs w:val="21"/>
                      <w:lang w:eastAsia="zh-CN"/>
                    </w:rPr>
                    <w:t>精细分级设备</w:t>
                  </w:r>
                </w:p>
              </w:tc>
              <w:tc>
                <w:tcPr>
                  <w:tcW w:w="1712" w:type="pct"/>
                  <w:tcBorders>
                    <w:tl2br w:val="nil"/>
                    <w:tr2bl w:val="nil"/>
                  </w:tcBorders>
                  <w:vAlign w:val="center"/>
                </w:tcPr>
                <w:p w14:paraId="0C558C85">
                  <w:pPr>
                    <w:jc w:val="center"/>
                    <w:textAlignment w:val="baseline"/>
                    <w:rPr>
                      <w:rFonts w:hint="default"/>
                      <w:sz w:val="21"/>
                      <w:szCs w:val="21"/>
                      <w:lang w:val="en-US" w:eastAsia="zh-CN"/>
                    </w:rPr>
                  </w:pPr>
                  <w:r>
                    <w:rPr>
                      <w:rFonts w:hint="eastAsia"/>
                      <w:sz w:val="21"/>
                      <w:szCs w:val="21"/>
                      <w:lang w:val="en-US" w:eastAsia="zh-CN"/>
                    </w:rPr>
                    <w:t>700分级</w:t>
                  </w:r>
                </w:p>
              </w:tc>
              <w:tc>
                <w:tcPr>
                  <w:tcW w:w="977" w:type="pct"/>
                  <w:tcBorders>
                    <w:tl2br w:val="nil"/>
                    <w:tr2bl w:val="nil"/>
                  </w:tcBorders>
                  <w:vAlign w:val="center"/>
                </w:tcPr>
                <w:p w14:paraId="2BDB6707">
                  <w:pPr>
                    <w:jc w:val="center"/>
                    <w:textAlignment w:val="baseline"/>
                    <w:rPr>
                      <w:rFonts w:hint="default"/>
                      <w:sz w:val="21"/>
                      <w:szCs w:val="21"/>
                      <w:lang w:val="en-US" w:eastAsia="zh-CN"/>
                    </w:rPr>
                  </w:pPr>
                  <w:r>
                    <w:rPr>
                      <w:rFonts w:hint="eastAsia"/>
                      <w:sz w:val="21"/>
                      <w:szCs w:val="21"/>
                      <w:lang w:val="en-US" w:eastAsia="zh-CN"/>
                    </w:rPr>
                    <w:t>6</w:t>
                  </w:r>
                </w:p>
              </w:tc>
              <w:tc>
                <w:tcPr>
                  <w:tcW w:w="733" w:type="pct"/>
                  <w:tcBorders>
                    <w:tl2br w:val="nil"/>
                    <w:tr2bl w:val="nil"/>
                  </w:tcBorders>
                  <w:vAlign w:val="center"/>
                </w:tcPr>
                <w:p w14:paraId="26AD8655">
                  <w:pPr>
                    <w:jc w:val="center"/>
                    <w:rPr>
                      <w:rFonts w:hint="default"/>
                      <w:sz w:val="21"/>
                      <w:szCs w:val="21"/>
                      <w:lang w:val="en-US" w:eastAsia="zh-CN"/>
                    </w:rPr>
                  </w:pPr>
                  <w:r>
                    <w:rPr>
                      <w:rFonts w:hint="eastAsia"/>
                      <w:sz w:val="21"/>
                      <w:szCs w:val="21"/>
                      <w:lang w:val="en-US" w:eastAsia="zh-CN"/>
                    </w:rPr>
                    <w:t>分级+旋风</w:t>
                  </w:r>
                </w:p>
              </w:tc>
            </w:tr>
            <w:tr w14:paraId="4E2E4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1157CC27">
                  <w:pPr>
                    <w:jc w:val="center"/>
                    <w:rPr>
                      <w:rFonts w:hint="default"/>
                      <w:sz w:val="21"/>
                      <w:szCs w:val="21"/>
                      <w:lang w:val="en-US" w:eastAsia="zh-CN"/>
                    </w:rPr>
                  </w:pPr>
                  <w:r>
                    <w:rPr>
                      <w:rFonts w:hint="eastAsia"/>
                      <w:sz w:val="21"/>
                      <w:szCs w:val="21"/>
                      <w:lang w:val="en-US" w:eastAsia="zh-CN"/>
                    </w:rPr>
                    <w:t>15</w:t>
                  </w:r>
                </w:p>
              </w:tc>
              <w:tc>
                <w:tcPr>
                  <w:tcW w:w="1189" w:type="pct"/>
                  <w:tcBorders>
                    <w:tl2br w:val="nil"/>
                    <w:tr2bl w:val="nil"/>
                  </w:tcBorders>
                  <w:vAlign w:val="center"/>
                </w:tcPr>
                <w:p w14:paraId="7FAD475D">
                  <w:pPr>
                    <w:jc w:val="center"/>
                    <w:textAlignment w:val="baseline"/>
                    <w:rPr>
                      <w:rFonts w:hint="eastAsia"/>
                      <w:sz w:val="21"/>
                      <w:szCs w:val="21"/>
                      <w:lang w:eastAsia="zh-CN"/>
                    </w:rPr>
                  </w:pPr>
                  <w:r>
                    <w:rPr>
                      <w:rFonts w:hint="eastAsia"/>
                      <w:sz w:val="21"/>
                      <w:szCs w:val="21"/>
                      <w:lang w:eastAsia="zh-CN"/>
                    </w:rPr>
                    <w:t>高频精细脱水筛</w:t>
                  </w:r>
                </w:p>
              </w:tc>
              <w:tc>
                <w:tcPr>
                  <w:tcW w:w="1712" w:type="pct"/>
                  <w:tcBorders>
                    <w:tl2br w:val="nil"/>
                    <w:tr2bl w:val="nil"/>
                  </w:tcBorders>
                  <w:vAlign w:val="center"/>
                </w:tcPr>
                <w:p w14:paraId="121630FA">
                  <w:pPr>
                    <w:jc w:val="center"/>
                    <w:textAlignment w:val="baseline"/>
                    <w:rPr>
                      <w:rFonts w:hint="default"/>
                      <w:sz w:val="21"/>
                      <w:szCs w:val="21"/>
                      <w:lang w:val="en-US" w:eastAsia="zh-CN"/>
                    </w:rPr>
                  </w:pPr>
                  <w:r>
                    <w:rPr>
                      <w:rFonts w:hint="eastAsia"/>
                      <w:sz w:val="21"/>
                      <w:szCs w:val="21"/>
                      <w:lang w:val="en-US" w:eastAsia="zh-CN"/>
                    </w:rPr>
                    <w:t>0.5米*4米</w:t>
                  </w:r>
                </w:p>
              </w:tc>
              <w:tc>
                <w:tcPr>
                  <w:tcW w:w="977" w:type="pct"/>
                  <w:tcBorders>
                    <w:tl2br w:val="nil"/>
                    <w:tr2bl w:val="nil"/>
                  </w:tcBorders>
                  <w:vAlign w:val="center"/>
                </w:tcPr>
                <w:p w14:paraId="080A0B07">
                  <w:pPr>
                    <w:jc w:val="center"/>
                    <w:textAlignment w:val="baseline"/>
                    <w:rPr>
                      <w:rFonts w:hint="default"/>
                      <w:sz w:val="21"/>
                      <w:szCs w:val="21"/>
                      <w:lang w:val="en-US" w:eastAsia="zh-CN"/>
                    </w:rPr>
                  </w:pPr>
                  <w:r>
                    <w:rPr>
                      <w:rFonts w:hint="eastAsia"/>
                      <w:sz w:val="21"/>
                      <w:szCs w:val="21"/>
                      <w:lang w:val="en-US" w:eastAsia="zh-CN"/>
                    </w:rPr>
                    <w:t>10</w:t>
                  </w:r>
                </w:p>
              </w:tc>
              <w:tc>
                <w:tcPr>
                  <w:tcW w:w="733" w:type="pct"/>
                  <w:tcBorders>
                    <w:tl2br w:val="nil"/>
                    <w:tr2bl w:val="nil"/>
                  </w:tcBorders>
                  <w:vAlign w:val="center"/>
                </w:tcPr>
                <w:p w14:paraId="3CB978F7">
                  <w:pPr>
                    <w:jc w:val="center"/>
                    <w:rPr>
                      <w:rFonts w:hint="eastAsia"/>
                      <w:sz w:val="21"/>
                      <w:szCs w:val="21"/>
                      <w:lang w:val="en-US" w:eastAsia="zh-CN"/>
                    </w:rPr>
                  </w:pPr>
                  <w:r>
                    <w:rPr>
                      <w:rFonts w:hint="eastAsia"/>
                      <w:sz w:val="21"/>
                      <w:szCs w:val="21"/>
                      <w:lang w:val="en-US" w:eastAsia="zh-CN"/>
                    </w:rPr>
                    <w:t>/</w:t>
                  </w:r>
                </w:p>
              </w:tc>
            </w:tr>
            <w:tr w14:paraId="147AA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5EB38CB9">
                  <w:pPr>
                    <w:jc w:val="center"/>
                    <w:rPr>
                      <w:rFonts w:hint="default"/>
                      <w:sz w:val="21"/>
                      <w:szCs w:val="21"/>
                      <w:lang w:val="en-US" w:eastAsia="zh-CN"/>
                    </w:rPr>
                  </w:pPr>
                  <w:r>
                    <w:rPr>
                      <w:rFonts w:hint="eastAsia"/>
                      <w:sz w:val="21"/>
                      <w:szCs w:val="21"/>
                      <w:lang w:val="en-US" w:eastAsia="zh-CN"/>
                    </w:rPr>
                    <w:t>16</w:t>
                  </w:r>
                </w:p>
              </w:tc>
              <w:tc>
                <w:tcPr>
                  <w:tcW w:w="1189" w:type="pct"/>
                  <w:tcBorders>
                    <w:tl2br w:val="nil"/>
                    <w:tr2bl w:val="nil"/>
                  </w:tcBorders>
                  <w:vAlign w:val="center"/>
                </w:tcPr>
                <w:p w14:paraId="4C611387">
                  <w:pPr>
                    <w:jc w:val="center"/>
                    <w:textAlignment w:val="baseline"/>
                    <w:rPr>
                      <w:rFonts w:hint="eastAsia"/>
                      <w:sz w:val="21"/>
                      <w:szCs w:val="21"/>
                      <w:lang w:eastAsia="zh-CN"/>
                    </w:rPr>
                  </w:pPr>
                  <w:r>
                    <w:rPr>
                      <w:rFonts w:hint="eastAsia"/>
                      <w:sz w:val="21"/>
                      <w:szCs w:val="21"/>
                      <w:lang w:eastAsia="zh-CN"/>
                    </w:rPr>
                    <w:t>锥形沉淀罐</w:t>
                  </w:r>
                </w:p>
              </w:tc>
              <w:tc>
                <w:tcPr>
                  <w:tcW w:w="1712" w:type="pct"/>
                  <w:tcBorders>
                    <w:tl2br w:val="nil"/>
                    <w:tr2bl w:val="nil"/>
                  </w:tcBorders>
                  <w:vAlign w:val="center"/>
                </w:tcPr>
                <w:p w14:paraId="3DA96B60">
                  <w:pPr>
                    <w:jc w:val="center"/>
                    <w:textAlignment w:val="baseline"/>
                    <w:rPr>
                      <w:rFonts w:hint="default"/>
                      <w:sz w:val="21"/>
                      <w:szCs w:val="21"/>
                      <w:lang w:val="en-US" w:eastAsia="zh-CN"/>
                    </w:rPr>
                  </w:pPr>
                  <w:r>
                    <w:rPr>
                      <w:rFonts w:hint="eastAsia"/>
                      <w:sz w:val="21"/>
                      <w:szCs w:val="21"/>
                      <w:lang w:val="en-US" w:eastAsia="zh-CN"/>
                    </w:rPr>
                    <w:t>6立方</w:t>
                  </w:r>
                </w:p>
              </w:tc>
              <w:tc>
                <w:tcPr>
                  <w:tcW w:w="977" w:type="pct"/>
                  <w:tcBorders>
                    <w:tl2br w:val="nil"/>
                    <w:tr2bl w:val="nil"/>
                  </w:tcBorders>
                  <w:vAlign w:val="center"/>
                </w:tcPr>
                <w:p w14:paraId="19AD431F">
                  <w:pPr>
                    <w:jc w:val="center"/>
                    <w:textAlignment w:val="baseline"/>
                    <w:rPr>
                      <w:rFonts w:hint="default"/>
                      <w:sz w:val="21"/>
                      <w:szCs w:val="21"/>
                      <w:lang w:val="en-US" w:eastAsia="zh-CN"/>
                    </w:rPr>
                  </w:pPr>
                  <w:r>
                    <w:rPr>
                      <w:rFonts w:hint="eastAsia"/>
                      <w:sz w:val="21"/>
                      <w:szCs w:val="21"/>
                      <w:lang w:val="en-US" w:eastAsia="zh-CN"/>
                    </w:rPr>
                    <w:t>6</w:t>
                  </w:r>
                </w:p>
              </w:tc>
              <w:tc>
                <w:tcPr>
                  <w:tcW w:w="733" w:type="pct"/>
                  <w:tcBorders>
                    <w:tl2br w:val="nil"/>
                    <w:tr2bl w:val="nil"/>
                  </w:tcBorders>
                  <w:vAlign w:val="center"/>
                </w:tcPr>
                <w:p w14:paraId="327B0F16">
                  <w:pPr>
                    <w:jc w:val="center"/>
                    <w:rPr>
                      <w:rFonts w:hint="eastAsia"/>
                      <w:sz w:val="21"/>
                      <w:szCs w:val="21"/>
                      <w:lang w:val="en-US" w:eastAsia="zh-CN"/>
                    </w:rPr>
                  </w:pPr>
                  <w:r>
                    <w:rPr>
                      <w:rFonts w:hint="eastAsia"/>
                      <w:sz w:val="21"/>
                      <w:szCs w:val="21"/>
                      <w:lang w:val="en-US" w:eastAsia="zh-CN"/>
                    </w:rPr>
                    <w:t>/</w:t>
                  </w:r>
                </w:p>
              </w:tc>
            </w:tr>
            <w:tr w14:paraId="41DC3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4F1FB09">
                  <w:pPr>
                    <w:jc w:val="center"/>
                    <w:rPr>
                      <w:rFonts w:hint="default"/>
                      <w:sz w:val="21"/>
                      <w:szCs w:val="21"/>
                      <w:lang w:val="en-US" w:eastAsia="zh-CN"/>
                    </w:rPr>
                  </w:pPr>
                  <w:r>
                    <w:rPr>
                      <w:rFonts w:hint="eastAsia"/>
                      <w:sz w:val="21"/>
                      <w:szCs w:val="21"/>
                      <w:lang w:val="en-US" w:eastAsia="zh-CN"/>
                    </w:rPr>
                    <w:t>17</w:t>
                  </w:r>
                </w:p>
              </w:tc>
              <w:tc>
                <w:tcPr>
                  <w:tcW w:w="1189" w:type="pct"/>
                  <w:tcBorders>
                    <w:tl2br w:val="nil"/>
                    <w:tr2bl w:val="nil"/>
                  </w:tcBorders>
                  <w:vAlign w:val="center"/>
                </w:tcPr>
                <w:p w14:paraId="38CDF379">
                  <w:pPr>
                    <w:jc w:val="center"/>
                    <w:textAlignment w:val="baseline"/>
                    <w:rPr>
                      <w:rFonts w:hint="eastAsia"/>
                      <w:sz w:val="21"/>
                      <w:szCs w:val="21"/>
                      <w:lang w:eastAsia="zh-CN"/>
                    </w:rPr>
                  </w:pPr>
                  <w:r>
                    <w:rPr>
                      <w:rFonts w:hint="eastAsia"/>
                      <w:sz w:val="21"/>
                      <w:szCs w:val="21"/>
                      <w:lang w:eastAsia="zh-CN"/>
                    </w:rPr>
                    <w:t>定量包装机</w:t>
                  </w:r>
                </w:p>
              </w:tc>
              <w:tc>
                <w:tcPr>
                  <w:tcW w:w="1712" w:type="pct"/>
                  <w:tcBorders>
                    <w:tl2br w:val="nil"/>
                    <w:tr2bl w:val="nil"/>
                  </w:tcBorders>
                  <w:vAlign w:val="center"/>
                </w:tcPr>
                <w:p w14:paraId="283FE190">
                  <w:pPr>
                    <w:jc w:val="center"/>
                    <w:textAlignment w:val="baseline"/>
                    <w:rPr>
                      <w:rFonts w:hint="default"/>
                      <w:sz w:val="21"/>
                      <w:szCs w:val="21"/>
                      <w:lang w:val="en-US" w:eastAsia="zh-CN"/>
                    </w:rPr>
                  </w:pPr>
                  <w:r>
                    <w:rPr>
                      <w:rFonts w:hint="eastAsia"/>
                      <w:sz w:val="21"/>
                      <w:szCs w:val="21"/>
                      <w:lang w:val="en-US" w:eastAsia="zh-CN"/>
                    </w:rPr>
                    <w:t>量程25-50Kg</w:t>
                  </w:r>
                </w:p>
              </w:tc>
              <w:tc>
                <w:tcPr>
                  <w:tcW w:w="977" w:type="pct"/>
                  <w:tcBorders>
                    <w:tl2br w:val="nil"/>
                    <w:tr2bl w:val="nil"/>
                  </w:tcBorders>
                  <w:vAlign w:val="center"/>
                </w:tcPr>
                <w:p w14:paraId="28143002">
                  <w:pPr>
                    <w:jc w:val="center"/>
                    <w:textAlignment w:val="baseline"/>
                    <w:rPr>
                      <w:rFonts w:hint="default"/>
                      <w:sz w:val="21"/>
                      <w:szCs w:val="21"/>
                      <w:lang w:val="en-US" w:eastAsia="zh-CN"/>
                    </w:rPr>
                  </w:pPr>
                  <w:r>
                    <w:rPr>
                      <w:rFonts w:hint="eastAsia"/>
                      <w:sz w:val="21"/>
                      <w:szCs w:val="21"/>
                      <w:lang w:val="en-US" w:eastAsia="zh-CN"/>
                    </w:rPr>
                    <w:t>4</w:t>
                  </w:r>
                </w:p>
              </w:tc>
              <w:tc>
                <w:tcPr>
                  <w:tcW w:w="733" w:type="pct"/>
                  <w:tcBorders>
                    <w:tl2br w:val="nil"/>
                    <w:tr2bl w:val="nil"/>
                  </w:tcBorders>
                  <w:vAlign w:val="center"/>
                </w:tcPr>
                <w:p w14:paraId="774F82AE">
                  <w:pPr>
                    <w:jc w:val="center"/>
                    <w:rPr>
                      <w:rFonts w:hint="eastAsia"/>
                      <w:sz w:val="21"/>
                      <w:szCs w:val="21"/>
                      <w:lang w:val="en-US" w:eastAsia="zh-CN"/>
                    </w:rPr>
                  </w:pPr>
                  <w:r>
                    <w:rPr>
                      <w:rFonts w:hint="eastAsia"/>
                      <w:sz w:val="21"/>
                      <w:szCs w:val="21"/>
                      <w:lang w:val="en-US" w:eastAsia="zh-CN"/>
                    </w:rPr>
                    <w:t>/</w:t>
                  </w:r>
                </w:p>
              </w:tc>
            </w:tr>
            <w:tr w14:paraId="58FED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74100CE1">
                  <w:pPr>
                    <w:jc w:val="center"/>
                    <w:rPr>
                      <w:rFonts w:hint="default"/>
                      <w:sz w:val="21"/>
                      <w:szCs w:val="21"/>
                      <w:lang w:val="en-US" w:eastAsia="zh-CN"/>
                    </w:rPr>
                  </w:pPr>
                  <w:r>
                    <w:rPr>
                      <w:rFonts w:hint="eastAsia"/>
                      <w:sz w:val="21"/>
                      <w:szCs w:val="21"/>
                      <w:lang w:val="en-US" w:eastAsia="zh-CN"/>
                    </w:rPr>
                    <w:t>18</w:t>
                  </w:r>
                </w:p>
              </w:tc>
              <w:tc>
                <w:tcPr>
                  <w:tcW w:w="1189" w:type="pct"/>
                  <w:tcBorders>
                    <w:tl2br w:val="nil"/>
                    <w:tr2bl w:val="nil"/>
                  </w:tcBorders>
                  <w:vAlign w:val="center"/>
                </w:tcPr>
                <w:p w14:paraId="0A549A01">
                  <w:pPr>
                    <w:jc w:val="center"/>
                    <w:textAlignment w:val="baseline"/>
                    <w:rPr>
                      <w:rFonts w:hint="eastAsia"/>
                      <w:sz w:val="21"/>
                      <w:szCs w:val="21"/>
                      <w:lang w:eastAsia="zh-CN"/>
                    </w:rPr>
                  </w:pPr>
                  <w:r>
                    <w:rPr>
                      <w:rFonts w:hint="eastAsia"/>
                      <w:sz w:val="21"/>
                      <w:szCs w:val="21"/>
                      <w:lang w:eastAsia="zh-CN"/>
                    </w:rPr>
                    <w:t>铲车</w:t>
                  </w:r>
                </w:p>
              </w:tc>
              <w:tc>
                <w:tcPr>
                  <w:tcW w:w="1712" w:type="pct"/>
                  <w:tcBorders>
                    <w:tl2br w:val="nil"/>
                    <w:tr2bl w:val="nil"/>
                  </w:tcBorders>
                  <w:vAlign w:val="center"/>
                </w:tcPr>
                <w:p w14:paraId="45FAA1E7">
                  <w:pPr>
                    <w:jc w:val="center"/>
                    <w:textAlignment w:val="baseline"/>
                    <w:rPr>
                      <w:rFonts w:hint="default"/>
                      <w:sz w:val="21"/>
                      <w:szCs w:val="21"/>
                      <w:lang w:val="en-US" w:eastAsia="zh-CN"/>
                    </w:rPr>
                  </w:pPr>
                  <w:r>
                    <w:rPr>
                      <w:rFonts w:hint="eastAsia"/>
                      <w:sz w:val="21"/>
                      <w:szCs w:val="21"/>
                      <w:lang w:val="en-US" w:eastAsia="zh-CN"/>
                    </w:rPr>
                    <w:t>--</w:t>
                  </w:r>
                </w:p>
              </w:tc>
              <w:tc>
                <w:tcPr>
                  <w:tcW w:w="977" w:type="pct"/>
                  <w:tcBorders>
                    <w:tl2br w:val="nil"/>
                    <w:tr2bl w:val="nil"/>
                  </w:tcBorders>
                  <w:vAlign w:val="center"/>
                </w:tcPr>
                <w:p w14:paraId="65294D33">
                  <w:pPr>
                    <w:jc w:val="center"/>
                    <w:textAlignment w:val="baseline"/>
                    <w:rPr>
                      <w:rFonts w:hint="default"/>
                      <w:sz w:val="21"/>
                      <w:szCs w:val="21"/>
                      <w:lang w:val="en-US" w:eastAsia="zh-CN"/>
                    </w:rPr>
                  </w:pPr>
                  <w:r>
                    <w:rPr>
                      <w:rFonts w:hint="eastAsia"/>
                      <w:sz w:val="21"/>
                      <w:szCs w:val="21"/>
                      <w:lang w:val="en-US" w:eastAsia="zh-CN"/>
                    </w:rPr>
                    <w:t>1</w:t>
                  </w:r>
                </w:p>
              </w:tc>
              <w:tc>
                <w:tcPr>
                  <w:tcW w:w="733" w:type="pct"/>
                  <w:tcBorders>
                    <w:tl2br w:val="nil"/>
                    <w:tr2bl w:val="nil"/>
                  </w:tcBorders>
                  <w:vAlign w:val="center"/>
                </w:tcPr>
                <w:p w14:paraId="6D9F02EF">
                  <w:pPr>
                    <w:jc w:val="center"/>
                    <w:rPr>
                      <w:rFonts w:hint="eastAsia"/>
                      <w:sz w:val="21"/>
                      <w:szCs w:val="21"/>
                      <w:lang w:val="en-US" w:eastAsia="zh-CN"/>
                    </w:rPr>
                  </w:pPr>
                </w:p>
              </w:tc>
            </w:tr>
            <w:tr w14:paraId="61B4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tcBorders>
                    <w:tl2br w:val="nil"/>
                    <w:tr2bl w:val="nil"/>
                  </w:tcBorders>
                  <w:vAlign w:val="center"/>
                </w:tcPr>
                <w:p w14:paraId="6A7B41E5">
                  <w:pPr>
                    <w:jc w:val="center"/>
                    <w:rPr>
                      <w:rFonts w:hint="default"/>
                      <w:sz w:val="21"/>
                      <w:szCs w:val="21"/>
                      <w:lang w:val="en-US" w:eastAsia="zh-CN"/>
                    </w:rPr>
                  </w:pPr>
                  <w:r>
                    <w:rPr>
                      <w:rFonts w:hint="eastAsia"/>
                      <w:sz w:val="21"/>
                      <w:szCs w:val="21"/>
                      <w:lang w:val="en-US" w:eastAsia="zh-CN"/>
                    </w:rPr>
                    <w:t>19</w:t>
                  </w:r>
                </w:p>
              </w:tc>
              <w:tc>
                <w:tcPr>
                  <w:tcW w:w="1189" w:type="pct"/>
                  <w:tcBorders>
                    <w:tl2br w:val="nil"/>
                    <w:tr2bl w:val="nil"/>
                  </w:tcBorders>
                  <w:vAlign w:val="center"/>
                </w:tcPr>
                <w:p w14:paraId="6868D0E0">
                  <w:pPr>
                    <w:jc w:val="center"/>
                    <w:textAlignment w:val="baseline"/>
                    <w:rPr>
                      <w:rFonts w:hint="eastAsia"/>
                      <w:sz w:val="21"/>
                      <w:szCs w:val="21"/>
                      <w:lang w:eastAsia="zh-CN"/>
                    </w:rPr>
                  </w:pPr>
                  <w:r>
                    <w:rPr>
                      <w:rFonts w:hint="eastAsia"/>
                      <w:sz w:val="21"/>
                      <w:szCs w:val="21"/>
                      <w:lang w:eastAsia="zh-CN"/>
                    </w:rPr>
                    <w:t>行车</w:t>
                  </w:r>
                </w:p>
              </w:tc>
              <w:tc>
                <w:tcPr>
                  <w:tcW w:w="1712" w:type="pct"/>
                  <w:tcBorders>
                    <w:tl2br w:val="nil"/>
                    <w:tr2bl w:val="nil"/>
                  </w:tcBorders>
                  <w:vAlign w:val="center"/>
                </w:tcPr>
                <w:p w14:paraId="7327FFC5">
                  <w:pPr>
                    <w:jc w:val="center"/>
                    <w:textAlignment w:val="baseline"/>
                    <w:rPr>
                      <w:rFonts w:hint="default"/>
                      <w:sz w:val="21"/>
                      <w:szCs w:val="21"/>
                      <w:lang w:val="en-US" w:eastAsia="zh-CN"/>
                    </w:rPr>
                  </w:pPr>
                  <w:r>
                    <w:rPr>
                      <w:rFonts w:hint="eastAsia"/>
                      <w:sz w:val="21"/>
                      <w:szCs w:val="21"/>
                      <w:lang w:val="en-US" w:eastAsia="zh-CN"/>
                    </w:rPr>
                    <w:t>--</w:t>
                  </w:r>
                </w:p>
              </w:tc>
              <w:tc>
                <w:tcPr>
                  <w:tcW w:w="977" w:type="pct"/>
                  <w:tcBorders>
                    <w:tl2br w:val="nil"/>
                    <w:tr2bl w:val="nil"/>
                  </w:tcBorders>
                  <w:vAlign w:val="center"/>
                </w:tcPr>
                <w:p w14:paraId="50917110">
                  <w:pPr>
                    <w:jc w:val="center"/>
                    <w:textAlignment w:val="baseline"/>
                    <w:rPr>
                      <w:rFonts w:hint="default"/>
                      <w:sz w:val="21"/>
                      <w:szCs w:val="21"/>
                      <w:lang w:val="en-US" w:eastAsia="zh-CN"/>
                    </w:rPr>
                  </w:pPr>
                  <w:r>
                    <w:rPr>
                      <w:rFonts w:hint="eastAsia"/>
                      <w:sz w:val="21"/>
                      <w:szCs w:val="21"/>
                      <w:lang w:val="en-US" w:eastAsia="zh-CN"/>
                    </w:rPr>
                    <w:t>8</w:t>
                  </w:r>
                </w:p>
              </w:tc>
              <w:tc>
                <w:tcPr>
                  <w:tcW w:w="733" w:type="pct"/>
                  <w:tcBorders>
                    <w:tl2br w:val="nil"/>
                    <w:tr2bl w:val="nil"/>
                  </w:tcBorders>
                  <w:vAlign w:val="center"/>
                </w:tcPr>
                <w:p w14:paraId="73376FAE">
                  <w:pPr>
                    <w:jc w:val="center"/>
                    <w:rPr>
                      <w:rFonts w:hint="eastAsia"/>
                      <w:sz w:val="21"/>
                      <w:szCs w:val="21"/>
                      <w:lang w:val="en-US" w:eastAsia="zh-CN"/>
                    </w:rPr>
                  </w:pPr>
                </w:p>
              </w:tc>
            </w:tr>
            <w:tr w14:paraId="11527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5" w:type="pct"/>
                  <w:gridSpan w:val="2"/>
                  <w:tcBorders>
                    <w:tl2br w:val="nil"/>
                    <w:tr2bl w:val="nil"/>
                  </w:tcBorders>
                  <w:vAlign w:val="center"/>
                </w:tcPr>
                <w:p w14:paraId="39C82208">
                  <w:pPr>
                    <w:jc w:val="center"/>
                    <w:rPr>
                      <w:sz w:val="21"/>
                      <w:szCs w:val="21"/>
                    </w:rPr>
                  </w:pPr>
                  <w:r>
                    <w:rPr>
                      <w:sz w:val="21"/>
                      <w:szCs w:val="21"/>
                    </w:rPr>
                    <w:t>合计</w:t>
                  </w:r>
                </w:p>
              </w:tc>
              <w:tc>
                <w:tcPr>
                  <w:tcW w:w="1712" w:type="pct"/>
                  <w:tcBorders>
                    <w:tl2br w:val="nil"/>
                    <w:tr2bl w:val="nil"/>
                  </w:tcBorders>
                  <w:vAlign w:val="center"/>
                </w:tcPr>
                <w:p w14:paraId="0B187476">
                  <w:pPr>
                    <w:jc w:val="center"/>
                    <w:rPr>
                      <w:rFonts w:hint="eastAsia"/>
                      <w:sz w:val="21"/>
                      <w:szCs w:val="21"/>
                      <w:lang w:val="en-US" w:eastAsia="zh-CN"/>
                    </w:rPr>
                  </w:pPr>
                </w:p>
              </w:tc>
              <w:tc>
                <w:tcPr>
                  <w:tcW w:w="977" w:type="pct"/>
                  <w:tcBorders>
                    <w:tl2br w:val="nil"/>
                    <w:tr2bl w:val="nil"/>
                  </w:tcBorders>
                  <w:vAlign w:val="center"/>
                </w:tcPr>
                <w:p w14:paraId="71438CEE">
                  <w:pPr>
                    <w:jc w:val="center"/>
                    <w:rPr>
                      <w:rFonts w:hint="default" w:eastAsia="宋体"/>
                      <w:sz w:val="21"/>
                      <w:szCs w:val="21"/>
                      <w:lang w:val="en-US" w:eastAsia="zh-CN"/>
                    </w:rPr>
                  </w:pPr>
                  <w:r>
                    <w:rPr>
                      <w:rFonts w:hint="eastAsia"/>
                      <w:sz w:val="21"/>
                      <w:szCs w:val="21"/>
                      <w:lang w:val="en-US" w:eastAsia="zh-CN"/>
                    </w:rPr>
                    <w:t>204</w:t>
                  </w:r>
                  <w:bookmarkStart w:id="4" w:name="_GoBack"/>
                  <w:bookmarkEnd w:id="4"/>
                </w:p>
              </w:tc>
              <w:tc>
                <w:tcPr>
                  <w:tcW w:w="733" w:type="pct"/>
                  <w:tcBorders>
                    <w:tl2br w:val="nil"/>
                    <w:tr2bl w:val="nil"/>
                  </w:tcBorders>
                  <w:vAlign w:val="center"/>
                </w:tcPr>
                <w:p w14:paraId="408E39A2">
                  <w:pPr>
                    <w:jc w:val="center"/>
                    <w:rPr>
                      <w:sz w:val="21"/>
                      <w:szCs w:val="21"/>
                    </w:rPr>
                  </w:pPr>
                  <w:r>
                    <w:rPr>
                      <w:rFonts w:hint="eastAsia"/>
                      <w:sz w:val="21"/>
                      <w:szCs w:val="21"/>
                    </w:rPr>
                    <w:t>/</w:t>
                  </w:r>
                </w:p>
              </w:tc>
            </w:tr>
          </w:tbl>
          <w:p w14:paraId="12465350">
            <w:pPr>
              <w:spacing w:line="240" w:lineRule="auto"/>
              <w:jc w:val="center"/>
              <w:outlineLvl w:val="4"/>
              <w:rPr>
                <w:b/>
                <w:bCs/>
                <w:sz w:val="21"/>
                <w:szCs w:val="21"/>
                <w:highlight w:val="none"/>
              </w:rPr>
            </w:pPr>
            <w:r>
              <w:rPr>
                <w:b/>
                <w:bCs/>
                <w:sz w:val="21"/>
                <w:szCs w:val="21"/>
                <w:highlight w:val="none"/>
              </w:rPr>
              <w:t>表</w:t>
            </w:r>
            <w:r>
              <w:rPr>
                <w:rFonts w:hint="eastAsia"/>
                <w:b/>
                <w:bCs/>
                <w:sz w:val="21"/>
                <w:szCs w:val="21"/>
                <w:highlight w:val="none"/>
                <w:lang w:val="en-US" w:eastAsia="zh-CN"/>
              </w:rPr>
              <w:t xml:space="preserve">2-3 </w:t>
            </w:r>
            <w:r>
              <w:rPr>
                <w:b/>
                <w:bCs/>
                <w:sz w:val="21"/>
                <w:szCs w:val="21"/>
                <w:highlight w:val="none"/>
              </w:rPr>
              <w:t>本项目</w:t>
            </w:r>
            <w:r>
              <w:rPr>
                <w:rFonts w:hint="eastAsia"/>
                <w:b/>
                <w:bCs/>
                <w:sz w:val="21"/>
                <w:szCs w:val="21"/>
                <w:highlight w:val="none"/>
                <w:lang w:eastAsia="zh-CN"/>
              </w:rPr>
              <w:t>环保设备</w:t>
            </w:r>
            <w:r>
              <w:rPr>
                <w:b/>
                <w:bCs/>
                <w:sz w:val="21"/>
                <w:szCs w:val="21"/>
                <w:highlight w:val="none"/>
              </w:rPr>
              <w:t>一览表</w:t>
            </w:r>
          </w:p>
          <w:tbl>
            <w:tblPr>
              <w:tblStyle w:val="35"/>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77"/>
              <w:gridCol w:w="1909"/>
              <w:gridCol w:w="1083"/>
              <w:gridCol w:w="2240"/>
              <w:gridCol w:w="2191"/>
            </w:tblGrid>
            <w:tr w14:paraId="68D7A1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pct"/>
                  <w:tcBorders>
                    <w:tl2br w:val="nil"/>
                    <w:tr2bl w:val="nil"/>
                  </w:tcBorders>
                  <w:shd w:val="clear" w:color="auto" w:fill="auto"/>
                  <w:noWrap w:val="0"/>
                  <w:vAlign w:val="center"/>
                </w:tcPr>
                <w:p w14:paraId="7E35032D">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序号</w:t>
                  </w:r>
                </w:p>
              </w:tc>
              <w:tc>
                <w:tcPr>
                  <w:tcW w:w="1150" w:type="pct"/>
                  <w:tcBorders>
                    <w:tl2br w:val="nil"/>
                    <w:tr2bl w:val="nil"/>
                  </w:tcBorders>
                  <w:shd w:val="clear" w:color="auto" w:fill="auto"/>
                  <w:noWrap w:val="0"/>
                  <w:vAlign w:val="center"/>
                </w:tcPr>
                <w:p w14:paraId="3915BE3E">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设备名称</w:t>
                  </w:r>
                </w:p>
              </w:tc>
              <w:tc>
                <w:tcPr>
                  <w:tcW w:w="652" w:type="pct"/>
                  <w:tcBorders>
                    <w:tl2br w:val="nil"/>
                    <w:tr2bl w:val="nil"/>
                  </w:tcBorders>
                  <w:shd w:val="clear" w:color="auto" w:fill="auto"/>
                  <w:noWrap w:val="0"/>
                  <w:vAlign w:val="center"/>
                </w:tcPr>
                <w:p w14:paraId="45A46AE2">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单位</w:t>
                  </w:r>
                </w:p>
              </w:tc>
              <w:tc>
                <w:tcPr>
                  <w:tcW w:w="1349" w:type="pct"/>
                  <w:tcBorders>
                    <w:tl2br w:val="nil"/>
                    <w:tr2bl w:val="nil"/>
                  </w:tcBorders>
                  <w:shd w:val="clear" w:color="auto" w:fill="auto"/>
                  <w:noWrap w:val="0"/>
                  <w:vAlign w:val="center"/>
                </w:tcPr>
                <w:p w14:paraId="78241335">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数量</w:t>
                  </w:r>
                </w:p>
              </w:tc>
              <w:tc>
                <w:tcPr>
                  <w:tcW w:w="1319" w:type="pct"/>
                  <w:tcBorders>
                    <w:tl2br w:val="nil"/>
                    <w:tr2bl w:val="nil"/>
                  </w:tcBorders>
                  <w:shd w:val="clear" w:color="auto" w:fill="auto"/>
                  <w:noWrap w:val="0"/>
                  <w:vAlign w:val="center"/>
                </w:tcPr>
                <w:p w14:paraId="2C6BFC22">
                  <w:pPr>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备注</w:t>
                  </w:r>
                </w:p>
              </w:tc>
            </w:tr>
            <w:tr w14:paraId="3C831F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pct"/>
                  <w:tcBorders>
                    <w:tl2br w:val="nil"/>
                    <w:tr2bl w:val="nil"/>
                  </w:tcBorders>
                  <w:noWrap w:val="0"/>
                  <w:vAlign w:val="center"/>
                </w:tcPr>
                <w:p w14:paraId="03B66973">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1150" w:type="pct"/>
                  <w:tcBorders>
                    <w:tl2br w:val="nil"/>
                    <w:tr2bl w:val="nil"/>
                  </w:tcBorders>
                  <w:noWrap w:val="0"/>
                  <w:vAlign w:val="center"/>
                </w:tcPr>
                <w:p w14:paraId="2CEFB3CA">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布袋除尘器</w:t>
                  </w:r>
                </w:p>
              </w:tc>
              <w:tc>
                <w:tcPr>
                  <w:tcW w:w="652" w:type="pct"/>
                  <w:tcBorders>
                    <w:tl2br w:val="nil"/>
                    <w:tr2bl w:val="nil"/>
                  </w:tcBorders>
                  <w:noWrap w:val="0"/>
                  <w:vAlign w:val="center"/>
                </w:tcPr>
                <w:p w14:paraId="18953FF4">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套</w:t>
                  </w:r>
                </w:p>
              </w:tc>
              <w:tc>
                <w:tcPr>
                  <w:tcW w:w="1349" w:type="pct"/>
                  <w:tcBorders>
                    <w:tl2br w:val="nil"/>
                    <w:tr2bl w:val="nil"/>
                  </w:tcBorders>
                  <w:noWrap w:val="0"/>
                  <w:vAlign w:val="center"/>
                </w:tcPr>
                <w:p w14:paraId="477B234B">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14</w:t>
                  </w:r>
                </w:p>
              </w:tc>
              <w:tc>
                <w:tcPr>
                  <w:tcW w:w="1319" w:type="pct"/>
                  <w:tcBorders>
                    <w:tl2br w:val="nil"/>
                    <w:tr2bl w:val="nil"/>
                  </w:tcBorders>
                  <w:noWrap w:val="0"/>
                  <w:vAlign w:val="center"/>
                </w:tcPr>
                <w:p w14:paraId="2EA9A676">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1AF007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0" w:type="pct"/>
                  <w:gridSpan w:val="3"/>
                  <w:tcBorders>
                    <w:tl2br w:val="nil"/>
                    <w:tr2bl w:val="nil"/>
                  </w:tcBorders>
                  <w:noWrap w:val="0"/>
                  <w:vAlign w:val="center"/>
                </w:tcPr>
                <w:p w14:paraId="349EF994">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合计</w:t>
                  </w:r>
                </w:p>
              </w:tc>
              <w:tc>
                <w:tcPr>
                  <w:tcW w:w="1349" w:type="pct"/>
                  <w:tcBorders>
                    <w:tl2br w:val="nil"/>
                    <w:tr2bl w:val="nil"/>
                  </w:tcBorders>
                  <w:noWrap w:val="0"/>
                  <w:vAlign w:val="center"/>
                </w:tcPr>
                <w:p w14:paraId="6DEC019C">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r>
                    <w:rPr>
                      <w:rFonts w:hint="eastAsia" w:cs="Times New Roman"/>
                      <w:sz w:val="21"/>
                      <w:szCs w:val="21"/>
                      <w:lang w:val="en-US" w:eastAsia="zh-CN"/>
                    </w:rPr>
                    <w:t>4</w:t>
                  </w:r>
                  <w:r>
                    <w:rPr>
                      <w:rFonts w:hint="eastAsia" w:ascii="Times New Roman" w:hAnsi="Times New Roman" w:eastAsia="宋体" w:cs="Times New Roman"/>
                      <w:sz w:val="21"/>
                      <w:szCs w:val="21"/>
                      <w:lang w:val="en-US" w:eastAsia="zh-CN"/>
                    </w:rPr>
                    <w:t>套</w:t>
                  </w:r>
                </w:p>
              </w:tc>
              <w:tc>
                <w:tcPr>
                  <w:tcW w:w="1319" w:type="pct"/>
                  <w:tcBorders>
                    <w:tl2br w:val="nil"/>
                    <w:tr2bl w:val="nil"/>
                  </w:tcBorders>
                  <w:noWrap w:val="0"/>
                  <w:vAlign w:val="center"/>
                </w:tcPr>
                <w:p w14:paraId="79C4DDB5">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bl>
          <w:p w14:paraId="3DDFFA73">
            <w:pPr>
              <w:snapToGrid w:val="0"/>
              <w:spacing w:line="360" w:lineRule="auto"/>
              <w:ind w:firstLine="422" w:firstLineChars="200"/>
              <w:rPr>
                <w:b/>
                <w:color w:val="000000"/>
                <w:kern w:val="0"/>
                <w:sz w:val="21"/>
                <w:szCs w:val="21"/>
              </w:rPr>
            </w:pPr>
            <w:r>
              <w:rPr>
                <w:rFonts w:hint="eastAsia"/>
                <w:b/>
                <w:color w:val="000000"/>
                <w:kern w:val="0"/>
                <w:sz w:val="21"/>
                <w:szCs w:val="21"/>
              </w:rPr>
              <w:t>三</w:t>
            </w:r>
            <w:r>
              <w:rPr>
                <w:b/>
                <w:color w:val="000000"/>
                <w:kern w:val="0"/>
                <w:sz w:val="21"/>
                <w:szCs w:val="21"/>
              </w:rPr>
              <w:t>、原辅材料及能源动力消耗</w:t>
            </w:r>
          </w:p>
          <w:p w14:paraId="1F9B635B">
            <w:pPr>
              <w:snapToGrid w:val="0"/>
              <w:spacing w:line="360" w:lineRule="auto"/>
              <w:ind w:firstLine="420" w:firstLineChars="200"/>
              <w:rPr>
                <w:b/>
                <w:sz w:val="21"/>
                <w:szCs w:val="21"/>
              </w:rPr>
            </w:pPr>
            <w:r>
              <w:rPr>
                <w:sz w:val="21"/>
                <w:szCs w:val="21"/>
              </w:rPr>
              <w:t>本项目主要原辅材料及能源动力消耗详见表</w:t>
            </w:r>
            <w:r>
              <w:rPr>
                <w:rFonts w:hint="eastAsia"/>
                <w:sz w:val="21"/>
                <w:szCs w:val="21"/>
              </w:rPr>
              <w:t>2-</w:t>
            </w:r>
            <w:r>
              <w:rPr>
                <w:rFonts w:hint="eastAsia"/>
                <w:sz w:val="21"/>
                <w:szCs w:val="21"/>
                <w:lang w:val="en-US" w:eastAsia="zh-CN"/>
              </w:rPr>
              <w:t>4</w:t>
            </w:r>
            <w:r>
              <w:rPr>
                <w:rFonts w:hint="eastAsia"/>
                <w:sz w:val="21"/>
                <w:szCs w:val="21"/>
              </w:rPr>
              <w:t>。</w:t>
            </w:r>
          </w:p>
          <w:p w14:paraId="14620AF4">
            <w:pPr>
              <w:jc w:val="center"/>
              <w:outlineLvl w:val="4"/>
              <w:rPr>
                <w:b/>
                <w:bCs/>
                <w:sz w:val="21"/>
                <w:szCs w:val="21"/>
              </w:rPr>
            </w:pPr>
            <w:r>
              <w:rPr>
                <w:b/>
                <w:bCs/>
                <w:sz w:val="21"/>
                <w:szCs w:val="21"/>
              </w:rPr>
              <w:t>表</w:t>
            </w:r>
            <w:r>
              <w:rPr>
                <w:rFonts w:hint="eastAsia"/>
                <w:b/>
                <w:bCs/>
                <w:sz w:val="21"/>
                <w:szCs w:val="21"/>
                <w:lang w:val="en-US" w:eastAsia="zh-CN"/>
              </w:rPr>
              <w:t xml:space="preserve">2-4 </w:t>
            </w:r>
            <w:r>
              <w:rPr>
                <w:b/>
                <w:bCs/>
                <w:sz w:val="21"/>
                <w:szCs w:val="21"/>
              </w:rPr>
              <w:t>主要原辅材料及能源消耗一览表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583"/>
              <w:gridCol w:w="1442"/>
              <w:gridCol w:w="1603"/>
              <w:gridCol w:w="2960"/>
            </w:tblGrid>
            <w:tr w14:paraId="06457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076167E0">
                  <w:pPr>
                    <w:jc w:val="center"/>
                    <w:rPr>
                      <w:color w:val="auto"/>
                      <w:sz w:val="21"/>
                      <w:szCs w:val="21"/>
                    </w:rPr>
                  </w:pPr>
                  <w:r>
                    <w:rPr>
                      <w:color w:val="auto"/>
                      <w:sz w:val="21"/>
                      <w:szCs w:val="21"/>
                    </w:rPr>
                    <w:t>序号</w:t>
                  </w:r>
                </w:p>
              </w:tc>
              <w:tc>
                <w:tcPr>
                  <w:tcW w:w="951" w:type="pct"/>
                  <w:tcBorders>
                    <w:top w:val="single" w:color="auto" w:sz="4" w:space="0"/>
                    <w:left w:val="single" w:color="auto" w:sz="4" w:space="0"/>
                    <w:bottom w:val="single" w:color="auto" w:sz="4" w:space="0"/>
                    <w:right w:val="single" w:color="auto" w:sz="4" w:space="0"/>
                  </w:tcBorders>
                  <w:vAlign w:val="center"/>
                </w:tcPr>
                <w:p w14:paraId="6285DC27">
                  <w:pPr>
                    <w:jc w:val="center"/>
                    <w:rPr>
                      <w:color w:val="auto"/>
                      <w:sz w:val="21"/>
                      <w:szCs w:val="21"/>
                    </w:rPr>
                  </w:pPr>
                  <w:r>
                    <w:rPr>
                      <w:color w:val="auto"/>
                      <w:sz w:val="21"/>
                      <w:szCs w:val="21"/>
                    </w:rPr>
                    <w:t>原辅料名称</w:t>
                  </w:r>
                </w:p>
              </w:tc>
              <w:tc>
                <w:tcPr>
                  <w:tcW w:w="867" w:type="pct"/>
                  <w:tcBorders>
                    <w:top w:val="single" w:color="auto" w:sz="4" w:space="0"/>
                    <w:left w:val="single" w:color="auto" w:sz="4" w:space="0"/>
                    <w:bottom w:val="single" w:color="auto" w:sz="4" w:space="0"/>
                    <w:right w:val="single" w:color="auto" w:sz="4" w:space="0"/>
                  </w:tcBorders>
                  <w:vAlign w:val="center"/>
                </w:tcPr>
                <w:p w14:paraId="7870B411">
                  <w:pPr>
                    <w:jc w:val="center"/>
                    <w:rPr>
                      <w:color w:val="auto"/>
                      <w:sz w:val="21"/>
                      <w:szCs w:val="21"/>
                    </w:rPr>
                  </w:pPr>
                  <w:r>
                    <w:rPr>
                      <w:color w:val="auto"/>
                      <w:sz w:val="21"/>
                      <w:szCs w:val="21"/>
                    </w:rPr>
                    <w:t>单位</w:t>
                  </w:r>
                </w:p>
              </w:tc>
              <w:tc>
                <w:tcPr>
                  <w:tcW w:w="963" w:type="pct"/>
                  <w:tcBorders>
                    <w:top w:val="single" w:color="auto" w:sz="4" w:space="0"/>
                    <w:left w:val="single" w:color="auto" w:sz="4" w:space="0"/>
                    <w:bottom w:val="single" w:color="auto" w:sz="4" w:space="0"/>
                    <w:right w:val="single" w:color="auto" w:sz="4" w:space="0"/>
                  </w:tcBorders>
                  <w:vAlign w:val="center"/>
                </w:tcPr>
                <w:p w14:paraId="5E8A90D7">
                  <w:pPr>
                    <w:jc w:val="center"/>
                    <w:rPr>
                      <w:color w:val="auto"/>
                      <w:sz w:val="21"/>
                      <w:szCs w:val="21"/>
                    </w:rPr>
                  </w:pPr>
                  <w:r>
                    <w:rPr>
                      <w:rFonts w:hint="eastAsia"/>
                      <w:color w:val="auto"/>
                      <w:sz w:val="21"/>
                      <w:szCs w:val="21"/>
                    </w:rPr>
                    <w:t>用量</w:t>
                  </w:r>
                </w:p>
              </w:tc>
              <w:tc>
                <w:tcPr>
                  <w:tcW w:w="1779" w:type="pct"/>
                  <w:tcBorders>
                    <w:top w:val="single" w:color="auto" w:sz="4" w:space="0"/>
                    <w:left w:val="single" w:color="auto" w:sz="4" w:space="0"/>
                    <w:bottom w:val="single" w:color="auto" w:sz="4" w:space="0"/>
                    <w:right w:val="single" w:color="auto" w:sz="4" w:space="0"/>
                  </w:tcBorders>
                  <w:vAlign w:val="center"/>
                </w:tcPr>
                <w:p w14:paraId="209D4CCD">
                  <w:pPr>
                    <w:jc w:val="center"/>
                    <w:rPr>
                      <w:color w:val="auto"/>
                      <w:sz w:val="21"/>
                      <w:szCs w:val="21"/>
                    </w:rPr>
                  </w:pPr>
                  <w:r>
                    <w:rPr>
                      <w:color w:val="auto"/>
                      <w:sz w:val="21"/>
                      <w:szCs w:val="21"/>
                    </w:rPr>
                    <w:t>备注</w:t>
                  </w:r>
                </w:p>
              </w:tc>
            </w:tr>
            <w:tr w14:paraId="4B1DE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212BE6B0">
                  <w:pPr>
                    <w:jc w:val="center"/>
                    <w:rPr>
                      <w:rFonts w:hint="eastAsia" w:eastAsia="宋体"/>
                      <w:sz w:val="21"/>
                      <w:szCs w:val="21"/>
                      <w:highlight w:val="none"/>
                      <w:lang w:val="en-US" w:eastAsia="zh-CN"/>
                    </w:rPr>
                  </w:pPr>
                  <w:r>
                    <w:rPr>
                      <w:rFonts w:hint="eastAsia"/>
                      <w:sz w:val="21"/>
                      <w:szCs w:val="21"/>
                      <w:highlight w:val="none"/>
                      <w:lang w:val="en-US" w:eastAsia="zh-CN"/>
                    </w:rPr>
                    <w:t>1</w:t>
                  </w:r>
                </w:p>
              </w:tc>
              <w:tc>
                <w:tcPr>
                  <w:tcW w:w="951" w:type="pct"/>
                  <w:tcBorders>
                    <w:top w:val="single" w:color="auto" w:sz="4" w:space="0"/>
                    <w:left w:val="single" w:color="auto" w:sz="4" w:space="0"/>
                    <w:right w:val="single" w:color="auto" w:sz="4" w:space="0"/>
                  </w:tcBorders>
                  <w:shd w:val="clear" w:color="auto" w:fill="auto"/>
                  <w:vAlign w:val="center"/>
                </w:tcPr>
                <w:p w14:paraId="7E086D40">
                  <w:pPr>
                    <w:jc w:val="center"/>
                    <w:rPr>
                      <w:rFonts w:hint="eastAsia"/>
                      <w:color w:val="auto"/>
                      <w:sz w:val="21"/>
                      <w:szCs w:val="21"/>
                      <w:highlight w:val="none"/>
                      <w:lang w:eastAsia="zh-CN"/>
                    </w:rPr>
                  </w:pPr>
                  <w:r>
                    <w:rPr>
                      <w:rFonts w:hint="eastAsia"/>
                      <w:color w:val="auto"/>
                      <w:sz w:val="21"/>
                      <w:szCs w:val="21"/>
                      <w:highlight w:val="none"/>
                      <w:lang w:eastAsia="zh-CN"/>
                    </w:rPr>
                    <w:t>白刚玉</w:t>
                  </w:r>
                </w:p>
              </w:tc>
              <w:tc>
                <w:tcPr>
                  <w:tcW w:w="867" w:type="pct"/>
                  <w:tcBorders>
                    <w:top w:val="single" w:color="auto" w:sz="4" w:space="0"/>
                    <w:left w:val="single" w:color="auto" w:sz="4" w:space="0"/>
                    <w:bottom w:val="single" w:color="auto" w:sz="4" w:space="0"/>
                    <w:right w:val="single" w:color="auto" w:sz="4" w:space="0"/>
                  </w:tcBorders>
                  <w:vAlign w:val="center"/>
                </w:tcPr>
                <w:p w14:paraId="107ECB69">
                  <w:pPr>
                    <w:jc w:val="center"/>
                    <w:rPr>
                      <w:sz w:val="21"/>
                      <w:szCs w:val="21"/>
                      <w:highlight w:val="none"/>
                    </w:rPr>
                  </w:pPr>
                  <w:r>
                    <w:rPr>
                      <w:rFonts w:hint="eastAsia"/>
                      <w:sz w:val="21"/>
                      <w:szCs w:val="21"/>
                      <w:highlight w:val="none"/>
                    </w:rPr>
                    <w:t>t/a</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0FCBB8E4">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15003.108</w:t>
                  </w:r>
                </w:p>
              </w:tc>
              <w:tc>
                <w:tcPr>
                  <w:tcW w:w="1779" w:type="pct"/>
                  <w:tcBorders>
                    <w:top w:val="single" w:color="auto" w:sz="4" w:space="0"/>
                    <w:left w:val="single" w:color="auto" w:sz="4" w:space="0"/>
                    <w:bottom w:val="single" w:color="auto" w:sz="4" w:space="0"/>
                    <w:right w:val="single" w:color="auto" w:sz="4" w:space="0"/>
                  </w:tcBorders>
                  <w:vAlign w:val="center"/>
                </w:tcPr>
                <w:p w14:paraId="7B024688">
                  <w:pPr>
                    <w:jc w:val="center"/>
                    <w:rPr>
                      <w:rFonts w:hint="default" w:eastAsia="宋体"/>
                      <w:sz w:val="21"/>
                      <w:szCs w:val="21"/>
                      <w:highlight w:val="none"/>
                      <w:lang w:val="en-US" w:eastAsia="zh-CN"/>
                    </w:rPr>
                  </w:pPr>
                  <w:r>
                    <w:rPr>
                      <w:rFonts w:hint="eastAsia"/>
                      <w:sz w:val="21"/>
                      <w:szCs w:val="21"/>
                      <w:highlight w:val="none"/>
                      <w:lang w:val="en-US" w:eastAsia="zh-CN"/>
                    </w:rPr>
                    <w:t>吨包，块状</w:t>
                  </w:r>
                </w:p>
              </w:tc>
            </w:tr>
            <w:tr w14:paraId="57E3F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1508FB2D">
                  <w:pPr>
                    <w:jc w:val="center"/>
                    <w:rPr>
                      <w:rFonts w:hint="eastAsia" w:eastAsia="宋体"/>
                      <w:sz w:val="21"/>
                      <w:szCs w:val="21"/>
                      <w:highlight w:val="none"/>
                      <w:lang w:eastAsia="zh-CN"/>
                    </w:rPr>
                  </w:pPr>
                  <w:r>
                    <w:rPr>
                      <w:rFonts w:hint="eastAsia"/>
                      <w:sz w:val="21"/>
                      <w:szCs w:val="21"/>
                      <w:highlight w:val="none"/>
                      <w:lang w:eastAsia="zh-CN"/>
                    </w:rPr>
                    <w:t>2</w:t>
                  </w:r>
                </w:p>
              </w:tc>
              <w:tc>
                <w:tcPr>
                  <w:tcW w:w="951" w:type="pct"/>
                  <w:tcBorders>
                    <w:left w:val="single" w:color="auto" w:sz="4" w:space="0"/>
                    <w:right w:val="single" w:color="auto" w:sz="4" w:space="0"/>
                  </w:tcBorders>
                  <w:vAlign w:val="center"/>
                </w:tcPr>
                <w:p w14:paraId="324B1DA6">
                  <w:pPr>
                    <w:jc w:val="center"/>
                    <w:rPr>
                      <w:rFonts w:hint="eastAsia" w:eastAsia="宋体"/>
                      <w:color w:val="auto"/>
                      <w:sz w:val="21"/>
                      <w:szCs w:val="21"/>
                      <w:highlight w:val="none"/>
                      <w:lang w:eastAsia="zh-CN"/>
                    </w:rPr>
                  </w:pPr>
                  <w:r>
                    <w:rPr>
                      <w:rFonts w:hint="eastAsia"/>
                      <w:color w:val="auto"/>
                      <w:sz w:val="21"/>
                      <w:szCs w:val="21"/>
                      <w:highlight w:val="none"/>
                      <w:lang w:eastAsia="zh-CN"/>
                    </w:rPr>
                    <w:t>棕刚玉</w:t>
                  </w:r>
                </w:p>
              </w:tc>
              <w:tc>
                <w:tcPr>
                  <w:tcW w:w="867" w:type="pct"/>
                  <w:tcBorders>
                    <w:top w:val="single" w:color="auto" w:sz="4" w:space="0"/>
                    <w:left w:val="single" w:color="auto" w:sz="4" w:space="0"/>
                    <w:bottom w:val="single" w:color="auto" w:sz="4" w:space="0"/>
                    <w:right w:val="single" w:color="auto" w:sz="4" w:space="0"/>
                  </w:tcBorders>
                  <w:vAlign w:val="center"/>
                </w:tcPr>
                <w:p w14:paraId="126392D2">
                  <w:pPr>
                    <w:jc w:val="center"/>
                    <w:rPr>
                      <w:color w:val="auto"/>
                      <w:sz w:val="21"/>
                      <w:szCs w:val="21"/>
                      <w:highlight w:val="none"/>
                    </w:rPr>
                  </w:pPr>
                  <w:r>
                    <w:rPr>
                      <w:color w:val="auto"/>
                      <w:sz w:val="21"/>
                      <w:szCs w:val="21"/>
                      <w:highlight w:val="none"/>
                    </w:rPr>
                    <w:t>t/a</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14EC7E8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3000.387</w:t>
                  </w:r>
                </w:p>
              </w:tc>
              <w:tc>
                <w:tcPr>
                  <w:tcW w:w="1779" w:type="pct"/>
                  <w:tcBorders>
                    <w:top w:val="single" w:color="auto" w:sz="4" w:space="0"/>
                    <w:left w:val="single" w:color="auto" w:sz="4" w:space="0"/>
                    <w:bottom w:val="single" w:color="auto" w:sz="4" w:space="0"/>
                    <w:right w:val="single" w:color="auto" w:sz="4" w:space="0"/>
                  </w:tcBorders>
                  <w:vAlign w:val="center"/>
                </w:tcPr>
                <w:p w14:paraId="5EF10FD3">
                  <w:pPr>
                    <w:jc w:val="center"/>
                    <w:rPr>
                      <w:rFonts w:hint="eastAsia" w:eastAsia="宋体"/>
                      <w:color w:val="auto"/>
                      <w:sz w:val="21"/>
                      <w:szCs w:val="21"/>
                      <w:highlight w:val="none"/>
                      <w:lang w:val="en-US" w:eastAsia="zh-CN"/>
                    </w:rPr>
                  </w:pPr>
                  <w:r>
                    <w:rPr>
                      <w:rFonts w:hint="eastAsia"/>
                      <w:sz w:val="21"/>
                      <w:szCs w:val="21"/>
                      <w:highlight w:val="none"/>
                      <w:lang w:val="en-US" w:eastAsia="zh-CN"/>
                    </w:rPr>
                    <w:t>吨包，块状</w:t>
                  </w:r>
                </w:p>
              </w:tc>
            </w:tr>
            <w:tr w14:paraId="0F738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0C3F7EF5">
                  <w:pPr>
                    <w:jc w:val="center"/>
                    <w:rPr>
                      <w:rFonts w:hint="eastAsia" w:eastAsia="宋体"/>
                      <w:sz w:val="21"/>
                      <w:szCs w:val="21"/>
                      <w:highlight w:val="none"/>
                      <w:lang w:val="en-US" w:eastAsia="zh-CN"/>
                    </w:rPr>
                  </w:pPr>
                  <w:r>
                    <w:rPr>
                      <w:rFonts w:hint="eastAsia"/>
                      <w:sz w:val="21"/>
                      <w:szCs w:val="21"/>
                      <w:highlight w:val="none"/>
                      <w:lang w:val="en-US" w:eastAsia="zh-CN"/>
                    </w:rPr>
                    <w:t>3</w:t>
                  </w:r>
                </w:p>
              </w:tc>
              <w:tc>
                <w:tcPr>
                  <w:tcW w:w="951" w:type="pct"/>
                  <w:tcBorders>
                    <w:left w:val="single" w:color="auto" w:sz="4" w:space="0"/>
                    <w:right w:val="single" w:color="auto" w:sz="4" w:space="0"/>
                  </w:tcBorders>
                  <w:vAlign w:val="center"/>
                </w:tcPr>
                <w:p w14:paraId="10D5823A">
                  <w:pPr>
                    <w:jc w:val="center"/>
                    <w:rPr>
                      <w:rFonts w:hint="eastAsia" w:eastAsia="宋体"/>
                      <w:color w:val="auto"/>
                      <w:sz w:val="21"/>
                      <w:szCs w:val="21"/>
                      <w:highlight w:val="none"/>
                      <w:lang w:eastAsia="zh-CN"/>
                    </w:rPr>
                  </w:pPr>
                  <w:r>
                    <w:rPr>
                      <w:rFonts w:hint="eastAsia"/>
                      <w:color w:val="auto"/>
                      <w:sz w:val="21"/>
                      <w:szCs w:val="21"/>
                      <w:highlight w:val="none"/>
                      <w:lang w:eastAsia="zh-CN"/>
                    </w:rPr>
                    <w:t>铬刚玉</w:t>
                  </w:r>
                </w:p>
              </w:tc>
              <w:tc>
                <w:tcPr>
                  <w:tcW w:w="867" w:type="pct"/>
                  <w:tcBorders>
                    <w:top w:val="single" w:color="auto" w:sz="4" w:space="0"/>
                    <w:left w:val="single" w:color="auto" w:sz="4" w:space="0"/>
                    <w:bottom w:val="single" w:color="auto" w:sz="4" w:space="0"/>
                    <w:right w:val="single" w:color="auto" w:sz="4" w:space="0"/>
                  </w:tcBorders>
                  <w:vAlign w:val="center"/>
                </w:tcPr>
                <w:p w14:paraId="333965DA">
                  <w:pPr>
                    <w:jc w:val="center"/>
                    <w:rPr>
                      <w:color w:val="auto"/>
                      <w:sz w:val="21"/>
                      <w:szCs w:val="21"/>
                      <w:highlight w:val="none"/>
                    </w:rPr>
                  </w:pPr>
                  <w:r>
                    <w:rPr>
                      <w:color w:val="auto"/>
                      <w:sz w:val="21"/>
                      <w:szCs w:val="21"/>
                      <w:highlight w:val="none"/>
                    </w:rPr>
                    <w:t>t/a</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1D8C92E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1000</w:t>
                  </w:r>
                  <w:r>
                    <w:rPr>
                      <w:rFonts w:hint="eastAsia"/>
                      <w:lang w:val="en-US" w:eastAsia="zh-CN"/>
                    </w:rPr>
                    <w:t>.179</w:t>
                  </w:r>
                </w:p>
              </w:tc>
              <w:tc>
                <w:tcPr>
                  <w:tcW w:w="1779" w:type="pct"/>
                  <w:tcBorders>
                    <w:top w:val="single" w:color="auto" w:sz="4" w:space="0"/>
                    <w:left w:val="single" w:color="auto" w:sz="4" w:space="0"/>
                    <w:bottom w:val="single" w:color="auto" w:sz="4" w:space="0"/>
                    <w:right w:val="single" w:color="auto" w:sz="4" w:space="0"/>
                  </w:tcBorders>
                  <w:vAlign w:val="center"/>
                </w:tcPr>
                <w:p w14:paraId="61981D91">
                  <w:pPr>
                    <w:jc w:val="center"/>
                    <w:rPr>
                      <w:rFonts w:hint="eastAsia" w:eastAsia="宋体"/>
                      <w:color w:val="auto"/>
                      <w:sz w:val="21"/>
                      <w:szCs w:val="21"/>
                      <w:lang w:eastAsia="zh-CN"/>
                    </w:rPr>
                  </w:pPr>
                  <w:r>
                    <w:rPr>
                      <w:rFonts w:hint="eastAsia"/>
                      <w:sz w:val="21"/>
                      <w:szCs w:val="21"/>
                      <w:highlight w:val="none"/>
                      <w:lang w:val="en-US" w:eastAsia="zh-CN"/>
                    </w:rPr>
                    <w:t>吨包，块状</w:t>
                  </w:r>
                </w:p>
              </w:tc>
            </w:tr>
            <w:tr w14:paraId="31592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6F16F49F">
                  <w:pPr>
                    <w:jc w:val="center"/>
                    <w:rPr>
                      <w:rFonts w:hint="eastAsia" w:eastAsia="宋体"/>
                      <w:sz w:val="21"/>
                      <w:szCs w:val="21"/>
                      <w:highlight w:val="none"/>
                      <w:lang w:val="en-US" w:eastAsia="zh-CN"/>
                    </w:rPr>
                  </w:pPr>
                  <w:r>
                    <w:rPr>
                      <w:rFonts w:hint="eastAsia"/>
                      <w:sz w:val="21"/>
                      <w:szCs w:val="21"/>
                      <w:highlight w:val="none"/>
                      <w:lang w:val="en-US" w:eastAsia="zh-CN"/>
                    </w:rPr>
                    <w:t>4</w:t>
                  </w:r>
                </w:p>
              </w:tc>
              <w:tc>
                <w:tcPr>
                  <w:tcW w:w="951" w:type="pct"/>
                  <w:tcBorders>
                    <w:left w:val="single" w:color="auto" w:sz="4" w:space="0"/>
                    <w:right w:val="single" w:color="auto" w:sz="4" w:space="0"/>
                  </w:tcBorders>
                  <w:vAlign w:val="center"/>
                </w:tcPr>
                <w:p w14:paraId="489D73D5">
                  <w:pPr>
                    <w:jc w:val="center"/>
                    <w:rPr>
                      <w:rFonts w:hint="eastAsia" w:eastAsia="宋体"/>
                      <w:color w:val="auto"/>
                      <w:sz w:val="21"/>
                      <w:szCs w:val="21"/>
                      <w:highlight w:val="none"/>
                      <w:lang w:eastAsia="zh-CN"/>
                    </w:rPr>
                  </w:pPr>
                  <w:r>
                    <w:rPr>
                      <w:rFonts w:hint="eastAsia"/>
                      <w:color w:val="auto"/>
                      <w:sz w:val="21"/>
                      <w:szCs w:val="21"/>
                      <w:highlight w:val="none"/>
                      <w:lang w:eastAsia="zh-CN"/>
                    </w:rPr>
                    <w:t>包装袋</w:t>
                  </w:r>
                </w:p>
              </w:tc>
              <w:tc>
                <w:tcPr>
                  <w:tcW w:w="867" w:type="pct"/>
                  <w:tcBorders>
                    <w:top w:val="single" w:color="auto" w:sz="4" w:space="0"/>
                    <w:left w:val="single" w:color="auto" w:sz="4" w:space="0"/>
                    <w:bottom w:val="single" w:color="auto" w:sz="4" w:space="0"/>
                    <w:right w:val="single" w:color="auto" w:sz="4" w:space="0"/>
                  </w:tcBorders>
                  <w:vAlign w:val="center"/>
                </w:tcPr>
                <w:p w14:paraId="41B739C1">
                  <w:pPr>
                    <w:jc w:val="center"/>
                    <w:rPr>
                      <w:rFonts w:hint="default" w:eastAsia="宋体"/>
                      <w:color w:val="auto"/>
                      <w:sz w:val="21"/>
                      <w:szCs w:val="21"/>
                      <w:highlight w:val="none"/>
                      <w:lang w:val="en-US" w:eastAsia="zh-CN"/>
                    </w:rPr>
                  </w:pPr>
                  <w:r>
                    <w:rPr>
                      <w:rFonts w:hint="eastAsia"/>
                      <w:color w:val="auto"/>
                      <w:sz w:val="21"/>
                      <w:szCs w:val="21"/>
                      <w:highlight w:val="none"/>
                      <w:lang w:eastAsia="zh-CN"/>
                    </w:rPr>
                    <w:t>个</w:t>
                  </w:r>
                  <w:r>
                    <w:rPr>
                      <w:rFonts w:hint="eastAsia"/>
                      <w:color w:val="auto"/>
                      <w:sz w:val="21"/>
                      <w:szCs w:val="21"/>
                      <w:highlight w:val="none"/>
                      <w:lang w:val="en-US" w:eastAsia="zh-CN"/>
                    </w:rPr>
                    <w:t>/年</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3B5766E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30000</w:t>
                  </w:r>
                </w:p>
              </w:tc>
              <w:tc>
                <w:tcPr>
                  <w:tcW w:w="1779" w:type="pct"/>
                  <w:tcBorders>
                    <w:top w:val="single" w:color="auto" w:sz="4" w:space="0"/>
                    <w:left w:val="single" w:color="auto" w:sz="4" w:space="0"/>
                    <w:bottom w:val="single" w:color="auto" w:sz="4" w:space="0"/>
                    <w:right w:val="single" w:color="auto" w:sz="4" w:space="0"/>
                  </w:tcBorders>
                  <w:vAlign w:val="center"/>
                </w:tcPr>
                <w:p w14:paraId="4CD48532">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r>
            <w:tr w14:paraId="20C71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62D884CD">
                  <w:pPr>
                    <w:jc w:val="center"/>
                    <w:rPr>
                      <w:rFonts w:hint="default" w:eastAsia="宋体"/>
                      <w:sz w:val="21"/>
                      <w:szCs w:val="21"/>
                      <w:highlight w:val="none"/>
                      <w:lang w:val="en-US" w:eastAsia="zh-CN"/>
                    </w:rPr>
                  </w:pPr>
                  <w:r>
                    <w:rPr>
                      <w:rFonts w:hint="eastAsia"/>
                      <w:sz w:val="21"/>
                      <w:szCs w:val="21"/>
                      <w:highlight w:val="none"/>
                      <w:lang w:val="en-US" w:eastAsia="zh-CN"/>
                    </w:rPr>
                    <w:t>5</w:t>
                  </w:r>
                </w:p>
              </w:tc>
              <w:tc>
                <w:tcPr>
                  <w:tcW w:w="951" w:type="pct"/>
                  <w:tcBorders>
                    <w:left w:val="single" w:color="auto" w:sz="4" w:space="0"/>
                    <w:right w:val="single" w:color="auto" w:sz="4" w:space="0"/>
                  </w:tcBorders>
                  <w:vAlign w:val="center"/>
                </w:tcPr>
                <w:p w14:paraId="2CEA3D67">
                  <w:pPr>
                    <w:jc w:val="center"/>
                    <w:rPr>
                      <w:rFonts w:hint="eastAsia" w:eastAsia="宋体"/>
                      <w:color w:val="auto"/>
                      <w:sz w:val="21"/>
                      <w:szCs w:val="21"/>
                      <w:highlight w:val="none"/>
                      <w:lang w:eastAsia="zh-CN"/>
                    </w:rPr>
                  </w:pPr>
                  <w:r>
                    <w:rPr>
                      <w:rFonts w:hint="eastAsia"/>
                      <w:color w:val="auto"/>
                      <w:sz w:val="21"/>
                      <w:szCs w:val="21"/>
                      <w:highlight w:val="none"/>
                      <w:lang w:eastAsia="zh-CN"/>
                    </w:rPr>
                    <w:t>高铬耐火砖</w:t>
                  </w:r>
                </w:p>
              </w:tc>
              <w:tc>
                <w:tcPr>
                  <w:tcW w:w="867" w:type="pct"/>
                  <w:tcBorders>
                    <w:top w:val="single" w:color="auto" w:sz="4" w:space="0"/>
                    <w:left w:val="single" w:color="auto" w:sz="4" w:space="0"/>
                    <w:bottom w:val="single" w:color="auto" w:sz="4" w:space="0"/>
                    <w:right w:val="single" w:color="auto" w:sz="4" w:space="0"/>
                  </w:tcBorders>
                  <w:vAlign w:val="center"/>
                </w:tcPr>
                <w:p w14:paraId="36A1CC3E">
                  <w:pPr>
                    <w:jc w:val="center"/>
                    <w:rPr>
                      <w:rFonts w:hint="eastAsia"/>
                      <w:color w:val="auto"/>
                      <w:sz w:val="21"/>
                      <w:szCs w:val="21"/>
                      <w:highlight w:val="none"/>
                    </w:rPr>
                  </w:pPr>
                  <w:r>
                    <w:rPr>
                      <w:color w:val="auto"/>
                      <w:sz w:val="21"/>
                      <w:szCs w:val="21"/>
                      <w:highlight w:val="none"/>
                    </w:rPr>
                    <w:t>t/a</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34497AD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1000</w:t>
                  </w:r>
                </w:p>
              </w:tc>
              <w:tc>
                <w:tcPr>
                  <w:tcW w:w="1779" w:type="pct"/>
                  <w:tcBorders>
                    <w:top w:val="single" w:color="auto" w:sz="4" w:space="0"/>
                    <w:left w:val="single" w:color="auto" w:sz="4" w:space="0"/>
                    <w:bottom w:val="single" w:color="auto" w:sz="4" w:space="0"/>
                    <w:right w:val="single" w:color="auto" w:sz="4" w:space="0"/>
                  </w:tcBorders>
                  <w:vAlign w:val="center"/>
                </w:tcPr>
                <w:p w14:paraId="20880472">
                  <w:pPr>
                    <w:jc w:val="center"/>
                    <w:rPr>
                      <w:rFonts w:hint="eastAsia" w:eastAsia="宋体"/>
                      <w:color w:val="auto"/>
                      <w:sz w:val="21"/>
                      <w:szCs w:val="21"/>
                      <w:highlight w:val="none"/>
                      <w:lang w:eastAsia="zh-CN"/>
                    </w:rPr>
                  </w:pPr>
                  <w:r>
                    <w:rPr>
                      <w:rFonts w:hint="eastAsia"/>
                      <w:color w:val="auto"/>
                      <w:sz w:val="21"/>
                      <w:szCs w:val="21"/>
                      <w:highlight w:val="none"/>
                      <w:lang w:eastAsia="zh-CN"/>
                    </w:rPr>
                    <w:t>块状</w:t>
                  </w:r>
                </w:p>
              </w:tc>
            </w:tr>
            <w:tr w14:paraId="022D5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13E41109">
                  <w:pPr>
                    <w:jc w:val="center"/>
                    <w:rPr>
                      <w:color w:val="auto"/>
                      <w:sz w:val="21"/>
                      <w:szCs w:val="21"/>
                    </w:rPr>
                  </w:pPr>
                  <w:r>
                    <w:rPr>
                      <w:color w:val="auto"/>
                      <w:sz w:val="21"/>
                      <w:szCs w:val="21"/>
                    </w:rPr>
                    <w:t>水、电消耗情况</w:t>
                  </w:r>
                </w:p>
              </w:tc>
            </w:tr>
            <w:tr w14:paraId="1DA17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6E3F3EA8">
                  <w:pPr>
                    <w:jc w:val="center"/>
                    <w:rPr>
                      <w:sz w:val="21"/>
                      <w:szCs w:val="21"/>
                    </w:rPr>
                  </w:pPr>
                  <w:r>
                    <w:rPr>
                      <w:sz w:val="21"/>
                      <w:szCs w:val="21"/>
                    </w:rPr>
                    <w:t>1</w:t>
                  </w:r>
                </w:p>
              </w:tc>
              <w:tc>
                <w:tcPr>
                  <w:tcW w:w="951" w:type="pct"/>
                  <w:tcBorders>
                    <w:top w:val="single" w:color="auto" w:sz="4" w:space="0"/>
                    <w:left w:val="single" w:color="auto" w:sz="4" w:space="0"/>
                    <w:bottom w:val="single" w:color="auto" w:sz="4" w:space="0"/>
                    <w:right w:val="single" w:color="auto" w:sz="4" w:space="0"/>
                  </w:tcBorders>
                  <w:vAlign w:val="center"/>
                </w:tcPr>
                <w:p w14:paraId="2A400194">
                  <w:pPr>
                    <w:jc w:val="center"/>
                    <w:rPr>
                      <w:color w:val="auto"/>
                      <w:sz w:val="21"/>
                      <w:szCs w:val="21"/>
                    </w:rPr>
                  </w:pPr>
                  <w:r>
                    <w:rPr>
                      <w:color w:val="auto"/>
                      <w:sz w:val="21"/>
                      <w:szCs w:val="21"/>
                    </w:rPr>
                    <w:t>水</w:t>
                  </w:r>
                </w:p>
              </w:tc>
              <w:tc>
                <w:tcPr>
                  <w:tcW w:w="867" w:type="pct"/>
                  <w:tcBorders>
                    <w:top w:val="single" w:color="auto" w:sz="4" w:space="0"/>
                    <w:left w:val="single" w:color="auto" w:sz="4" w:space="0"/>
                    <w:bottom w:val="single" w:color="auto" w:sz="4" w:space="0"/>
                    <w:right w:val="single" w:color="auto" w:sz="4" w:space="0"/>
                  </w:tcBorders>
                  <w:vAlign w:val="center"/>
                </w:tcPr>
                <w:p w14:paraId="66E028EA">
                  <w:pPr>
                    <w:jc w:val="center"/>
                    <w:rPr>
                      <w:color w:val="auto"/>
                      <w:sz w:val="21"/>
                      <w:szCs w:val="21"/>
                    </w:rPr>
                  </w:pPr>
                  <w:r>
                    <w:rPr>
                      <w:color w:val="auto"/>
                      <w:sz w:val="21"/>
                      <w:szCs w:val="21"/>
                    </w:rPr>
                    <w:t>m</w:t>
                  </w:r>
                  <w:r>
                    <w:rPr>
                      <w:color w:val="auto"/>
                      <w:sz w:val="21"/>
                      <w:szCs w:val="21"/>
                      <w:vertAlign w:val="superscript"/>
                    </w:rPr>
                    <w:t>3</w:t>
                  </w:r>
                  <w:r>
                    <w:rPr>
                      <w:color w:val="auto"/>
                      <w:sz w:val="21"/>
                      <w:szCs w:val="21"/>
                    </w:rPr>
                    <w:t>/a</w:t>
                  </w:r>
                </w:p>
              </w:tc>
              <w:tc>
                <w:tcPr>
                  <w:tcW w:w="963" w:type="pct"/>
                  <w:tcBorders>
                    <w:top w:val="single" w:color="auto" w:sz="4" w:space="0"/>
                    <w:left w:val="single" w:color="auto" w:sz="4" w:space="0"/>
                    <w:bottom w:val="single" w:color="auto" w:sz="4" w:space="0"/>
                    <w:right w:val="single" w:color="auto" w:sz="4" w:space="0"/>
                  </w:tcBorders>
                  <w:vAlign w:val="center"/>
                </w:tcPr>
                <w:p w14:paraId="2CC47D93">
                  <w:pPr>
                    <w:jc w:val="center"/>
                    <w:rPr>
                      <w:rFonts w:hint="default" w:eastAsia="宋体"/>
                      <w:color w:val="auto"/>
                      <w:sz w:val="21"/>
                      <w:szCs w:val="21"/>
                      <w:lang w:val="en-US" w:eastAsia="zh-CN"/>
                    </w:rPr>
                  </w:pPr>
                  <w:r>
                    <w:rPr>
                      <w:rFonts w:hint="eastAsia"/>
                      <w:color w:val="auto"/>
                      <w:sz w:val="21"/>
                      <w:szCs w:val="21"/>
                      <w:lang w:val="en-US" w:eastAsia="zh-CN"/>
                    </w:rPr>
                    <w:t>1342</w:t>
                  </w:r>
                </w:p>
              </w:tc>
              <w:tc>
                <w:tcPr>
                  <w:tcW w:w="1779" w:type="pct"/>
                  <w:tcBorders>
                    <w:top w:val="single" w:color="auto" w:sz="4" w:space="0"/>
                    <w:left w:val="single" w:color="auto" w:sz="4" w:space="0"/>
                    <w:bottom w:val="single" w:color="auto" w:sz="4" w:space="0"/>
                    <w:right w:val="single" w:color="auto" w:sz="4" w:space="0"/>
                  </w:tcBorders>
                  <w:vAlign w:val="center"/>
                </w:tcPr>
                <w:p w14:paraId="2E8583D3">
                  <w:pPr>
                    <w:jc w:val="center"/>
                    <w:rPr>
                      <w:color w:val="auto"/>
                      <w:sz w:val="21"/>
                      <w:szCs w:val="21"/>
                    </w:rPr>
                  </w:pPr>
                  <w:r>
                    <w:rPr>
                      <w:rFonts w:hint="eastAsia"/>
                      <w:color w:val="auto"/>
                      <w:sz w:val="21"/>
                      <w:szCs w:val="21"/>
                    </w:rPr>
                    <w:t>市政管网</w:t>
                  </w:r>
                </w:p>
              </w:tc>
            </w:tr>
            <w:tr w14:paraId="55BBC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pct"/>
                  <w:tcBorders>
                    <w:top w:val="single" w:color="auto" w:sz="4" w:space="0"/>
                    <w:left w:val="single" w:color="auto" w:sz="4" w:space="0"/>
                    <w:bottom w:val="single" w:color="auto" w:sz="4" w:space="0"/>
                    <w:right w:val="single" w:color="auto" w:sz="4" w:space="0"/>
                  </w:tcBorders>
                  <w:vAlign w:val="center"/>
                </w:tcPr>
                <w:p w14:paraId="0790CEB2">
                  <w:pPr>
                    <w:jc w:val="center"/>
                    <w:rPr>
                      <w:sz w:val="21"/>
                      <w:szCs w:val="21"/>
                    </w:rPr>
                  </w:pPr>
                  <w:r>
                    <w:rPr>
                      <w:sz w:val="21"/>
                      <w:szCs w:val="21"/>
                    </w:rPr>
                    <w:t>2</w:t>
                  </w:r>
                </w:p>
              </w:tc>
              <w:tc>
                <w:tcPr>
                  <w:tcW w:w="951" w:type="pct"/>
                  <w:tcBorders>
                    <w:top w:val="single" w:color="auto" w:sz="4" w:space="0"/>
                    <w:left w:val="single" w:color="auto" w:sz="4" w:space="0"/>
                    <w:bottom w:val="single" w:color="auto" w:sz="4" w:space="0"/>
                    <w:right w:val="single" w:color="auto" w:sz="4" w:space="0"/>
                  </w:tcBorders>
                  <w:vAlign w:val="center"/>
                </w:tcPr>
                <w:p w14:paraId="396DD8D4">
                  <w:pPr>
                    <w:jc w:val="center"/>
                    <w:rPr>
                      <w:sz w:val="21"/>
                      <w:szCs w:val="21"/>
                    </w:rPr>
                  </w:pPr>
                  <w:r>
                    <w:rPr>
                      <w:sz w:val="21"/>
                      <w:szCs w:val="21"/>
                    </w:rPr>
                    <w:t>电</w:t>
                  </w:r>
                </w:p>
              </w:tc>
              <w:tc>
                <w:tcPr>
                  <w:tcW w:w="867" w:type="pct"/>
                  <w:tcBorders>
                    <w:top w:val="single" w:color="auto" w:sz="4" w:space="0"/>
                    <w:left w:val="single" w:color="auto" w:sz="4" w:space="0"/>
                    <w:bottom w:val="single" w:color="auto" w:sz="4" w:space="0"/>
                    <w:right w:val="single" w:color="auto" w:sz="4" w:space="0"/>
                  </w:tcBorders>
                  <w:vAlign w:val="center"/>
                </w:tcPr>
                <w:p w14:paraId="03B13C28">
                  <w:pPr>
                    <w:jc w:val="center"/>
                    <w:rPr>
                      <w:sz w:val="21"/>
                      <w:szCs w:val="21"/>
                    </w:rPr>
                  </w:pPr>
                  <w:r>
                    <w:rPr>
                      <w:rFonts w:hint="eastAsia"/>
                      <w:sz w:val="21"/>
                      <w:szCs w:val="21"/>
                      <w:lang w:eastAsia="zh-CN"/>
                    </w:rPr>
                    <w:t>万</w:t>
                  </w:r>
                  <w:r>
                    <w:rPr>
                      <w:sz w:val="21"/>
                      <w:szCs w:val="21"/>
                    </w:rPr>
                    <w:t>kwh/a</w:t>
                  </w:r>
                </w:p>
              </w:tc>
              <w:tc>
                <w:tcPr>
                  <w:tcW w:w="963" w:type="pct"/>
                  <w:tcBorders>
                    <w:top w:val="single" w:color="auto" w:sz="4" w:space="0"/>
                    <w:left w:val="single" w:color="auto" w:sz="4" w:space="0"/>
                    <w:bottom w:val="single" w:color="auto" w:sz="4" w:space="0"/>
                    <w:right w:val="single" w:color="auto" w:sz="4" w:space="0"/>
                  </w:tcBorders>
                  <w:vAlign w:val="center"/>
                </w:tcPr>
                <w:p w14:paraId="66CCC59A">
                  <w:pPr>
                    <w:jc w:val="center"/>
                    <w:rPr>
                      <w:rFonts w:hint="default" w:eastAsia="宋体"/>
                      <w:sz w:val="21"/>
                      <w:szCs w:val="21"/>
                      <w:lang w:val="en-US" w:eastAsia="zh-CN"/>
                    </w:rPr>
                  </w:pPr>
                  <w:r>
                    <w:rPr>
                      <w:rFonts w:hint="eastAsia"/>
                      <w:sz w:val="21"/>
                      <w:szCs w:val="21"/>
                      <w:lang w:val="en-US" w:eastAsia="zh-CN"/>
                    </w:rPr>
                    <w:t>50</w:t>
                  </w:r>
                </w:p>
              </w:tc>
              <w:tc>
                <w:tcPr>
                  <w:tcW w:w="1779" w:type="pct"/>
                  <w:tcBorders>
                    <w:top w:val="single" w:color="auto" w:sz="4" w:space="0"/>
                    <w:left w:val="single" w:color="auto" w:sz="4" w:space="0"/>
                    <w:bottom w:val="single" w:color="auto" w:sz="4" w:space="0"/>
                    <w:right w:val="single" w:color="auto" w:sz="4" w:space="0"/>
                  </w:tcBorders>
                  <w:vAlign w:val="center"/>
                </w:tcPr>
                <w:p w14:paraId="5930D294">
                  <w:pPr>
                    <w:jc w:val="center"/>
                    <w:rPr>
                      <w:sz w:val="21"/>
                      <w:szCs w:val="21"/>
                    </w:rPr>
                  </w:pPr>
                  <w:r>
                    <w:rPr>
                      <w:rFonts w:hint="eastAsia"/>
                      <w:sz w:val="21"/>
                      <w:szCs w:val="21"/>
                    </w:rPr>
                    <w:t>萌水镇供电所</w:t>
                  </w:r>
                </w:p>
              </w:tc>
            </w:tr>
          </w:tbl>
          <w:p w14:paraId="1C63A4A5">
            <w:pPr>
              <w:snapToGrid w:val="0"/>
              <w:spacing w:line="360" w:lineRule="auto"/>
              <w:ind w:firstLine="422" w:firstLineChars="200"/>
              <w:rPr>
                <w:b/>
                <w:sz w:val="21"/>
                <w:szCs w:val="21"/>
              </w:rPr>
            </w:pPr>
            <w:r>
              <w:rPr>
                <w:rFonts w:hint="eastAsia"/>
                <w:b/>
                <w:sz w:val="21"/>
                <w:szCs w:val="21"/>
              </w:rPr>
              <w:t>四、</w:t>
            </w:r>
            <w:r>
              <w:rPr>
                <w:b/>
                <w:sz w:val="21"/>
                <w:szCs w:val="21"/>
              </w:rPr>
              <w:t>项目主要产品</w:t>
            </w:r>
          </w:p>
          <w:p w14:paraId="4BAF8330">
            <w:pPr>
              <w:pStyle w:val="34"/>
              <w:spacing w:after="0"/>
              <w:ind w:left="0" w:leftChars="0" w:firstLine="480"/>
              <w:rPr>
                <w:b/>
                <w:sz w:val="21"/>
                <w:szCs w:val="21"/>
              </w:rPr>
            </w:pPr>
            <w:r>
              <w:rPr>
                <w:sz w:val="21"/>
                <w:szCs w:val="21"/>
              </w:rPr>
              <w:t>本项目主要产品详见表</w:t>
            </w:r>
            <w:r>
              <w:rPr>
                <w:rFonts w:hint="eastAsia"/>
                <w:sz w:val="21"/>
                <w:szCs w:val="21"/>
                <w:lang w:val="en-US" w:eastAsia="zh-CN"/>
              </w:rPr>
              <w:t>2-5</w:t>
            </w:r>
            <w:r>
              <w:rPr>
                <w:sz w:val="21"/>
                <w:szCs w:val="21"/>
              </w:rPr>
              <w:t>。</w:t>
            </w:r>
          </w:p>
          <w:p w14:paraId="61C26065">
            <w:pPr>
              <w:pStyle w:val="34"/>
              <w:spacing w:after="0"/>
              <w:ind w:left="0" w:leftChars="0" w:firstLine="482"/>
              <w:jc w:val="center"/>
              <w:rPr>
                <w:b/>
                <w:bCs/>
                <w:sz w:val="21"/>
                <w:szCs w:val="21"/>
              </w:rPr>
            </w:pPr>
            <w:r>
              <w:rPr>
                <w:b/>
                <w:bCs/>
                <w:sz w:val="21"/>
                <w:szCs w:val="21"/>
              </w:rPr>
              <w:t>表</w:t>
            </w:r>
            <w:r>
              <w:rPr>
                <w:rFonts w:hint="eastAsia"/>
                <w:b/>
                <w:bCs/>
                <w:sz w:val="21"/>
                <w:szCs w:val="21"/>
                <w:lang w:val="en-US" w:eastAsia="zh-CN"/>
              </w:rPr>
              <w:t>2-5</w:t>
            </w:r>
            <w:r>
              <w:rPr>
                <w:b/>
                <w:bCs/>
                <w:sz w:val="21"/>
                <w:szCs w:val="21"/>
              </w:rPr>
              <w:t>主要产品一览表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
              <w:gridCol w:w="862"/>
              <w:gridCol w:w="1550"/>
              <w:gridCol w:w="5042"/>
            </w:tblGrid>
            <w:tr w14:paraId="4D1ED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vAlign w:val="center"/>
                </w:tcPr>
                <w:p w14:paraId="2D083BF2">
                  <w:pPr>
                    <w:jc w:val="center"/>
                    <w:rPr>
                      <w:sz w:val="21"/>
                      <w:szCs w:val="21"/>
                    </w:rPr>
                  </w:pPr>
                  <w:r>
                    <w:rPr>
                      <w:sz w:val="21"/>
                      <w:szCs w:val="21"/>
                    </w:rPr>
                    <w:t>主要产品</w:t>
                  </w:r>
                </w:p>
              </w:tc>
              <w:tc>
                <w:tcPr>
                  <w:tcW w:w="932" w:type="pct"/>
                  <w:vAlign w:val="center"/>
                </w:tcPr>
                <w:p w14:paraId="75FA6DD8">
                  <w:pPr>
                    <w:jc w:val="center"/>
                    <w:rPr>
                      <w:sz w:val="21"/>
                      <w:szCs w:val="21"/>
                    </w:rPr>
                  </w:pPr>
                  <w:r>
                    <w:rPr>
                      <w:sz w:val="21"/>
                      <w:szCs w:val="21"/>
                    </w:rPr>
                    <w:t>年生产量</w:t>
                  </w:r>
                  <w:r>
                    <w:rPr>
                      <w:rFonts w:hint="eastAsia"/>
                      <w:sz w:val="21"/>
                      <w:szCs w:val="21"/>
                    </w:rPr>
                    <w:t>（t/a）</w:t>
                  </w:r>
                </w:p>
              </w:tc>
              <w:tc>
                <w:tcPr>
                  <w:tcW w:w="3031" w:type="pct"/>
                  <w:vAlign w:val="center"/>
                </w:tcPr>
                <w:p w14:paraId="50AFD756">
                  <w:pPr>
                    <w:jc w:val="center"/>
                    <w:rPr>
                      <w:sz w:val="21"/>
                      <w:szCs w:val="21"/>
                    </w:rPr>
                  </w:pPr>
                  <w:r>
                    <w:rPr>
                      <w:rFonts w:hint="eastAsia"/>
                      <w:sz w:val="21"/>
                      <w:szCs w:val="21"/>
                    </w:rPr>
                    <w:t>备注</w:t>
                  </w:r>
                </w:p>
              </w:tc>
            </w:tr>
            <w:tr w14:paraId="0112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7" w:type="pct"/>
                  <w:vMerge w:val="restart"/>
                  <w:shd w:val="clear" w:color="auto" w:fill="auto"/>
                  <w:vAlign w:val="center"/>
                </w:tcPr>
                <w:p w14:paraId="12163F3C">
                  <w:pPr>
                    <w:autoSpaceDN w:val="0"/>
                    <w:adjustRightInd w:val="0"/>
                    <w:snapToGrid w:val="0"/>
                    <w:jc w:val="center"/>
                    <w:textAlignment w:val="center"/>
                    <w:rPr>
                      <w:rFonts w:hint="eastAsia" w:ascii="Times New Roman" w:hAnsi="Times New Roman" w:eastAsia="宋体"/>
                      <w:bCs/>
                      <w:color w:val="auto"/>
                      <w:sz w:val="21"/>
                      <w:szCs w:val="21"/>
                      <w:lang w:eastAsia="zh-CN"/>
                    </w:rPr>
                  </w:pPr>
                  <w:r>
                    <w:rPr>
                      <w:rFonts w:hint="eastAsia"/>
                      <w:bCs/>
                      <w:color w:val="auto"/>
                      <w:sz w:val="21"/>
                      <w:szCs w:val="21"/>
                      <w:lang w:eastAsia="zh-CN"/>
                    </w:rPr>
                    <w:t>超硬复合新材料</w:t>
                  </w:r>
                </w:p>
              </w:tc>
              <w:tc>
                <w:tcPr>
                  <w:tcW w:w="518" w:type="pct"/>
                  <w:shd w:val="clear" w:color="auto" w:fill="auto"/>
                  <w:vAlign w:val="center"/>
                </w:tcPr>
                <w:p w14:paraId="3E8D1D12">
                  <w:pPr>
                    <w:autoSpaceDN w:val="0"/>
                    <w:adjustRightInd w:val="0"/>
                    <w:snapToGrid w:val="0"/>
                    <w:jc w:val="center"/>
                    <w:textAlignment w:val="center"/>
                    <w:rPr>
                      <w:rFonts w:hint="eastAsia"/>
                      <w:bCs/>
                      <w:color w:val="auto"/>
                      <w:sz w:val="21"/>
                      <w:szCs w:val="21"/>
                      <w:lang w:eastAsia="zh-CN"/>
                    </w:rPr>
                  </w:pPr>
                  <w:r>
                    <w:rPr>
                      <w:rFonts w:hint="eastAsia"/>
                      <w:bCs/>
                      <w:color w:val="auto"/>
                      <w:sz w:val="21"/>
                      <w:szCs w:val="21"/>
                      <w:lang w:eastAsia="zh-CN"/>
                    </w:rPr>
                    <w:t>白刚玉</w:t>
                  </w:r>
                </w:p>
              </w:tc>
              <w:tc>
                <w:tcPr>
                  <w:tcW w:w="932" w:type="pct"/>
                  <w:shd w:val="clear" w:color="auto" w:fill="auto"/>
                  <w:vAlign w:val="center"/>
                </w:tcPr>
                <w:p w14:paraId="3300D85F">
                  <w:pPr>
                    <w:autoSpaceDN w:val="0"/>
                    <w:adjustRightInd w:val="0"/>
                    <w:snapToGrid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15000</w:t>
                  </w:r>
                </w:p>
              </w:tc>
              <w:tc>
                <w:tcPr>
                  <w:tcW w:w="3031" w:type="pct"/>
                  <w:vAlign w:val="center"/>
                </w:tcPr>
                <w:p w14:paraId="77BDA1FE">
                  <w:pPr>
                    <w:autoSpaceDN w:val="0"/>
                    <w:adjustRightInd w:val="0"/>
                    <w:snapToGrid w:val="0"/>
                    <w:jc w:val="center"/>
                    <w:textAlignment w:val="center"/>
                    <w:rPr>
                      <w:rFonts w:hint="default"/>
                      <w:color w:val="auto"/>
                      <w:sz w:val="21"/>
                      <w:szCs w:val="21"/>
                      <w:lang w:val="en-US" w:eastAsia="zh-CN"/>
                    </w:rPr>
                  </w:pPr>
                  <w:r>
                    <w:rPr>
                      <w:rFonts w:hint="eastAsia"/>
                      <w:color w:val="auto"/>
                      <w:sz w:val="21"/>
                      <w:szCs w:val="21"/>
                      <w:lang w:val="en-US" w:eastAsia="zh-CN"/>
                    </w:rPr>
                    <w:t>白刚玉粉末、颗粒，25kg/袋，吨包</w:t>
                  </w:r>
                </w:p>
              </w:tc>
            </w:tr>
            <w:tr w14:paraId="73B8D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7" w:type="pct"/>
                  <w:vMerge w:val="continue"/>
                  <w:shd w:val="clear" w:color="auto" w:fill="auto"/>
                  <w:vAlign w:val="center"/>
                </w:tcPr>
                <w:p w14:paraId="4B82CC6A">
                  <w:pPr>
                    <w:autoSpaceDN w:val="0"/>
                    <w:adjustRightInd w:val="0"/>
                    <w:snapToGrid w:val="0"/>
                    <w:jc w:val="center"/>
                    <w:textAlignment w:val="center"/>
                    <w:rPr>
                      <w:rFonts w:hint="eastAsia"/>
                      <w:bCs/>
                      <w:color w:val="auto"/>
                      <w:sz w:val="21"/>
                      <w:szCs w:val="21"/>
                      <w:lang w:eastAsia="zh-CN"/>
                    </w:rPr>
                  </w:pPr>
                </w:p>
              </w:tc>
              <w:tc>
                <w:tcPr>
                  <w:tcW w:w="518" w:type="pct"/>
                  <w:shd w:val="clear" w:color="auto" w:fill="auto"/>
                  <w:vAlign w:val="center"/>
                </w:tcPr>
                <w:p w14:paraId="1CFF0B4B">
                  <w:pPr>
                    <w:autoSpaceDN w:val="0"/>
                    <w:adjustRightInd w:val="0"/>
                    <w:snapToGrid w:val="0"/>
                    <w:jc w:val="center"/>
                    <w:textAlignment w:val="center"/>
                    <w:rPr>
                      <w:rFonts w:hint="eastAsia"/>
                      <w:bCs/>
                      <w:color w:val="auto"/>
                      <w:sz w:val="21"/>
                      <w:szCs w:val="21"/>
                      <w:lang w:eastAsia="zh-CN"/>
                    </w:rPr>
                  </w:pPr>
                  <w:r>
                    <w:rPr>
                      <w:rFonts w:hint="eastAsia"/>
                      <w:bCs/>
                      <w:color w:val="auto"/>
                      <w:sz w:val="21"/>
                      <w:szCs w:val="21"/>
                      <w:lang w:eastAsia="zh-CN"/>
                    </w:rPr>
                    <w:t>棕刚玉</w:t>
                  </w:r>
                </w:p>
              </w:tc>
              <w:tc>
                <w:tcPr>
                  <w:tcW w:w="932" w:type="pct"/>
                  <w:shd w:val="clear" w:color="auto" w:fill="auto"/>
                  <w:vAlign w:val="center"/>
                </w:tcPr>
                <w:p w14:paraId="45C81262">
                  <w:pPr>
                    <w:autoSpaceDN w:val="0"/>
                    <w:adjustRightInd w:val="0"/>
                    <w:snapToGrid w:val="0"/>
                    <w:jc w:val="center"/>
                    <w:textAlignment w:val="center"/>
                    <w:rPr>
                      <w:rFonts w:hint="default"/>
                      <w:color w:val="auto"/>
                      <w:sz w:val="21"/>
                      <w:szCs w:val="21"/>
                      <w:lang w:val="en-US" w:eastAsia="zh-CN"/>
                    </w:rPr>
                  </w:pPr>
                  <w:r>
                    <w:rPr>
                      <w:rFonts w:hint="eastAsia"/>
                      <w:color w:val="auto"/>
                      <w:sz w:val="21"/>
                      <w:szCs w:val="21"/>
                      <w:lang w:val="en-US" w:eastAsia="zh-CN"/>
                    </w:rPr>
                    <w:t>3000</w:t>
                  </w:r>
                </w:p>
              </w:tc>
              <w:tc>
                <w:tcPr>
                  <w:tcW w:w="3031" w:type="pct"/>
                  <w:vAlign w:val="center"/>
                </w:tcPr>
                <w:p w14:paraId="73CE7EE5">
                  <w:pPr>
                    <w:autoSpaceDN w:val="0"/>
                    <w:adjustRightInd w:val="0"/>
                    <w:snapToGrid w:val="0"/>
                    <w:jc w:val="center"/>
                    <w:textAlignment w:val="center"/>
                    <w:rPr>
                      <w:rFonts w:hint="eastAsia"/>
                      <w:color w:val="auto"/>
                      <w:sz w:val="21"/>
                      <w:szCs w:val="21"/>
                      <w:lang w:val="en-US" w:eastAsia="zh-CN"/>
                    </w:rPr>
                  </w:pPr>
                  <w:r>
                    <w:rPr>
                      <w:rFonts w:hint="eastAsia"/>
                      <w:color w:val="auto"/>
                      <w:sz w:val="21"/>
                      <w:szCs w:val="21"/>
                      <w:lang w:val="en-US" w:eastAsia="zh-CN"/>
                    </w:rPr>
                    <w:t>棕刚玉粉末、颗粒，25kg/袋，吨包</w:t>
                  </w:r>
                </w:p>
              </w:tc>
            </w:tr>
            <w:tr w14:paraId="3F4D1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7" w:type="pct"/>
                  <w:vMerge w:val="continue"/>
                  <w:shd w:val="clear" w:color="auto" w:fill="auto"/>
                  <w:vAlign w:val="center"/>
                </w:tcPr>
                <w:p w14:paraId="4C51CFB7">
                  <w:pPr>
                    <w:autoSpaceDN w:val="0"/>
                    <w:adjustRightInd w:val="0"/>
                    <w:snapToGrid w:val="0"/>
                    <w:jc w:val="center"/>
                    <w:textAlignment w:val="center"/>
                    <w:rPr>
                      <w:rFonts w:hint="eastAsia"/>
                      <w:bCs/>
                      <w:color w:val="auto"/>
                      <w:sz w:val="21"/>
                      <w:szCs w:val="21"/>
                      <w:lang w:eastAsia="zh-CN"/>
                    </w:rPr>
                  </w:pPr>
                </w:p>
              </w:tc>
              <w:tc>
                <w:tcPr>
                  <w:tcW w:w="518" w:type="pct"/>
                  <w:shd w:val="clear" w:color="auto" w:fill="auto"/>
                  <w:vAlign w:val="center"/>
                </w:tcPr>
                <w:p w14:paraId="1C1C39C5">
                  <w:pPr>
                    <w:autoSpaceDN w:val="0"/>
                    <w:adjustRightInd w:val="0"/>
                    <w:snapToGrid w:val="0"/>
                    <w:jc w:val="center"/>
                    <w:textAlignment w:val="center"/>
                    <w:rPr>
                      <w:rFonts w:hint="eastAsia"/>
                      <w:bCs/>
                      <w:color w:val="auto"/>
                      <w:sz w:val="21"/>
                      <w:szCs w:val="21"/>
                      <w:lang w:eastAsia="zh-CN"/>
                    </w:rPr>
                  </w:pPr>
                  <w:r>
                    <w:rPr>
                      <w:rFonts w:hint="eastAsia"/>
                      <w:bCs/>
                      <w:color w:val="auto"/>
                      <w:sz w:val="21"/>
                      <w:szCs w:val="21"/>
                      <w:lang w:eastAsia="zh-CN"/>
                    </w:rPr>
                    <w:t>铬刚玉</w:t>
                  </w:r>
                </w:p>
              </w:tc>
              <w:tc>
                <w:tcPr>
                  <w:tcW w:w="932" w:type="pct"/>
                  <w:shd w:val="clear" w:color="auto" w:fill="auto"/>
                  <w:vAlign w:val="center"/>
                </w:tcPr>
                <w:p w14:paraId="624C7E32">
                  <w:pPr>
                    <w:autoSpaceDN w:val="0"/>
                    <w:adjustRightInd w:val="0"/>
                    <w:snapToGrid w:val="0"/>
                    <w:jc w:val="center"/>
                    <w:textAlignment w:val="center"/>
                    <w:rPr>
                      <w:rFonts w:hint="default"/>
                      <w:color w:val="auto"/>
                      <w:sz w:val="21"/>
                      <w:szCs w:val="21"/>
                      <w:lang w:val="en-US" w:eastAsia="zh-CN"/>
                    </w:rPr>
                  </w:pPr>
                  <w:r>
                    <w:rPr>
                      <w:rFonts w:hint="eastAsia"/>
                      <w:color w:val="auto"/>
                      <w:sz w:val="21"/>
                      <w:szCs w:val="21"/>
                      <w:lang w:val="en-US" w:eastAsia="zh-CN"/>
                    </w:rPr>
                    <w:t>2000</w:t>
                  </w:r>
                </w:p>
              </w:tc>
              <w:tc>
                <w:tcPr>
                  <w:tcW w:w="3031" w:type="pct"/>
                  <w:vAlign w:val="center"/>
                </w:tcPr>
                <w:p w14:paraId="56691495">
                  <w:pPr>
                    <w:autoSpaceDN w:val="0"/>
                    <w:adjustRightInd w:val="0"/>
                    <w:snapToGrid w:val="0"/>
                    <w:jc w:val="center"/>
                    <w:textAlignment w:val="center"/>
                    <w:rPr>
                      <w:rFonts w:hint="eastAsia"/>
                      <w:color w:val="auto"/>
                      <w:sz w:val="21"/>
                      <w:szCs w:val="21"/>
                      <w:lang w:val="en-US" w:eastAsia="zh-CN"/>
                    </w:rPr>
                  </w:pPr>
                  <w:r>
                    <w:rPr>
                      <w:rFonts w:hint="eastAsia"/>
                      <w:color w:val="auto"/>
                      <w:sz w:val="21"/>
                      <w:szCs w:val="21"/>
                      <w:lang w:val="en-US" w:eastAsia="zh-CN"/>
                    </w:rPr>
                    <w:t>铬刚玉粉末、颗粒，25kg/袋，吨包</w:t>
                  </w:r>
                </w:p>
              </w:tc>
            </w:tr>
          </w:tbl>
          <w:p w14:paraId="07220D0D">
            <w:pPr>
              <w:snapToGrid w:val="0"/>
              <w:spacing w:line="360" w:lineRule="auto"/>
              <w:ind w:firstLine="422" w:firstLineChars="200"/>
              <w:rPr>
                <w:b/>
                <w:color w:val="auto"/>
                <w:sz w:val="21"/>
                <w:szCs w:val="21"/>
                <w:highlight w:val="none"/>
              </w:rPr>
            </w:pPr>
            <w:r>
              <w:rPr>
                <w:rFonts w:hint="eastAsia"/>
                <w:b/>
                <w:color w:val="auto"/>
                <w:sz w:val="21"/>
                <w:szCs w:val="21"/>
                <w:highlight w:val="none"/>
              </w:rPr>
              <w:t>五</w:t>
            </w:r>
            <w:r>
              <w:rPr>
                <w:b/>
                <w:color w:val="auto"/>
                <w:sz w:val="21"/>
                <w:szCs w:val="21"/>
                <w:highlight w:val="none"/>
              </w:rPr>
              <w:t>、</w:t>
            </w:r>
            <w:r>
              <w:rPr>
                <w:rFonts w:hint="eastAsia"/>
                <w:b/>
                <w:color w:val="auto"/>
                <w:sz w:val="21"/>
                <w:szCs w:val="21"/>
                <w:highlight w:val="none"/>
              </w:rPr>
              <w:t>项目</w:t>
            </w:r>
            <w:r>
              <w:rPr>
                <w:b/>
                <w:color w:val="auto"/>
                <w:sz w:val="21"/>
                <w:szCs w:val="21"/>
                <w:highlight w:val="none"/>
              </w:rPr>
              <w:t>厂区平面布置</w:t>
            </w:r>
          </w:p>
          <w:p w14:paraId="3ACD9169">
            <w:p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本项目的建设地点位于</w:t>
            </w:r>
            <w:r>
              <w:rPr>
                <w:rFonts w:hint="eastAsia" w:cs="Times New Roman"/>
                <w:color w:val="auto"/>
                <w:sz w:val="21"/>
                <w:szCs w:val="21"/>
                <w:highlight w:val="none"/>
                <w:lang w:eastAsia="zh-CN"/>
              </w:rPr>
              <w:t>山东省淄博市文昌湖区萌水镇龙口村村委北150米</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租赁</w:t>
            </w:r>
            <w:r>
              <w:rPr>
                <w:rFonts w:hint="default" w:ascii="Times New Roman" w:hAnsi="Times New Roman" w:eastAsia="宋体" w:cs="Times New Roman"/>
                <w:color w:val="auto"/>
                <w:sz w:val="21"/>
                <w:szCs w:val="21"/>
                <w:highlight w:val="none"/>
              </w:rPr>
              <w:t>现有厂房进行生产。</w:t>
            </w:r>
            <w:r>
              <w:rPr>
                <w:rFonts w:hint="default" w:ascii="Times New Roman" w:hAnsi="Times New Roman" w:cs="Times New Roman"/>
                <w:color w:val="auto"/>
                <w:sz w:val="21"/>
                <w:szCs w:val="21"/>
                <w:highlight w:val="none"/>
                <w:lang w:eastAsia="zh-CN"/>
              </w:rPr>
              <w:t>项目</w:t>
            </w:r>
            <w:r>
              <w:rPr>
                <w:rFonts w:hint="eastAsia" w:cs="Times New Roman"/>
                <w:color w:val="auto"/>
                <w:sz w:val="21"/>
                <w:szCs w:val="21"/>
                <w:highlight w:val="none"/>
                <w:lang w:eastAsia="zh-CN"/>
              </w:rPr>
              <w:t>大门位于厂区东侧，厂区内部布置由西向东、由北向南依次为</w:t>
            </w:r>
            <w:r>
              <w:rPr>
                <w:rFonts w:hint="eastAsia" w:cs="Times New Roman"/>
                <w:color w:val="auto"/>
                <w:sz w:val="21"/>
                <w:szCs w:val="21"/>
                <w:highlight w:val="none"/>
                <w:lang w:val="en-US" w:eastAsia="zh-CN"/>
              </w:rPr>
              <w:t>一车间、二车间、三车间、仓库、办公楼、四车间、2#清洗车间，1#清洗车间位于仓库内部南侧，</w:t>
            </w:r>
            <w:r>
              <w:rPr>
                <w:rFonts w:hint="default" w:ascii="Times New Roman" w:hAnsi="Times New Roman" w:eastAsia="宋体" w:cs="Times New Roman"/>
                <w:color w:val="auto"/>
                <w:sz w:val="21"/>
                <w:szCs w:val="21"/>
                <w:highlight w:val="none"/>
              </w:rPr>
              <w:t>厂区</w:t>
            </w:r>
            <w:r>
              <w:rPr>
                <w:rFonts w:hint="eastAsia" w:cs="Times New Roman"/>
                <w:color w:val="auto"/>
                <w:sz w:val="21"/>
                <w:szCs w:val="21"/>
                <w:highlight w:val="none"/>
                <w:lang w:eastAsia="zh-CN"/>
              </w:rPr>
              <w:t>东</w:t>
            </w:r>
            <w:r>
              <w:rPr>
                <w:rFonts w:hint="default" w:ascii="Times New Roman" w:hAnsi="Times New Roman" w:eastAsia="宋体" w:cs="Times New Roman"/>
                <w:color w:val="auto"/>
                <w:sz w:val="21"/>
                <w:szCs w:val="21"/>
                <w:highlight w:val="none"/>
              </w:rPr>
              <w:t>侧邻近道路，顺延了物料走向，交通方便，便于物料的输送、生产。本项目平面布置</w:t>
            </w:r>
            <w:r>
              <w:rPr>
                <w:rFonts w:hint="default" w:ascii="Times New Roman" w:hAnsi="Times New Roman" w:cs="Times New Roman"/>
                <w:color w:val="auto"/>
                <w:sz w:val="21"/>
                <w:szCs w:val="21"/>
                <w:highlight w:val="none"/>
              </w:rPr>
              <w:t>详细情况见附图3。</w:t>
            </w:r>
          </w:p>
          <w:p w14:paraId="2500AB04">
            <w:pPr>
              <w:spacing w:line="360" w:lineRule="auto"/>
              <w:ind w:firstLine="420" w:firstLineChars="200"/>
              <w:rPr>
                <w:rFonts w:hint="default" w:ascii="Times New Roman" w:hAnsi="Times New Roman" w:cs="Times New Roman"/>
                <w:b/>
                <w:sz w:val="21"/>
                <w:szCs w:val="21"/>
              </w:rPr>
            </w:pPr>
            <w:r>
              <w:rPr>
                <w:rFonts w:hint="default" w:ascii="Times New Roman" w:hAnsi="Times New Roman" w:cs="Times New Roman"/>
                <w:sz w:val="21"/>
                <w:szCs w:val="21"/>
              </w:rPr>
              <w:t>综上所述，本工程总平面布置从环保角度讲是合理的。</w:t>
            </w:r>
          </w:p>
          <w:p w14:paraId="05B1FE43">
            <w:pPr>
              <w:snapToGrid w:val="0"/>
              <w:spacing w:line="360" w:lineRule="auto"/>
              <w:ind w:firstLine="422" w:firstLineChars="200"/>
              <w:rPr>
                <w:b/>
                <w:bCs w:val="0"/>
                <w:color w:val="auto"/>
                <w:sz w:val="21"/>
                <w:szCs w:val="21"/>
              </w:rPr>
            </w:pPr>
            <w:r>
              <w:rPr>
                <w:rFonts w:hint="eastAsia"/>
                <w:b/>
                <w:bCs w:val="0"/>
                <w:color w:val="auto"/>
                <w:sz w:val="21"/>
                <w:szCs w:val="21"/>
              </w:rPr>
              <w:t>六、</w:t>
            </w:r>
            <w:r>
              <w:rPr>
                <w:b/>
                <w:bCs w:val="0"/>
                <w:color w:val="auto"/>
                <w:sz w:val="21"/>
                <w:szCs w:val="21"/>
              </w:rPr>
              <w:t>公用工程</w:t>
            </w:r>
          </w:p>
          <w:p w14:paraId="08898ACD">
            <w:pPr>
              <w:snapToGrid w:val="0"/>
              <w:spacing w:line="360" w:lineRule="auto"/>
              <w:ind w:firstLine="413" w:firstLineChars="196"/>
              <w:outlineLvl w:val="3"/>
              <w:rPr>
                <w:rFonts w:eastAsia="宋体"/>
                <w:b/>
                <w:bCs w:val="0"/>
                <w:color w:val="auto"/>
                <w:sz w:val="21"/>
                <w:szCs w:val="21"/>
                <w:highlight w:val="none"/>
              </w:rPr>
            </w:pPr>
            <w:r>
              <w:rPr>
                <w:rFonts w:eastAsia="宋体"/>
                <w:b/>
                <w:bCs w:val="0"/>
                <w:color w:val="auto"/>
                <w:sz w:val="21"/>
                <w:szCs w:val="21"/>
                <w:highlight w:val="none"/>
              </w:rPr>
              <w:t>1、给排水</w:t>
            </w:r>
          </w:p>
          <w:p w14:paraId="7943800F">
            <w:pPr>
              <w:pStyle w:val="34"/>
              <w:keepNext w:val="0"/>
              <w:keepLines w:val="0"/>
              <w:pageBreakBefore w:val="0"/>
              <w:widowControl w:val="0"/>
              <w:kinsoku/>
              <w:wordWrap/>
              <w:overflowPunct/>
              <w:topLinePunct w:val="0"/>
              <w:autoSpaceDE/>
              <w:autoSpaceDN/>
              <w:bidi w:val="0"/>
              <w:adjustRightInd/>
              <w:snapToGrid/>
              <w:spacing w:after="0" w:line="360" w:lineRule="auto"/>
              <w:ind w:left="0" w:leftChars="0" w:firstLine="480"/>
              <w:textAlignment w:val="auto"/>
              <w:rPr>
                <w:color w:val="auto"/>
                <w:kern w:val="24"/>
                <w:sz w:val="21"/>
                <w:szCs w:val="21"/>
              </w:rPr>
            </w:pPr>
            <w:r>
              <w:rPr>
                <w:kern w:val="24"/>
                <w:sz w:val="21"/>
                <w:szCs w:val="21"/>
              </w:rPr>
              <w:t>本</w:t>
            </w:r>
            <w:r>
              <w:rPr>
                <w:color w:val="auto"/>
                <w:kern w:val="24"/>
                <w:sz w:val="21"/>
                <w:szCs w:val="21"/>
              </w:rPr>
              <w:t>项目用水主要为</w:t>
            </w:r>
            <w:r>
              <w:rPr>
                <w:rFonts w:hint="eastAsia"/>
                <w:color w:val="auto"/>
                <w:kern w:val="24"/>
                <w:sz w:val="21"/>
                <w:szCs w:val="21"/>
                <w:lang w:eastAsia="zh-CN"/>
              </w:rPr>
              <w:t>生活用水与生产用水。</w:t>
            </w:r>
            <w:r>
              <w:rPr>
                <w:rFonts w:hint="eastAsia"/>
                <w:color w:val="auto"/>
                <w:kern w:val="24"/>
                <w:sz w:val="21"/>
                <w:szCs w:val="21"/>
                <w:lang w:val="en-US" w:eastAsia="zh-CN"/>
              </w:rPr>
              <w:t>新鲜</w:t>
            </w:r>
            <w:r>
              <w:rPr>
                <w:color w:val="auto"/>
                <w:kern w:val="24"/>
                <w:sz w:val="21"/>
                <w:szCs w:val="21"/>
              </w:rPr>
              <w:t>用水量约为</w:t>
            </w:r>
            <w:r>
              <w:rPr>
                <w:rFonts w:hint="eastAsia"/>
                <w:color w:val="auto"/>
                <w:kern w:val="24"/>
                <w:sz w:val="21"/>
                <w:szCs w:val="21"/>
                <w:lang w:val="en-US" w:eastAsia="zh-CN"/>
              </w:rPr>
              <w:t>1342m</w:t>
            </w:r>
            <w:r>
              <w:rPr>
                <w:rFonts w:hint="eastAsia"/>
                <w:color w:val="auto"/>
                <w:kern w:val="24"/>
                <w:sz w:val="21"/>
                <w:szCs w:val="21"/>
                <w:vertAlign w:val="superscript"/>
                <w:lang w:val="en-US" w:eastAsia="zh-CN"/>
              </w:rPr>
              <w:t>3</w:t>
            </w:r>
            <w:r>
              <w:rPr>
                <w:color w:val="auto"/>
                <w:kern w:val="24"/>
                <w:sz w:val="21"/>
                <w:szCs w:val="21"/>
              </w:rPr>
              <w:t>/a，用水</w:t>
            </w:r>
            <w:r>
              <w:rPr>
                <w:rFonts w:hint="eastAsia"/>
                <w:color w:val="auto"/>
                <w:sz w:val="21"/>
                <w:szCs w:val="21"/>
              </w:rPr>
              <w:t>由文昌湖区供水管网提供</w:t>
            </w:r>
            <w:r>
              <w:rPr>
                <w:color w:val="auto"/>
                <w:kern w:val="24"/>
                <w:sz w:val="21"/>
                <w:szCs w:val="21"/>
              </w:rPr>
              <w:t>。</w:t>
            </w:r>
          </w:p>
          <w:p w14:paraId="1683D1C5">
            <w:pPr>
              <w:autoSpaceDE w:val="0"/>
              <w:autoSpaceDN w:val="0"/>
              <w:adjustRightInd w:val="0"/>
              <w:spacing w:line="360" w:lineRule="auto"/>
              <w:ind w:firstLine="420" w:firstLineChars="200"/>
              <w:jc w:val="left"/>
              <w:rPr>
                <w:rFonts w:hint="eastAsia"/>
                <w:b w:val="0"/>
                <w:bCs w:val="0"/>
                <w:color w:val="auto"/>
                <w:kern w:val="24"/>
                <w:sz w:val="21"/>
                <w:szCs w:val="21"/>
              </w:rPr>
            </w:pPr>
            <w:r>
              <w:rPr>
                <w:rFonts w:hint="eastAsia"/>
                <w:b w:val="0"/>
                <w:bCs w:val="0"/>
                <w:color w:val="auto"/>
                <w:kern w:val="24"/>
                <w:sz w:val="21"/>
                <w:szCs w:val="21"/>
                <w:lang w:val="en-US" w:eastAsia="zh-CN"/>
              </w:rPr>
              <w:t>生活用水：项目</w:t>
            </w:r>
            <w:r>
              <w:rPr>
                <w:rFonts w:hint="eastAsia"/>
                <w:b w:val="0"/>
                <w:bCs w:val="0"/>
                <w:color w:val="auto"/>
                <w:kern w:val="24"/>
                <w:sz w:val="21"/>
                <w:szCs w:val="21"/>
              </w:rPr>
              <w:t>职工定员</w:t>
            </w:r>
            <w:r>
              <w:rPr>
                <w:rFonts w:hint="eastAsia"/>
                <w:b w:val="0"/>
                <w:bCs w:val="0"/>
                <w:color w:val="auto"/>
                <w:kern w:val="24"/>
                <w:sz w:val="21"/>
                <w:szCs w:val="21"/>
                <w:lang w:val="en-US" w:eastAsia="zh-CN"/>
              </w:rPr>
              <w:t>16</w:t>
            </w:r>
            <w:r>
              <w:rPr>
                <w:rFonts w:hint="eastAsia"/>
                <w:b w:val="0"/>
                <w:bCs w:val="0"/>
                <w:color w:val="auto"/>
                <w:kern w:val="24"/>
                <w:sz w:val="21"/>
                <w:szCs w:val="21"/>
              </w:rPr>
              <w:t>人，年工作时间300天，职工生活用水按</w:t>
            </w:r>
            <w:r>
              <w:rPr>
                <w:rFonts w:hint="eastAsia"/>
                <w:b w:val="0"/>
                <w:bCs w:val="0"/>
                <w:color w:val="auto"/>
                <w:kern w:val="24"/>
                <w:sz w:val="21"/>
                <w:szCs w:val="21"/>
                <w:lang w:val="en-US" w:eastAsia="zh-CN"/>
              </w:rPr>
              <w:t>40</w:t>
            </w:r>
            <w:r>
              <w:rPr>
                <w:rFonts w:hint="eastAsia"/>
                <w:b w:val="0"/>
                <w:bCs w:val="0"/>
                <w:color w:val="auto"/>
                <w:kern w:val="24"/>
                <w:sz w:val="21"/>
                <w:szCs w:val="21"/>
              </w:rPr>
              <w:t>L/人•天算，则项目生活用水量为</w:t>
            </w:r>
            <w:r>
              <w:rPr>
                <w:rFonts w:hint="eastAsia"/>
                <w:b w:val="0"/>
                <w:bCs w:val="0"/>
                <w:color w:val="auto"/>
                <w:kern w:val="24"/>
                <w:sz w:val="21"/>
                <w:szCs w:val="21"/>
                <w:lang w:val="en-US" w:eastAsia="zh-CN"/>
              </w:rPr>
              <w:t>192</w:t>
            </w:r>
            <w:r>
              <w:rPr>
                <w:rFonts w:hint="eastAsia"/>
                <w:b w:val="0"/>
                <w:bCs w:val="0"/>
                <w:color w:val="auto"/>
                <w:kern w:val="24"/>
                <w:sz w:val="21"/>
                <w:szCs w:val="21"/>
              </w:rPr>
              <w:t>m</w:t>
            </w:r>
            <w:r>
              <w:rPr>
                <w:rFonts w:hint="eastAsia"/>
                <w:b w:val="0"/>
                <w:bCs w:val="0"/>
                <w:color w:val="auto"/>
                <w:kern w:val="24"/>
                <w:sz w:val="21"/>
                <w:szCs w:val="21"/>
                <w:vertAlign w:val="superscript"/>
              </w:rPr>
              <w:t>3</w:t>
            </w:r>
            <w:r>
              <w:rPr>
                <w:rFonts w:hint="eastAsia"/>
                <w:b w:val="0"/>
                <w:bCs w:val="0"/>
                <w:color w:val="auto"/>
                <w:kern w:val="24"/>
                <w:sz w:val="21"/>
                <w:szCs w:val="21"/>
              </w:rPr>
              <w:t>/a，</w:t>
            </w:r>
          </w:p>
          <w:p w14:paraId="4774500B">
            <w:pPr>
              <w:autoSpaceDE w:val="0"/>
              <w:autoSpaceDN w:val="0"/>
              <w:adjustRightInd w:val="0"/>
              <w:spacing w:line="360" w:lineRule="auto"/>
              <w:ind w:firstLine="420" w:firstLineChars="200"/>
              <w:jc w:val="left"/>
              <w:rPr>
                <w:rFonts w:hint="eastAsia"/>
                <w:b w:val="0"/>
                <w:bCs w:val="0"/>
                <w:color w:val="auto"/>
                <w:kern w:val="0"/>
                <w:sz w:val="21"/>
                <w:szCs w:val="21"/>
                <w:lang w:eastAsia="zh-CN"/>
              </w:rPr>
            </w:pPr>
            <w:r>
              <w:rPr>
                <w:rFonts w:hint="eastAsia"/>
                <w:b w:val="0"/>
                <w:bCs w:val="0"/>
                <w:color w:val="auto"/>
                <w:kern w:val="0"/>
                <w:sz w:val="21"/>
                <w:szCs w:val="21"/>
                <w:lang w:eastAsia="zh-CN"/>
              </w:rPr>
              <w:t>生产用水：项目生产用水主要为抑</w:t>
            </w:r>
            <w:r>
              <w:rPr>
                <w:rFonts w:hint="eastAsia" w:ascii="Times New Roman" w:hAnsi="Times New Roman" w:eastAsia="宋体" w:cs="Times New Roman"/>
                <w:b w:val="0"/>
                <w:bCs w:val="0"/>
                <w:color w:val="auto"/>
                <w:kern w:val="0"/>
                <w:sz w:val="21"/>
                <w:szCs w:val="21"/>
                <w:lang w:eastAsia="zh-CN"/>
              </w:rPr>
              <w:t>尘用水及洗砂用水。</w:t>
            </w:r>
          </w:p>
          <w:p w14:paraId="7E27AF91">
            <w:pPr>
              <w:autoSpaceDE w:val="0"/>
              <w:autoSpaceDN w:val="0"/>
              <w:adjustRightInd w:val="0"/>
              <w:spacing w:line="360" w:lineRule="auto"/>
              <w:ind w:firstLine="420" w:firstLineChars="200"/>
              <w:jc w:val="left"/>
              <w:rPr>
                <w:rFonts w:hint="default" w:eastAsia="宋体"/>
                <w:color w:val="auto"/>
                <w:kern w:val="24"/>
                <w:sz w:val="21"/>
                <w:szCs w:val="21"/>
                <w:highlight w:val="none"/>
                <w:lang w:val="en-US" w:eastAsia="zh-CN"/>
              </w:rPr>
            </w:pPr>
            <w:r>
              <w:rPr>
                <w:rFonts w:hint="eastAsia"/>
                <w:b w:val="0"/>
                <w:bCs w:val="0"/>
                <w:color w:val="auto"/>
                <w:kern w:val="0"/>
                <w:sz w:val="21"/>
                <w:szCs w:val="21"/>
                <w:lang w:eastAsia="zh-CN"/>
              </w:rPr>
              <w:t>①抑尘用水：根据企业提供资料，项目抑尘用水量为</w:t>
            </w:r>
            <w:r>
              <w:rPr>
                <w:rFonts w:hint="eastAsia"/>
                <w:b w:val="0"/>
                <w:bCs w:val="0"/>
                <w:color w:val="auto"/>
                <w:kern w:val="0"/>
                <w:sz w:val="21"/>
                <w:szCs w:val="21"/>
                <w:lang w:val="en-US" w:eastAsia="zh-CN"/>
              </w:rPr>
              <w:t>150m</w:t>
            </w:r>
            <w:r>
              <w:rPr>
                <w:rFonts w:hint="eastAsia"/>
                <w:b w:val="0"/>
                <w:bCs w:val="0"/>
                <w:color w:val="auto"/>
                <w:kern w:val="0"/>
                <w:sz w:val="21"/>
                <w:szCs w:val="21"/>
                <w:vertAlign w:val="superscript"/>
                <w:lang w:val="en-US" w:eastAsia="zh-CN"/>
              </w:rPr>
              <w:t>3</w:t>
            </w:r>
            <w:r>
              <w:rPr>
                <w:rFonts w:hint="eastAsia"/>
                <w:b w:val="0"/>
                <w:bCs w:val="0"/>
                <w:color w:val="auto"/>
                <w:kern w:val="0"/>
                <w:sz w:val="21"/>
                <w:szCs w:val="21"/>
                <w:lang w:val="en-US" w:eastAsia="zh-CN"/>
              </w:rPr>
              <w:t>/a。</w:t>
            </w:r>
          </w:p>
          <w:p w14:paraId="6782D967">
            <w:pPr>
              <w:autoSpaceDE w:val="0"/>
              <w:autoSpaceDN w:val="0"/>
              <w:adjustRightInd w:val="0"/>
              <w:spacing w:line="360" w:lineRule="auto"/>
              <w:ind w:firstLine="420" w:firstLineChars="200"/>
              <w:jc w:val="left"/>
              <w:rPr>
                <w:rFonts w:hint="default"/>
                <w:b w:val="0"/>
                <w:bCs w:val="0"/>
                <w:color w:val="auto"/>
                <w:kern w:val="0"/>
                <w:sz w:val="21"/>
                <w:szCs w:val="21"/>
                <w:lang w:val="en-US" w:eastAsia="zh-CN"/>
              </w:rPr>
            </w:pPr>
            <w:r>
              <w:rPr>
                <w:rFonts w:hint="eastAsia"/>
                <w:b w:val="0"/>
                <w:bCs w:val="0"/>
                <w:color w:val="auto"/>
                <w:kern w:val="0"/>
                <w:sz w:val="21"/>
                <w:szCs w:val="21"/>
                <w:lang w:eastAsia="zh-CN"/>
              </w:rPr>
              <w:t>②清洗用水：</w:t>
            </w:r>
            <w:r>
              <w:rPr>
                <w:rFonts w:hint="eastAsia" w:ascii="Times New Roman" w:hAnsi="Times New Roman" w:eastAsia="宋体" w:cs="Times New Roman"/>
                <w:b w:val="0"/>
                <w:bCs w:val="0"/>
                <w:color w:val="auto"/>
                <w:sz w:val="21"/>
                <w:szCs w:val="21"/>
                <w:highlight w:val="none"/>
                <w:lang w:val="en-US" w:eastAsia="zh-CN"/>
              </w:rPr>
              <w:t>根据客户要求，部分</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颗粒需</w:t>
            </w:r>
            <w:r>
              <w:rPr>
                <w:rFonts w:hint="eastAsia" w:cs="Times New Roman"/>
                <w:b w:val="0"/>
                <w:bCs w:val="0"/>
                <w:color w:val="auto"/>
                <w:sz w:val="21"/>
                <w:szCs w:val="21"/>
                <w:highlight w:val="none"/>
                <w:lang w:val="en-US" w:eastAsia="zh-CN"/>
              </w:rPr>
              <w:t>利用搅拌清洗槽</w:t>
            </w:r>
            <w:r>
              <w:rPr>
                <w:rFonts w:hint="eastAsia" w:ascii="Times New Roman" w:hAnsi="Times New Roman" w:eastAsia="宋体" w:cs="Times New Roman"/>
                <w:b w:val="0"/>
                <w:bCs w:val="0"/>
                <w:color w:val="auto"/>
                <w:sz w:val="21"/>
                <w:szCs w:val="21"/>
                <w:highlight w:val="none"/>
                <w:lang w:val="en-US" w:eastAsia="zh-CN"/>
              </w:rPr>
              <w:t>进行清洗、</w:t>
            </w:r>
            <w:r>
              <w:rPr>
                <w:rFonts w:hint="eastAsia"/>
                <w:color w:val="auto"/>
                <w:sz w:val="21"/>
                <w:szCs w:val="21"/>
                <w:lang w:eastAsia="zh-CN"/>
              </w:rPr>
              <w:t>高频精细脱水筛</w:t>
            </w:r>
            <w:r>
              <w:rPr>
                <w:rFonts w:hint="eastAsia" w:ascii="Times New Roman" w:hAnsi="Times New Roman" w:eastAsia="宋体" w:cs="Times New Roman"/>
                <w:b w:val="0"/>
                <w:bCs w:val="0"/>
                <w:color w:val="auto"/>
                <w:sz w:val="21"/>
                <w:szCs w:val="21"/>
                <w:highlight w:val="none"/>
                <w:lang w:val="en-US" w:eastAsia="zh-CN"/>
              </w:rPr>
              <w:t>脱水，清洗用水（含脱水）后</w:t>
            </w:r>
            <w:r>
              <w:rPr>
                <w:rFonts w:hint="eastAsia"/>
                <w:b w:val="0"/>
                <w:bCs w:val="0"/>
                <w:color w:val="auto"/>
                <w:kern w:val="0"/>
                <w:sz w:val="21"/>
                <w:szCs w:val="21"/>
                <w:lang w:eastAsia="zh-CN"/>
              </w:rPr>
              <w:t>经沉淀罐处理后回用，定期补充损耗，</w:t>
            </w:r>
            <w:r>
              <w:rPr>
                <w:rFonts w:hint="eastAsia" w:ascii="Times New Roman" w:hAnsi="Times New Roman" w:eastAsia="宋体" w:cs="Times New Roman"/>
                <w:b w:val="0"/>
                <w:bCs w:val="0"/>
                <w:color w:val="auto"/>
                <w:sz w:val="21"/>
                <w:szCs w:val="21"/>
                <w:highlight w:val="none"/>
                <w:lang w:val="en-US" w:eastAsia="zh-CN"/>
              </w:rPr>
              <w:t>清洗补充损耗水量为1000m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/a。</w:t>
            </w:r>
          </w:p>
          <w:p w14:paraId="0D1FB7E4">
            <w:pPr>
              <w:autoSpaceDE w:val="0"/>
              <w:autoSpaceDN w:val="0"/>
              <w:adjustRightInd w:val="0"/>
              <w:spacing w:line="360" w:lineRule="auto"/>
              <w:ind w:firstLine="422" w:firstLineChars="200"/>
              <w:jc w:val="left"/>
              <w:rPr>
                <w:b/>
                <w:bCs w:val="0"/>
                <w:kern w:val="0"/>
                <w:sz w:val="21"/>
                <w:szCs w:val="21"/>
                <w:highlight w:val="none"/>
              </w:rPr>
            </w:pPr>
            <w:r>
              <w:rPr>
                <w:b/>
                <w:kern w:val="0"/>
                <w:sz w:val="21"/>
                <w:szCs w:val="21"/>
                <w:highlight w:val="none"/>
              </w:rPr>
              <w:t>2、排水</w:t>
            </w:r>
          </w:p>
          <w:p w14:paraId="0FBF2CE6">
            <w:pPr>
              <w:spacing w:line="360" w:lineRule="auto"/>
              <w:ind w:firstLine="420" w:firstLineChars="200"/>
              <w:rPr>
                <w:rFonts w:hint="eastAsia"/>
                <w:bCs/>
                <w:kern w:val="24"/>
                <w:sz w:val="21"/>
                <w:szCs w:val="21"/>
                <w:lang w:eastAsia="zh-CN"/>
              </w:rPr>
            </w:pPr>
            <w:r>
              <w:rPr>
                <w:rFonts w:hint="eastAsia"/>
                <w:kern w:val="24"/>
                <w:sz w:val="21"/>
                <w:szCs w:val="21"/>
              </w:rPr>
              <w:t>项目生产过程中</w:t>
            </w:r>
            <w:r>
              <w:rPr>
                <w:rFonts w:hint="eastAsia"/>
                <w:kern w:val="24"/>
                <w:sz w:val="21"/>
                <w:szCs w:val="21"/>
                <w:lang w:eastAsia="zh-CN"/>
              </w:rPr>
              <w:t>无废水产生，抑尘用水全部蒸发损耗，不外排</w:t>
            </w:r>
            <w:r>
              <w:rPr>
                <w:rFonts w:hint="eastAsia"/>
                <w:kern w:val="24"/>
                <w:sz w:val="21"/>
                <w:szCs w:val="21"/>
              </w:rPr>
              <w:t>。</w:t>
            </w:r>
            <w:r>
              <w:rPr>
                <w:rFonts w:hint="eastAsia"/>
                <w:kern w:val="24"/>
                <w:sz w:val="21"/>
                <w:szCs w:val="21"/>
                <w:lang w:eastAsia="zh-CN"/>
              </w:rPr>
              <w:t>清洗用水经沉淀后循环使用，定期补充损耗，不外排，</w:t>
            </w:r>
            <w:r>
              <w:rPr>
                <w:kern w:val="24"/>
                <w:sz w:val="21"/>
                <w:szCs w:val="21"/>
              </w:rPr>
              <w:t>项目废水主要为生活污水，</w:t>
            </w:r>
            <w:r>
              <w:rPr>
                <w:rFonts w:hint="eastAsia"/>
                <w:kern w:val="24"/>
                <w:sz w:val="21"/>
                <w:szCs w:val="21"/>
                <w:lang w:eastAsia="zh-CN"/>
              </w:rPr>
              <w:t>项目全厂</w:t>
            </w:r>
            <w:r>
              <w:rPr>
                <w:kern w:val="24"/>
                <w:sz w:val="21"/>
                <w:szCs w:val="21"/>
              </w:rPr>
              <w:t>生活用水量为</w:t>
            </w:r>
            <w:r>
              <w:rPr>
                <w:rFonts w:hint="eastAsia"/>
                <w:kern w:val="24"/>
                <w:sz w:val="21"/>
                <w:szCs w:val="21"/>
                <w:lang w:val="en-US" w:eastAsia="zh-CN"/>
              </w:rPr>
              <w:t>192</w:t>
            </w:r>
            <w:r>
              <w:rPr>
                <w:kern w:val="24"/>
                <w:sz w:val="21"/>
                <w:szCs w:val="21"/>
              </w:rPr>
              <w:t>m</w:t>
            </w:r>
            <w:r>
              <w:rPr>
                <w:kern w:val="24"/>
                <w:sz w:val="21"/>
                <w:szCs w:val="21"/>
                <w:vertAlign w:val="superscript"/>
              </w:rPr>
              <w:t>3</w:t>
            </w:r>
            <w:r>
              <w:rPr>
                <w:kern w:val="24"/>
                <w:sz w:val="21"/>
                <w:szCs w:val="21"/>
              </w:rPr>
              <w:t>/a，生活污水</w:t>
            </w:r>
            <w:r>
              <w:rPr>
                <w:bCs/>
                <w:kern w:val="24"/>
                <w:sz w:val="21"/>
                <w:szCs w:val="21"/>
              </w:rPr>
              <w:t>产生量按用水量80%计算，则生活污水产生量为</w:t>
            </w:r>
            <w:r>
              <w:rPr>
                <w:rFonts w:hint="eastAsia"/>
                <w:bCs/>
                <w:kern w:val="24"/>
                <w:sz w:val="21"/>
                <w:szCs w:val="21"/>
                <w:lang w:val="en-US" w:eastAsia="zh-CN"/>
              </w:rPr>
              <w:t>153.6</w:t>
            </w:r>
            <w:r>
              <w:rPr>
                <w:bCs/>
                <w:kern w:val="24"/>
                <w:sz w:val="21"/>
                <w:szCs w:val="21"/>
              </w:rPr>
              <w:t>m</w:t>
            </w:r>
            <w:r>
              <w:rPr>
                <w:bCs/>
                <w:kern w:val="24"/>
                <w:sz w:val="21"/>
                <w:szCs w:val="21"/>
                <w:vertAlign w:val="superscript"/>
              </w:rPr>
              <w:t>3</w:t>
            </w:r>
            <w:r>
              <w:rPr>
                <w:bCs/>
                <w:kern w:val="24"/>
                <w:sz w:val="21"/>
                <w:szCs w:val="21"/>
              </w:rPr>
              <w:t>/a，</w:t>
            </w:r>
            <w:r>
              <w:rPr>
                <w:rFonts w:hint="eastAsia"/>
                <w:bCs/>
                <w:kern w:val="24"/>
                <w:sz w:val="21"/>
                <w:szCs w:val="21"/>
                <w:lang w:val="en-US" w:eastAsia="zh-CN"/>
              </w:rPr>
              <w:t>生活污水经化粪池暂存后由环卫部门清理外运，不外排</w:t>
            </w:r>
            <w:r>
              <w:rPr>
                <w:rFonts w:hint="eastAsia"/>
                <w:bCs/>
                <w:kern w:val="24"/>
                <w:sz w:val="21"/>
                <w:szCs w:val="21"/>
                <w:lang w:eastAsia="zh-CN"/>
              </w:rPr>
              <w:t>。</w:t>
            </w:r>
          </w:p>
          <w:p w14:paraId="23595730">
            <w:pPr>
              <w:pStyle w:val="2"/>
              <w:snapToGrid/>
              <w:spacing w:before="0" w:beforeLines="0"/>
              <w:ind w:firstLine="0"/>
              <w:rPr>
                <w:rFonts w:hint="default"/>
                <w:color w:val="FF0000"/>
                <w:sz w:val="21"/>
                <w:szCs w:val="21"/>
              </w:rPr>
            </w:pPr>
            <w:r>
              <w:drawing>
                <wp:inline distT="0" distB="0" distL="114300" distR="114300">
                  <wp:extent cx="5281295" cy="2767965"/>
                  <wp:effectExtent l="0" t="0" r="6985" b="571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0"/>
                          <a:stretch>
                            <a:fillRect/>
                          </a:stretch>
                        </pic:blipFill>
                        <pic:spPr>
                          <a:xfrm>
                            <a:off x="0" y="0"/>
                            <a:ext cx="5281295" cy="2767965"/>
                          </a:xfrm>
                          <a:prstGeom prst="rect">
                            <a:avLst/>
                          </a:prstGeom>
                          <a:noFill/>
                          <a:ln>
                            <a:noFill/>
                          </a:ln>
                        </pic:spPr>
                      </pic:pic>
                    </a:graphicData>
                  </a:graphic>
                </wp:inline>
              </w:drawing>
            </w:r>
          </w:p>
          <w:p w14:paraId="4E0E0655">
            <w:pPr>
              <w:spacing w:line="360" w:lineRule="auto"/>
              <w:jc w:val="center"/>
              <w:rPr>
                <w:b/>
                <w:color w:val="auto"/>
                <w:sz w:val="21"/>
                <w:szCs w:val="21"/>
              </w:rPr>
            </w:pPr>
            <w:r>
              <w:rPr>
                <w:b/>
                <w:color w:val="auto"/>
                <w:sz w:val="21"/>
                <w:szCs w:val="21"/>
              </w:rPr>
              <w:t xml:space="preserve">图1 </w:t>
            </w:r>
            <w:r>
              <w:rPr>
                <w:rFonts w:hint="eastAsia"/>
                <w:b/>
                <w:color w:val="auto"/>
                <w:sz w:val="21"/>
                <w:szCs w:val="21"/>
                <w:lang w:eastAsia="zh-CN"/>
              </w:rPr>
              <w:t>本项目</w:t>
            </w:r>
            <w:r>
              <w:rPr>
                <w:rFonts w:hint="eastAsia"/>
                <w:b/>
                <w:color w:val="auto"/>
                <w:sz w:val="21"/>
                <w:szCs w:val="21"/>
              </w:rPr>
              <w:t>全厂</w:t>
            </w:r>
            <w:r>
              <w:rPr>
                <w:b/>
                <w:color w:val="auto"/>
                <w:sz w:val="21"/>
                <w:szCs w:val="21"/>
              </w:rPr>
              <w:t>水平衡图  单位：m</w:t>
            </w:r>
            <w:r>
              <w:rPr>
                <w:b/>
                <w:color w:val="auto"/>
                <w:sz w:val="21"/>
                <w:szCs w:val="21"/>
                <w:vertAlign w:val="superscript"/>
              </w:rPr>
              <w:t>3</w:t>
            </w:r>
            <w:r>
              <w:rPr>
                <w:b/>
                <w:color w:val="auto"/>
                <w:sz w:val="21"/>
                <w:szCs w:val="21"/>
              </w:rPr>
              <w:t>/a</w:t>
            </w:r>
          </w:p>
          <w:p w14:paraId="08F8A836">
            <w:pPr>
              <w:spacing w:line="360" w:lineRule="auto"/>
              <w:ind w:firstLine="413" w:firstLineChars="196"/>
              <w:outlineLvl w:val="3"/>
              <w:rPr>
                <w:b/>
                <w:color w:val="000000"/>
                <w:sz w:val="21"/>
                <w:szCs w:val="21"/>
              </w:rPr>
            </w:pPr>
            <w:r>
              <w:rPr>
                <w:rFonts w:hint="eastAsia"/>
                <w:b/>
                <w:color w:val="000000"/>
                <w:sz w:val="21"/>
                <w:szCs w:val="21"/>
                <w:lang w:val="en-US" w:eastAsia="zh-CN"/>
              </w:rPr>
              <w:t>2</w:t>
            </w:r>
            <w:r>
              <w:rPr>
                <w:b/>
                <w:color w:val="000000"/>
                <w:sz w:val="21"/>
                <w:szCs w:val="21"/>
              </w:rPr>
              <w:t>、供电</w:t>
            </w:r>
          </w:p>
          <w:p w14:paraId="5791F687">
            <w:pPr>
              <w:autoSpaceDE w:val="0"/>
              <w:autoSpaceDN w:val="0"/>
              <w:spacing w:line="360" w:lineRule="auto"/>
              <w:ind w:firstLine="420" w:firstLineChars="200"/>
              <w:jc w:val="left"/>
              <w:rPr>
                <w:b/>
                <w:color w:val="000000"/>
                <w:sz w:val="21"/>
                <w:szCs w:val="21"/>
              </w:rPr>
            </w:pPr>
            <w:r>
              <w:rPr>
                <w:sz w:val="21"/>
                <w:szCs w:val="21"/>
              </w:rPr>
              <w:t>该项目用电由</w:t>
            </w:r>
            <w:r>
              <w:rPr>
                <w:rFonts w:hint="eastAsia"/>
                <w:sz w:val="21"/>
                <w:szCs w:val="21"/>
              </w:rPr>
              <w:t>萌水镇供电所提供</w:t>
            </w:r>
            <w:r>
              <w:rPr>
                <w:bCs/>
                <w:sz w:val="21"/>
                <w:szCs w:val="21"/>
              </w:rPr>
              <w:t>，</w:t>
            </w:r>
            <w:r>
              <w:rPr>
                <w:rFonts w:hint="eastAsia"/>
                <w:bCs/>
                <w:sz w:val="21"/>
                <w:szCs w:val="21"/>
                <w:lang w:eastAsia="zh-CN"/>
              </w:rPr>
              <w:t>项目年耗电量</w:t>
            </w:r>
            <w:r>
              <w:rPr>
                <w:rFonts w:hint="eastAsia"/>
                <w:bCs/>
                <w:sz w:val="21"/>
                <w:szCs w:val="21"/>
                <w:lang w:val="en-US" w:eastAsia="zh-CN"/>
              </w:rPr>
              <w:t>50万</w:t>
            </w:r>
            <w:r>
              <w:rPr>
                <w:bCs/>
                <w:sz w:val="21"/>
                <w:szCs w:val="21"/>
              </w:rPr>
              <w:t>kW</w:t>
            </w:r>
            <w:r>
              <w:rPr>
                <w:rFonts w:hint="eastAsia"/>
                <w:bCs/>
                <w:sz w:val="21"/>
                <w:szCs w:val="21"/>
                <w:lang w:val="en-US" w:eastAsia="zh-CN"/>
              </w:rPr>
              <w:t>·</w:t>
            </w:r>
            <w:r>
              <w:rPr>
                <w:bCs/>
                <w:sz w:val="21"/>
                <w:szCs w:val="21"/>
              </w:rPr>
              <w:t>h</w:t>
            </w:r>
            <w:r>
              <w:rPr>
                <w:sz w:val="21"/>
                <w:szCs w:val="21"/>
              </w:rPr>
              <w:t>。车间及办公室内电源插座均设漏电保护装置，厂区主要建筑物屋顶均设避雷带，作防雷保护。按照接地规程要求，所有电气设备金属外壳均作可靠接地、接零、防静电保护。</w:t>
            </w:r>
          </w:p>
          <w:p w14:paraId="2CD66F0E">
            <w:pPr>
              <w:spacing w:line="360" w:lineRule="auto"/>
              <w:ind w:firstLine="413" w:firstLineChars="196"/>
              <w:outlineLvl w:val="3"/>
              <w:rPr>
                <w:b/>
                <w:color w:val="000000"/>
                <w:sz w:val="21"/>
                <w:szCs w:val="21"/>
              </w:rPr>
            </w:pPr>
            <w:r>
              <w:rPr>
                <w:rFonts w:hint="eastAsia"/>
                <w:b/>
                <w:color w:val="000000"/>
                <w:sz w:val="21"/>
                <w:szCs w:val="21"/>
                <w:lang w:val="en-US" w:eastAsia="zh-CN"/>
              </w:rPr>
              <w:t>3</w:t>
            </w:r>
            <w:r>
              <w:rPr>
                <w:b/>
                <w:color w:val="000000"/>
                <w:sz w:val="21"/>
                <w:szCs w:val="21"/>
              </w:rPr>
              <w:t>、消防安全</w:t>
            </w:r>
          </w:p>
          <w:p w14:paraId="5171A368">
            <w:pPr>
              <w:autoSpaceDE w:val="0"/>
              <w:autoSpaceDN w:val="0"/>
              <w:spacing w:line="360" w:lineRule="auto"/>
              <w:ind w:firstLine="420" w:firstLineChars="200"/>
              <w:jc w:val="left"/>
              <w:rPr>
                <w:sz w:val="21"/>
                <w:szCs w:val="21"/>
              </w:rPr>
            </w:pPr>
            <w:r>
              <w:rPr>
                <w:sz w:val="21"/>
                <w:szCs w:val="21"/>
              </w:rPr>
              <w:t>本项目遵照《建筑设计防火规范》（GB50016-2014）、《建筑灭火器配置设计规范》（GB50140-2005）等设计规范，对厂区配备消防栓、灭火器等消防器材和设施，以保障安全生产。</w:t>
            </w:r>
          </w:p>
          <w:p w14:paraId="67ABC371">
            <w:pPr>
              <w:spacing w:line="360" w:lineRule="auto"/>
              <w:ind w:firstLine="413" w:firstLineChars="196"/>
              <w:outlineLvl w:val="3"/>
              <w:rPr>
                <w:b/>
                <w:color w:val="000000"/>
                <w:sz w:val="21"/>
                <w:szCs w:val="21"/>
              </w:rPr>
            </w:pPr>
            <w:r>
              <w:rPr>
                <w:rFonts w:hint="eastAsia"/>
                <w:b/>
                <w:color w:val="000000"/>
                <w:sz w:val="21"/>
                <w:szCs w:val="21"/>
                <w:lang w:val="en-US" w:eastAsia="zh-CN"/>
              </w:rPr>
              <w:t>4</w:t>
            </w:r>
            <w:r>
              <w:rPr>
                <w:b/>
                <w:color w:val="000000"/>
                <w:sz w:val="21"/>
                <w:szCs w:val="21"/>
              </w:rPr>
              <w:t>、采暖和通风</w:t>
            </w:r>
          </w:p>
          <w:p w14:paraId="77A84A5B">
            <w:pPr>
              <w:autoSpaceDE w:val="0"/>
              <w:autoSpaceDN w:val="0"/>
              <w:spacing w:line="360" w:lineRule="auto"/>
              <w:ind w:firstLine="420" w:firstLineChars="200"/>
              <w:jc w:val="left"/>
              <w:rPr>
                <w:b/>
                <w:kern w:val="11"/>
                <w:sz w:val="21"/>
                <w:szCs w:val="21"/>
              </w:rPr>
            </w:pPr>
            <w:r>
              <w:rPr>
                <w:sz w:val="21"/>
                <w:szCs w:val="21"/>
              </w:rPr>
              <w:t>本项目</w:t>
            </w:r>
            <w:r>
              <w:rPr>
                <w:kern w:val="11"/>
                <w:sz w:val="21"/>
                <w:szCs w:val="21"/>
              </w:rPr>
              <w:t>生活、办公供热、制冷均使用电空调。</w:t>
            </w:r>
          </w:p>
          <w:p w14:paraId="6DDC86B6">
            <w:pPr>
              <w:snapToGrid w:val="0"/>
              <w:spacing w:line="360" w:lineRule="auto"/>
              <w:ind w:firstLine="422" w:firstLineChars="200"/>
              <w:rPr>
                <w:rFonts w:hint="eastAsia" w:eastAsia="宋体"/>
                <w:b/>
                <w:color w:val="auto"/>
                <w:kern w:val="11"/>
                <w:sz w:val="21"/>
                <w:szCs w:val="21"/>
                <w:highlight w:val="none"/>
                <w:lang w:eastAsia="zh-CN"/>
              </w:rPr>
            </w:pPr>
            <w:r>
              <w:rPr>
                <w:rFonts w:hint="eastAsia"/>
                <w:b/>
                <w:color w:val="auto"/>
                <w:kern w:val="11"/>
                <w:sz w:val="21"/>
                <w:szCs w:val="21"/>
                <w:highlight w:val="none"/>
              </w:rPr>
              <w:t>七、</w:t>
            </w:r>
            <w:r>
              <w:rPr>
                <w:b/>
                <w:color w:val="auto"/>
                <w:kern w:val="11"/>
                <w:sz w:val="21"/>
                <w:szCs w:val="21"/>
                <w:highlight w:val="none"/>
              </w:rPr>
              <w:t>环保投资</w:t>
            </w:r>
          </w:p>
          <w:p w14:paraId="5F8C4938">
            <w:pPr>
              <w:snapToGrid w:val="0"/>
              <w:spacing w:line="360" w:lineRule="auto"/>
              <w:ind w:firstLine="420" w:firstLineChars="200"/>
              <w:rPr>
                <w:b/>
                <w:color w:val="auto"/>
                <w:kern w:val="11"/>
                <w:sz w:val="21"/>
                <w:szCs w:val="21"/>
                <w:highlight w:val="none"/>
              </w:rPr>
            </w:pPr>
            <w:r>
              <w:rPr>
                <w:rFonts w:hint="eastAsia"/>
                <w:color w:val="auto"/>
                <w:kern w:val="11"/>
                <w:sz w:val="21"/>
                <w:szCs w:val="21"/>
                <w:highlight w:val="none"/>
                <w:lang w:eastAsia="zh-CN"/>
              </w:rPr>
              <w:t>项目</w:t>
            </w:r>
            <w:r>
              <w:rPr>
                <w:color w:val="auto"/>
                <w:kern w:val="11"/>
                <w:sz w:val="21"/>
                <w:szCs w:val="21"/>
                <w:highlight w:val="none"/>
              </w:rPr>
              <w:t>总投资为</w:t>
            </w:r>
            <w:r>
              <w:rPr>
                <w:rFonts w:hint="eastAsia"/>
                <w:color w:val="auto"/>
                <w:kern w:val="11"/>
                <w:sz w:val="21"/>
                <w:szCs w:val="21"/>
                <w:highlight w:val="none"/>
                <w:lang w:val="en-US" w:eastAsia="zh-CN"/>
              </w:rPr>
              <w:t>2000</w:t>
            </w:r>
            <w:r>
              <w:rPr>
                <w:color w:val="auto"/>
                <w:kern w:val="11"/>
                <w:sz w:val="21"/>
                <w:szCs w:val="21"/>
                <w:highlight w:val="none"/>
              </w:rPr>
              <w:t>万元，其中环保投</w:t>
            </w:r>
            <w:r>
              <w:rPr>
                <w:rFonts w:hint="eastAsia"/>
                <w:color w:val="auto"/>
                <w:kern w:val="11"/>
                <w:sz w:val="21"/>
                <w:szCs w:val="21"/>
                <w:highlight w:val="none"/>
                <w:lang w:eastAsia="zh-CN"/>
              </w:rPr>
              <w:t>资</w:t>
            </w:r>
            <w:r>
              <w:rPr>
                <w:rFonts w:hint="eastAsia"/>
                <w:color w:val="auto"/>
                <w:kern w:val="11"/>
                <w:sz w:val="21"/>
                <w:szCs w:val="21"/>
                <w:highlight w:val="none"/>
                <w:lang w:val="en-US" w:eastAsia="zh-CN"/>
              </w:rPr>
              <w:t>100</w:t>
            </w:r>
            <w:r>
              <w:rPr>
                <w:color w:val="auto"/>
                <w:kern w:val="11"/>
                <w:sz w:val="21"/>
                <w:szCs w:val="21"/>
                <w:highlight w:val="none"/>
              </w:rPr>
              <w:t>万元，环保投资占总投资的</w:t>
            </w:r>
            <w:r>
              <w:rPr>
                <w:rFonts w:hint="eastAsia"/>
                <w:color w:val="auto"/>
                <w:kern w:val="0"/>
                <w:sz w:val="21"/>
                <w:szCs w:val="21"/>
                <w:highlight w:val="none"/>
                <w:lang w:val="en-US" w:eastAsia="zh-CN"/>
              </w:rPr>
              <w:t>5.0</w:t>
            </w:r>
            <w:r>
              <w:rPr>
                <w:color w:val="auto"/>
                <w:kern w:val="0"/>
                <w:sz w:val="21"/>
                <w:szCs w:val="21"/>
                <w:highlight w:val="none"/>
              </w:rPr>
              <w:t>%</w:t>
            </w:r>
            <w:r>
              <w:rPr>
                <w:color w:val="auto"/>
                <w:kern w:val="11"/>
                <w:sz w:val="21"/>
                <w:szCs w:val="21"/>
                <w:highlight w:val="none"/>
              </w:rPr>
              <w:t>。主要用于</w:t>
            </w:r>
            <w:r>
              <w:rPr>
                <w:rFonts w:hint="eastAsia"/>
                <w:color w:val="auto"/>
                <w:kern w:val="11"/>
                <w:sz w:val="21"/>
                <w:szCs w:val="21"/>
                <w:highlight w:val="none"/>
              </w:rPr>
              <w:t>废气处理、</w:t>
            </w:r>
            <w:r>
              <w:rPr>
                <w:color w:val="auto"/>
                <w:kern w:val="11"/>
                <w:sz w:val="21"/>
                <w:szCs w:val="21"/>
                <w:highlight w:val="none"/>
              </w:rPr>
              <w:t>设备的隔声减震等等。本项目环保设备及投资情况详见表</w:t>
            </w:r>
            <w:r>
              <w:rPr>
                <w:rFonts w:hint="eastAsia"/>
                <w:color w:val="auto"/>
                <w:kern w:val="11"/>
                <w:sz w:val="21"/>
                <w:szCs w:val="21"/>
                <w:highlight w:val="none"/>
                <w:lang w:val="en-US" w:eastAsia="zh-CN"/>
              </w:rPr>
              <w:t>2-6</w:t>
            </w:r>
            <w:r>
              <w:rPr>
                <w:color w:val="auto"/>
                <w:kern w:val="11"/>
                <w:sz w:val="21"/>
                <w:szCs w:val="21"/>
                <w:highlight w:val="none"/>
              </w:rPr>
              <w:t>。</w:t>
            </w:r>
          </w:p>
          <w:p w14:paraId="7C9E7FFB">
            <w:pPr>
              <w:snapToGrid w:val="0"/>
              <w:ind w:firstLine="422" w:firstLineChars="200"/>
              <w:jc w:val="center"/>
              <w:rPr>
                <w:b/>
                <w:color w:val="auto"/>
                <w:kern w:val="11"/>
                <w:sz w:val="21"/>
                <w:szCs w:val="21"/>
                <w:highlight w:val="none"/>
              </w:rPr>
            </w:pPr>
            <w:r>
              <w:rPr>
                <w:b/>
                <w:color w:val="auto"/>
                <w:kern w:val="11"/>
                <w:sz w:val="21"/>
                <w:szCs w:val="21"/>
                <w:highlight w:val="none"/>
              </w:rPr>
              <w:t>表</w:t>
            </w:r>
            <w:r>
              <w:rPr>
                <w:rFonts w:hint="eastAsia"/>
                <w:b/>
                <w:color w:val="auto"/>
                <w:kern w:val="11"/>
                <w:sz w:val="21"/>
                <w:szCs w:val="21"/>
                <w:highlight w:val="none"/>
                <w:lang w:val="en-US" w:eastAsia="zh-CN"/>
              </w:rPr>
              <w:t xml:space="preserve">2-6 </w:t>
            </w:r>
            <w:r>
              <w:rPr>
                <w:rFonts w:hint="eastAsia"/>
                <w:b/>
                <w:color w:val="auto"/>
                <w:kern w:val="11"/>
                <w:sz w:val="21"/>
                <w:szCs w:val="21"/>
                <w:highlight w:val="none"/>
              </w:rPr>
              <w:t xml:space="preserve"> </w:t>
            </w:r>
            <w:r>
              <w:rPr>
                <w:b/>
                <w:color w:val="auto"/>
                <w:kern w:val="11"/>
                <w:sz w:val="21"/>
                <w:szCs w:val="21"/>
                <w:highlight w:val="none"/>
              </w:rPr>
              <w:t>环保设备及投资一览表</w:t>
            </w:r>
            <w:r>
              <w:rPr>
                <w:rFonts w:hint="eastAsia"/>
                <w:b/>
                <w:color w:val="auto"/>
                <w:kern w:val="11"/>
                <w:sz w:val="21"/>
                <w:szCs w:val="21"/>
                <w:highlight w:val="none"/>
              </w:rPr>
              <w:t xml:space="preserve">   （单位：万元）</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630"/>
              <w:gridCol w:w="4701"/>
              <w:gridCol w:w="1250"/>
            </w:tblGrid>
            <w:tr w14:paraId="51F5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67CB55E3">
                  <w:pPr>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序号</w:t>
                  </w:r>
                </w:p>
              </w:tc>
              <w:tc>
                <w:tcPr>
                  <w:tcW w:w="980" w:type="pct"/>
                  <w:noWrap w:val="0"/>
                  <w:vAlign w:val="center"/>
                </w:tcPr>
                <w:p w14:paraId="43CD60AF">
                  <w:pPr>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环保项目</w:t>
                  </w:r>
                </w:p>
              </w:tc>
              <w:tc>
                <w:tcPr>
                  <w:tcW w:w="2826" w:type="pct"/>
                  <w:noWrap w:val="0"/>
                  <w:vAlign w:val="center"/>
                </w:tcPr>
                <w:p w14:paraId="114D166F">
                  <w:pPr>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环保设备</w:t>
                  </w:r>
                </w:p>
              </w:tc>
              <w:tc>
                <w:tcPr>
                  <w:tcW w:w="751" w:type="pct"/>
                  <w:noWrap w:val="0"/>
                  <w:vAlign w:val="center"/>
                </w:tcPr>
                <w:p w14:paraId="350F9EA0">
                  <w:pPr>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环保投资</w:t>
                  </w:r>
                </w:p>
              </w:tc>
            </w:tr>
            <w:tr w14:paraId="1EB76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4E36DF46">
                  <w:pPr>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980" w:type="pct"/>
                  <w:noWrap w:val="0"/>
                  <w:vAlign w:val="center"/>
                </w:tcPr>
                <w:p w14:paraId="76A8CD2E">
                  <w:pPr>
                    <w:jc w:val="center"/>
                    <w:rPr>
                      <w:rFonts w:ascii="Times New Roman" w:hAnsi="Times New Roman"/>
                      <w:color w:val="auto"/>
                      <w:sz w:val="21"/>
                      <w:szCs w:val="21"/>
                      <w:highlight w:val="none"/>
                    </w:rPr>
                  </w:pPr>
                  <w:r>
                    <w:rPr>
                      <w:rFonts w:ascii="Times New Roman" w:hAnsi="Times New Roman"/>
                      <w:color w:val="auto"/>
                      <w:sz w:val="21"/>
                      <w:szCs w:val="21"/>
                      <w:highlight w:val="none"/>
                    </w:rPr>
                    <w:t>废气处理控制</w:t>
                  </w:r>
                </w:p>
              </w:tc>
              <w:tc>
                <w:tcPr>
                  <w:tcW w:w="2826" w:type="pct"/>
                  <w:noWrap w:val="0"/>
                  <w:vAlign w:val="center"/>
                </w:tcPr>
                <w:p w14:paraId="3410A84A">
                  <w:pPr>
                    <w:jc w:val="center"/>
                    <w:rPr>
                      <w:rFonts w:hint="eastAsia" w:ascii="Times New Roman" w:hAnsi="Times New Roman" w:eastAsia="宋体"/>
                      <w:color w:val="auto"/>
                      <w:sz w:val="21"/>
                      <w:szCs w:val="21"/>
                      <w:highlight w:val="none"/>
                      <w:lang w:eastAsia="zh-CN"/>
                    </w:rPr>
                  </w:pPr>
                  <w:r>
                    <w:rPr>
                      <w:rFonts w:hint="eastAsia" w:ascii="Times New Roman" w:hAnsi="Times New Roman"/>
                      <w:color w:val="auto"/>
                      <w:sz w:val="21"/>
                      <w:szCs w:val="21"/>
                      <w:highlight w:val="none"/>
                    </w:rPr>
                    <w:t>布袋除尘器</w:t>
                  </w:r>
                  <w:r>
                    <w:rPr>
                      <w:rFonts w:hint="eastAsia"/>
                      <w:color w:val="auto"/>
                      <w:sz w:val="21"/>
                      <w:szCs w:val="21"/>
                      <w:highlight w:val="none"/>
                      <w:lang w:eastAsia="zh-CN"/>
                    </w:rPr>
                    <w:t>、集气罩、集气管路、排气筒等</w:t>
                  </w:r>
                </w:p>
              </w:tc>
              <w:tc>
                <w:tcPr>
                  <w:tcW w:w="751" w:type="pct"/>
                  <w:noWrap w:val="0"/>
                  <w:vAlign w:val="center"/>
                </w:tcPr>
                <w:p w14:paraId="0A1438CB">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84</w:t>
                  </w:r>
                </w:p>
              </w:tc>
            </w:tr>
            <w:tr w14:paraId="01DC7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45AD469C">
                  <w:pPr>
                    <w:jc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2</w:t>
                  </w:r>
                </w:p>
              </w:tc>
              <w:tc>
                <w:tcPr>
                  <w:tcW w:w="980" w:type="pct"/>
                  <w:noWrap w:val="0"/>
                  <w:vAlign w:val="center"/>
                </w:tcPr>
                <w:p w14:paraId="6B9C465F">
                  <w:pPr>
                    <w:jc w:val="center"/>
                    <w:rPr>
                      <w:rFonts w:ascii="Times New Roman" w:hAnsi="Times New Roman"/>
                      <w:color w:val="auto"/>
                      <w:sz w:val="21"/>
                      <w:szCs w:val="21"/>
                      <w:highlight w:val="none"/>
                    </w:rPr>
                  </w:pPr>
                  <w:r>
                    <w:rPr>
                      <w:rFonts w:ascii="Times New Roman" w:hAnsi="Times New Roman"/>
                      <w:color w:val="auto"/>
                      <w:sz w:val="21"/>
                      <w:szCs w:val="21"/>
                      <w:highlight w:val="none"/>
                    </w:rPr>
                    <w:t>废</w:t>
                  </w:r>
                  <w:r>
                    <w:rPr>
                      <w:rFonts w:hint="eastAsia" w:ascii="Times New Roman" w:hAnsi="Times New Roman"/>
                      <w:color w:val="auto"/>
                      <w:sz w:val="21"/>
                      <w:szCs w:val="21"/>
                      <w:highlight w:val="none"/>
                    </w:rPr>
                    <w:t>水</w:t>
                  </w:r>
                  <w:r>
                    <w:rPr>
                      <w:rFonts w:ascii="Times New Roman" w:hAnsi="Times New Roman"/>
                      <w:color w:val="auto"/>
                      <w:sz w:val="21"/>
                      <w:szCs w:val="21"/>
                      <w:highlight w:val="none"/>
                    </w:rPr>
                    <w:t>处理控制</w:t>
                  </w:r>
                </w:p>
              </w:tc>
              <w:tc>
                <w:tcPr>
                  <w:tcW w:w="2826" w:type="pct"/>
                  <w:noWrap w:val="0"/>
                  <w:vAlign w:val="center"/>
                </w:tcPr>
                <w:p w14:paraId="3C09FDAB">
                  <w:pPr>
                    <w:jc w:val="center"/>
                    <w:rPr>
                      <w:rFonts w:hint="eastAsia" w:ascii="Times New Roman" w:hAnsi="Times New Roman" w:eastAsia="宋体"/>
                      <w:color w:val="auto"/>
                      <w:sz w:val="21"/>
                      <w:szCs w:val="21"/>
                      <w:highlight w:val="none"/>
                      <w:lang w:eastAsia="zh-CN"/>
                    </w:rPr>
                  </w:pPr>
                  <w:r>
                    <w:rPr>
                      <w:rFonts w:hint="eastAsia" w:ascii="Times New Roman" w:hAnsi="Times New Roman"/>
                      <w:color w:val="auto"/>
                      <w:sz w:val="21"/>
                      <w:szCs w:val="21"/>
                      <w:highlight w:val="none"/>
                      <w:lang w:eastAsia="zh-CN"/>
                    </w:rPr>
                    <w:t>化粪池</w:t>
                  </w:r>
                </w:p>
              </w:tc>
              <w:tc>
                <w:tcPr>
                  <w:tcW w:w="751" w:type="pct"/>
                  <w:noWrap w:val="0"/>
                  <w:vAlign w:val="center"/>
                </w:tcPr>
                <w:p w14:paraId="6B6C2113">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1.0</w:t>
                  </w:r>
                </w:p>
              </w:tc>
            </w:tr>
            <w:tr w14:paraId="12840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7950F626">
                  <w:pPr>
                    <w:jc w:val="center"/>
                    <w:rPr>
                      <w:rFonts w:hint="eastAsia" w:ascii="Times New Roman" w:hAnsi="Times New Roman"/>
                      <w:sz w:val="21"/>
                      <w:szCs w:val="21"/>
                      <w:highlight w:val="none"/>
                    </w:rPr>
                  </w:pPr>
                  <w:r>
                    <w:rPr>
                      <w:rFonts w:hint="eastAsia" w:ascii="Times New Roman" w:hAnsi="Times New Roman"/>
                      <w:sz w:val="21"/>
                      <w:szCs w:val="21"/>
                      <w:highlight w:val="none"/>
                    </w:rPr>
                    <w:t>3</w:t>
                  </w:r>
                </w:p>
              </w:tc>
              <w:tc>
                <w:tcPr>
                  <w:tcW w:w="980" w:type="pct"/>
                  <w:noWrap w:val="0"/>
                  <w:vAlign w:val="center"/>
                </w:tcPr>
                <w:p w14:paraId="107F296C">
                  <w:pPr>
                    <w:jc w:val="center"/>
                    <w:rPr>
                      <w:rFonts w:ascii="Times New Roman" w:hAnsi="Times New Roman"/>
                      <w:sz w:val="21"/>
                      <w:szCs w:val="21"/>
                      <w:highlight w:val="none"/>
                    </w:rPr>
                  </w:pPr>
                  <w:r>
                    <w:rPr>
                      <w:rFonts w:ascii="Times New Roman" w:hAnsi="Times New Roman"/>
                      <w:sz w:val="21"/>
                      <w:szCs w:val="21"/>
                      <w:highlight w:val="none"/>
                    </w:rPr>
                    <w:t>噪声处理控制</w:t>
                  </w:r>
                </w:p>
              </w:tc>
              <w:tc>
                <w:tcPr>
                  <w:tcW w:w="2826" w:type="pct"/>
                  <w:noWrap w:val="0"/>
                  <w:vAlign w:val="center"/>
                </w:tcPr>
                <w:p w14:paraId="396A7410">
                  <w:pPr>
                    <w:autoSpaceDN w:val="0"/>
                    <w:adjustRightInd w:val="0"/>
                    <w:snapToGrid w:val="0"/>
                    <w:jc w:val="center"/>
                    <w:textAlignment w:val="center"/>
                    <w:rPr>
                      <w:rFonts w:ascii="Times New Roman" w:hAnsi="Times New Roman"/>
                      <w:bCs/>
                      <w:sz w:val="21"/>
                      <w:szCs w:val="21"/>
                      <w:highlight w:val="none"/>
                    </w:rPr>
                  </w:pPr>
                  <w:r>
                    <w:rPr>
                      <w:rFonts w:ascii="Times New Roman" w:hAnsi="Times New Roman"/>
                      <w:sz w:val="21"/>
                      <w:szCs w:val="21"/>
                      <w:highlight w:val="none"/>
                    </w:rPr>
                    <w:t>隔声、减震等设施</w:t>
                  </w:r>
                </w:p>
              </w:tc>
              <w:tc>
                <w:tcPr>
                  <w:tcW w:w="751" w:type="pct"/>
                  <w:noWrap w:val="0"/>
                  <w:vAlign w:val="center"/>
                </w:tcPr>
                <w:p w14:paraId="3E1A527F">
                  <w:pPr>
                    <w:jc w:val="center"/>
                    <w:rPr>
                      <w:rFonts w:hint="default" w:ascii="Times New Roman" w:hAnsi="Times New Roman" w:eastAsia="宋体"/>
                      <w:sz w:val="21"/>
                      <w:szCs w:val="21"/>
                      <w:highlight w:val="none"/>
                      <w:lang w:val="en-US" w:eastAsia="zh-CN"/>
                    </w:rPr>
                  </w:pPr>
                  <w:r>
                    <w:rPr>
                      <w:rFonts w:hint="eastAsia"/>
                      <w:sz w:val="21"/>
                      <w:szCs w:val="21"/>
                      <w:highlight w:val="none"/>
                      <w:lang w:val="en-US" w:eastAsia="zh-CN"/>
                    </w:rPr>
                    <w:t>10</w:t>
                  </w:r>
                </w:p>
              </w:tc>
            </w:tr>
            <w:tr w14:paraId="6D2F1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7E54BE78">
                  <w:pPr>
                    <w:jc w:val="center"/>
                    <w:rPr>
                      <w:rFonts w:hint="eastAsia" w:ascii="Times New Roman" w:hAnsi="Times New Roman"/>
                      <w:sz w:val="21"/>
                      <w:szCs w:val="21"/>
                      <w:highlight w:val="none"/>
                    </w:rPr>
                  </w:pPr>
                  <w:r>
                    <w:rPr>
                      <w:rFonts w:hint="eastAsia" w:ascii="Times New Roman" w:hAnsi="Times New Roman"/>
                      <w:sz w:val="21"/>
                      <w:szCs w:val="21"/>
                      <w:highlight w:val="none"/>
                    </w:rPr>
                    <w:t>4</w:t>
                  </w:r>
                </w:p>
              </w:tc>
              <w:tc>
                <w:tcPr>
                  <w:tcW w:w="980" w:type="pct"/>
                  <w:noWrap w:val="0"/>
                  <w:vAlign w:val="center"/>
                </w:tcPr>
                <w:p w14:paraId="501301E4">
                  <w:pPr>
                    <w:jc w:val="center"/>
                    <w:rPr>
                      <w:rFonts w:ascii="Times New Roman" w:hAnsi="Times New Roman"/>
                      <w:sz w:val="21"/>
                      <w:szCs w:val="21"/>
                      <w:highlight w:val="none"/>
                    </w:rPr>
                  </w:pPr>
                  <w:r>
                    <w:rPr>
                      <w:rFonts w:ascii="Times New Roman" w:hAnsi="Times New Roman"/>
                      <w:sz w:val="21"/>
                      <w:szCs w:val="21"/>
                      <w:highlight w:val="none"/>
                    </w:rPr>
                    <w:t>固废处理控制</w:t>
                  </w:r>
                </w:p>
              </w:tc>
              <w:tc>
                <w:tcPr>
                  <w:tcW w:w="2826" w:type="pct"/>
                  <w:noWrap w:val="0"/>
                  <w:vAlign w:val="center"/>
                </w:tcPr>
                <w:p w14:paraId="3E6B36FA">
                  <w:pPr>
                    <w:autoSpaceDN w:val="0"/>
                    <w:adjustRightInd w:val="0"/>
                    <w:snapToGrid w:val="0"/>
                    <w:jc w:val="center"/>
                    <w:textAlignment w:val="center"/>
                    <w:rPr>
                      <w:rFonts w:hint="eastAsia" w:ascii="Times New Roman" w:hAnsi="Times New Roman" w:eastAsia="宋体"/>
                      <w:bCs/>
                      <w:sz w:val="21"/>
                      <w:szCs w:val="21"/>
                      <w:highlight w:val="none"/>
                      <w:lang w:eastAsia="zh-CN"/>
                    </w:rPr>
                  </w:pPr>
                  <w:r>
                    <w:rPr>
                      <w:rFonts w:ascii="Times New Roman" w:hAnsi="Times New Roman"/>
                      <w:sz w:val="21"/>
                      <w:szCs w:val="21"/>
                      <w:highlight w:val="none"/>
                    </w:rPr>
                    <w:t>地面防渗、硬化</w:t>
                  </w:r>
                  <w:r>
                    <w:rPr>
                      <w:rFonts w:hint="eastAsia"/>
                      <w:sz w:val="21"/>
                      <w:szCs w:val="21"/>
                      <w:highlight w:val="none"/>
                      <w:lang w:eastAsia="zh-CN"/>
                    </w:rPr>
                    <w:t>、垃圾桶、固废暂存区</w:t>
                  </w:r>
                </w:p>
              </w:tc>
              <w:tc>
                <w:tcPr>
                  <w:tcW w:w="751" w:type="pct"/>
                  <w:noWrap w:val="0"/>
                  <w:vAlign w:val="center"/>
                </w:tcPr>
                <w:p w14:paraId="40005501">
                  <w:pPr>
                    <w:jc w:val="center"/>
                    <w:rPr>
                      <w:rFonts w:hint="default" w:ascii="Times New Roman" w:hAnsi="Times New Roman" w:eastAsia="宋体"/>
                      <w:sz w:val="21"/>
                      <w:szCs w:val="21"/>
                      <w:highlight w:val="none"/>
                      <w:lang w:val="en-US" w:eastAsia="zh-CN"/>
                    </w:rPr>
                  </w:pPr>
                  <w:r>
                    <w:rPr>
                      <w:rFonts w:hint="eastAsia"/>
                      <w:sz w:val="21"/>
                      <w:szCs w:val="21"/>
                      <w:highlight w:val="none"/>
                      <w:lang w:val="en-US" w:eastAsia="zh-CN"/>
                    </w:rPr>
                    <w:t>5</w:t>
                  </w:r>
                </w:p>
              </w:tc>
            </w:tr>
            <w:tr w14:paraId="33F45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41" w:type="pct"/>
                  <w:noWrap w:val="0"/>
                  <w:vAlign w:val="center"/>
                </w:tcPr>
                <w:p w14:paraId="703CF683">
                  <w:pPr>
                    <w:jc w:val="center"/>
                    <w:rPr>
                      <w:rFonts w:hint="eastAsia" w:ascii="Times New Roman" w:hAnsi="Times New Roman" w:eastAsia="宋体"/>
                      <w:sz w:val="21"/>
                      <w:szCs w:val="21"/>
                      <w:highlight w:val="none"/>
                      <w:lang w:eastAsia="zh-CN"/>
                    </w:rPr>
                  </w:pPr>
                  <w:r>
                    <w:rPr>
                      <w:rFonts w:hint="eastAsia"/>
                      <w:sz w:val="21"/>
                      <w:szCs w:val="21"/>
                      <w:highlight w:val="none"/>
                      <w:lang w:val="en-US" w:eastAsia="zh-CN"/>
                    </w:rPr>
                    <w:t>5</w:t>
                  </w:r>
                </w:p>
              </w:tc>
              <w:tc>
                <w:tcPr>
                  <w:tcW w:w="3806" w:type="pct"/>
                  <w:gridSpan w:val="2"/>
                  <w:noWrap w:val="0"/>
                  <w:vAlign w:val="center"/>
                </w:tcPr>
                <w:p w14:paraId="7705F8F9">
                  <w:pPr>
                    <w:autoSpaceDN w:val="0"/>
                    <w:adjustRightInd w:val="0"/>
                    <w:snapToGrid w:val="0"/>
                    <w:jc w:val="center"/>
                    <w:textAlignment w:val="center"/>
                    <w:rPr>
                      <w:rFonts w:hint="eastAsia" w:ascii="Times New Roman" w:hAnsi="Times New Roman"/>
                      <w:bCs/>
                      <w:sz w:val="21"/>
                      <w:szCs w:val="21"/>
                      <w:highlight w:val="none"/>
                    </w:rPr>
                  </w:pPr>
                  <w:r>
                    <w:rPr>
                      <w:rFonts w:ascii="Times New Roman" w:hAnsi="Times New Roman"/>
                      <w:sz w:val="21"/>
                      <w:szCs w:val="21"/>
                      <w:highlight w:val="none"/>
                    </w:rPr>
                    <w:t>合计</w:t>
                  </w:r>
                </w:p>
              </w:tc>
              <w:tc>
                <w:tcPr>
                  <w:tcW w:w="751" w:type="pct"/>
                  <w:noWrap w:val="0"/>
                  <w:vAlign w:val="center"/>
                </w:tcPr>
                <w:p w14:paraId="28B8A03B">
                  <w:pPr>
                    <w:jc w:val="center"/>
                    <w:rPr>
                      <w:rFonts w:hint="default" w:ascii="Times New Roman" w:hAnsi="Times New Roman" w:eastAsia="宋体"/>
                      <w:sz w:val="21"/>
                      <w:szCs w:val="21"/>
                      <w:highlight w:val="none"/>
                      <w:lang w:val="en-US" w:eastAsia="zh-CN"/>
                    </w:rPr>
                  </w:pPr>
                  <w:r>
                    <w:rPr>
                      <w:rFonts w:hint="eastAsia"/>
                      <w:sz w:val="21"/>
                      <w:szCs w:val="21"/>
                      <w:highlight w:val="none"/>
                      <w:lang w:val="en-US" w:eastAsia="zh-CN"/>
                    </w:rPr>
                    <w:t>100</w:t>
                  </w:r>
                </w:p>
              </w:tc>
            </w:tr>
          </w:tbl>
          <w:p w14:paraId="1B3FDC9D">
            <w:pPr>
              <w:pStyle w:val="2"/>
              <w:ind w:left="0" w:leftChars="0" w:firstLine="0" w:firstLineChars="0"/>
              <w:jc w:val="both"/>
              <w:rPr>
                <w:rFonts w:hint="default"/>
              </w:rPr>
            </w:pPr>
          </w:p>
        </w:tc>
      </w:tr>
      <w:tr w14:paraId="43164E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516" w:type="dxa"/>
            <w:vAlign w:val="center"/>
          </w:tcPr>
          <w:p w14:paraId="2606F55F">
            <w:pPr>
              <w:pStyle w:val="30"/>
              <w:adjustRightInd w:val="0"/>
              <w:snapToGrid w:val="0"/>
              <w:spacing w:before="0" w:beforeAutospacing="0" w:after="0" w:afterAutospacing="0"/>
              <w:jc w:val="center"/>
              <w:rPr>
                <w:rFonts w:cs="宋体"/>
                <w:b/>
                <w:bCs/>
                <w:color w:val="0000FF"/>
                <w:sz w:val="21"/>
                <w:szCs w:val="21"/>
              </w:rPr>
            </w:pPr>
            <w:r>
              <w:rPr>
                <w:rFonts w:hint="eastAsia" w:cs="宋体"/>
                <w:sz w:val="21"/>
                <w:szCs w:val="21"/>
              </w:rPr>
              <w:t>工艺流程和产排污环节</w:t>
            </w:r>
          </w:p>
        </w:tc>
        <w:tc>
          <w:tcPr>
            <w:tcW w:w="8544" w:type="dxa"/>
          </w:tcPr>
          <w:p w14:paraId="6642089A">
            <w:pPr>
              <w:widowControl/>
              <w:spacing w:line="360" w:lineRule="auto"/>
              <w:ind w:firstLine="422" w:firstLineChars="200"/>
              <w:jc w:val="left"/>
              <w:rPr>
                <w:sz w:val="21"/>
                <w:szCs w:val="21"/>
              </w:rPr>
            </w:pPr>
            <w:r>
              <w:rPr>
                <w:rFonts w:hint="eastAsia" w:ascii="宋体" w:hAnsi="宋体" w:cs="宋体"/>
                <w:b/>
                <w:bCs/>
                <w:color w:val="000000"/>
                <w:kern w:val="0"/>
                <w:sz w:val="21"/>
                <w:szCs w:val="21"/>
                <w:lang w:bidi="ar"/>
              </w:rPr>
              <w:t>一、工艺流程简述：</w:t>
            </w:r>
          </w:p>
          <w:p w14:paraId="506AFB4E">
            <w:pPr>
              <w:widowControl/>
              <w:spacing w:line="360" w:lineRule="auto"/>
              <w:ind w:firstLine="420" w:firstLineChars="200"/>
              <w:jc w:val="left"/>
              <w:rPr>
                <w:sz w:val="21"/>
                <w:szCs w:val="21"/>
              </w:rPr>
            </w:pPr>
            <w:r>
              <w:rPr>
                <w:rFonts w:hint="eastAsia" w:ascii="宋体" w:hAnsi="宋体" w:cs="宋体"/>
                <w:kern w:val="0"/>
                <w:sz w:val="21"/>
                <w:szCs w:val="21"/>
                <w:lang w:bidi="ar"/>
              </w:rPr>
              <w:t xml:space="preserve">（一）施工期 </w:t>
            </w:r>
          </w:p>
          <w:p w14:paraId="656FEFCF">
            <w:pPr>
              <w:widowControl/>
              <w:spacing w:line="360" w:lineRule="auto"/>
              <w:ind w:firstLine="420" w:firstLineChars="200"/>
              <w:jc w:val="left"/>
              <w:rPr>
                <w:sz w:val="21"/>
                <w:szCs w:val="21"/>
                <w:highlight w:val="none"/>
              </w:rPr>
            </w:pPr>
            <w:r>
              <w:rPr>
                <w:rFonts w:hint="eastAsia" w:ascii="宋体" w:hAnsi="宋体" w:cs="宋体"/>
                <w:kern w:val="0"/>
                <w:sz w:val="21"/>
                <w:szCs w:val="21"/>
                <w:lang w:bidi="ar"/>
              </w:rPr>
              <w:t>项目</w:t>
            </w:r>
            <w:r>
              <w:rPr>
                <w:rFonts w:hint="eastAsia" w:ascii="宋体" w:hAnsi="宋体" w:cs="宋体"/>
                <w:kern w:val="0"/>
                <w:sz w:val="21"/>
                <w:szCs w:val="21"/>
                <w:lang w:eastAsia="zh-CN" w:bidi="ar"/>
              </w:rPr>
              <w:t>租赁</w:t>
            </w:r>
            <w:r>
              <w:rPr>
                <w:rFonts w:hint="eastAsia" w:ascii="宋体" w:hAnsi="宋体" w:cs="宋体"/>
                <w:kern w:val="0"/>
                <w:sz w:val="21"/>
                <w:szCs w:val="21"/>
                <w:lang w:bidi="ar"/>
              </w:rPr>
              <w:t>现有厂房进行生产，施工期仅包括设备安装等内容，工程量不大，施工</w:t>
            </w:r>
            <w:r>
              <w:rPr>
                <w:rFonts w:hint="eastAsia" w:ascii="宋体" w:hAnsi="宋体" w:cs="宋体"/>
                <w:kern w:val="0"/>
                <w:sz w:val="21"/>
                <w:szCs w:val="21"/>
                <w:highlight w:val="none"/>
                <w:lang w:bidi="ar"/>
              </w:rPr>
              <w:t>期很短， 因此本环评不再分析施工期环境影响。</w:t>
            </w:r>
          </w:p>
          <w:p w14:paraId="3381EBB2">
            <w:pPr>
              <w:widowControl/>
              <w:spacing w:line="360" w:lineRule="auto"/>
              <w:ind w:firstLine="420" w:firstLineChars="200"/>
              <w:jc w:val="left"/>
              <w:rPr>
                <w:rFonts w:hint="eastAsia" w:ascii="宋体" w:hAnsi="宋体" w:cs="宋体"/>
                <w:kern w:val="0"/>
                <w:sz w:val="21"/>
                <w:szCs w:val="21"/>
                <w:highlight w:val="none"/>
                <w:lang w:bidi="ar"/>
              </w:rPr>
            </w:pPr>
            <w:r>
              <w:rPr>
                <w:rFonts w:hint="eastAsia" w:ascii="宋体" w:hAnsi="宋体" w:cs="宋体"/>
                <w:kern w:val="0"/>
                <w:sz w:val="21"/>
                <w:szCs w:val="21"/>
                <w:highlight w:val="none"/>
                <w:lang w:bidi="ar"/>
              </w:rPr>
              <w:t>（二）运营期</w:t>
            </w:r>
          </w:p>
          <w:p w14:paraId="380FCD9C">
            <w:pPr>
              <w:widowControl/>
              <w:spacing w:line="360" w:lineRule="auto"/>
              <w:ind w:firstLine="420" w:firstLineChars="200"/>
              <w:jc w:val="left"/>
              <w:rPr>
                <w:rFonts w:hint="default" w:ascii="Times New Roman" w:cs="Times New Roman"/>
                <w:color w:val="auto"/>
                <w:sz w:val="21"/>
                <w:szCs w:val="21"/>
                <w:highlight w:val="none"/>
              </w:rPr>
            </w:pPr>
            <w:r>
              <w:rPr>
                <w:rFonts w:hint="default" w:ascii="Times New Roman" w:hAnsi="Times New Roman" w:cs="Times New Roman"/>
                <w:kern w:val="0"/>
                <w:sz w:val="21"/>
                <w:szCs w:val="21"/>
                <w:highlight w:val="none"/>
                <w:lang w:val="en-US" w:eastAsia="zh-CN" w:bidi="ar"/>
              </w:rPr>
              <w:t>1、</w:t>
            </w:r>
            <w:r>
              <w:rPr>
                <w:rFonts w:hint="eastAsia" w:cs="Times New Roman"/>
                <w:kern w:val="0"/>
                <w:sz w:val="21"/>
                <w:szCs w:val="21"/>
                <w:highlight w:val="none"/>
                <w:lang w:val="en-US" w:eastAsia="zh-CN" w:bidi="ar"/>
              </w:rPr>
              <w:t>白刚玉生产工艺流程</w:t>
            </w:r>
          </w:p>
          <w:p w14:paraId="5AFA8885">
            <w:pPr>
              <w:pStyle w:val="2"/>
              <w:snapToGrid/>
              <w:spacing w:before="120"/>
              <w:ind w:firstLine="0"/>
              <w:rPr>
                <w:rFonts w:hint="eastAsia" w:eastAsia="宋体"/>
                <w:lang w:val="en-US" w:eastAsia="zh-CN"/>
              </w:rPr>
            </w:pPr>
            <w:r>
              <w:drawing>
                <wp:inline distT="0" distB="0" distL="114300" distR="114300">
                  <wp:extent cx="5278120" cy="1670050"/>
                  <wp:effectExtent l="0" t="0" r="10160" b="635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1"/>
                          <a:stretch>
                            <a:fillRect/>
                          </a:stretch>
                        </pic:blipFill>
                        <pic:spPr>
                          <a:xfrm>
                            <a:off x="0" y="0"/>
                            <a:ext cx="5278120" cy="1670050"/>
                          </a:xfrm>
                          <a:prstGeom prst="rect">
                            <a:avLst/>
                          </a:prstGeom>
                          <a:noFill/>
                          <a:ln>
                            <a:noFill/>
                          </a:ln>
                        </pic:spPr>
                      </pic:pic>
                    </a:graphicData>
                  </a:graphic>
                </wp:inline>
              </w:drawing>
            </w:r>
          </w:p>
          <w:p w14:paraId="41CF4CF3">
            <w:pPr>
              <w:pStyle w:val="2"/>
              <w:spacing w:before="120"/>
              <w:ind w:firstLine="420"/>
              <w:rPr>
                <w:rFonts w:hint="default" w:ascii="Times New Roman" w:cs="Times New Roman"/>
                <w:b/>
                <w:bCs/>
                <w:color w:val="auto"/>
                <w:sz w:val="21"/>
                <w:szCs w:val="21"/>
                <w:highlight w:val="none"/>
              </w:rPr>
            </w:pPr>
            <w:r>
              <w:rPr>
                <w:rFonts w:ascii="Times New Roman" w:cs="Times New Roman"/>
                <w:b/>
                <w:bCs/>
                <w:color w:val="auto"/>
                <w:sz w:val="21"/>
                <w:szCs w:val="21"/>
                <w:highlight w:val="none"/>
              </w:rPr>
              <w:t>图2 生产工艺流程及产污环节图</w:t>
            </w:r>
          </w:p>
          <w:p w14:paraId="28179A5E">
            <w:pPr>
              <w:pStyle w:val="2"/>
              <w:snapToGrid/>
              <w:spacing w:before="0" w:beforeLines="0"/>
              <w:ind w:firstLineChars="200"/>
              <w:jc w:val="left"/>
              <w:rPr>
                <w:rFonts w:hint="default" w:ascii="Times New Roman" w:cs="Times New Roman"/>
                <w:color w:val="auto"/>
                <w:sz w:val="21"/>
                <w:szCs w:val="21"/>
                <w:highlight w:val="none"/>
              </w:rPr>
            </w:pPr>
            <w:r>
              <w:rPr>
                <w:rFonts w:ascii="Times New Roman" w:cs="Times New Roman"/>
                <w:color w:val="auto"/>
                <w:sz w:val="21"/>
                <w:szCs w:val="21"/>
                <w:highlight w:val="none"/>
              </w:rPr>
              <w:t>生产工艺流程简述：</w:t>
            </w:r>
          </w:p>
          <w:p w14:paraId="7D1869E9">
            <w:pPr>
              <w:numPr>
                <w:ilvl w:val="0"/>
                <w:numId w:val="4"/>
              </w:numPr>
              <w:spacing w:line="360" w:lineRule="auto"/>
              <w:ind w:firstLine="420" w:firstLineChars="200"/>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投料：将外购的</w:t>
            </w:r>
            <w:r>
              <w:rPr>
                <w:rFonts w:hint="eastAsia" w:cs="Times New Roman"/>
                <w:b w:val="0"/>
                <w:bCs w:val="0"/>
                <w:color w:val="auto"/>
                <w:sz w:val="21"/>
                <w:szCs w:val="21"/>
                <w:highlight w:val="none"/>
                <w:lang w:eastAsia="zh-CN"/>
              </w:rPr>
              <w:t>白刚玉</w:t>
            </w:r>
            <w:r>
              <w:rPr>
                <w:rFonts w:hint="eastAsia" w:ascii="Times New Roman" w:hAnsi="Times New Roman" w:eastAsia="宋体" w:cs="Times New Roman"/>
                <w:b w:val="0"/>
                <w:bCs w:val="0"/>
                <w:color w:val="auto"/>
                <w:sz w:val="21"/>
                <w:szCs w:val="21"/>
                <w:highlight w:val="none"/>
                <w:lang w:eastAsia="zh-CN"/>
              </w:rPr>
              <w:t>利用铲车、行车运送至振动给料机，该工序会产生粉尘和噪声；</w:t>
            </w:r>
          </w:p>
          <w:p w14:paraId="17A020F2">
            <w:pPr>
              <w:numPr>
                <w:ilvl w:val="0"/>
                <w:numId w:val="4"/>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破碎：利用提升机将</w:t>
            </w:r>
            <w:r>
              <w:rPr>
                <w:rFonts w:hint="eastAsia" w:cs="Times New Roman"/>
                <w:b w:val="0"/>
                <w:bCs w:val="0"/>
                <w:color w:val="auto"/>
                <w:sz w:val="21"/>
                <w:szCs w:val="21"/>
                <w:highlight w:val="none"/>
                <w:lang w:eastAsia="zh-CN"/>
              </w:rPr>
              <w:t>白刚玉</w:t>
            </w:r>
            <w:r>
              <w:rPr>
                <w:rFonts w:hint="eastAsia" w:ascii="Times New Roman" w:hAnsi="Times New Roman" w:eastAsia="宋体" w:cs="Times New Roman"/>
                <w:b w:val="0"/>
                <w:bCs w:val="0"/>
                <w:color w:val="auto"/>
                <w:sz w:val="21"/>
                <w:szCs w:val="21"/>
                <w:highlight w:val="none"/>
                <w:lang w:eastAsia="zh-CN"/>
              </w:rPr>
              <w:t>输送至颚式破碎机进行破碎，该工序会产生粉尘和噪声；</w:t>
            </w:r>
          </w:p>
          <w:p w14:paraId="771BCCF6">
            <w:pPr>
              <w:numPr>
                <w:ilvl w:val="0"/>
                <w:numId w:val="4"/>
              </w:numPr>
              <w:spacing w:line="360" w:lineRule="auto"/>
              <w:ind w:firstLine="420" w:firstLineChars="200"/>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粉碎：将破碎好的物料利用提升机提升至对辊机进行粉碎，该工序会产生粉尘和噪声；</w:t>
            </w:r>
          </w:p>
          <w:p w14:paraId="5F253061">
            <w:pPr>
              <w:numPr>
                <w:ilvl w:val="0"/>
                <w:numId w:val="4"/>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筛分：粉碎后的物料</w:t>
            </w:r>
            <w:r>
              <w:rPr>
                <w:rFonts w:hint="eastAsia" w:cs="Times New Roman"/>
                <w:b w:val="0"/>
                <w:bCs w:val="0"/>
                <w:color w:val="auto"/>
                <w:sz w:val="21"/>
                <w:szCs w:val="21"/>
                <w:highlight w:val="none"/>
                <w:lang w:val="en-US" w:eastAsia="zh-CN"/>
              </w:rPr>
              <w:t>部分</w:t>
            </w:r>
            <w:r>
              <w:rPr>
                <w:rFonts w:hint="eastAsia" w:ascii="Times New Roman" w:hAnsi="Times New Roman" w:eastAsia="宋体" w:cs="Times New Roman"/>
                <w:b w:val="0"/>
                <w:bCs w:val="0"/>
                <w:color w:val="auto"/>
                <w:sz w:val="21"/>
                <w:szCs w:val="21"/>
                <w:highlight w:val="none"/>
                <w:lang w:val="en-US" w:eastAsia="zh-CN"/>
              </w:rPr>
              <w:t>输送至振动筛进行筛分，粒径较大的</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颗粒返回对辊机进行粉碎，该工序会产生粉尘和噪声。</w:t>
            </w:r>
          </w:p>
          <w:p w14:paraId="4F1FFD75">
            <w:pPr>
              <w:numPr>
                <w:ilvl w:val="0"/>
                <w:numId w:val="4"/>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磁选：筛分出来粒径符合要求的</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颗粒通过磁选机将其中的含铁物质分离出来，包装进行外售。</w:t>
            </w:r>
            <w:r>
              <w:rPr>
                <w:rFonts w:hint="eastAsia" w:cs="Times New Roman"/>
                <w:b w:val="0"/>
                <w:bCs w:val="0"/>
                <w:color w:val="auto"/>
                <w:sz w:val="21"/>
                <w:szCs w:val="21"/>
                <w:highlight w:val="none"/>
                <w:lang w:val="en-US" w:eastAsia="zh-CN"/>
              </w:rPr>
              <w:t>该工序会产生设备运行噪声及含铁物质。</w:t>
            </w:r>
          </w:p>
          <w:p w14:paraId="19AB4F93">
            <w:pPr>
              <w:numPr>
                <w:ilvl w:val="0"/>
                <w:numId w:val="4"/>
              </w:numPr>
              <w:spacing w:line="360" w:lineRule="auto"/>
              <w:ind w:firstLine="420" w:firstLineChars="20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清洗：根据客户要求，部分</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颗粒需</w:t>
            </w:r>
            <w:r>
              <w:rPr>
                <w:rFonts w:hint="eastAsia" w:cs="Times New Roman"/>
                <w:b w:val="0"/>
                <w:bCs w:val="0"/>
                <w:color w:val="auto"/>
                <w:sz w:val="21"/>
                <w:szCs w:val="21"/>
                <w:highlight w:val="none"/>
                <w:lang w:val="en-US" w:eastAsia="zh-CN"/>
              </w:rPr>
              <w:t>利用搅拌清洗槽</w:t>
            </w:r>
            <w:r>
              <w:rPr>
                <w:rFonts w:hint="eastAsia" w:ascii="Times New Roman" w:hAnsi="Times New Roman" w:eastAsia="宋体" w:cs="Times New Roman"/>
                <w:b w:val="0"/>
                <w:bCs w:val="0"/>
                <w:color w:val="auto"/>
                <w:sz w:val="21"/>
                <w:szCs w:val="21"/>
                <w:highlight w:val="none"/>
                <w:lang w:val="en-US" w:eastAsia="zh-CN"/>
              </w:rPr>
              <w:t>进行清洗、</w:t>
            </w:r>
            <w:r>
              <w:rPr>
                <w:rFonts w:hint="eastAsia"/>
                <w:sz w:val="21"/>
                <w:szCs w:val="21"/>
                <w:lang w:eastAsia="zh-CN"/>
              </w:rPr>
              <w:t>高频精细脱水筛</w:t>
            </w:r>
            <w:r>
              <w:rPr>
                <w:rFonts w:hint="eastAsia" w:ascii="Times New Roman" w:hAnsi="Times New Roman" w:eastAsia="宋体" w:cs="Times New Roman"/>
                <w:b w:val="0"/>
                <w:bCs w:val="0"/>
                <w:color w:val="auto"/>
                <w:sz w:val="21"/>
                <w:szCs w:val="21"/>
                <w:highlight w:val="none"/>
                <w:lang w:val="en-US" w:eastAsia="zh-CN"/>
              </w:rPr>
              <w:t>脱水</w:t>
            </w:r>
            <w:r>
              <w:rPr>
                <w:rFonts w:hint="eastAsia"/>
                <w:lang w:eastAsia="zh-CN"/>
              </w:rPr>
              <w:t>，然后</w:t>
            </w:r>
            <w:r>
              <w:rPr>
                <w:rFonts w:hint="eastAsia" w:ascii="Times New Roman" w:hAnsi="Times New Roman" w:eastAsia="宋体" w:cs="Times New Roman"/>
                <w:b w:val="0"/>
                <w:bCs w:val="0"/>
                <w:color w:val="auto"/>
                <w:sz w:val="21"/>
                <w:szCs w:val="21"/>
                <w:highlight w:val="none"/>
                <w:lang w:val="en-US" w:eastAsia="zh-CN"/>
              </w:rPr>
              <w:t>烘干、包装外售。该</w:t>
            </w:r>
            <w:r>
              <w:rPr>
                <w:rFonts w:hint="eastAsia" w:cs="Times New Roman"/>
                <w:b w:val="0"/>
                <w:bCs w:val="0"/>
                <w:color w:val="auto"/>
                <w:sz w:val="21"/>
                <w:szCs w:val="21"/>
                <w:highlight w:val="none"/>
                <w:lang w:val="en-US" w:eastAsia="zh-CN"/>
              </w:rPr>
              <w:t>工序</w:t>
            </w:r>
            <w:r>
              <w:rPr>
                <w:rFonts w:hint="eastAsia" w:ascii="Times New Roman" w:hAnsi="Times New Roman" w:eastAsia="宋体" w:cs="Times New Roman"/>
                <w:b w:val="0"/>
                <w:bCs w:val="0"/>
                <w:color w:val="auto"/>
                <w:sz w:val="21"/>
                <w:szCs w:val="21"/>
                <w:highlight w:val="none"/>
                <w:lang w:val="en-US" w:eastAsia="zh-CN"/>
              </w:rPr>
              <w:t>会产是设备运行噪声</w:t>
            </w:r>
            <w:r>
              <w:rPr>
                <w:rFonts w:hint="eastAsia" w:cs="Times New Roman"/>
                <w:b w:val="0"/>
                <w:bCs w:val="0"/>
                <w:color w:val="auto"/>
                <w:sz w:val="21"/>
                <w:szCs w:val="21"/>
                <w:highlight w:val="none"/>
                <w:lang w:val="en-US" w:eastAsia="zh-CN"/>
              </w:rPr>
              <w:t>，清洗用水、脱水循环使用。</w:t>
            </w:r>
          </w:p>
          <w:p w14:paraId="080D36C7">
            <w:pPr>
              <w:numPr>
                <w:ilvl w:val="0"/>
                <w:numId w:val="4"/>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球磨</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粉碎后的物料</w:t>
            </w:r>
            <w:r>
              <w:rPr>
                <w:rFonts w:hint="eastAsia" w:cs="Times New Roman"/>
                <w:b w:val="0"/>
                <w:bCs w:val="0"/>
                <w:color w:val="auto"/>
                <w:sz w:val="21"/>
                <w:szCs w:val="21"/>
                <w:highlight w:val="none"/>
                <w:lang w:val="en-US" w:eastAsia="zh-CN"/>
              </w:rPr>
              <w:t>部分</w:t>
            </w:r>
            <w:r>
              <w:rPr>
                <w:rFonts w:hint="eastAsia" w:ascii="Times New Roman" w:hAnsi="Times New Roman" w:eastAsia="宋体" w:cs="Times New Roman"/>
                <w:b w:val="0"/>
                <w:bCs w:val="0"/>
                <w:color w:val="auto"/>
                <w:sz w:val="21"/>
                <w:szCs w:val="21"/>
                <w:highlight w:val="none"/>
                <w:lang w:val="en-US" w:eastAsia="zh-CN"/>
              </w:rPr>
              <w:t>通过球磨机进行球磨。该工序会产生</w:t>
            </w:r>
            <w:r>
              <w:rPr>
                <w:rFonts w:hint="eastAsia"/>
                <w:lang w:eastAsia="zh-CN"/>
              </w:rPr>
              <w:t>粉尘及</w:t>
            </w:r>
            <w:r>
              <w:rPr>
                <w:rFonts w:hint="eastAsia" w:ascii="Times New Roman" w:hAnsi="Times New Roman" w:eastAsia="宋体" w:cs="Times New Roman"/>
                <w:b w:val="0"/>
                <w:bCs w:val="0"/>
                <w:color w:val="auto"/>
                <w:sz w:val="21"/>
                <w:szCs w:val="21"/>
                <w:highlight w:val="none"/>
                <w:lang w:val="en-US" w:eastAsia="zh-CN"/>
              </w:rPr>
              <w:t>设备运行噪声。</w:t>
            </w:r>
          </w:p>
          <w:p w14:paraId="4CE49263">
            <w:pPr>
              <w:numPr>
                <w:ilvl w:val="0"/>
                <w:numId w:val="4"/>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筛分：球磨后的物料输送至振动筛进行筛分，粒径较大的</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 xml:space="preserve">颗粒返回球磨机进行球磨，符合要求的白刚玉粉末经包装后，外售，该工序会产生粉尘和噪声。 </w:t>
            </w:r>
          </w:p>
          <w:p w14:paraId="764F8E22">
            <w:pPr>
              <w:pStyle w:val="7"/>
              <w:snapToGrid w:val="0"/>
              <w:spacing w:before="0" w:after="0" w:line="360" w:lineRule="auto"/>
              <w:ind w:left="0" w:firstLine="420" w:firstLineChars="200"/>
              <w:jc w:val="left"/>
              <w:rPr>
                <w:rFonts w:hint="eastAsia"/>
                <w:b w:val="0"/>
                <w:bCs w:val="0"/>
                <w:sz w:val="21"/>
                <w:szCs w:val="21"/>
                <w:highlight w:val="none"/>
                <w:lang w:val="en-US" w:eastAsia="zh-CN"/>
              </w:rPr>
            </w:pPr>
          </w:p>
          <w:p w14:paraId="293DA3C5">
            <w:pPr>
              <w:pStyle w:val="7"/>
              <w:snapToGrid w:val="0"/>
              <w:spacing w:before="0" w:after="0" w:line="360" w:lineRule="auto"/>
              <w:ind w:left="0" w:firstLine="420" w:firstLineChars="200"/>
              <w:jc w:val="left"/>
              <w:rPr>
                <w:rFonts w:hint="eastAsia"/>
                <w:b w:val="0"/>
                <w:bCs w:val="0"/>
                <w:sz w:val="21"/>
                <w:szCs w:val="21"/>
                <w:highlight w:val="none"/>
                <w:lang w:val="en-US" w:eastAsia="zh-CN"/>
              </w:rPr>
            </w:pPr>
          </w:p>
          <w:p w14:paraId="27450E2B">
            <w:pPr>
              <w:pStyle w:val="7"/>
              <w:snapToGrid w:val="0"/>
              <w:spacing w:before="0" w:after="0" w:line="360" w:lineRule="auto"/>
              <w:ind w:left="0" w:firstLine="420" w:firstLineChars="200"/>
              <w:jc w:val="left"/>
              <w:rPr>
                <w:rFonts w:hint="eastAsia" w:eastAsia="宋体"/>
                <w:b w:val="0"/>
                <w:bCs w:val="0"/>
                <w:sz w:val="21"/>
                <w:szCs w:val="21"/>
                <w:highlight w:val="none"/>
                <w:lang w:val="en-US" w:eastAsia="zh-CN"/>
              </w:rPr>
            </w:pPr>
            <w:r>
              <w:rPr>
                <w:rFonts w:hint="eastAsia"/>
                <w:b w:val="0"/>
                <w:bCs w:val="0"/>
                <w:sz w:val="21"/>
                <w:szCs w:val="21"/>
                <w:highlight w:val="none"/>
                <w:lang w:val="en-US" w:eastAsia="zh-CN"/>
              </w:rPr>
              <w:t>2、铬刚玉与棕刚玉生产工艺流程</w:t>
            </w:r>
          </w:p>
          <w:p w14:paraId="7D098319">
            <w:pPr>
              <w:pStyle w:val="7"/>
              <w:keepNext/>
              <w:keepLines/>
              <w:pageBreakBefore w:val="0"/>
              <w:widowControl w:val="0"/>
              <w:kinsoku/>
              <w:wordWrap/>
              <w:overflowPunct/>
              <w:topLinePunct w:val="0"/>
              <w:autoSpaceDE/>
              <w:autoSpaceDN/>
              <w:bidi w:val="0"/>
              <w:adjustRightInd/>
              <w:snapToGrid w:val="0"/>
              <w:spacing w:before="0" w:after="0" w:line="360" w:lineRule="auto"/>
              <w:ind w:left="0" w:firstLine="0" w:firstLineChars="0"/>
              <w:jc w:val="left"/>
              <w:textAlignment w:val="auto"/>
              <w:rPr>
                <w:rFonts w:hint="eastAsia"/>
                <w:b w:val="0"/>
                <w:bCs w:val="0"/>
                <w:sz w:val="21"/>
                <w:szCs w:val="21"/>
                <w:highlight w:val="red"/>
              </w:rPr>
            </w:pPr>
            <w:r>
              <w:drawing>
                <wp:inline distT="0" distB="0" distL="114300" distR="114300">
                  <wp:extent cx="5285740" cy="1908175"/>
                  <wp:effectExtent l="0" t="0" r="2540" b="12065"/>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12"/>
                          <a:stretch>
                            <a:fillRect/>
                          </a:stretch>
                        </pic:blipFill>
                        <pic:spPr>
                          <a:xfrm>
                            <a:off x="0" y="0"/>
                            <a:ext cx="5285740" cy="1908175"/>
                          </a:xfrm>
                          <a:prstGeom prst="rect">
                            <a:avLst/>
                          </a:prstGeom>
                          <a:noFill/>
                          <a:ln>
                            <a:noFill/>
                          </a:ln>
                        </pic:spPr>
                      </pic:pic>
                    </a:graphicData>
                  </a:graphic>
                </wp:inline>
              </w:drawing>
            </w:r>
          </w:p>
          <w:p w14:paraId="719526AF">
            <w:pPr>
              <w:pStyle w:val="7"/>
              <w:snapToGrid w:val="0"/>
              <w:spacing w:before="0" w:after="0" w:line="360" w:lineRule="auto"/>
              <w:jc w:val="center"/>
              <w:rPr>
                <w:rFonts w:hint="eastAsia"/>
                <w:b w:val="0"/>
                <w:bCs w:val="0"/>
                <w:sz w:val="21"/>
                <w:szCs w:val="21"/>
                <w:highlight w:val="red"/>
              </w:rPr>
            </w:pPr>
            <w:r>
              <w:rPr>
                <w:rFonts w:hint="eastAsia"/>
                <w:b/>
                <w:bCs/>
                <w:sz w:val="21"/>
                <w:szCs w:val="21"/>
                <w:highlight w:val="none"/>
                <w:lang w:eastAsia="zh-CN"/>
              </w:rPr>
              <w:t>图</w:t>
            </w:r>
            <w:r>
              <w:rPr>
                <w:rFonts w:hint="eastAsia"/>
                <w:b/>
                <w:bCs/>
                <w:sz w:val="21"/>
                <w:szCs w:val="21"/>
                <w:highlight w:val="none"/>
                <w:lang w:val="en-US" w:eastAsia="zh-CN"/>
              </w:rPr>
              <w:t>3 铬刚玉与棕刚玉生产工艺流程及产污环节图</w:t>
            </w:r>
          </w:p>
          <w:p w14:paraId="05B5698C">
            <w:pPr>
              <w:pStyle w:val="2"/>
              <w:snapToGrid/>
              <w:spacing w:before="0" w:beforeLines="0" w:line="360" w:lineRule="auto"/>
              <w:ind w:firstLineChars="200"/>
              <w:jc w:val="left"/>
              <w:rPr>
                <w:rFonts w:hint="default" w:ascii="Times New Roman" w:cs="Times New Roman"/>
                <w:color w:val="auto"/>
                <w:sz w:val="21"/>
                <w:szCs w:val="21"/>
                <w:highlight w:val="none"/>
              </w:rPr>
            </w:pPr>
            <w:r>
              <w:rPr>
                <w:rFonts w:ascii="Times New Roman" w:cs="Times New Roman"/>
                <w:color w:val="auto"/>
                <w:sz w:val="21"/>
                <w:szCs w:val="21"/>
                <w:highlight w:val="none"/>
              </w:rPr>
              <w:t>生产工艺流程简述：</w:t>
            </w:r>
          </w:p>
          <w:p w14:paraId="71757427">
            <w:pPr>
              <w:numPr>
                <w:ilvl w:val="0"/>
                <w:numId w:val="5"/>
              </w:numPr>
              <w:spacing w:line="360" w:lineRule="auto"/>
              <w:ind w:firstLine="420" w:firstLineChars="200"/>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投料：将外购的</w:t>
            </w:r>
            <w:r>
              <w:rPr>
                <w:rFonts w:hint="eastAsia" w:cs="Times New Roman"/>
                <w:b w:val="0"/>
                <w:bCs w:val="0"/>
                <w:color w:val="auto"/>
                <w:sz w:val="21"/>
                <w:szCs w:val="21"/>
                <w:highlight w:val="none"/>
                <w:lang w:eastAsia="zh-CN"/>
              </w:rPr>
              <w:t>棕刚玉、铬刚玉</w:t>
            </w:r>
            <w:r>
              <w:rPr>
                <w:rFonts w:hint="eastAsia" w:ascii="Times New Roman" w:hAnsi="Times New Roman" w:eastAsia="宋体" w:cs="Times New Roman"/>
                <w:b w:val="0"/>
                <w:bCs w:val="0"/>
                <w:color w:val="auto"/>
                <w:sz w:val="21"/>
                <w:szCs w:val="21"/>
                <w:highlight w:val="none"/>
                <w:lang w:eastAsia="zh-CN"/>
              </w:rPr>
              <w:t>利用铲车、行车运送至振动给料机，该工序会产生粉尘和噪声；</w:t>
            </w:r>
          </w:p>
          <w:p w14:paraId="2BDADAA8">
            <w:pPr>
              <w:numPr>
                <w:ilvl w:val="0"/>
                <w:numId w:val="5"/>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破碎：利用提升机将</w:t>
            </w:r>
            <w:r>
              <w:rPr>
                <w:rFonts w:hint="eastAsia" w:cs="Times New Roman"/>
                <w:b w:val="0"/>
                <w:bCs w:val="0"/>
                <w:color w:val="auto"/>
                <w:sz w:val="21"/>
                <w:szCs w:val="21"/>
                <w:highlight w:val="none"/>
                <w:lang w:eastAsia="zh-CN"/>
              </w:rPr>
              <w:t>棕刚玉、铬刚玉</w:t>
            </w:r>
            <w:r>
              <w:rPr>
                <w:rFonts w:hint="eastAsia" w:ascii="Times New Roman" w:hAnsi="Times New Roman" w:eastAsia="宋体" w:cs="Times New Roman"/>
                <w:b w:val="0"/>
                <w:bCs w:val="0"/>
                <w:color w:val="auto"/>
                <w:sz w:val="21"/>
                <w:szCs w:val="21"/>
                <w:highlight w:val="none"/>
                <w:lang w:eastAsia="zh-CN"/>
              </w:rPr>
              <w:t>输送至颚式破碎机进行破碎，该工序会产生粉尘和噪声；</w:t>
            </w:r>
          </w:p>
          <w:p w14:paraId="28AC6E0A">
            <w:pPr>
              <w:numPr>
                <w:ilvl w:val="0"/>
                <w:numId w:val="5"/>
              </w:numPr>
              <w:spacing w:line="360" w:lineRule="auto"/>
              <w:ind w:firstLine="420" w:firstLineChars="200"/>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粉碎：将破碎好的物料利用提升机提升至对辊机进行粉碎，该工序会产生粉尘和噪声；</w:t>
            </w:r>
          </w:p>
          <w:p w14:paraId="7D5813CD">
            <w:pPr>
              <w:numPr>
                <w:ilvl w:val="0"/>
                <w:numId w:val="5"/>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筛分：粉碎后的物料</w:t>
            </w:r>
            <w:r>
              <w:rPr>
                <w:rFonts w:hint="eastAsia" w:cs="Times New Roman"/>
                <w:b w:val="0"/>
                <w:bCs w:val="0"/>
                <w:color w:val="auto"/>
                <w:sz w:val="21"/>
                <w:szCs w:val="21"/>
                <w:highlight w:val="none"/>
                <w:lang w:val="en-US" w:eastAsia="zh-CN"/>
              </w:rPr>
              <w:t>部分</w:t>
            </w:r>
            <w:r>
              <w:rPr>
                <w:rFonts w:hint="eastAsia" w:ascii="Times New Roman" w:hAnsi="Times New Roman" w:eastAsia="宋体" w:cs="Times New Roman"/>
                <w:b w:val="0"/>
                <w:bCs w:val="0"/>
                <w:color w:val="auto"/>
                <w:sz w:val="21"/>
                <w:szCs w:val="21"/>
                <w:highlight w:val="none"/>
                <w:lang w:val="en-US" w:eastAsia="zh-CN"/>
              </w:rPr>
              <w:t>输送至振动筛进行筛分，粒径较大的</w:t>
            </w:r>
            <w:r>
              <w:rPr>
                <w:rFonts w:hint="eastAsia" w:cs="Times New Roman"/>
                <w:b w:val="0"/>
                <w:bCs w:val="0"/>
                <w:color w:val="auto"/>
                <w:sz w:val="21"/>
                <w:szCs w:val="21"/>
                <w:highlight w:val="none"/>
                <w:lang w:val="en-US" w:eastAsia="zh-CN"/>
              </w:rPr>
              <w:t>棕刚玉、铬刚玉</w:t>
            </w:r>
            <w:r>
              <w:rPr>
                <w:rFonts w:hint="eastAsia" w:ascii="Times New Roman" w:hAnsi="Times New Roman" w:eastAsia="宋体" w:cs="Times New Roman"/>
                <w:b w:val="0"/>
                <w:bCs w:val="0"/>
                <w:color w:val="auto"/>
                <w:sz w:val="21"/>
                <w:szCs w:val="21"/>
                <w:highlight w:val="none"/>
                <w:lang w:val="en-US" w:eastAsia="zh-CN"/>
              </w:rPr>
              <w:t>颗粒返回对辊机进行粉碎，该工序会产生粉尘和噪声。</w:t>
            </w:r>
          </w:p>
          <w:p w14:paraId="33C3ED24">
            <w:pPr>
              <w:numPr>
                <w:ilvl w:val="0"/>
                <w:numId w:val="5"/>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磁选：筛分出来粒径符合要求的</w:t>
            </w:r>
            <w:r>
              <w:rPr>
                <w:rFonts w:hint="eastAsia" w:cs="Times New Roman"/>
                <w:b w:val="0"/>
                <w:bCs w:val="0"/>
                <w:color w:val="auto"/>
                <w:sz w:val="21"/>
                <w:szCs w:val="21"/>
                <w:highlight w:val="none"/>
                <w:lang w:val="en-US" w:eastAsia="zh-CN"/>
              </w:rPr>
              <w:t>棕刚玉、铬刚玉</w:t>
            </w:r>
            <w:r>
              <w:rPr>
                <w:rFonts w:hint="eastAsia" w:ascii="Times New Roman" w:hAnsi="Times New Roman" w:eastAsia="宋体" w:cs="Times New Roman"/>
                <w:b w:val="0"/>
                <w:bCs w:val="0"/>
                <w:color w:val="auto"/>
                <w:sz w:val="21"/>
                <w:szCs w:val="21"/>
                <w:highlight w:val="none"/>
                <w:lang w:val="en-US" w:eastAsia="zh-CN"/>
              </w:rPr>
              <w:t>颗粒部分通过磁选机将其中的含铁物质分离出来，包装进行外售。</w:t>
            </w:r>
            <w:r>
              <w:rPr>
                <w:rFonts w:hint="eastAsia" w:cs="Times New Roman"/>
                <w:b w:val="0"/>
                <w:bCs w:val="0"/>
                <w:color w:val="auto"/>
                <w:sz w:val="21"/>
                <w:szCs w:val="21"/>
                <w:highlight w:val="none"/>
                <w:lang w:val="en-US" w:eastAsia="zh-CN"/>
              </w:rPr>
              <w:t>该工序会产生设备运行噪声及含铁物质。</w:t>
            </w:r>
          </w:p>
          <w:p w14:paraId="6C966D06">
            <w:pPr>
              <w:numPr>
                <w:ilvl w:val="0"/>
                <w:numId w:val="5"/>
              </w:numPr>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球磨：粉碎后的物料部分通过球磨机进行球磨。该工序会产生</w:t>
            </w:r>
            <w:r>
              <w:rPr>
                <w:rFonts w:hint="eastAsia"/>
                <w:lang w:eastAsia="zh-CN"/>
              </w:rPr>
              <w:t>粉尘及</w:t>
            </w:r>
            <w:r>
              <w:rPr>
                <w:rFonts w:hint="eastAsia" w:ascii="Times New Roman" w:hAnsi="Times New Roman" w:eastAsia="宋体" w:cs="Times New Roman"/>
                <w:b w:val="0"/>
                <w:bCs w:val="0"/>
                <w:color w:val="auto"/>
                <w:sz w:val="21"/>
                <w:szCs w:val="21"/>
                <w:highlight w:val="none"/>
                <w:lang w:val="en-US" w:eastAsia="zh-CN"/>
              </w:rPr>
              <w:t>设备运行噪声。</w:t>
            </w:r>
          </w:p>
          <w:p w14:paraId="12ED5686">
            <w:pPr>
              <w:pStyle w:val="7"/>
              <w:numPr>
                <w:ilvl w:val="0"/>
                <w:numId w:val="5"/>
              </w:numPr>
              <w:snapToGrid w:val="0"/>
              <w:spacing w:before="0" w:after="0" w:line="360" w:lineRule="auto"/>
              <w:ind w:left="0" w:leftChars="0" w:firstLine="420" w:firstLineChars="20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筛分：球磨后的物料输送至振动筛进行筛分，粒径较大的</w:t>
            </w:r>
            <w:r>
              <w:rPr>
                <w:rFonts w:hint="eastAsia" w:cs="Times New Roman"/>
                <w:b w:val="0"/>
                <w:bCs w:val="0"/>
                <w:color w:val="auto"/>
                <w:sz w:val="21"/>
                <w:szCs w:val="21"/>
                <w:highlight w:val="none"/>
                <w:lang w:val="en-US" w:eastAsia="zh-CN"/>
              </w:rPr>
              <w:t>白刚玉</w:t>
            </w:r>
            <w:r>
              <w:rPr>
                <w:rFonts w:hint="eastAsia" w:ascii="Times New Roman" w:hAnsi="Times New Roman" w:eastAsia="宋体" w:cs="Times New Roman"/>
                <w:b w:val="0"/>
                <w:bCs w:val="0"/>
                <w:color w:val="auto"/>
                <w:sz w:val="21"/>
                <w:szCs w:val="21"/>
                <w:highlight w:val="none"/>
                <w:lang w:val="en-US" w:eastAsia="zh-CN"/>
              </w:rPr>
              <w:t>颗粒返回球磨机进行球磨，符合要求的白刚玉粉末经包装后，外售，该工序会产生粉尘和噪声。</w:t>
            </w:r>
          </w:p>
          <w:p w14:paraId="0AB7A5FA">
            <w:pPr>
              <w:pStyle w:val="7"/>
              <w:numPr>
                <w:ilvl w:val="0"/>
                <w:numId w:val="0"/>
              </w:numPr>
              <w:snapToGrid w:val="0"/>
              <w:spacing w:before="0" w:after="0" w:line="360" w:lineRule="auto"/>
              <w:ind w:leftChars="200"/>
              <w:rPr>
                <w:sz w:val="21"/>
                <w:szCs w:val="21"/>
                <w:highlight w:val="none"/>
              </w:rPr>
            </w:pPr>
            <w:r>
              <w:rPr>
                <w:rFonts w:hint="eastAsia" w:ascii="宋体" w:hAnsi="宋体" w:cs="宋体"/>
                <w:kern w:val="0"/>
                <w:sz w:val="21"/>
                <w:szCs w:val="21"/>
                <w:highlight w:val="none"/>
                <w:lang w:bidi="ar"/>
              </w:rPr>
              <w:t>二、主要污染工序：</w:t>
            </w:r>
          </w:p>
          <w:p w14:paraId="4ACACAD3">
            <w:pPr>
              <w:widowControl/>
              <w:spacing w:line="360" w:lineRule="auto"/>
              <w:ind w:firstLine="420" w:firstLineChars="200"/>
              <w:jc w:val="left"/>
              <w:rPr>
                <w:kern w:val="0"/>
                <w:sz w:val="21"/>
                <w:szCs w:val="21"/>
                <w:highlight w:val="none"/>
                <w:lang w:bidi="ar"/>
              </w:rPr>
            </w:pPr>
            <w:r>
              <w:rPr>
                <w:kern w:val="0"/>
                <w:sz w:val="21"/>
                <w:szCs w:val="21"/>
                <w:highlight w:val="none"/>
                <w:lang w:bidi="ar"/>
              </w:rPr>
              <w:t xml:space="preserve">1、废气 </w:t>
            </w:r>
          </w:p>
          <w:p w14:paraId="2FB379DE">
            <w:pPr>
              <w:pStyle w:val="2"/>
              <w:snapToGrid/>
              <w:spacing w:before="0" w:beforeLines="0"/>
              <w:ind w:firstLineChars="200"/>
              <w:jc w:val="both"/>
              <w:rPr>
                <w:rFonts w:hint="eastAsia" w:ascii="Times New Roman" w:eastAsia="宋体" w:cs="Times New Roman"/>
                <w:b/>
                <w:bCs/>
                <w:color w:val="auto"/>
                <w:sz w:val="21"/>
                <w:szCs w:val="21"/>
                <w:highlight w:val="none"/>
                <w:lang w:eastAsia="zh-CN"/>
              </w:rPr>
            </w:pPr>
            <w:r>
              <w:rPr>
                <w:rFonts w:hint="eastAsia" w:ascii="Times New Roman" w:cs="Times New Roman"/>
                <w:color w:val="auto"/>
                <w:sz w:val="21"/>
                <w:szCs w:val="21"/>
                <w:highlight w:val="none"/>
                <w:lang w:eastAsia="zh-CN"/>
              </w:rPr>
              <w:t>本</w:t>
            </w:r>
            <w:r>
              <w:rPr>
                <w:rFonts w:hint="default" w:ascii="Times New Roman" w:cs="Times New Roman"/>
                <w:color w:val="auto"/>
                <w:sz w:val="21"/>
                <w:szCs w:val="21"/>
                <w:highlight w:val="none"/>
              </w:rPr>
              <w:t>项目废气主要</w:t>
            </w:r>
            <w:r>
              <w:rPr>
                <w:rFonts w:ascii="Times New Roman" w:cs="Times New Roman"/>
                <w:color w:val="auto"/>
                <w:sz w:val="21"/>
                <w:szCs w:val="21"/>
                <w:highlight w:val="none"/>
              </w:rPr>
              <w:t>为</w:t>
            </w:r>
            <w:r>
              <w:rPr>
                <w:rFonts w:hint="eastAsia" w:ascii="Times New Roman" w:cs="Times New Roman"/>
                <w:color w:val="auto"/>
                <w:sz w:val="21"/>
                <w:szCs w:val="21"/>
                <w:highlight w:val="none"/>
                <w:lang w:eastAsia="zh-CN"/>
              </w:rPr>
              <w:t>投料、破碎、粉碎、筛分、球磨、包装及装卸工序产生的颗粒物。</w:t>
            </w:r>
          </w:p>
          <w:p w14:paraId="0AFE9442">
            <w:pPr>
              <w:widowControl/>
              <w:spacing w:line="360" w:lineRule="auto"/>
              <w:ind w:firstLine="420" w:firstLineChars="200"/>
              <w:jc w:val="left"/>
              <w:rPr>
                <w:kern w:val="0"/>
                <w:sz w:val="21"/>
                <w:szCs w:val="21"/>
                <w:highlight w:val="none"/>
                <w:lang w:bidi="ar"/>
              </w:rPr>
            </w:pPr>
            <w:r>
              <w:rPr>
                <w:kern w:val="0"/>
                <w:sz w:val="21"/>
                <w:szCs w:val="21"/>
                <w:highlight w:val="none"/>
                <w:lang w:bidi="ar"/>
              </w:rPr>
              <w:t xml:space="preserve">2、废水 </w:t>
            </w:r>
          </w:p>
          <w:p w14:paraId="1AD3A8B0">
            <w:pPr>
              <w:widowControl/>
              <w:spacing w:line="360" w:lineRule="auto"/>
              <w:ind w:firstLine="420" w:firstLineChars="200"/>
              <w:jc w:val="left"/>
              <w:rPr>
                <w:rFonts w:hint="eastAsia"/>
                <w:kern w:val="0"/>
                <w:sz w:val="21"/>
                <w:szCs w:val="21"/>
                <w:highlight w:val="none"/>
                <w:lang w:eastAsia="zh-CN" w:bidi="ar"/>
              </w:rPr>
            </w:pPr>
            <w:r>
              <w:rPr>
                <w:rFonts w:hint="eastAsia"/>
                <w:kern w:val="0"/>
                <w:sz w:val="21"/>
                <w:szCs w:val="21"/>
                <w:highlight w:val="none"/>
                <w:lang w:eastAsia="zh-CN" w:bidi="ar"/>
              </w:rPr>
              <w:t>本项目抑尘用水全部损耗、清洗用水循环使用，定期补充损耗，项目废水主要为生活污水，经化粪池暂存后，由环卫部门定期清运。</w:t>
            </w:r>
          </w:p>
          <w:p w14:paraId="3AC530BE">
            <w:pPr>
              <w:widowControl/>
              <w:spacing w:line="360" w:lineRule="auto"/>
              <w:ind w:firstLine="420" w:firstLineChars="200"/>
              <w:jc w:val="left"/>
              <w:rPr>
                <w:kern w:val="0"/>
                <w:sz w:val="21"/>
                <w:szCs w:val="21"/>
                <w:highlight w:val="none"/>
                <w:lang w:bidi="ar"/>
              </w:rPr>
            </w:pPr>
            <w:r>
              <w:rPr>
                <w:kern w:val="0"/>
                <w:sz w:val="21"/>
                <w:szCs w:val="21"/>
                <w:highlight w:val="none"/>
                <w:lang w:bidi="ar"/>
              </w:rPr>
              <w:t xml:space="preserve">3、噪声 </w:t>
            </w:r>
          </w:p>
          <w:p w14:paraId="45D3A697">
            <w:pPr>
              <w:widowControl/>
              <w:spacing w:line="360" w:lineRule="auto"/>
              <w:ind w:firstLine="420" w:firstLineChars="200"/>
              <w:jc w:val="left"/>
              <w:rPr>
                <w:kern w:val="0"/>
                <w:sz w:val="21"/>
                <w:szCs w:val="21"/>
                <w:highlight w:val="none"/>
                <w:lang w:bidi="ar"/>
              </w:rPr>
            </w:pPr>
            <w:r>
              <w:rPr>
                <w:rFonts w:hint="eastAsia"/>
                <w:sz w:val="21"/>
                <w:szCs w:val="21"/>
                <w:highlight w:val="none"/>
                <w:lang w:eastAsia="zh-CN"/>
              </w:rPr>
              <w:t>项目</w:t>
            </w:r>
            <w:r>
              <w:rPr>
                <w:rFonts w:hint="eastAsia"/>
                <w:sz w:val="21"/>
                <w:szCs w:val="21"/>
                <w:highlight w:val="none"/>
              </w:rPr>
              <w:t>噪声主要来自</w:t>
            </w:r>
            <w:r>
              <w:rPr>
                <w:rFonts w:hint="default" w:ascii="Times New Roman" w:hAnsi="Times New Roman" w:eastAsia="宋体" w:cs="Times New Roman"/>
                <w:color w:val="auto"/>
                <w:sz w:val="21"/>
                <w:szCs w:val="21"/>
                <w:highlight w:val="none"/>
              </w:rPr>
              <w:t>生产设备</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风机</w:t>
            </w:r>
            <w:r>
              <w:rPr>
                <w:rFonts w:hint="eastAsia"/>
                <w:sz w:val="21"/>
                <w:szCs w:val="21"/>
                <w:highlight w:val="none"/>
              </w:rPr>
              <w:t>在工作过程中产生的噪声，其噪声声压级约为</w:t>
            </w:r>
            <w:r>
              <w:rPr>
                <w:rFonts w:hint="eastAsia"/>
                <w:sz w:val="21"/>
                <w:szCs w:val="21"/>
                <w:highlight w:val="none"/>
                <w:lang w:val="en-US" w:eastAsia="zh-CN"/>
              </w:rPr>
              <w:t>70~90</w:t>
            </w:r>
            <w:r>
              <w:rPr>
                <w:rFonts w:hint="eastAsia"/>
                <w:sz w:val="21"/>
                <w:szCs w:val="21"/>
                <w:highlight w:val="none"/>
              </w:rPr>
              <w:t>dB</w:t>
            </w:r>
            <w:r>
              <w:rPr>
                <w:sz w:val="21"/>
                <w:szCs w:val="21"/>
                <w:highlight w:val="none"/>
              </w:rPr>
              <w:t>(A)</w:t>
            </w:r>
            <w:r>
              <w:rPr>
                <w:kern w:val="0"/>
                <w:sz w:val="21"/>
                <w:szCs w:val="21"/>
                <w:highlight w:val="none"/>
                <w:lang w:bidi="ar"/>
              </w:rPr>
              <w:t xml:space="preserve">。 </w:t>
            </w:r>
          </w:p>
          <w:p w14:paraId="14493AAA">
            <w:pPr>
              <w:widowControl/>
              <w:spacing w:line="360" w:lineRule="auto"/>
              <w:ind w:firstLine="420" w:firstLineChars="200"/>
              <w:jc w:val="left"/>
              <w:rPr>
                <w:kern w:val="0"/>
                <w:sz w:val="21"/>
                <w:szCs w:val="21"/>
                <w:highlight w:val="none"/>
                <w:lang w:bidi="ar"/>
              </w:rPr>
            </w:pPr>
            <w:r>
              <w:rPr>
                <w:kern w:val="0"/>
                <w:sz w:val="21"/>
                <w:szCs w:val="21"/>
                <w:highlight w:val="none"/>
                <w:lang w:bidi="ar"/>
              </w:rPr>
              <w:t xml:space="preserve">4、固体废物 </w:t>
            </w:r>
          </w:p>
          <w:p w14:paraId="3C8774FD">
            <w:pPr>
              <w:pStyle w:val="2"/>
              <w:snapToGrid/>
              <w:spacing w:before="0" w:beforeLines="0"/>
              <w:ind w:firstLineChars="200"/>
              <w:jc w:val="left"/>
              <w:rPr>
                <w:rFonts w:ascii="Times New Roman" w:cs="Times New Roman"/>
                <w:color w:val="auto"/>
                <w:sz w:val="21"/>
                <w:szCs w:val="21"/>
                <w:highlight w:val="none"/>
              </w:rPr>
            </w:pPr>
            <w:r>
              <w:rPr>
                <w:rFonts w:hint="eastAsia" w:ascii="Times New Roman" w:cs="Times New Roman"/>
                <w:color w:val="auto"/>
                <w:sz w:val="21"/>
                <w:szCs w:val="21"/>
                <w:highlight w:val="none"/>
                <w:lang w:eastAsia="zh-CN"/>
              </w:rPr>
              <w:t>本项目</w:t>
            </w:r>
            <w:r>
              <w:rPr>
                <w:rFonts w:ascii="Times New Roman" w:cs="Times New Roman"/>
                <w:color w:val="auto"/>
                <w:sz w:val="21"/>
                <w:szCs w:val="21"/>
                <w:highlight w:val="none"/>
              </w:rPr>
              <w:t>固废主要为</w:t>
            </w:r>
            <w:r>
              <w:rPr>
                <w:rFonts w:hint="eastAsia" w:ascii="Times New Roman" w:cs="Times New Roman"/>
                <w:color w:val="auto"/>
                <w:sz w:val="21"/>
                <w:szCs w:val="21"/>
                <w:highlight w:val="none"/>
                <w:lang w:eastAsia="zh-CN"/>
              </w:rPr>
              <w:t>生活垃圾、废包装材料、含铁物料、布袋除尘器收集尘</w:t>
            </w:r>
            <w:r>
              <w:rPr>
                <w:rFonts w:hint="eastAsia"/>
                <w:sz w:val="21"/>
                <w:szCs w:val="21"/>
                <w:highlight w:val="none"/>
                <w:lang w:eastAsia="zh-CN"/>
              </w:rPr>
              <w:t>、废布袋</w:t>
            </w:r>
            <w:r>
              <w:rPr>
                <w:rFonts w:ascii="Times New Roman" w:cs="Times New Roman"/>
                <w:color w:val="auto"/>
                <w:sz w:val="21"/>
                <w:szCs w:val="21"/>
                <w:highlight w:val="none"/>
              </w:rPr>
              <w:t>。</w:t>
            </w:r>
          </w:p>
          <w:p w14:paraId="0627A623">
            <w:pPr>
              <w:pStyle w:val="2"/>
              <w:snapToGrid/>
              <w:spacing w:before="0" w:beforeLines="0"/>
              <w:ind w:firstLineChars="200"/>
              <w:jc w:val="left"/>
              <w:rPr>
                <w:rFonts w:ascii="Times New Roman" w:cs="Times New Roman"/>
                <w:color w:val="auto"/>
                <w:sz w:val="21"/>
                <w:szCs w:val="21"/>
                <w:highlight w:val="none"/>
              </w:rPr>
            </w:pPr>
          </w:p>
          <w:p w14:paraId="2EBB1093">
            <w:pPr>
              <w:pStyle w:val="2"/>
              <w:snapToGrid/>
              <w:spacing w:before="0" w:beforeLines="0"/>
              <w:ind w:firstLineChars="200"/>
              <w:jc w:val="left"/>
              <w:rPr>
                <w:rFonts w:ascii="Times New Roman" w:cs="Times New Roman"/>
                <w:color w:val="auto"/>
                <w:sz w:val="21"/>
                <w:szCs w:val="21"/>
                <w:highlight w:val="none"/>
              </w:rPr>
            </w:pPr>
          </w:p>
          <w:p w14:paraId="40443B14">
            <w:pPr>
              <w:pStyle w:val="2"/>
              <w:snapToGrid/>
              <w:spacing w:before="0" w:beforeLines="0"/>
              <w:ind w:firstLineChars="200"/>
              <w:jc w:val="left"/>
              <w:rPr>
                <w:rFonts w:ascii="Times New Roman" w:cs="Times New Roman"/>
                <w:color w:val="auto"/>
                <w:sz w:val="21"/>
                <w:szCs w:val="21"/>
                <w:highlight w:val="none"/>
              </w:rPr>
            </w:pPr>
          </w:p>
          <w:p w14:paraId="02BF029D">
            <w:pPr>
              <w:pStyle w:val="2"/>
              <w:snapToGrid/>
              <w:spacing w:before="0" w:beforeLines="0"/>
              <w:ind w:firstLineChars="200"/>
              <w:jc w:val="left"/>
              <w:rPr>
                <w:rFonts w:ascii="Times New Roman" w:cs="Times New Roman"/>
                <w:color w:val="auto"/>
                <w:sz w:val="21"/>
                <w:szCs w:val="21"/>
                <w:highlight w:val="none"/>
              </w:rPr>
            </w:pPr>
          </w:p>
          <w:p w14:paraId="3CEE5C74">
            <w:pPr>
              <w:pStyle w:val="2"/>
              <w:snapToGrid/>
              <w:spacing w:before="0" w:beforeLines="0"/>
              <w:ind w:firstLineChars="200"/>
              <w:jc w:val="left"/>
              <w:rPr>
                <w:rFonts w:ascii="Times New Roman" w:cs="Times New Roman"/>
                <w:color w:val="auto"/>
                <w:sz w:val="21"/>
                <w:szCs w:val="21"/>
                <w:highlight w:val="none"/>
              </w:rPr>
            </w:pPr>
          </w:p>
          <w:p w14:paraId="3ADE51EA">
            <w:pPr>
              <w:pStyle w:val="2"/>
              <w:snapToGrid/>
              <w:spacing w:before="0" w:beforeLines="0"/>
              <w:ind w:firstLineChars="200"/>
              <w:jc w:val="left"/>
              <w:rPr>
                <w:rFonts w:ascii="Times New Roman" w:cs="Times New Roman"/>
                <w:color w:val="auto"/>
                <w:sz w:val="21"/>
                <w:szCs w:val="21"/>
                <w:highlight w:val="none"/>
              </w:rPr>
            </w:pPr>
          </w:p>
          <w:p w14:paraId="3C0D3B4C">
            <w:pPr>
              <w:pStyle w:val="2"/>
              <w:snapToGrid/>
              <w:spacing w:before="0" w:beforeLines="0"/>
              <w:ind w:firstLineChars="200"/>
              <w:jc w:val="left"/>
              <w:rPr>
                <w:rFonts w:ascii="Times New Roman" w:cs="Times New Roman"/>
                <w:color w:val="auto"/>
                <w:sz w:val="21"/>
                <w:szCs w:val="21"/>
                <w:highlight w:val="none"/>
              </w:rPr>
            </w:pPr>
          </w:p>
          <w:p w14:paraId="4723A0F9">
            <w:pPr>
              <w:pStyle w:val="2"/>
              <w:snapToGrid/>
              <w:spacing w:before="0" w:beforeLines="0"/>
              <w:ind w:firstLineChars="200"/>
              <w:jc w:val="left"/>
              <w:rPr>
                <w:rFonts w:ascii="Times New Roman" w:cs="Times New Roman"/>
                <w:color w:val="auto"/>
                <w:sz w:val="21"/>
                <w:szCs w:val="21"/>
                <w:highlight w:val="none"/>
              </w:rPr>
            </w:pPr>
          </w:p>
          <w:p w14:paraId="74B3CB53">
            <w:pPr>
              <w:pStyle w:val="2"/>
              <w:snapToGrid/>
              <w:spacing w:before="0" w:beforeLines="0"/>
              <w:ind w:firstLineChars="200"/>
              <w:jc w:val="left"/>
              <w:rPr>
                <w:rFonts w:ascii="Times New Roman" w:cs="Times New Roman"/>
                <w:color w:val="auto"/>
                <w:sz w:val="21"/>
                <w:szCs w:val="21"/>
                <w:highlight w:val="none"/>
              </w:rPr>
            </w:pPr>
          </w:p>
          <w:p w14:paraId="14B4DB99">
            <w:pPr>
              <w:pStyle w:val="2"/>
              <w:snapToGrid/>
              <w:spacing w:before="0" w:beforeLines="0"/>
              <w:ind w:firstLineChars="200"/>
              <w:jc w:val="left"/>
              <w:rPr>
                <w:rFonts w:ascii="Times New Roman" w:cs="Times New Roman"/>
                <w:color w:val="auto"/>
                <w:sz w:val="21"/>
                <w:szCs w:val="21"/>
                <w:highlight w:val="none"/>
              </w:rPr>
            </w:pPr>
          </w:p>
          <w:p w14:paraId="0B409F32">
            <w:pPr>
              <w:pStyle w:val="2"/>
              <w:snapToGrid/>
              <w:spacing w:before="0" w:beforeLines="0"/>
              <w:ind w:firstLineChars="200"/>
              <w:jc w:val="left"/>
              <w:rPr>
                <w:rFonts w:ascii="Times New Roman" w:cs="Times New Roman"/>
                <w:color w:val="auto"/>
                <w:sz w:val="21"/>
                <w:szCs w:val="21"/>
                <w:highlight w:val="none"/>
              </w:rPr>
            </w:pPr>
          </w:p>
          <w:p w14:paraId="7314A106">
            <w:pPr>
              <w:pStyle w:val="2"/>
              <w:snapToGrid/>
              <w:spacing w:before="0" w:beforeLines="0"/>
              <w:ind w:firstLineChars="200"/>
              <w:jc w:val="left"/>
              <w:rPr>
                <w:rFonts w:ascii="Times New Roman" w:cs="Times New Roman"/>
                <w:color w:val="auto"/>
                <w:sz w:val="21"/>
                <w:szCs w:val="21"/>
                <w:highlight w:val="none"/>
              </w:rPr>
            </w:pPr>
          </w:p>
          <w:p w14:paraId="0293215F">
            <w:pPr>
              <w:pStyle w:val="2"/>
              <w:snapToGrid/>
              <w:spacing w:before="0" w:beforeLines="0"/>
              <w:ind w:firstLineChars="200"/>
              <w:jc w:val="left"/>
              <w:rPr>
                <w:rFonts w:ascii="Times New Roman" w:cs="Times New Roman"/>
                <w:color w:val="auto"/>
                <w:sz w:val="21"/>
                <w:szCs w:val="21"/>
                <w:highlight w:val="none"/>
              </w:rPr>
            </w:pPr>
          </w:p>
          <w:p w14:paraId="6F97CD75">
            <w:pPr>
              <w:pStyle w:val="2"/>
              <w:snapToGrid/>
              <w:spacing w:before="0" w:beforeLines="0"/>
              <w:ind w:firstLineChars="200"/>
              <w:jc w:val="left"/>
              <w:rPr>
                <w:rFonts w:ascii="Times New Roman" w:cs="Times New Roman"/>
                <w:color w:val="auto"/>
                <w:sz w:val="21"/>
                <w:szCs w:val="21"/>
                <w:highlight w:val="none"/>
              </w:rPr>
            </w:pPr>
          </w:p>
          <w:p w14:paraId="122C290C">
            <w:pPr>
              <w:pStyle w:val="2"/>
              <w:snapToGrid/>
              <w:spacing w:before="0" w:beforeLines="0"/>
              <w:ind w:firstLineChars="200"/>
              <w:jc w:val="left"/>
              <w:rPr>
                <w:rFonts w:ascii="Times New Roman" w:cs="Times New Roman"/>
                <w:color w:val="auto"/>
                <w:sz w:val="21"/>
                <w:szCs w:val="21"/>
                <w:highlight w:val="none"/>
              </w:rPr>
            </w:pPr>
          </w:p>
          <w:p w14:paraId="78308E5D">
            <w:pPr>
              <w:pStyle w:val="2"/>
              <w:snapToGrid/>
              <w:spacing w:before="0" w:beforeLines="0"/>
              <w:ind w:firstLineChars="200"/>
              <w:jc w:val="left"/>
              <w:rPr>
                <w:rFonts w:ascii="Times New Roman" w:cs="Times New Roman"/>
                <w:color w:val="auto"/>
                <w:sz w:val="21"/>
                <w:szCs w:val="21"/>
                <w:highlight w:val="none"/>
              </w:rPr>
            </w:pPr>
          </w:p>
          <w:p w14:paraId="347A5F1D">
            <w:pPr>
              <w:pStyle w:val="2"/>
              <w:snapToGrid/>
              <w:spacing w:before="0" w:beforeLines="0"/>
              <w:ind w:firstLineChars="200"/>
              <w:jc w:val="left"/>
              <w:rPr>
                <w:rFonts w:ascii="Times New Roman" w:cs="Times New Roman"/>
                <w:color w:val="auto"/>
                <w:sz w:val="21"/>
                <w:szCs w:val="21"/>
                <w:highlight w:val="none"/>
              </w:rPr>
            </w:pPr>
          </w:p>
          <w:p w14:paraId="73C26FED">
            <w:pPr>
              <w:pStyle w:val="2"/>
              <w:snapToGrid/>
              <w:spacing w:before="0" w:beforeLines="0"/>
              <w:ind w:left="0" w:leftChars="0" w:firstLine="0" w:firstLineChars="0"/>
              <w:jc w:val="left"/>
              <w:rPr>
                <w:rFonts w:ascii="Times New Roman" w:cs="Times New Roman"/>
                <w:color w:val="auto"/>
                <w:sz w:val="21"/>
                <w:szCs w:val="21"/>
                <w:highlight w:val="none"/>
              </w:rPr>
            </w:pPr>
          </w:p>
          <w:p w14:paraId="23EA7745">
            <w:pPr>
              <w:pStyle w:val="2"/>
              <w:snapToGrid/>
              <w:spacing w:before="0" w:beforeLines="0"/>
              <w:ind w:left="0" w:leftChars="0" w:firstLine="0" w:firstLineChars="0"/>
              <w:jc w:val="left"/>
              <w:rPr>
                <w:rFonts w:ascii="Times New Roman" w:cs="Times New Roman"/>
                <w:color w:val="auto"/>
                <w:sz w:val="21"/>
                <w:szCs w:val="21"/>
                <w:highlight w:val="none"/>
              </w:rPr>
            </w:pPr>
          </w:p>
          <w:p w14:paraId="1CDEA9B1">
            <w:pPr>
              <w:pStyle w:val="2"/>
              <w:snapToGrid/>
              <w:spacing w:before="0" w:beforeLines="0"/>
              <w:ind w:left="0" w:leftChars="0" w:firstLine="0" w:firstLineChars="0"/>
              <w:jc w:val="left"/>
              <w:rPr>
                <w:rFonts w:hint="default" w:ascii="Times New Roman" w:cs="Times New Roman"/>
                <w:color w:val="auto"/>
                <w:sz w:val="21"/>
                <w:szCs w:val="21"/>
                <w:highlight w:val="none"/>
              </w:rPr>
            </w:pPr>
          </w:p>
        </w:tc>
      </w:tr>
      <w:tr w14:paraId="07398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12" w:hRule="atLeast"/>
          <w:jc w:val="center"/>
        </w:trPr>
        <w:tc>
          <w:tcPr>
            <w:tcW w:w="516" w:type="dxa"/>
            <w:vAlign w:val="center"/>
          </w:tcPr>
          <w:p w14:paraId="22890178">
            <w:pPr>
              <w:pStyle w:val="30"/>
              <w:adjustRightInd w:val="0"/>
              <w:snapToGrid w:val="0"/>
              <w:spacing w:before="0" w:beforeAutospacing="0" w:after="0" w:afterAutospacing="0"/>
              <w:jc w:val="center"/>
              <w:rPr>
                <w:rFonts w:cs="宋体"/>
                <w:color w:val="0000FF"/>
                <w:sz w:val="21"/>
                <w:szCs w:val="21"/>
              </w:rPr>
            </w:pPr>
            <w:r>
              <w:rPr>
                <w:rFonts w:hint="eastAsia" w:cs="宋体"/>
                <w:bCs/>
                <w:kern w:val="2"/>
                <w:sz w:val="21"/>
                <w:szCs w:val="21"/>
              </w:rPr>
              <w:t>与项目有关的原有环境污染问题</w:t>
            </w:r>
          </w:p>
        </w:tc>
        <w:tc>
          <w:tcPr>
            <w:tcW w:w="8544" w:type="dxa"/>
            <w:vAlign w:val="center"/>
          </w:tcPr>
          <w:p w14:paraId="35BF371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sz w:val="21"/>
                <w:szCs w:val="21"/>
              </w:rPr>
            </w:pPr>
            <w:r>
              <w:rPr>
                <w:rFonts w:hint="default" w:ascii="Times New Roman" w:hAnsi="Times New Roman" w:eastAsia="宋体" w:cs="Times New Roman"/>
                <w:color w:val="auto"/>
                <w:kern w:val="0"/>
                <w:sz w:val="21"/>
                <w:szCs w:val="21"/>
                <w:lang w:val="en-US" w:eastAsia="zh-CN" w:bidi="ar"/>
              </w:rPr>
              <w:t>本项目租赁现有厂</w:t>
            </w:r>
            <w:r>
              <w:rPr>
                <w:rFonts w:hint="default" w:ascii="Times New Roman" w:hAnsi="Times New Roman" w:eastAsia="宋体" w:cs="Times New Roman"/>
                <w:b w:val="0"/>
                <w:bCs w:val="0"/>
                <w:kern w:val="2"/>
                <w:sz w:val="21"/>
                <w:szCs w:val="21"/>
                <w:lang w:val="en-US" w:eastAsia="zh-CN" w:bidi="ar-SA"/>
              </w:rPr>
              <w:t>房进行生产，为新建项目。租赁厂房内原有设备已全部拆除，仅保留厂房建筑，无遗留固体废物和废水，不存在原有污染源。</w:t>
            </w:r>
          </w:p>
        </w:tc>
      </w:tr>
    </w:tbl>
    <w:p w14:paraId="3CFEE6C7">
      <w:pPr>
        <w:pStyle w:val="30"/>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682A518">
      <w:pPr>
        <w:pStyle w:val="30"/>
        <w:adjustRightInd w:val="0"/>
        <w:snapToGrid w:val="0"/>
        <w:spacing w:before="0" w:beforeAutospacing="0" w:after="0" w:afterAutospacing="0" w:line="14" w:lineRule="auto"/>
        <w:jc w:val="center"/>
        <w:outlineLvl w:val="0"/>
        <w:rPr>
          <w:rFonts w:ascii="黑体" w:hAnsi="黑体" w:eastAsia="黑体"/>
          <w:snapToGrid w:val="0"/>
          <w:sz w:val="30"/>
          <w:szCs w:val="30"/>
        </w:rPr>
      </w:pPr>
    </w:p>
    <w:p w14:paraId="0F8FE02F">
      <w:pPr>
        <w:pStyle w:val="30"/>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35"/>
        <w:tblW w:w="914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8630"/>
      </w:tblGrid>
      <w:tr w14:paraId="0B717F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vAlign w:val="center"/>
          </w:tcPr>
          <w:p w14:paraId="5576F413">
            <w:pPr>
              <w:adjustRightInd w:val="0"/>
              <w:snapToGrid w:val="0"/>
              <w:jc w:val="center"/>
              <w:rPr>
                <w:rFonts w:ascii="宋体" w:hAnsi="宋体" w:cs="宋体"/>
                <w:kern w:val="0"/>
                <w:sz w:val="21"/>
                <w:szCs w:val="21"/>
              </w:rPr>
            </w:pPr>
            <w:r>
              <w:rPr>
                <w:rFonts w:hint="eastAsia" w:ascii="宋体" w:hAnsi="宋体" w:cs="宋体"/>
                <w:kern w:val="0"/>
                <w:sz w:val="21"/>
                <w:szCs w:val="21"/>
              </w:rPr>
              <w:t>区域</w:t>
            </w:r>
          </w:p>
          <w:p w14:paraId="004E140B">
            <w:pPr>
              <w:adjustRightInd w:val="0"/>
              <w:snapToGrid w:val="0"/>
              <w:jc w:val="center"/>
              <w:rPr>
                <w:rFonts w:ascii="宋体" w:hAnsi="宋体" w:cs="宋体"/>
                <w:kern w:val="0"/>
                <w:sz w:val="21"/>
                <w:szCs w:val="21"/>
              </w:rPr>
            </w:pPr>
            <w:r>
              <w:rPr>
                <w:rFonts w:hint="eastAsia" w:ascii="宋体" w:hAnsi="宋体" w:cs="宋体"/>
                <w:kern w:val="0"/>
                <w:sz w:val="21"/>
                <w:szCs w:val="21"/>
              </w:rPr>
              <w:t>环境</w:t>
            </w:r>
          </w:p>
          <w:p w14:paraId="0A29DADF">
            <w:pPr>
              <w:adjustRightInd w:val="0"/>
              <w:snapToGrid w:val="0"/>
              <w:jc w:val="center"/>
              <w:rPr>
                <w:rFonts w:ascii="宋体" w:hAnsi="宋体" w:cs="宋体"/>
                <w:kern w:val="0"/>
                <w:sz w:val="21"/>
                <w:szCs w:val="21"/>
              </w:rPr>
            </w:pPr>
            <w:r>
              <w:rPr>
                <w:rFonts w:hint="eastAsia" w:ascii="宋体" w:hAnsi="宋体" w:cs="宋体"/>
                <w:kern w:val="0"/>
                <w:sz w:val="21"/>
                <w:szCs w:val="21"/>
              </w:rPr>
              <w:t>质量</w:t>
            </w:r>
          </w:p>
          <w:p w14:paraId="126B70B2">
            <w:pPr>
              <w:adjustRightInd w:val="0"/>
              <w:snapToGrid w:val="0"/>
              <w:jc w:val="center"/>
              <w:rPr>
                <w:rFonts w:ascii="宋体" w:hAnsi="宋体" w:cs="宋体"/>
                <w:kern w:val="0"/>
                <w:sz w:val="21"/>
                <w:szCs w:val="21"/>
              </w:rPr>
            </w:pPr>
            <w:r>
              <w:rPr>
                <w:rFonts w:hint="eastAsia" w:ascii="宋体" w:hAnsi="宋体" w:cs="宋体"/>
                <w:kern w:val="0"/>
                <w:sz w:val="21"/>
                <w:szCs w:val="21"/>
              </w:rPr>
              <w:t>现状</w:t>
            </w:r>
          </w:p>
        </w:tc>
        <w:tc>
          <w:tcPr>
            <w:tcW w:w="8630" w:type="dxa"/>
            <w:vAlign w:val="center"/>
          </w:tcPr>
          <w:p w14:paraId="221052C7">
            <w:pPr>
              <w:snapToGrid w:val="0"/>
              <w:spacing w:line="360" w:lineRule="auto"/>
              <w:ind w:firstLine="422" w:firstLineChars="200"/>
              <w:jc w:val="left"/>
              <w:rPr>
                <w:b/>
                <w:bCs/>
                <w:sz w:val="21"/>
                <w:szCs w:val="21"/>
              </w:rPr>
            </w:pPr>
            <w:r>
              <w:rPr>
                <w:b/>
                <w:bCs/>
                <w:sz w:val="21"/>
                <w:szCs w:val="21"/>
              </w:rPr>
              <w:t>1、环境空气</w:t>
            </w:r>
          </w:p>
          <w:p w14:paraId="3196AA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cs="Times New Roman"/>
                <w:color w:val="auto"/>
                <w:sz w:val="21"/>
                <w:szCs w:val="21"/>
                <w:highlight w:val="none"/>
              </w:rPr>
              <w:t>根据淄博市生态环境局</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日发布的《202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年12月份环境空气质量情况通报》，</w:t>
            </w:r>
            <w:r>
              <w:rPr>
                <w:rFonts w:hint="default" w:ascii="Times New Roman" w:hAnsi="Times New Roman" w:cs="Times New Roman"/>
                <w:color w:val="auto"/>
                <w:sz w:val="21"/>
                <w:szCs w:val="21"/>
                <w:highlight w:val="none"/>
                <w:lang w:val="en-US" w:eastAsia="zh-CN"/>
              </w:rPr>
              <w:t>2025年1</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12月份，</w:t>
            </w:r>
            <w:r>
              <w:rPr>
                <w:rFonts w:hint="eastAsia" w:cs="Times New Roman"/>
                <w:color w:val="auto"/>
                <w:sz w:val="21"/>
                <w:szCs w:val="21"/>
                <w:highlight w:val="none"/>
                <w:lang w:val="en-US" w:eastAsia="zh-CN"/>
              </w:rPr>
              <w:t>淄博市区域</w:t>
            </w:r>
            <w:r>
              <w:rPr>
                <w:rFonts w:hint="default" w:ascii="Times New Roman" w:hAnsi="Times New Roman" w:cs="Times New Roman"/>
                <w:color w:val="auto"/>
                <w:sz w:val="21"/>
                <w:szCs w:val="21"/>
                <w:highlight w:val="none"/>
                <w:lang w:val="en-US" w:eastAsia="zh-CN"/>
              </w:rPr>
              <w:t>二氧化硫(SO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)11微克/立方米，二氧化氮(NO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)27微克/立方米，可吸入颗粒物(PM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)59微克/立方米，细颗粒物(PM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)35微克/立方米，一氧化碳(CO)1.1毫克/立方米，臭氧(O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)169微克/立方米</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zh-CN" w:eastAsia="zh-CN"/>
              </w:rPr>
              <w:t>项目区域</w:t>
            </w:r>
            <w:r>
              <w:rPr>
                <w:rFonts w:hint="eastAsia" w:cs="Times New Roman"/>
                <w:color w:val="auto"/>
                <w:sz w:val="21"/>
                <w:szCs w:val="21"/>
                <w:highlight w:val="none"/>
                <w:lang w:val="en-US" w:eastAsia="zh-CN"/>
              </w:rPr>
              <w:t>大气</w:t>
            </w:r>
            <w:r>
              <w:rPr>
                <w:rFonts w:hint="default" w:ascii="Times New Roman" w:hAnsi="Times New Roman" w:eastAsia="宋体" w:cs="Times New Roman"/>
                <w:color w:val="auto"/>
                <w:sz w:val="21"/>
                <w:szCs w:val="21"/>
                <w:highlight w:val="none"/>
                <w:lang w:val="zh-CN" w:eastAsia="zh-CN"/>
              </w:rPr>
              <w:t>环境质量及判定情况如下</w:t>
            </w:r>
            <w:r>
              <w:rPr>
                <w:rFonts w:hint="eastAsia" w:cs="Times New Roman"/>
                <w:color w:val="auto"/>
                <w:sz w:val="21"/>
                <w:szCs w:val="21"/>
                <w:highlight w:val="none"/>
                <w:lang w:val="en-US" w:eastAsia="zh-CN"/>
              </w:rPr>
              <w:t>表所示</w:t>
            </w:r>
            <w:r>
              <w:rPr>
                <w:rFonts w:hint="default" w:ascii="Times New Roman" w:hAnsi="Times New Roman" w:eastAsia="宋体" w:cs="Times New Roman"/>
                <w:color w:val="auto"/>
                <w:sz w:val="21"/>
                <w:szCs w:val="21"/>
                <w:highlight w:val="none"/>
                <w:lang w:val="zh-CN" w:eastAsia="zh-CN"/>
              </w:rPr>
              <w:t>。</w:t>
            </w:r>
          </w:p>
          <w:p w14:paraId="778817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 xml:space="preserve">表3-1 </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环境空气质量状况一览表（</w:t>
            </w:r>
            <w:r>
              <w:rPr>
                <w:rFonts w:hint="default" w:ascii="Times New Roman" w:hAnsi="Times New Roman" w:cs="Times New Roman"/>
                <w:b/>
                <w:bCs/>
                <w:color w:val="auto"/>
                <w:sz w:val="21"/>
                <w:szCs w:val="21"/>
                <w:highlight w:val="none"/>
                <w:lang w:eastAsia="zh-CN"/>
              </w:rPr>
              <w:t>μ</w:t>
            </w:r>
            <w:r>
              <w:rPr>
                <w:rFonts w:hint="default" w:ascii="Times New Roman" w:hAnsi="Times New Roman" w:cs="Times New Roman"/>
                <w:b/>
                <w:bCs/>
                <w:color w:val="auto"/>
                <w:sz w:val="21"/>
                <w:szCs w:val="21"/>
                <w:highlight w:val="none"/>
              </w:rPr>
              <w:t>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5"/>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91"/>
              <w:gridCol w:w="2693"/>
              <w:gridCol w:w="1189"/>
              <w:gridCol w:w="1149"/>
              <w:gridCol w:w="1109"/>
              <w:gridCol w:w="1078"/>
            </w:tblGrid>
            <w:tr w14:paraId="4988FE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3F872AC7">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2680" w:type="dxa"/>
                  <w:tcBorders>
                    <w:tl2br w:val="nil"/>
                    <w:tr2bl w:val="nil"/>
                  </w:tcBorders>
                  <w:noWrap w:val="0"/>
                  <w:vAlign w:val="center"/>
                </w:tcPr>
                <w:p w14:paraId="0FB113ED">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年评价指标</w:t>
                  </w:r>
                </w:p>
              </w:tc>
              <w:tc>
                <w:tcPr>
                  <w:tcW w:w="1183" w:type="dxa"/>
                  <w:tcBorders>
                    <w:tl2br w:val="nil"/>
                    <w:tr2bl w:val="nil"/>
                  </w:tcBorders>
                  <w:noWrap w:val="0"/>
                  <w:vAlign w:val="center"/>
                </w:tcPr>
                <w:p w14:paraId="7C636DAE">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现状浓度</w:t>
                  </w:r>
                </w:p>
              </w:tc>
              <w:tc>
                <w:tcPr>
                  <w:tcW w:w="1144" w:type="dxa"/>
                  <w:tcBorders>
                    <w:tl2br w:val="nil"/>
                    <w:tr2bl w:val="nil"/>
                  </w:tcBorders>
                  <w:noWrap w:val="0"/>
                  <w:vAlign w:val="center"/>
                </w:tcPr>
                <w:p w14:paraId="6560A11A">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评价标准</w:t>
                  </w:r>
                </w:p>
              </w:tc>
              <w:tc>
                <w:tcPr>
                  <w:tcW w:w="1104" w:type="dxa"/>
                  <w:tcBorders>
                    <w:tl2br w:val="nil"/>
                    <w:tr2bl w:val="nil"/>
                  </w:tcBorders>
                  <w:noWrap w:val="0"/>
                  <w:vAlign w:val="center"/>
                </w:tcPr>
                <w:p w14:paraId="1EFE7ECF">
                  <w:pPr>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占标率%</w:t>
                  </w:r>
                </w:p>
              </w:tc>
              <w:tc>
                <w:tcPr>
                  <w:tcW w:w="1073" w:type="dxa"/>
                  <w:tcBorders>
                    <w:tl2br w:val="nil"/>
                    <w:tr2bl w:val="nil"/>
                  </w:tcBorders>
                  <w:noWrap w:val="0"/>
                  <w:vAlign w:val="center"/>
                </w:tcPr>
                <w:p w14:paraId="1AF7B2C3">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达标情况</w:t>
                  </w:r>
                </w:p>
              </w:tc>
            </w:tr>
            <w:tr w14:paraId="4E9154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08A3095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2680" w:type="dxa"/>
                  <w:tcBorders>
                    <w:tl2br w:val="nil"/>
                    <w:tr2bl w:val="nil"/>
                  </w:tcBorders>
                  <w:noWrap w:val="0"/>
                  <w:vAlign w:val="center"/>
                </w:tcPr>
                <w:p w14:paraId="7E23790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年平均质量标准</w:t>
                  </w:r>
                </w:p>
              </w:tc>
              <w:tc>
                <w:tcPr>
                  <w:tcW w:w="1183" w:type="dxa"/>
                  <w:tcBorders>
                    <w:tl2br w:val="nil"/>
                    <w:tr2bl w:val="nil"/>
                  </w:tcBorders>
                  <w:noWrap w:val="0"/>
                  <w:vAlign w:val="center"/>
                </w:tcPr>
                <w:p w14:paraId="66BB84A0">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1144" w:type="dxa"/>
                  <w:tcBorders>
                    <w:tl2br w:val="nil"/>
                    <w:tr2bl w:val="nil"/>
                  </w:tcBorders>
                  <w:noWrap w:val="0"/>
                  <w:vAlign w:val="center"/>
                </w:tcPr>
                <w:p w14:paraId="3A9FA0E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104" w:type="dxa"/>
                  <w:tcBorders>
                    <w:tl2br w:val="nil"/>
                    <w:tr2bl w:val="nil"/>
                  </w:tcBorders>
                  <w:noWrap w:val="0"/>
                  <w:vAlign w:val="center"/>
                </w:tcPr>
                <w:p w14:paraId="7EB32D5E">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16.67</w:t>
                  </w:r>
                </w:p>
              </w:tc>
              <w:tc>
                <w:tcPr>
                  <w:tcW w:w="1073" w:type="dxa"/>
                  <w:tcBorders>
                    <w:tl2br w:val="nil"/>
                    <w:tr2bl w:val="nil"/>
                  </w:tcBorders>
                  <w:noWrap w:val="0"/>
                  <w:vAlign w:val="center"/>
                </w:tcPr>
                <w:p w14:paraId="1F94270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219E8F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16315D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2680" w:type="dxa"/>
                  <w:tcBorders>
                    <w:tl2br w:val="nil"/>
                    <w:tr2bl w:val="nil"/>
                  </w:tcBorders>
                  <w:noWrap w:val="0"/>
                  <w:vAlign w:val="center"/>
                </w:tcPr>
                <w:p w14:paraId="1AF83E3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年平均质量标准</w:t>
                  </w:r>
                </w:p>
              </w:tc>
              <w:tc>
                <w:tcPr>
                  <w:tcW w:w="1183" w:type="dxa"/>
                  <w:tcBorders>
                    <w:tl2br w:val="nil"/>
                    <w:tr2bl w:val="nil"/>
                  </w:tcBorders>
                  <w:noWrap w:val="0"/>
                  <w:vAlign w:val="center"/>
                </w:tcPr>
                <w:p w14:paraId="20BAD0A8">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w:t>
                  </w:r>
                </w:p>
              </w:tc>
              <w:tc>
                <w:tcPr>
                  <w:tcW w:w="1144" w:type="dxa"/>
                  <w:tcBorders>
                    <w:tl2br w:val="nil"/>
                    <w:tr2bl w:val="nil"/>
                  </w:tcBorders>
                  <w:noWrap w:val="0"/>
                  <w:vAlign w:val="center"/>
                </w:tcPr>
                <w:p w14:paraId="5CCCF0C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104" w:type="dxa"/>
                  <w:tcBorders>
                    <w:tl2br w:val="nil"/>
                    <w:tr2bl w:val="nil"/>
                  </w:tcBorders>
                  <w:noWrap w:val="0"/>
                  <w:vAlign w:val="center"/>
                </w:tcPr>
                <w:p w14:paraId="059F3485">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50.00</w:t>
                  </w:r>
                </w:p>
              </w:tc>
              <w:tc>
                <w:tcPr>
                  <w:tcW w:w="1073" w:type="dxa"/>
                  <w:tcBorders>
                    <w:tl2br w:val="nil"/>
                    <w:tr2bl w:val="nil"/>
                  </w:tcBorders>
                  <w:noWrap w:val="0"/>
                  <w:vAlign w:val="center"/>
                </w:tcPr>
                <w:p w14:paraId="3B0E116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744D7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4A93FE0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2680" w:type="dxa"/>
                  <w:tcBorders>
                    <w:tl2br w:val="nil"/>
                    <w:tr2bl w:val="nil"/>
                  </w:tcBorders>
                  <w:noWrap w:val="0"/>
                  <w:vAlign w:val="center"/>
                </w:tcPr>
                <w:p w14:paraId="4DC91BB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年平均质量标准</w:t>
                  </w:r>
                </w:p>
              </w:tc>
              <w:tc>
                <w:tcPr>
                  <w:tcW w:w="1183" w:type="dxa"/>
                  <w:tcBorders>
                    <w:tl2br w:val="nil"/>
                    <w:tr2bl w:val="nil"/>
                  </w:tcBorders>
                  <w:noWrap w:val="0"/>
                  <w:vAlign w:val="center"/>
                </w:tcPr>
                <w:p w14:paraId="4B51B2D9">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59</w:t>
                  </w:r>
                </w:p>
              </w:tc>
              <w:tc>
                <w:tcPr>
                  <w:tcW w:w="1144" w:type="dxa"/>
                  <w:tcBorders>
                    <w:tl2br w:val="nil"/>
                    <w:tr2bl w:val="nil"/>
                  </w:tcBorders>
                  <w:noWrap w:val="0"/>
                  <w:vAlign w:val="center"/>
                </w:tcPr>
                <w:p w14:paraId="000DF57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1104" w:type="dxa"/>
                  <w:tcBorders>
                    <w:tl2br w:val="nil"/>
                    <w:tr2bl w:val="nil"/>
                  </w:tcBorders>
                  <w:noWrap w:val="0"/>
                  <w:vAlign w:val="center"/>
                </w:tcPr>
                <w:p w14:paraId="56679998">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97.14</w:t>
                  </w:r>
                </w:p>
              </w:tc>
              <w:tc>
                <w:tcPr>
                  <w:tcW w:w="1073" w:type="dxa"/>
                  <w:tcBorders>
                    <w:tl2br w:val="nil"/>
                    <w:tr2bl w:val="nil"/>
                  </w:tcBorders>
                  <w:noWrap w:val="0"/>
                  <w:vAlign w:val="center"/>
                </w:tcPr>
                <w:p w14:paraId="3B14844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5645C0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08EC95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2680" w:type="dxa"/>
                  <w:tcBorders>
                    <w:tl2br w:val="nil"/>
                    <w:tr2bl w:val="nil"/>
                  </w:tcBorders>
                  <w:noWrap w:val="0"/>
                  <w:vAlign w:val="center"/>
                </w:tcPr>
                <w:p w14:paraId="4F3E498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年平均质量标准</w:t>
                  </w:r>
                </w:p>
              </w:tc>
              <w:tc>
                <w:tcPr>
                  <w:tcW w:w="1183" w:type="dxa"/>
                  <w:tcBorders>
                    <w:tl2br w:val="nil"/>
                    <w:tr2bl w:val="nil"/>
                  </w:tcBorders>
                  <w:noWrap w:val="0"/>
                  <w:vAlign w:val="center"/>
                </w:tcPr>
                <w:p w14:paraId="67A0494A">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1144" w:type="dxa"/>
                  <w:tcBorders>
                    <w:tl2br w:val="nil"/>
                    <w:tr2bl w:val="nil"/>
                  </w:tcBorders>
                  <w:noWrap w:val="0"/>
                  <w:vAlign w:val="center"/>
                </w:tcPr>
                <w:p w14:paraId="4F275FE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1104" w:type="dxa"/>
                  <w:tcBorders>
                    <w:tl2br w:val="nil"/>
                    <w:tr2bl w:val="nil"/>
                  </w:tcBorders>
                  <w:noWrap w:val="0"/>
                  <w:vAlign w:val="center"/>
                </w:tcPr>
                <w:p w14:paraId="7D08B2AF">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073" w:type="dxa"/>
                  <w:tcBorders>
                    <w:tl2br w:val="nil"/>
                    <w:tr2bl w:val="nil"/>
                  </w:tcBorders>
                  <w:noWrap w:val="0"/>
                  <w:vAlign w:val="center"/>
                </w:tcPr>
                <w:p w14:paraId="59D19F1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743FCD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ED99B4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2680" w:type="dxa"/>
                  <w:tcBorders>
                    <w:tl2br w:val="nil"/>
                    <w:tr2bl w:val="nil"/>
                  </w:tcBorders>
                  <w:noWrap w:val="0"/>
                  <w:vAlign w:val="center"/>
                </w:tcPr>
                <w:p w14:paraId="2D3B3BBD">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 w:val="21"/>
                      <w:szCs w:val="21"/>
                    </w:rPr>
                    <w:t>日均值第95百分位浓度值</w:t>
                  </w:r>
                </w:p>
              </w:tc>
              <w:tc>
                <w:tcPr>
                  <w:tcW w:w="1183" w:type="dxa"/>
                  <w:tcBorders>
                    <w:tl2br w:val="nil"/>
                    <w:tr2bl w:val="nil"/>
                  </w:tcBorders>
                  <w:noWrap w:val="0"/>
                  <w:vAlign w:val="center"/>
                </w:tcPr>
                <w:p w14:paraId="50DA5D02">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1100</w:t>
                  </w:r>
                </w:p>
              </w:tc>
              <w:tc>
                <w:tcPr>
                  <w:tcW w:w="1144" w:type="dxa"/>
                  <w:tcBorders>
                    <w:tl2br w:val="nil"/>
                    <w:tr2bl w:val="nil"/>
                  </w:tcBorders>
                  <w:noWrap w:val="0"/>
                  <w:vAlign w:val="center"/>
                </w:tcPr>
                <w:p w14:paraId="0CB35CD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1104" w:type="dxa"/>
                  <w:tcBorders>
                    <w:tl2br w:val="nil"/>
                    <w:tr2bl w:val="nil"/>
                  </w:tcBorders>
                  <w:noWrap w:val="0"/>
                  <w:vAlign w:val="center"/>
                </w:tcPr>
                <w:p w14:paraId="0813C6A0">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27.50</w:t>
                  </w:r>
                </w:p>
              </w:tc>
              <w:tc>
                <w:tcPr>
                  <w:tcW w:w="1073" w:type="dxa"/>
                  <w:tcBorders>
                    <w:tl2br w:val="nil"/>
                    <w:tr2bl w:val="nil"/>
                  </w:tcBorders>
                  <w:noWrap w:val="0"/>
                  <w:vAlign w:val="center"/>
                </w:tcPr>
                <w:p w14:paraId="194C175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CEB39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782170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2680" w:type="dxa"/>
                  <w:tcBorders>
                    <w:tl2br w:val="nil"/>
                    <w:tr2bl w:val="nil"/>
                  </w:tcBorders>
                  <w:noWrap w:val="0"/>
                  <w:vAlign w:val="center"/>
                </w:tcPr>
                <w:p w14:paraId="26EAD78A">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 w:val="21"/>
                      <w:szCs w:val="21"/>
                    </w:rPr>
                    <w:t>日最大8小时均值的第90百分位浓度值</w:t>
                  </w:r>
                </w:p>
              </w:tc>
              <w:tc>
                <w:tcPr>
                  <w:tcW w:w="1183" w:type="dxa"/>
                  <w:tcBorders>
                    <w:tl2br w:val="nil"/>
                    <w:tr2bl w:val="nil"/>
                  </w:tcBorders>
                  <w:noWrap w:val="0"/>
                  <w:vAlign w:val="center"/>
                </w:tcPr>
                <w:p w14:paraId="7491D334">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169</w:t>
                  </w:r>
                </w:p>
              </w:tc>
              <w:tc>
                <w:tcPr>
                  <w:tcW w:w="1144" w:type="dxa"/>
                  <w:tcBorders>
                    <w:tl2br w:val="nil"/>
                    <w:tr2bl w:val="nil"/>
                  </w:tcBorders>
                  <w:noWrap w:val="0"/>
                  <w:vAlign w:val="center"/>
                </w:tcPr>
                <w:p w14:paraId="7047557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104" w:type="dxa"/>
                  <w:tcBorders>
                    <w:tl2br w:val="nil"/>
                    <w:tr2bl w:val="nil"/>
                  </w:tcBorders>
                  <w:noWrap w:val="0"/>
                  <w:vAlign w:val="center"/>
                </w:tcPr>
                <w:p w14:paraId="03F806DB">
                  <w:pPr>
                    <w:adjustRightInd w:val="0"/>
                    <w:snapToGrid w:val="0"/>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105.63</w:t>
                  </w:r>
                </w:p>
              </w:tc>
              <w:tc>
                <w:tcPr>
                  <w:tcW w:w="1073" w:type="dxa"/>
                  <w:tcBorders>
                    <w:tl2br w:val="nil"/>
                    <w:tr2bl w:val="nil"/>
                  </w:tcBorders>
                  <w:noWrap w:val="0"/>
                  <w:vAlign w:val="center"/>
                </w:tcPr>
                <w:p w14:paraId="7ED8E717">
                  <w:pPr>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不达标</w:t>
                  </w:r>
                </w:p>
              </w:tc>
            </w:tr>
          </w:tbl>
          <w:p w14:paraId="2C754C6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根据以上数据，</w:t>
            </w:r>
            <w:r>
              <w:rPr>
                <w:rFonts w:hint="eastAsia" w:cs="Times New Roman"/>
                <w:color w:val="auto"/>
                <w:sz w:val="21"/>
                <w:szCs w:val="21"/>
                <w:lang w:val="en-US" w:eastAsia="zh-CN"/>
              </w:rPr>
              <w:t>项目区域</w:t>
            </w:r>
            <w:r>
              <w:rPr>
                <w:rFonts w:hint="default" w:ascii="Times New Roman" w:hAnsi="Times New Roman" w:eastAsia="宋体" w:cs="Times New Roman"/>
                <w:color w:val="auto"/>
                <w:sz w:val="21"/>
                <w:szCs w:val="21"/>
                <w:highlight w:val="none"/>
                <w:lang w:val="zh-CN" w:eastAsia="zh-CN"/>
              </w:rPr>
              <w:t>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zh-CN" w:eastAsia="zh-CN"/>
              </w:rPr>
              <w:t>年度O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bCs/>
                <w:color w:val="auto"/>
                <w:kern w:val="21"/>
                <w:sz w:val="21"/>
                <w:szCs w:val="21"/>
              </w:rPr>
              <w:t>日最大8小时均值的第90百分位浓度值</w:t>
            </w:r>
            <w:r>
              <w:rPr>
                <w:rFonts w:hint="eastAsia" w:cs="Times New Roman"/>
                <w:color w:val="auto"/>
                <w:sz w:val="21"/>
                <w:szCs w:val="21"/>
                <w:highlight w:val="none"/>
                <w:lang w:val="en-US" w:eastAsia="zh-CN"/>
              </w:rPr>
              <w:t>不达标</w:t>
            </w:r>
            <w:r>
              <w:rPr>
                <w:rFonts w:hint="default" w:ascii="Times New Roman" w:hAnsi="Times New Roman" w:eastAsia="宋体" w:cs="Times New Roman"/>
                <w:color w:val="auto"/>
                <w:sz w:val="21"/>
                <w:szCs w:val="21"/>
                <w:highlight w:val="none"/>
                <w:lang w:val="zh-CN" w:eastAsia="zh-CN"/>
              </w:rPr>
              <w:t>，项目所在地环境空气质量不满足《环境空气质量标准》（GB3095-2012）中的二级标准要求。项目所在区域的环境空气质量属于不达标区。</w:t>
            </w:r>
            <w:r>
              <w:rPr>
                <w:rFonts w:hint="default" w:ascii="Times New Roman" w:hAnsi="Times New Roman" w:eastAsia="宋体" w:cs="Times New Roman"/>
                <w:b w:val="0"/>
                <w:bCs/>
                <w:color w:val="auto"/>
                <w:kern w:val="0"/>
                <w:sz w:val="21"/>
                <w:szCs w:val="21"/>
                <w:highlight w:val="none"/>
                <w:lang w:val="en-US" w:eastAsia="zh-CN" w:bidi="ar-SA"/>
              </w:rPr>
              <w:t>为不断改善区域环境质量，淄博市采取了一系列大气污染治理措施，根据《关于印发淄博市深入打好重污染天气消除、臭氧污染防治和柴油货车污染治理攻坚战行动方案的通知》（淄环发〔2023〕101号）、《淄博市生态环境局等6部门关于印发&lt;淄博市减污降碳协同增效实施方案&gt;的通知》(淄环发〔2024〕24号)，通过不断加强环境空气污染治理，区域环境空气质量可以持续改善。</w:t>
            </w:r>
          </w:p>
          <w:p w14:paraId="0DDB1C79">
            <w:pPr>
              <w:snapToGrid w:val="0"/>
              <w:spacing w:line="360" w:lineRule="auto"/>
              <w:ind w:firstLine="422" w:firstLineChars="200"/>
              <w:jc w:val="left"/>
              <w:rPr>
                <w:b/>
                <w:bCs/>
                <w:sz w:val="21"/>
                <w:szCs w:val="21"/>
              </w:rPr>
            </w:pPr>
            <w:r>
              <w:rPr>
                <w:b/>
                <w:bCs/>
                <w:sz w:val="21"/>
                <w:szCs w:val="21"/>
              </w:rPr>
              <w:t>2、地表水</w:t>
            </w:r>
          </w:p>
          <w:p w14:paraId="5947E182">
            <w:pPr>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sz w:val="21"/>
                <w:szCs w:val="21"/>
              </w:rPr>
              <w:t>根据项目地理位置可知，该区域地表水为范阳河</w:t>
            </w:r>
            <w:r>
              <w:rPr>
                <w:rFonts w:hint="default" w:ascii="Times New Roman" w:hAnsi="Times New Roman" w:cs="Times New Roman"/>
                <w:color w:val="auto"/>
                <w:sz w:val="21"/>
                <w:szCs w:val="21"/>
                <w:lang w:eastAsia="zh-CN"/>
              </w:rPr>
              <w:t>根</w:t>
            </w:r>
            <w:r>
              <w:rPr>
                <w:rFonts w:hint="default" w:ascii="Times New Roman" w:hAnsi="Times New Roman" w:eastAsia="宋体" w:cs="Times New Roman"/>
                <w:color w:val="auto"/>
                <w:kern w:val="0"/>
                <w:sz w:val="21"/>
                <w:szCs w:val="21"/>
                <w:highlight w:val="none"/>
                <w:lang w:val="zh-CN"/>
              </w:rPr>
              <w:t>据淄博市生态环境局</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日</w:t>
            </w:r>
            <w:r>
              <w:rPr>
                <w:rFonts w:hint="default" w:ascii="Times New Roman" w:hAnsi="Times New Roman" w:eastAsia="宋体" w:cs="Times New Roman"/>
                <w:color w:val="auto"/>
                <w:kern w:val="0"/>
                <w:sz w:val="21"/>
                <w:szCs w:val="21"/>
                <w:highlight w:val="none"/>
                <w:lang w:val="zh-CN"/>
              </w:rPr>
              <w:t>公布的《202</w:t>
            </w:r>
            <w:r>
              <w:rPr>
                <w:rFonts w:hint="eastAsia"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lang w:val="zh-CN"/>
              </w:rPr>
              <w:t>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p>
          <w:p w14:paraId="78FFC099">
            <w:pPr>
              <w:snapToGrid w:val="0"/>
              <w:spacing w:line="360" w:lineRule="auto"/>
              <w:ind w:firstLine="422" w:firstLineChars="200"/>
              <w:jc w:val="left"/>
              <w:rPr>
                <w:b/>
                <w:bCs/>
                <w:sz w:val="21"/>
                <w:szCs w:val="21"/>
                <w:highlight w:val="none"/>
              </w:rPr>
            </w:pPr>
            <w:r>
              <w:rPr>
                <w:b/>
                <w:bCs/>
                <w:sz w:val="21"/>
                <w:szCs w:val="21"/>
                <w:highlight w:val="none"/>
              </w:rPr>
              <w:t>3、声环境</w:t>
            </w:r>
          </w:p>
          <w:p w14:paraId="3F40E073">
            <w:pPr>
              <w:adjustRightInd w:val="0"/>
              <w:snapToGrid w:val="0"/>
              <w:spacing w:line="360" w:lineRule="auto"/>
              <w:ind w:firstLine="420" w:firstLineChars="200"/>
              <w:rPr>
                <w:rFonts w:hint="default" w:ascii="Times New Roman" w:hAnsi="Times New Roman" w:cs="Times New Roman"/>
                <w:color w:val="FF0000"/>
                <w:sz w:val="21"/>
                <w:szCs w:val="21"/>
              </w:rPr>
            </w:pPr>
            <w:r>
              <w:rPr>
                <w:rFonts w:hint="default" w:ascii="Times New Roman" w:hAnsi="Times New Roman" w:eastAsia="宋体" w:cs="Times New Roman"/>
                <w:color w:val="000000"/>
                <w:kern w:val="0"/>
                <w:sz w:val="21"/>
                <w:szCs w:val="21"/>
                <w:lang w:val="en-US" w:eastAsia="zh-CN" w:bidi="ar"/>
              </w:rPr>
              <w:t>经现场勘查，项目区周围为其他企业，项目厂界周边50m范围内无声环境保护目标，</w:t>
            </w:r>
            <w:r>
              <w:rPr>
                <w:rFonts w:hint="default" w:ascii="Times New Roman" w:hAnsi="Times New Roman" w:eastAsia="宋体" w:cs="Times New Roman"/>
                <w:color w:val="000000"/>
                <w:sz w:val="21"/>
                <w:szCs w:val="21"/>
              </w:rPr>
              <w:t>所在地无重大噪声源，评价区域内声环境质量现状满足《声环境质量标准》（GB3096-2008）的</w:t>
            </w:r>
            <w:r>
              <w:rPr>
                <w:rFonts w:hint="eastAsia"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类声环境功能区要求，声环境质量良好</w:t>
            </w:r>
            <w:r>
              <w:rPr>
                <w:rFonts w:hint="default" w:ascii="Times New Roman" w:hAnsi="Times New Roman" w:eastAsia="宋体" w:cs="Times New Roman"/>
                <w:sz w:val="21"/>
                <w:szCs w:val="21"/>
              </w:rPr>
              <w:t>。</w:t>
            </w:r>
          </w:p>
          <w:p w14:paraId="1888A1B1">
            <w:pPr>
              <w:keepNext w:val="0"/>
              <w:keepLines w:val="0"/>
              <w:pageBreakBefore w:val="0"/>
              <w:widowControl w:val="0"/>
              <w:kinsoku/>
              <w:wordWrap/>
              <w:overflowPunct/>
              <w:topLinePunct w:val="0"/>
              <w:autoSpaceDE/>
              <w:autoSpaceDN/>
              <w:bidi w:val="0"/>
              <w:adjustRightInd/>
              <w:snapToGrid w:val="0"/>
              <w:spacing w:line="360" w:lineRule="auto"/>
              <w:ind w:left="0" w:firstLine="422" w:firstLineChars="200"/>
              <w:textAlignment w:val="auto"/>
              <w:rPr>
                <w:b/>
                <w:sz w:val="21"/>
                <w:szCs w:val="21"/>
              </w:rPr>
            </w:pPr>
            <w:r>
              <w:rPr>
                <w:b/>
                <w:sz w:val="21"/>
                <w:szCs w:val="21"/>
              </w:rPr>
              <w:t>4地下水、土壤</w:t>
            </w:r>
          </w:p>
          <w:p w14:paraId="390B2A30">
            <w:pPr>
              <w:keepNext w:val="0"/>
              <w:keepLines w:val="0"/>
              <w:pageBreakBefore w:val="0"/>
              <w:widowControl w:val="0"/>
              <w:kinsoku/>
              <w:wordWrap/>
              <w:overflowPunct/>
              <w:topLinePunct w:val="0"/>
              <w:autoSpaceDE/>
              <w:autoSpaceDN/>
              <w:bidi w:val="0"/>
              <w:adjustRightInd/>
              <w:snapToGrid w:val="0"/>
              <w:spacing w:line="360" w:lineRule="auto"/>
              <w:ind w:left="0" w:firstLine="420" w:firstLineChars="200"/>
              <w:jc w:val="left"/>
              <w:textAlignment w:val="auto"/>
              <w:rPr>
                <w:b/>
                <w:sz w:val="21"/>
                <w:szCs w:val="21"/>
                <w:highlight w:val="yellow"/>
              </w:rPr>
            </w:pPr>
            <w:r>
              <w:rPr>
                <w:rFonts w:ascii="Times New Roman" w:hAnsi="Times New Roman" w:eastAsia="宋体" w:cs="Times New Roman"/>
                <w:kern w:val="2"/>
                <w:sz w:val="21"/>
                <w:szCs w:val="21"/>
                <w:lang w:val="en-US" w:eastAsia="zh-CN" w:bidi="ar-SA"/>
              </w:rPr>
              <w:t>本项目建成后，</w:t>
            </w:r>
            <w:r>
              <w:rPr>
                <w:rFonts w:hint="eastAsia" w:cs="Times New Roman"/>
                <w:kern w:val="2"/>
                <w:sz w:val="21"/>
                <w:szCs w:val="21"/>
                <w:lang w:val="en-US" w:eastAsia="zh-CN" w:bidi="ar-SA"/>
              </w:rPr>
              <w:t>在</w:t>
            </w:r>
            <w:r>
              <w:rPr>
                <w:rFonts w:ascii="Times New Roman" w:hAnsi="Times New Roman" w:eastAsia="宋体" w:cs="Times New Roman"/>
                <w:kern w:val="2"/>
                <w:sz w:val="21"/>
                <w:szCs w:val="21"/>
                <w:lang w:val="en-US" w:eastAsia="zh-CN" w:bidi="ar-SA"/>
              </w:rPr>
              <w:t>严格落实项目防渗措施的情况下，基本不会对地下水、土壤环境造成不利影响，</w:t>
            </w:r>
            <w:r>
              <w:rPr>
                <w:rFonts w:hint="eastAsia" w:ascii="Times New Roman" w:hAnsi="Times New Roman" w:eastAsia="宋体" w:cs="Times New Roman"/>
                <w:kern w:val="2"/>
                <w:sz w:val="21"/>
                <w:szCs w:val="21"/>
                <w:lang w:val="en-US" w:eastAsia="zh-CN" w:bidi="ar-SA"/>
              </w:rPr>
              <w:t>故</w:t>
            </w:r>
            <w:r>
              <w:rPr>
                <w:rFonts w:ascii="Times New Roman" w:hAnsi="Times New Roman" w:eastAsia="宋体" w:cs="Times New Roman"/>
                <w:kern w:val="2"/>
                <w:sz w:val="21"/>
                <w:szCs w:val="21"/>
                <w:lang w:val="en-US" w:eastAsia="zh-CN" w:bidi="ar-SA"/>
              </w:rPr>
              <w:t>本评价原则上不开展地下水、土壤环境质量现状调查</w:t>
            </w:r>
            <w:r>
              <w:rPr>
                <w:sz w:val="21"/>
                <w:szCs w:val="21"/>
              </w:rPr>
              <w:t>。</w:t>
            </w:r>
          </w:p>
          <w:p w14:paraId="4CA275B3">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left="0" w:firstLine="422" w:firstLineChars="200"/>
              <w:textAlignment w:val="auto"/>
              <w:rPr>
                <w:b/>
                <w:sz w:val="21"/>
                <w:szCs w:val="21"/>
              </w:rPr>
            </w:pPr>
            <w:r>
              <w:rPr>
                <w:b/>
                <w:sz w:val="21"/>
                <w:szCs w:val="21"/>
              </w:rPr>
              <w:t>生态环境</w:t>
            </w:r>
          </w:p>
          <w:p w14:paraId="355F18B4">
            <w:pPr>
              <w:keepNext w:val="0"/>
              <w:keepLines w:val="0"/>
              <w:pageBreakBefore w:val="0"/>
              <w:widowControl w:val="0"/>
              <w:kinsoku/>
              <w:wordWrap/>
              <w:overflowPunct/>
              <w:topLinePunct w:val="0"/>
              <w:autoSpaceDE/>
              <w:autoSpaceDN/>
              <w:bidi w:val="0"/>
              <w:adjustRightInd/>
              <w:spacing w:line="360" w:lineRule="auto"/>
              <w:ind w:lef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项目位于</w:t>
            </w:r>
            <w:r>
              <w:rPr>
                <w:rFonts w:hint="eastAsia" w:cs="Times New Roman"/>
                <w:color w:val="auto"/>
                <w:sz w:val="21"/>
                <w:szCs w:val="21"/>
                <w:highlight w:val="none"/>
                <w:lang w:eastAsia="zh-CN"/>
              </w:rPr>
              <w:t>山东省淄博市文昌湖区萌水镇龙口村村委北150米</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不新增用地，项目用地范围内无生态环境</w:t>
            </w:r>
            <w:r>
              <w:rPr>
                <w:rFonts w:hint="default" w:ascii="Times New Roman" w:hAnsi="Times New Roman" w:eastAsia="宋体" w:cs="Times New Roman"/>
                <w:color w:val="auto"/>
                <w:sz w:val="21"/>
                <w:szCs w:val="21"/>
                <w:highlight w:val="none"/>
              </w:rPr>
              <w:t>保护目标</w:t>
            </w:r>
            <w:r>
              <w:rPr>
                <w:rFonts w:hint="eastAsia" w:ascii="Times New Roman" w:hAnsi="Times New Roman" w:eastAsia="宋体" w:cs="Times New Roman"/>
                <w:color w:val="auto"/>
                <w:sz w:val="21"/>
                <w:szCs w:val="21"/>
                <w:highlight w:val="none"/>
                <w:lang w:eastAsia="zh-CN"/>
              </w:rPr>
              <w:t>，不需要进行生态现状调查。</w:t>
            </w:r>
            <w:r>
              <w:rPr>
                <w:rFonts w:hint="default" w:ascii="Times New Roman" w:hAnsi="Times New Roman" w:eastAsia="宋体" w:cs="Times New Roman"/>
                <w:color w:val="auto"/>
                <w:sz w:val="21"/>
                <w:szCs w:val="21"/>
                <w:highlight w:val="none"/>
              </w:rPr>
              <w:t xml:space="preserve"> </w:t>
            </w:r>
          </w:p>
          <w:p w14:paraId="3FB73C99">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left="0" w:firstLine="422" w:firstLineChars="200"/>
              <w:textAlignment w:val="auto"/>
              <w:rPr>
                <w:b/>
                <w:sz w:val="21"/>
                <w:szCs w:val="21"/>
              </w:rPr>
            </w:pPr>
            <w:r>
              <w:rPr>
                <w:b/>
                <w:sz w:val="21"/>
                <w:szCs w:val="21"/>
              </w:rPr>
              <w:t xml:space="preserve">电磁辐射 </w:t>
            </w:r>
          </w:p>
          <w:p w14:paraId="3FE59AF3">
            <w:pPr>
              <w:keepNext w:val="0"/>
              <w:keepLines w:val="0"/>
              <w:pageBreakBefore w:val="0"/>
              <w:widowControl w:val="0"/>
              <w:kinsoku/>
              <w:wordWrap/>
              <w:overflowPunct/>
              <w:topLinePunct w:val="0"/>
              <w:autoSpaceDE/>
              <w:autoSpaceDN/>
              <w:bidi w:val="0"/>
              <w:adjustRightInd/>
              <w:snapToGrid w:val="0"/>
              <w:spacing w:line="360" w:lineRule="auto"/>
              <w:ind w:left="0" w:firstLine="420" w:firstLineChars="200"/>
              <w:textAlignment w:val="auto"/>
              <w:rPr>
                <w:sz w:val="21"/>
                <w:szCs w:val="21"/>
              </w:rPr>
            </w:pPr>
            <w:r>
              <w:rPr>
                <w:bCs/>
                <w:sz w:val="21"/>
                <w:szCs w:val="21"/>
              </w:rPr>
              <w:t>本项目不属于广播电台、差转台、电视塔台、卫星地球上行站、雷达等电磁辐射类项目，不需要开展电磁辐射现状监测与评价。</w:t>
            </w:r>
          </w:p>
        </w:tc>
      </w:tr>
      <w:tr w14:paraId="023C7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vAlign w:val="center"/>
          </w:tcPr>
          <w:p w14:paraId="2FB761D4">
            <w:pPr>
              <w:adjustRightInd w:val="0"/>
              <w:snapToGrid w:val="0"/>
              <w:jc w:val="center"/>
              <w:rPr>
                <w:rFonts w:ascii="宋体" w:hAnsi="宋体" w:cs="宋体"/>
                <w:kern w:val="0"/>
                <w:sz w:val="21"/>
                <w:szCs w:val="21"/>
              </w:rPr>
            </w:pPr>
            <w:r>
              <w:rPr>
                <w:rFonts w:hint="eastAsia" w:ascii="宋体" w:hAnsi="宋体" w:cs="宋体"/>
                <w:kern w:val="0"/>
                <w:sz w:val="21"/>
                <w:szCs w:val="21"/>
              </w:rPr>
              <w:t>环境</w:t>
            </w:r>
          </w:p>
          <w:p w14:paraId="63567287">
            <w:pPr>
              <w:adjustRightInd w:val="0"/>
              <w:snapToGrid w:val="0"/>
              <w:jc w:val="center"/>
              <w:rPr>
                <w:rFonts w:ascii="宋体" w:hAnsi="宋体" w:cs="宋体"/>
                <w:kern w:val="0"/>
                <w:sz w:val="21"/>
                <w:szCs w:val="21"/>
              </w:rPr>
            </w:pPr>
            <w:r>
              <w:rPr>
                <w:rFonts w:hint="eastAsia" w:ascii="宋体" w:hAnsi="宋体" w:cs="宋体"/>
                <w:kern w:val="0"/>
                <w:sz w:val="21"/>
                <w:szCs w:val="21"/>
              </w:rPr>
              <w:t>保护</w:t>
            </w:r>
          </w:p>
          <w:p w14:paraId="16B89BBE">
            <w:pPr>
              <w:adjustRightInd w:val="0"/>
              <w:snapToGrid w:val="0"/>
              <w:jc w:val="center"/>
              <w:rPr>
                <w:rFonts w:ascii="宋体" w:hAnsi="宋体" w:cs="宋体"/>
                <w:kern w:val="0"/>
                <w:sz w:val="21"/>
                <w:szCs w:val="21"/>
              </w:rPr>
            </w:pPr>
            <w:r>
              <w:rPr>
                <w:rFonts w:hint="eastAsia" w:ascii="宋体" w:hAnsi="宋体" w:cs="宋体"/>
                <w:kern w:val="0"/>
                <w:sz w:val="21"/>
                <w:szCs w:val="21"/>
              </w:rPr>
              <w:t>目标</w:t>
            </w:r>
          </w:p>
        </w:tc>
        <w:tc>
          <w:tcPr>
            <w:tcW w:w="8630" w:type="dxa"/>
            <w:vAlign w:val="center"/>
          </w:tcPr>
          <w:p w14:paraId="366121BA">
            <w:pPr>
              <w:snapToGrid w:val="0"/>
              <w:spacing w:line="360" w:lineRule="auto"/>
              <w:rPr>
                <w:sz w:val="21"/>
                <w:szCs w:val="21"/>
              </w:rPr>
            </w:pPr>
            <w:r>
              <w:rPr>
                <w:sz w:val="21"/>
                <w:szCs w:val="21"/>
              </w:rPr>
              <w:t>主要环境保护目标(列出名单及保护级别)：</w:t>
            </w:r>
          </w:p>
          <w:p w14:paraId="0C3C011A">
            <w:pPr>
              <w:spacing w:line="360" w:lineRule="auto"/>
              <w:ind w:firstLine="420" w:firstLineChars="200"/>
              <w:rPr>
                <w:sz w:val="21"/>
                <w:szCs w:val="21"/>
              </w:rPr>
            </w:pPr>
            <w:r>
              <w:rPr>
                <w:sz w:val="21"/>
                <w:szCs w:val="21"/>
              </w:rPr>
              <w:t>根据对建设项目所在地周边环境现状的踏勘，项目附近无文物保护、风景名胜区、饮用水源地等敏感环境保护目标，本项目评价范围内主要环境保护目标及其保护级别</w:t>
            </w:r>
            <w:r>
              <w:rPr>
                <w:sz w:val="21"/>
                <w:szCs w:val="21"/>
                <w:lang w:val="zh-CN"/>
              </w:rPr>
              <w:t>见表</w:t>
            </w:r>
            <w:r>
              <w:rPr>
                <w:rFonts w:hint="eastAsia"/>
                <w:sz w:val="21"/>
                <w:szCs w:val="21"/>
              </w:rPr>
              <w:t>3-3</w:t>
            </w:r>
            <w:r>
              <w:rPr>
                <w:sz w:val="21"/>
                <w:szCs w:val="21"/>
                <w:lang w:val="zh-CN"/>
              </w:rPr>
              <w:t>。</w:t>
            </w:r>
          </w:p>
          <w:p w14:paraId="6990DC81">
            <w:pPr>
              <w:pStyle w:val="42"/>
              <w:spacing w:before="24" w:after="24" w:line="240" w:lineRule="auto"/>
              <w:rPr>
                <w:b/>
                <w:bCs/>
                <w:sz w:val="21"/>
                <w:szCs w:val="21"/>
              </w:rPr>
            </w:pPr>
            <w:r>
              <w:rPr>
                <w:rFonts w:hint="default" w:ascii="Times New Roman" w:hAnsi="Times New Roman" w:cs="Times New Roman"/>
                <w:b/>
                <w:bCs/>
                <w:sz w:val="21"/>
                <w:szCs w:val="21"/>
              </w:rPr>
              <w:t>表3-</w:t>
            </w:r>
            <w:r>
              <w:rPr>
                <w:rFonts w:hint="eastAsia" w:ascii="Times New Roman" w:cs="Times New Roman"/>
                <w:b/>
                <w:bCs/>
                <w:sz w:val="21"/>
                <w:szCs w:val="21"/>
                <w:lang w:val="en-US" w:eastAsia="zh-CN"/>
              </w:rPr>
              <w:t>2</w:t>
            </w:r>
            <w:r>
              <w:rPr>
                <w:rFonts w:hint="default"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rPr>
              <w:t>主要环境保</w:t>
            </w:r>
            <w:r>
              <w:rPr>
                <w:b/>
                <w:bCs/>
                <w:sz w:val="21"/>
                <w:szCs w:val="21"/>
              </w:rPr>
              <w:t>护目标及级别一览表</w:t>
            </w:r>
          </w:p>
          <w:tbl>
            <w:tblPr>
              <w:tblStyle w:val="35"/>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940"/>
              <w:gridCol w:w="1271"/>
              <w:gridCol w:w="1233"/>
              <w:gridCol w:w="2393"/>
              <w:gridCol w:w="2552"/>
            </w:tblGrid>
            <w:tr w14:paraId="48C2A8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941" w:type="dxa"/>
                  <w:vAlign w:val="center"/>
                </w:tcPr>
                <w:p w14:paraId="1A11BFC7">
                  <w:pPr>
                    <w:jc w:val="center"/>
                    <w:rPr>
                      <w:b/>
                      <w:sz w:val="21"/>
                      <w:szCs w:val="21"/>
                    </w:rPr>
                  </w:pPr>
                  <w:r>
                    <w:rPr>
                      <w:b/>
                      <w:sz w:val="21"/>
                      <w:szCs w:val="21"/>
                    </w:rPr>
                    <w:t>保护类别</w:t>
                  </w:r>
                </w:p>
              </w:tc>
              <w:tc>
                <w:tcPr>
                  <w:tcW w:w="1271" w:type="dxa"/>
                  <w:vAlign w:val="center"/>
                </w:tcPr>
                <w:p w14:paraId="054715BF">
                  <w:pPr>
                    <w:jc w:val="center"/>
                    <w:rPr>
                      <w:b/>
                      <w:sz w:val="21"/>
                      <w:szCs w:val="21"/>
                    </w:rPr>
                  </w:pPr>
                  <w:r>
                    <w:rPr>
                      <w:b/>
                      <w:sz w:val="21"/>
                      <w:szCs w:val="21"/>
                    </w:rPr>
                    <w:t>保护目标</w:t>
                  </w:r>
                </w:p>
              </w:tc>
              <w:tc>
                <w:tcPr>
                  <w:tcW w:w="1233" w:type="dxa"/>
                  <w:vAlign w:val="center"/>
                </w:tcPr>
                <w:p w14:paraId="6B17DDE2">
                  <w:pPr>
                    <w:jc w:val="center"/>
                    <w:rPr>
                      <w:b/>
                      <w:sz w:val="21"/>
                      <w:szCs w:val="21"/>
                    </w:rPr>
                  </w:pPr>
                  <w:r>
                    <w:rPr>
                      <w:b/>
                      <w:sz w:val="21"/>
                      <w:szCs w:val="21"/>
                    </w:rPr>
                    <w:t>方位</w:t>
                  </w:r>
                </w:p>
              </w:tc>
              <w:tc>
                <w:tcPr>
                  <w:tcW w:w="2394" w:type="dxa"/>
                  <w:vAlign w:val="center"/>
                </w:tcPr>
                <w:p w14:paraId="409DD33A">
                  <w:pPr>
                    <w:jc w:val="center"/>
                    <w:rPr>
                      <w:b/>
                      <w:sz w:val="21"/>
                      <w:szCs w:val="21"/>
                    </w:rPr>
                  </w:pPr>
                  <w:r>
                    <w:rPr>
                      <w:b/>
                      <w:sz w:val="21"/>
                      <w:szCs w:val="21"/>
                    </w:rPr>
                    <w:t>厂区距离（m）</w:t>
                  </w:r>
                </w:p>
              </w:tc>
              <w:tc>
                <w:tcPr>
                  <w:tcW w:w="2552" w:type="dxa"/>
                  <w:vAlign w:val="center"/>
                </w:tcPr>
                <w:p w14:paraId="27CBAFA3">
                  <w:pPr>
                    <w:jc w:val="center"/>
                    <w:rPr>
                      <w:b/>
                      <w:sz w:val="21"/>
                      <w:szCs w:val="21"/>
                    </w:rPr>
                  </w:pPr>
                  <w:r>
                    <w:rPr>
                      <w:b/>
                      <w:sz w:val="21"/>
                      <w:szCs w:val="21"/>
                    </w:rPr>
                    <w:t>保护级别</w:t>
                  </w:r>
                </w:p>
              </w:tc>
            </w:tr>
            <w:tr w14:paraId="3C3CFB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1" w:hRule="atLeast"/>
                <w:jc w:val="center"/>
              </w:trPr>
              <w:tc>
                <w:tcPr>
                  <w:tcW w:w="941" w:type="dxa"/>
                  <w:vAlign w:val="center"/>
                </w:tcPr>
                <w:p w14:paraId="658573BE">
                  <w:pPr>
                    <w:jc w:val="center"/>
                    <w:rPr>
                      <w:sz w:val="21"/>
                      <w:szCs w:val="21"/>
                      <w:highlight w:val="none"/>
                    </w:rPr>
                  </w:pPr>
                  <w:r>
                    <w:rPr>
                      <w:sz w:val="21"/>
                      <w:szCs w:val="21"/>
                      <w:highlight w:val="none"/>
                    </w:rPr>
                    <w:t>大气环境</w:t>
                  </w:r>
                </w:p>
              </w:tc>
              <w:tc>
                <w:tcPr>
                  <w:tcW w:w="1271" w:type="dxa"/>
                  <w:vAlign w:val="center"/>
                </w:tcPr>
                <w:p w14:paraId="16095E2F">
                  <w:pPr>
                    <w:jc w:val="center"/>
                    <w:rPr>
                      <w:rFonts w:hint="eastAsia" w:eastAsia="宋体"/>
                      <w:sz w:val="21"/>
                      <w:szCs w:val="21"/>
                      <w:highlight w:val="none"/>
                      <w:lang w:eastAsia="zh-CN"/>
                    </w:rPr>
                  </w:pPr>
                  <w:r>
                    <w:rPr>
                      <w:rFonts w:hint="eastAsia"/>
                      <w:sz w:val="21"/>
                      <w:szCs w:val="21"/>
                      <w:highlight w:val="none"/>
                      <w:lang w:eastAsia="zh-CN"/>
                    </w:rPr>
                    <w:t>龙口村</w:t>
                  </w:r>
                </w:p>
              </w:tc>
              <w:tc>
                <w:tcPr>
                  <w:tcW w:w="1233" w:type="dxa"/>
                  <w:vAlign w:val="center"/>
                </w:tcPr>
                <w:p w14:paraId="4638AA65">
                  <w:pPr>
                    <w:jc w:val="center"/>
                    <w:rPr>
                      <w:rFonts w:hint="eastAsia" w:eastAsia="宋体"/>
                      <w:sz w:val="21"/>
                      <w:szCs w:val="21"/>
                      <w:highlight w:val="none"/>
                      <w:lang w:eastAsia="zh-CN"/>
                    </w:rPr>
                  </w:pPr>
                  <w:r>
                    <w:rPr>
                      <w:rFonts w:hint="eastAsia"/>
                      <w:highlight w:val="none"/>
                      <w:lang w:eastAsia="zh-CN"/>
                    </w:rPr>
                    <w:t>西</w:t>
                  </w:r>
                  <w:r>
                    <w:rPr>
                      <w:rFonts w:hint="eastAsia"/>
                      <w:sz w:val="21"/>
                      <w:szCs w:val="21"/>
                      <w:highlight w:val="none"/>
                      <w:lang w:eastAsia="zh-CN"/>
                    </w:rPr>
                    <w:t>南侧</w:t>
                  </w:r>
                </w:p>
              </w:tc>
              <w:tc>
                <w:tcPr>
                  <w:tcW w:w="2394" w:type="dxa"/>
                  <w:vAlign w:val="center"/>
                </w:tcPr>
                <w:p w14:paraId="4C417B23">
                  <w:pPr>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101</w:t>
                  </w:r>
                </w:p>
              </w:tc>
              <w:tc>
                <w:tcPr>
                  <w:tcW w:w="2552" w:type="dxa"/>
                  <w:vAlign w:val="center"/>
                </w:tcPr>
                <w:p w14:paraId="299263D5">
                  <w:pPr>
                    <w:jc w:val="center"/>
                    <w:rPr>
                      <w:sz w:val="21"/>
                      <w:szCs w:val="21"/>
                      <w:highlight w:val="none"/>
                    </w:rPr>
                  </w:pPr>
                  <w:r>
                    <w:rPr>
                      <w:sz w:val="21"/>
                      <w:szCs w:val="21"/>
                      <w:highlight w:val="none"/>
                    </w:rPr>
                    <w:t>《环境空气质量标准》(GB3095-2012)及其2018</w:t>
                  </w:r>
                  <w:r>
                    <w:rPr>
                      <w:rFonts w:hint="eastAsia"/>
                      <w:sz w:val="21"/>
                      <w:szCs w:val="21"/>
                      <w:highlight w:val="none"/>
                    </w:rPr>
                    <w:t>年</w:t>
                  </w:r>
                  <w:r>
                    <w:rPr>
                      <w:sz w:val="21"/>
                      <w:szCs w:val="21"/>
                      <w:highlight w:val="none"/>
                    </w:rPr>
                    <w:t>修改单</w:t>
                  </w:r>
                  <w:r>
                    <w:rPr>
                      <w:rFonts w:hint="eastAsia"/>
                      <w:sz w:val="21"/>
                      <w:szCs w:val="21"/>
                      <w:highlight w:val="none"/>
                    </w:rPr>
                    <w:t>中</w:t>
                  </w:r>
                  <w:r>
                    <w:rPr>
                      <w:sz w:val="21"/>
                      <w:szCs w:val="21"/>
                      <w:highlight w:val="none"/>
                    </w:rPr>
                    <w:t>二级标准</w:t>
                  </w:r>
                </w:p>
              </w:tc>
            </w:tr>
            <w:tr w14:paraId="13C3F9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74" w:hRule="atLeast"/>
                <w:jc w:val="center"/>
              </w:trPr>
              <w:tc>
                <w:tcPr>
                  <w:tcW w:w="941" w:type="dxa"/>
                  <w:vAlign w:val="center"/>
                </w:tcPr>
                <w:p w14:paraId="21827D7E">
                  <w:pPr>
                    <w:jc w:val="center"/>
                    <w:rPr>
                      <w:sz w:val="21"/>
                      <w:szCs w:val="21"/>
                      <w:highlight w:val="none"/>
                    </w:rPr>
                  </w:pPr>
                  <w:r>
                    <w:rPr>
                      <w:sz w:val="21"/>
                      <w:szCs w:val="21"/>
                      <w:highlight w:val="none"/>
                    </w:rPr>
                    <w:t>声环境</w:t>
                  </w:r>
                </w:p>
              </w:tc>
              <w:tc>
                <w:tcPr>
                  <w:tcW w:w="4898" w:type="dxa"/>
                  <w:gridSpan w:val="3"/>
                  <w:shd w:val="clear" w:color="auto" w:fill="auto"/>
                  <w:vAlign w:val="center"/>
                </w:tcPr>
                <w:p w14:paraId="2E666EBB">
                  <w:pPr>
                    <w:jc w:val="center"/>
                    <w:rPr>
                      <w:rFonts w:hint="eastAsia" w:ascii="Times New Roman" w:hAnsi="Times New Roman" w:eastAsia="宋体" w:cs="Times New Roman"/>
                      <w:color w:val="000000"/>
                      <w:kern w:val="0"/>
                      <w:sz w:val="21"/>
                      <w:szCs w:val="21"/>
                      <w:highlight w:val="none"/>
                      <w:lang w:val="en-US" w:eastAsia="zh-CN" w:bidi="ar-SA"/>
                    </w:rPr>
                  </w:pPr>
                  <w:r>
                    <w:rPr>
                      <w:rFonts w:hint="eastAsia"/>
                      <w:color w:val="auto"/>
                      <w:sz w:val="21"/>
                      <w:szCs w:val="21"/>
                      <w:highlight w:val="none"/>
                    </w:rPr>
                    <w:t>厂界外50米范围内无声环境保护目标</w:t>
                  </w:r>
                </w:p>
              </w:tc>
              <w:tc>
                <w:tcPr>
                  <w:tcW w:w="2552" w:type="dxa"/>
                  <w:vAlign w:val="center"/>
                </w:tcPr>
                <w:p w14:paraId="19AA3D80">
                  <w:pPr>
                    <w:jc w:val="center"/>
                    <w:rPr>
                      <w:sz w:val="21"/>
                      <w:szCs w:val="21"/>
                      <w:highlight w:val="none"/>
                    </w:rPr>
                  </w:pPr>
                  <w:r>
                    <w:rPr>
                      <w:sz w:val="21"/>
                      <w:szCs w:val="21"/>
                      <w:highlight w:val="none"/>
                    </w:rPr>
                    <w:t>《声环境质量标准》（GB3096-2008）2类</w:t>
                  </w:r>
                </w:p>
              </w:tc>
            </w:tr>
            <w:tr w14:paraId="746877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74" w:hRule="atLeast"/>
                <w:jc w:val="center"/>
              </w:trPr>
              <w:tc>
                <w:tcPr>
                  <w:tcW w:w="941" w:type="dxa"/>
                  <w:vAlign w:val="center"/>
                </w:tcPr>
                <w:p w14:paraId="00CF0FFE">
                  <w:pPr>
                    <w:jc w:val="center"/>
                    <w:rPr>
                      <w:sz w:val="21"/>
                      <w:szCs w:val="21"/>
                      <w:highlight w:val="none"/>
                    </w:rPr>
                  </w:pPr>
                  <w:r>
                    <w:rPr>
                      <w:rFonts w:hint="eastAsia"/>
                      <w:sz w:val="21"/>
                      <w:szCs w:val="21"/>
                      <w:highlight w:val="none"/>
                    </w:rPr>
                    <w:t>地表水</w:t>
                  </w:r>
                </w:p>
              </w:tc>
              <w:tc>
                <w:tcPr>
                  <w:tcW w:w="1271" w:type="dxa"/>
                  <w:vAlign w:val="center"/>
                </w:tcPr>
                <w:p w14:paraId="736A8B82">
                  <w:pPr>
                    <w:jc w:val="center"/>
                    <w:rPr>
                      <w:rFonts w:hint="eastAsia" w:eastAsia="宋体"/>
                      <w:kern w:val="0"/>
                      <w:sz w:val="21"/>
                      <w:szCs w:val="21"/>
                      <w:highlight w:val="none"/>
                      <w:lang w:eastAsia="zh-CN"/>
                    </w:rPr>
                  </w:pPr>
                  <w:r>
                    <w:rPr>
                      <w:rFonts w:hint="eastAsia"/>
                      <w:lang w:val="en-US" w:eastAsia="zh-CN"/>
                    </w:rPr>
                    <w:t>焕然河</w:t>
                  </w:r>
                  <w:r>
                    <w:rPr>
                      <w:rFonts w:hint="eastAsia"/>
                      <w:sz w:val="21"/>
                      <w:szCs w:val="21"/>
                      <w:highlight w:val="none"/>
                      <w:lang w:eastAsia="zh-CN"/>
                    </w:rPr>
                    <w:t>（范阳河支流）</w:t>
                  </w:r>
                </w:p>
              </w:tc>
              <w:tc>
                <w:tcPr>
                  <w:tcW w:w="1233" w:type="dxa"/>
                  <w:vAlign w:val="center"/>
                </w:tcPr>
                <w:p w14:paraId="0D764247">
                  <w:pPr>
                    <w:jc w:val="center"/>
                    <w:rPr>
                      <w:rFonts w:hint="eastAsia" w:eastAsia="宋体"/>
                      <w:kern w:val="0"/>
                      <w:sz w:val="21"/>
                      <w:szCs w:val="21"/>
                      <w:highlight w:val="none"/>
                      <w:lang w:eastAsia="zh-CN"/>
                    </w:rPr>
                  </w:pPr>
                  <w:r>
                    <w:rPr>
                      <w:rFonts w:hint="eastAsia"/>
                      <w:kern w:val="0"/>
                      <w:sz w:val="21"/>
                      <w:szCs w:val="21"/>
                      <w:highlight w:val="none"/>
                      <w:lang w:eastAsia="zh-CN"/>
                    </w:rPr>
                    <w:t>东侧</w:t>
                  </w:r>
                </w:p>
              </w:tc>
              <w:tc>
                <w:tcPr>
                  <w:tcW w:w="2394" w:type="dxa"/>
                  <w:vAlign w:val="center"/>
                </w:tcPr>
                <w:p w14:paraId="11B8DF05">
                  <w:pPr>
                    <w:jc w:val="center"/>
                    <w:rPr>
                      <w:rFonts w:hint="default" w:eastAsia="宋体"/>
                      <w:kern w:val="0"/>
                      <w:sz w:val="21"/>
                      <w:szCs w:val="21"/>
                      <w:highlight w:val="none"/>
                      <w:lang w:val="en-US" w:eastAsia="zh-CN"/>
                    </w:rPr>
                  </w:pPr>
                  <w:r>
                    <w:rPr>
                      <w:rFonts w:hint="eastAsia"/>
                      <w:kern w:val="0"/>
                      <w:sz w:val="21"/>
                      <w:szCs w:val="21"/>
                      <w:highlight w:val="none"/>
                      <w:lang w:val="en-US" w:eastAsia="zh-CN"/>
                    </w:rPr>
                    <w:t>155</w:t>
                  </w:r>
                </w:p>
              </w:tc>
              <w:tc>
                <w:tcPr>
                  <w:tcW w:w="2552" w:type="dxa"/>
                  <w:vAlign w:val="center"/>
                </w:tcPr>
                <w:p w14:paraId="7C2AFEDC">
                  <w:pPr>
                    <w:jc w:val="center"/>
                    <w:rPr>
                      <w:sz w:val="21"/>
                      <w:szCs w:val="21"/>
                      <w:highlight w:val="none"/>
                    </w:rPr>
                  </w:pPr>
                  <w:r>
                    <w:rPr>
                      <w:sz w:val="21"/>
                      <w:szCs w:val="21"/>
                      <w:highlight w:val="none"/>
                    </w:rPr>
                    <w:t>《地表水环境质量标准》（GB3838-2002）</w:t>
                  </w:r>
                  <w:r>
                    <w:rPr>
                      <w:rFonts w:hint="eastAsia"/>
                      <w:sz w:val="21"/>
                      <w:szCs w:val="21"/>
                      <w:highlight w:val="none"/>
                    </w:rPr>
                    <w:t>III</w:t>
                  </w:r>
                  <w:r>
                    <w:rPr>
                      <w:sz w:val="21"/>
                      <w:szCs w:val="21"/>
                      <w:highlight w:val="none"/>
                    </w:rPr>
                    <w:t>类</w:t>
                  </w:r>
                </w:p>
              </w:tc>
            </w:tr>
            <w:tr w14:paraId="6690EF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941" w:type="dxa"/>
                  <w:vAlign w:val="center"/>
                </w:tcPr>
                <w:p w14:paraId="703A6463">
                  <w:pPr>
                    <w:jc w:val="center"/>
                    <w:rPr>
                      <w:color w:val="auto"/>
                      <w:sz w:val="21"/>
                      <w:szCs w:val="21"/>
                      <w:highlight w:val="none"/>
                    </w:rPr>
                  </w:pPr>
                  <w:r>
                    <w:rPr>
                      <w:color w:val="auto"/>
                      <w:sz w:val="21"/>
                      <w:szCs w:val="21"/>
                      <w:highlight w:val="none"/>
                    </w:rPr>
                    <w:t>地下水</w:t>
                  </w:r>
                </w:p>
              </w:tc>
              <w:tc>
                <w:tcPr>
                  <w:tcW w:w="4898" w:type="dxa"/>
                  <w:gridSpan w:val="3"/>
                  <w:vAlign w:val="center"/>
                </w:tcPr>
                <w:p w14:paraId="39DCBDC8">
                  <w:pPr>
                    <w:jc w:val="center"/>
                    <w:rPr>
                      <w:color w:val="auto"/>
                      <w:sz w:val="21"/>
                      <w:szCs w:val="21"/>
                      <w:highlight w:val="none"/>
                    </w:rPr>
                  </w:pPr>
                  <w:r>
                    <w:rPr>
                      <w:color w:val="auto"/>
                      <w:sz w:val="21"/>
                      <w:szCs w:val="21"/>
                      <w:highlight w:val="none"/>
                    </w:rPr>
                    <w:t>厂界外500米范围内无地下水集中式饮用水源 和热水、矿泉水、温泉等特殊地下水资源</w:t>
                  </w:r>
                </w:p>
              </w:tc>
              <w:tc>
                <w:tcPr>
                  <w:tcW w:w="2552" w:type="dxa"/>
                  <w:vAlign w:val="center"/>
                </w:tcPr>
                <w:p w14:paraId="46082BC5">
                  <w:pPr>
                    <w:jc w:val="center"/>
                    <w:rPr>
                      <w:color w:val="auto"/>
                      <w:sz w:val="21"/>
                      <w:szCs w:val="21"/>
                      <w:highlight w:val="none"/>
                    </w:rPr>
                  </w:pPr>
                  <w:r>
                    <w:rPr>
                      <w:color w:val="auto"/>
                      <w:sz w:val="21"/>
                      <w:szCs w:val="21"/>
                      <w:highlight w:val="none"/>
                    </w:rPr>
                    <w:t>《地下水质量标准》（GB/T14848-2017）</w:t>
                  </w:r>
                  <w:r>
                    <w:rPr>
                      <w:rFonts w:hint="eastAsia"/>
                      <w:color w:val="auto"/>
                      <w:sz w:val="21"/>
                      <w:szCs w:val="21"/>
                      <w:highlight w:val="none"/>
                    </w:rPr>
                    <w:t>III</w:t>
                  </w:r>
                  <w:r>
                    <w:rPr>
                      <w:color w:val="auto"/>
                      <w:sz w:val="21"/>
                      <w:szCs w:val="21"/>
                      <w:highlight w:val="none"/>
                    </w:rPr>
                    <w:t>类</w:t>
                  </w:r>
                </w:p>
              </w:tc>
            </w:tr>
            <w:tr w14:paraId="74F4F1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941" w:type="dxa"/>
                  <w:vAlign w:val="center"/>
                </w:tcPr>
                <w:p w14:paraId="73C45694">
                  <w:pPr>
                    <w:jc w:val="center"/>
                    <w:rPr>
                      <w:color w:val="auto"/>
                      <w:sz w:val="21"/>
                      <w:szCs w:val="21"/>
                      <w:highlight w:val="none"/>
                    </w:rPr>
                  </w:pPr>
                  <w:r>
                    <w:rPr>
                      <w:rFonts w:hint="eastAsia"/>
                      <w:color w:val="auto"/>
                      <w:sz w:val="21"/>
                      <w:szCs w:val="21"/>
                      <w:highlight w:val="none"/>
                    </w:rPr>
                    <w:t>生态环境</w:t>
                  </w:r>
                </w:p>
              </w:tc>
              <w:tc>
                <w:tcPr>
                  <w:tcW w:w="4898" w:type="dxa"/>
                  <w:gridSpan w:val="3"/>
                  <w:vAlign w:val="center"/>
                </w:tcPr>
                <w:p w14:paraId="70348E77">
                  <w:pPr>
                    <w:jc w:val="center"/>
                    <w:rPr>
                      <w:color w:val="auto"/>
                      <w:sz w:val="21"/>
                      <w:szCs w:val="21"/>
                      <w:highlight w:val="none"/>
                    </w:rPr>
                  </w:pPr>
                  <w:r>
                    <w:rPr>
                      <w:color w:val="auto"/>
                      <w:sz w:val="21"/>
                      <w:szCs w:val="21"/>
                      <w:highlight w:val="none"/>
                    </w:rPr>
                    <w:t>项目</w:t>
                  </w:r>
                  <w:r>
                    <w:rPr>
                      <w:rFonts w:hint="default" w:ascii="Times New Roman" w:hAnsi="Times New Roman" w:eastAsia="宋体" w:cs="Times New Roman"/>
                      <w:color w:val="auto"/>
                      <w:sz w:val="21"/>
                      <w:szCs w:val="21"/>
                      <w:highlight w:val="none"/>
                      <w:lang w:eastAsia="zh-CN"/>
                    </w:rPr>
                    <w:t>位于</w:t>
                  </w:r>
                  <w:r>
                    <w:rPr>
                      <w:rFonts w:hint="eastAsia" w:cs="Times New Roman"/>
                      <w:color w:val="auto"/>
                      <w:sz w:val="21"/>
                      <w:szCs w:val="21"/>
                      <w:highlight w:val="none"/>
                      <w:lang w:eastAsia="zh-CN"/>
                    </w:rPr>
                    <w:t>山东省淄博市文昌湖区萌水镇龙口村村委北150米</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用地范围内无生态环境</w:t>
                  </w:r>
                  <w:r>
                    <w:rPr>
                      <w:rFonts w:hint="default" w:ascii="Times New Roman" w:hAnsi="Times New Roman" w:eastAsia="宋体" w:cs="Times New Roman"/>
                      <w:color w:val="auto"/>
                      <w:sz w:val="21"/>
                      <w:szCs w:val="21"/>
                      <w:highlight w:val="none"/>
                    </w:rPr>
                    <w:t>保护目标</w:t>
                  </w:r>
                </w:p>
              </w:tc>
              <w:tc>
                <w:tcPr>
                  <w:tcW w:w="2552" w:type="dxa"/>
                  <w:vAlign w:val="center"/>
                </w:tcPr>
                <w:p w14:paraId="179982B5">
                  <w:pPr>
                    <w:jc w:val="center"/>
                    <w:rPr>
                      <w:color w:val="auto"/>
                      <w:sz w:val="21"/>
                      <w:szCs w:val="21"/>
                      <w:highlight w:val="none"/>
                    </w:rPr>
                  </w:pPr>
                  <w:r>
                    <w:rPr>
                      <w:rFonts w:hint="eastAsia"/>
                      <w:color w:val="auto"/>
                      <w:sz w:val="21"/>
                      <w:szCs w:val="21"/>
                      <w:highlight w:val="none"/>
                    </w:rPr>
                    <w:t>/</w:t>
                  </w:r>
                </w:p>
              </w:tc>
            </w:tr>
            <w:tr w14:paraId="21F9FC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391" w:type="dxa"/>
                  <w:gridSpan w:val="5"/>
                  <w:vAlign w:val="center"/>
                </w:tcPr>
                <w:p w14:paraId="4146AD70">
                  <w:pPr>
                    <w:jc w:val="left"/>
                    <w:rPr>
                      <w:rFonts w:hint="default" w:eastAsia="宋体"/>
                      <w:color w:val="auto"/>
                      <w:sz w:val="21"/>
                      <w:szCs w:val="21"/>
                      <w:highlight w:val="none"/>
                      <w:lang w:val="en-US" w:eastAsia="zh-CN"/>
                    </w:rPr>
                  </w:pPr>
                  <w:r>
                    <w:rPr>
                      <w:rFonts w:hint="eastAsia"/>
                      <w:color w:val="auto"/>
                      <w:sz w:val="21"/>
                      <w:szCs w:val="21"/>
                      <w:highlight w:val="none"/>
                      <w:lang w:eastAsia="zh-CN"/>
                    </w:rPr>
                    <w:t>备注：项目大气环境为</w:t>
                  </w:r>
                  <w:r>
                    <w:rPr>
                      <w:rFonts w:hint="eastAsia"/>
                      <w:color w:val="auto"/>
                      <w:sz w:val="21"/>
                      <w:szCs w:val="21"/>
                      <w:highlight w:val="none"/>
                      <w:lang w:val="en-US" w:eastAsia="zh-CN"/>
                    </w:rPr>
                    <w:t>500米范围内</w:t>
                  </w:r>
                  <w:r>
                    <w:rPr>
                      <w:rFonts w:hint="eastAsia"/>
                      <w:color w:val="auto"/>
                      <w:sz w:val="21"/>
                      <w:szCs w:val="21"/>
                      <w:highlight w:val="none"/>
                      <w:lang w:eastAsia="zh-CN"/>
                    </w:rPr>
                    <w:t>保护目标</w:t>
                  </w:r>
                  <w:r>
                    <w:rPr>
                      <w:rFonts w:hint="eastAsia"/>
                      <w:color w:val="auto"/>
                      <w:sz w:val="21"/>
                      <w:szCs w:val="21"/>
                      <w:highlight w:val="none"/>
                      <w:lang w:val="en-US" w:eastAsia="zh-CN"/>
                    </w:rPr>
                    <w:t>，声环境为50米范围内保护目标</w:t>
                  </w:r>
                </w:p>
              </w:tc>
            </w:tr>
          </w:tbl>
          <w:p w14:paraId="2251F417">
            <w:pPr>
              <w:pStyle w:val="2"/>
              <w:spacing w:before="120"/>
              <w:ind w:firstLine="0"/>
              <w:jc w:val="both"/>
              <w:rPr>
                <w:rFonts w:hint="default" w:hAnsi="宋体"/>
                <w:kern w:val="0"/>
                <w:sz w:val="21"/>
                <w:szCs w:val="21"/>
              </w:rPr>
            </w:pPr>
          </w:p>
        </w:tc>
      </w:tr>
      <w:tr w14:paraId="7B9D7E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tcMar>
              <w:left w:w="28" w:type="dxa"/>
              <w:right w:w="28" w:type="dxa"/>
            </w:tcMar>
            <w:vAlign w:val="center"/>
          </w:tcPr>
          <w:p w14:paraId="77284A72">
            <w:pPr>
              <w:adjustRightInd w:val="0"/>
              <w:snapToGrid w:val="0"/>
              <w:jc w:val="center"/>
              <w:rPr>
                <w:rFonts w:hint="eastAsia" w:ascii="宋体" w:hAnsi="宋体" w:eastAsia="宋体" w:cs="宋体"/>
                <w:kern w:val="0"/>
                <w:sz w:val="21"/>
                <w:szCs w:val="21"/>
              </w:rPr>
            </w:pPr>
            <w:r>
              <w:rPr>
                <w:rFonts w:hint="eastAsia" w:ascii="宋体" w:hAnsi="宋体" w:eastAsia="宋体" w:cs="宋体"/>
                <w:kern w:val="0"/>
                <w:sz w:val="21"/>
                <w:szCs w:val="21"/>
              </w:rPr>
              <w:t>污染</w:t>
            </w:r>
          </w:p>
          <w:p w14:paraId="326ED7FB">
            <w:pPr>
              <w:adjustRightInd w:val="0"/>
              <w:snapToGrid w:val="0"/>
              <w:jc w:val="center"/>
              <w:rPr>
                <w:rFonts w:hint="eastAsia" w:ascii="宋体" w:hAnsi="宋体" w:eastAsia="宋体" w:cs="宋体"/>
                <w:kern w:val="0"/>
                <w:sz w:val="21"/>
                <w:szCs w:val="21"/>
              </w:rPr>
            </w:pPr>
            <w:r>
              <w:rPr>
                <w:rFonts w:hint="eastAsia" w:ascii="宋体" w:hAnsi="宋体" w:eastAsia="宋体" w:cs="宋体"/>
                <w:kern w:val="0"/>
                <w:sz w:val="21"/>
                <w:szCs w:val="21"/>
              </w:rPr>
              <w:t>物排</w:t>
            </w:r>
          </w:p>
          <w:p w14:paraId="7E657A25">
            <w:pPr>
              <w:adjustRightInd w:val="0"/>
              <w:snapToGrid w:val="0"/>
              <w:jc w:val="center"/>
              <w:rPr>
                <w:rFonts w:hint="eastAsia" w:ascii="宋体" w:hAnsi="宋体" w:eastAsia="宋体" w:cs="宋体"/>
                <w:kern w:val="0"/>
                <w:sz w:val="21"/>
                <w:szCs w:val="21"/>
              </w:rPr>
            </w:pPr>
            <w:r>
              <w:rPr>
                <w:rFonts w:hint="eastAsia" w:ascii="宋体" w:hAnsi="宋体" w:eastAsia="宋体" w:cs="宋体"/>
                <w:kern w:val="0"/>
                <w:sz w:val="21"/>
                <w:szCs w:val="21"/>
              </w:rPr>
              <w:t>放控</w:t>
            </w:r>
          </w:p>
          <w:p w14:paraId="1A885A11">
            <w:pPr>
              <w:adjustRightInd w:val="0"/>
              <w:snapToGrid w:val="0"/>
              <w:jc w:val="center"/>
              <w:rPr>
                <w:rFonts w:hint="eastAsia" w:ascii="宋体" w:hAnsi="宋体" w:eastAsia="宋体" w:cs="宋体"/>
                <w:kern w:val="0"/>
                <w:sz w:val="21"/>
                <w:szCs w:val="21"/>
              </w:rPr>
            </w:pPr>
            <w:r>
              <w:rPr>
                <w:rFonts w:hint="eastAsia" w:ascii="宋体" w:hAnsi="宋体" w:eastAsia="宋体" w:cs="宋体"/>
                <w:kern w:val="0"/>
                <w:sz w:val="21"/>
                <w:szCs w:val="21"/>
              </w:rPr>
              <w:t>制标</w:t>
            </w:r>
          </w:p>
          <w:p w14:paraId="3467A9A3">
            <w:pPr>
              <w:adjustRightInd w:val="0"/>
              <w:snapToGrid w:val="0"/>
              <w:jc w:val="center"/>
              <w:rPr>
                <w:rFonts w:hint="eastAsia" w:ascii="宋体" w:hAnsi="宋体" w:eastAsia="宋体" w:cs="宋体"/>
                <w:kern w:val="0"/>
                <w:sz w:val="21"/>
                <w:szCs w:val="21"/>
              </w:rPr>
            </w:pPr>
            <w:r>
              <w:rPr>
                <w:rFonts w:hint="eastAsia" w:ascii="宋体" w:hAnsi="宋体" w:eastAsia="宋体" w:cs="宋体"/>
                <w:kern w:val="0"/>
                <w:sz w:val="21"/>
                <w:szCs w:val="21"/>
              </w:rPr>
              <w:t>准</w:t>
            </w:r>
          </w:p>
        </w:tc>
        <w:tc>
          <w:tcPr>
            <w:tcW w:w="8630" w:type="dxa"/>
          </w:tcPr>
          <w:p w14:paraId="44615583">
            <w:pPr>
              <w:numPr>
                <w:ilvl w:val="0"/>
                <w:numId w:val="7"/>
              </w:numPr>
              <w:adjustRightInd w:val="0"/>
              <w:snapToGrid w:val="0"/>
              <w:spacing w:line="360" w:lineRule="auto"/>
              <w:ind w:firstLine="422" w:firstLineChars="200"/>
              <w:rPr>
                <w:b/>
                <w:bCs/>
                <w:sz w:val="21"/>
                <w:szCs w:val="21"/>
              </w:rPr>
            </w:pPr>
            <w:r>
              <w:rPr>
                <w:rFonts w:hint="eastAsia"/>
                <w:b/>
                <w:bCs/>
                <w:sz w:val="21"/>
                <w:szCs w:val="21"/>
              </w:rPr>
              <w:t>废气</w:t>
            </w:r>
          </w:p>
          <w:p w14:paraId="62FD872F">
            <w:pPr>
              <w:spacing w:line="360" w:lineRule="auto"/>
              <w:ind w:firstLine="420" w:firstLineChars="200"/>
              <w:rPr>
                <w:sz w:val="21"/>
                <w:szCs w:val="21"/>
              </w:rPr>
            </w:pPr>
            <w:r>
              <w:rPr>
                <w:sz w:val="21"/>
                <w:szCs w:val="21"/>
              </w:rPr>
              <w:t>营运期</w:t>
            </w:r>
            <w:r>
              <w:rPr>
                <w:rFonts w:hint="eastAsia"/>
                <w:sz w:val="21"/>
                <w:szCs w:val="21"/>
              </w:rPr>
              <w:t>项目有组织颗粒物排放浓度执行</w:t>
            </w:r>
            <w:r>
              <w:rPr>
                <w:rFonts w:hint="eastAsia"/>
                <w:bCs/>
                <w:sz w:val="21"/>
                <w:szCs w:val="21"/>
              </w:rPr>
              <w:t>《区域性大气污染物综合排放标准》（DB37/2376-2019）表1大气污染物排放浓度限值中重点控制区限值；</w:t>
            </w:r>
            <w:r>
              <w:rPr>
                <w:rFonts w:hint="eastAsia"/>
                <w:sz w:val="21"/>
                <w:szCs w:val="21"/>
              </w:rPr>
              <w:t>无组织颗粒物排放浓度执行《大气污染物综合排放标准》（GB16297-1996）表2中无组织排放标准。废气排放执行标准一览表见表3-</w:t>
            </w:r>
            <w:r>
              <w:rPr>
                <w:rFonts w:hint="eastAsia"/>
                <w:sz w:val="21"/>
                <w:szCs w:val="21"/>
                <w:lang w:val="en-US" w:eastAsia="zh-CN"/>
              </w:rPr>
              <w:t>3</w:t>
            </w:r>
            <w:r>
              <w:rPr>
                <w:rFonts w:hint="eastAsia"/>
                <w:sz w:val="21"/>
                <w:szCs w:val="21"/>
              </w:rPr>
              <w:t>。</w:t>
            </w:r>
          </w:p>
          <w:p w14:paraId="3FF8500F">
            <w:pPr>
              <w:jc w:val="center"/>
              <w:rPr>
                <w:b/>
                <w:sz w:val="21"/>
                <w:szCs w:val="21"/>
                <w:lang w:val="zh-CN"/>
              </w:rPr>
            </w:pPr>
            <w:r>
              <w:rPr>
                <w:b/>
                <w:sz w:val="21"/>
                <w:szCs w:val="21"/>
                <w:lang w:val="zh-CN"/>
              </w:rPr>
              <w:t>表</w:t>
            </w:r>
            <w:r>
              <w:rPr>
                <w:rFonts w:hint="eastAsia"/>
                <w:b/>
                <w:sz w:val="21"/>
                <w:szCs w:val="21"/>
              </w:rPr>
              <w:t>3-</w:t>
            </w:r>
            <w:r>
              <w:rPr>
                <w:rFonts w:hint="eastAsia"/>
                <w:b/>
                <w:sz w:val="21"/>
                <w:szCs w:val="21"/>
                <w:lang w:val="en-US" w:eastAsia="zh-CN"/>
              </w:rPr>
              <w:t>3</w:t>
            </w:r>
            <w:r>
              <w:rPr>
                <w:rFonts w:hint="eastAsia"/>
                <w:b/>
                <w:sz w:val="21"/>
                <w:szCs w:val="21"/>
              </w:rPr>
              <w:t xml:space="preserve">  </w:t>
            </w:r>
            <w:r>
              <w:rPr>
                <w:b/>
                <w:sz w:val="21"/>
                <w:szCs w:val="21"/>
                <w:lang w:val="zh-CN"/>
              </w:rPr>
              <w:t>废气排放标准</w:t>
            </w:r>
          </w:p>
          <w:tbl>
            <w:tblPr>
              <w:tblStyle w:val="35"/>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01"/>
              <w:gridCol w:w="3418"/>
              <w:gridCol w:w="3377"/>
            </w:tblGrid>
            <w:tr w14:paraId="11766D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53" w:type="pct"/>
                  <w:vAlign w:val="center"/>
                </w:tcPr>
                <w:p w14:paraId="767D246F">
                  <w:pPr>
                    <w:spacing w:line="276" w:lineRule="auto"/>
                    <w:jc w:val="center"/>
                    <w:rPr>
                      <w:b/>
                      <w:sz w:val="21"/>
                      <w:szCs w:val="21"/>
                    </w:rPr>
                  </w:pPr>
                  <w:r>
                    <w:rPr>
                      <w:b/>
                      <w:sz w:val="21"/>
                      <w:szCs w:val="21"/>
                    </w:rPr>
                    <w:t>污染物</w:t>
                  </w:r>
                </w:p>
              </w:tc>
              <w:tc>
                <w:tcPr>
                  <w:tcW w:w="2035" w:type="pct"/>
                  <w:vAlign w:val="center"/>
                </w:tcPr>
                <w:p w14:paraId="20E6AA68">
                  <w:pPr>
                    <w:spacing w:line="276" w:lineRule="auto"/>
                    <w:jc w:val="center"/>
                    <w:rPr>
                      <w:b/>
                      <w:sz w:val="21"/>
                      <w:szCs w:val="21"/>
                    </w:rPr>
                  </w:pPr>
                  <w:r>
                    <w:rPr>
                      <w:b/>
                      <w:sz w:val="21"/>
                      <w:szCs w:val="21"/>
                    </w:rPr>
                    <w:t>无组织排放监控浓度限值（mg/m</w:t>
                  </w:r>
                  <w:r>
                    <w:rPr>
                      <w:b/>
                      <w:sz w:val="21"/>
                      <w:szCs w:val="21"/>
                      <w:vertAlign w:val="superscript"/>
                    </w:rPr>
                    <w:t>3</w:t>
                  </w:r>
                  <w:r>
                    <w:rPr>
                      <w:b/>
                      <w:sz w:val="21"/>
                      <w:szCs w:val="21"/>
                    </w:rPr>
                    <w:t>）</w:t>
                  </w:r>
                </w:p>
              </w:tc>
              <w:tc>
                <w:tcPr>
                  <w:tcW w:w="2010" w:type="pct"/>
                  <w:vAlign w:val="center"/>
                </w:tcPr>
                <w:p w14:paraId="64EBF4EF">
                  <w:pPr>
                    <w:spacing w:line="276" w:lineRule="auto"/>
                    <w:jc w:val="center"/>
                    <w:rPr>
                      <w:b/>
                      <w:sz w:val="21"/>
                      <w:szCs w:val="21"/>
                    </w:rPr>
                  </w:pPr>
                  <w:r>
                    <w:rPr>
                      <w:rFonts w:hint="eastAsia"/>
                      <w:b/>
                      <w:sz w:val="21"/>
                      <w:szCs w:val="21"/>
                    </w:rPr>
                    <w:t>有</w:t>
                  </w:r>
                  <w:r>
                    <w:rPr>
                      <w:b/>
                      <w:sz w:val="21"/>
                      <w:szCs w:val="21"/>
                    </w:rPr>
                    <w:t>组织排放监控浓度限值（mg/m</w:t>
                  </w:r>
                  <w:r>
                    <w:rPr>
                      <w:b/>
                      <w:sz w:val="21"/>
                      <w:szCs w:val="21"/>
                      <w:vertAlign w:val="superscript"/>
                    </w:rPr>
                    <w:t>3</w:t>
                  </w:r>
                  <w:r>
                    <w:rPr>
                      <w:b/>
                      <w:sz w:val="21"/>
                      <w:szCs w:val="21"/>
                    </w:rPr>
                    <w:t>）</w:t>
                  </w:r>
                </w:p>
              </w:tc>
            </w:tr>
            <w:tr w14:paraId="336956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53" w:type="pct"/>
                  <w:vAlign w:val="center"/>
                </w:tcPr>
                <w:p w14:paraId="725CD7C3">
                  <w:pPr>
                    <w:spacing w:line="276" w:lineRule="auto"/>
                    <w:jc w:val="center"/>
                    <w:rPr>
                      <w:sz w:val="21"/>
                      <w:szCs w:val="21"/>
                    </w:rPr>
                  </w:pPr>
                  <w:r>
                    <w:rPr>
                      <w:rFonts w:hint="eastAsia"/>
                      <w:sz w:val="21"/>
                      <w:szCs w:val="21"/>
                    </w:rPr>
                    <w:t>颗粒物</w:t>
                  </w:r>
                </w:p>
              </w:tc>
              <w:tc>
                <w:tcPr>
                  <w:tcW w:w="2035" w:type="pct"/>
                  <w:vAlign w:val="center"/>
                </w:tcPr>
                <w:p w14:paraId="3951734E">
                  <w:pPr>
                    <w:spacing w:line="276" w:lineRule="auto"/>
                    <w:jc w:val="center"/>
                    <w:rPr>
                      <w:sz w:val="21"/>
                      <w:szCs w:val="21"/>
                    </w:rPr>
                  </w:pPr>
                  <w:r>
                    <w:rPr>
                      <w:rFonts w:hint="eastAsia"/>
                      <w:sz w:val="21"/>
                      <w:szCs w:val="21"/>
                    </w:rPr>
                    <w:t>1.0</w:t>
                  </w:r>
                </w:p>
              </w:tc>
              <w:tc>
                <w:tcPr>
                  <w:tcW w:w="2010" w:type="pct"/>
                  <w:vAlign w:val="center"/>
                </w:tcPr>
                <w:p w14:paraId="77BC637C">
                  <w:pPr>
                    <w:spacing w:line="276" w:lineRule="auto"/>
                    <w:jc w:val="center"/>
                    <w:rPr>
                      <w:sz w:val="21"/>
                      <w:szCs w:val="21"/>
                    </w:rPr>
                  </w:pPr>
                  <w:r>
                    <w:rPr>
                      <w:rFonts w:hint="eastAsia"/>
                      <w:sz w:val="21"/>
                      <w:szCs w:val="21"/>
                    </w:rPr>
                    <w:t>10</w:t>
                  </w:r>
                </w:p>
              </w:tc>
            </w:tr>
          </w:tbl>
          <w:p w14:paraId="1DD4978B">
            <w:pPr>
              <w:spacing w:line="360" w:lineRule="auto"/>
              <w:ind w:firstLine="422" w:firstLineChars="200"/>
              <w:rPr>
                <w:b/>
                <w:sz w:val="21"/>
                <w:szCs w:val="21"/>
              </w:rPr>
            </w:pPr>
            <w:r>
              <w:rPr>
                <w:rFonts w:hint="eastAsia"/>
                <w:b/>
                <w:sz w:val="21"/>
                <w:szCs w:val="21"/>
              </w:rPr>
              <w:t>二</w:t>
            </w:r>
            <w:r>
              <w:rPr>
                <w:b/>
                <w:sz w:val="21"/>
                <w:szCs w:val="21"/>
              </w:rPr>
              <w:t>、噪声</w:t>
            </w:r>
          </w:p>
          <w:p w14:paraId="3DCC3AF5">
            <w:pPr>
              <w:spacing w:line="360" w:lineRule="auto"/>
              <w:ind w:firstLine="420" w:firstLineChars="200"/>
              <w:rPr>
                <w:sz w:val="21"/>
                <w:szCs w:val="21"/>
              </w:rPr>
            </w:pPr>
            <w:r>
              <w:rPr>
                <w:sz w:val="21"/>
                <w:szCs w:val="21"/>
              </w:rPr>
              <w:t>营运期厂界噪声排放执行《工业企业厂界环境噪声排放标准》（GB12348-2008）2类标准，具体标准见表</w:t>
            </w:r>
            <w:r>
              <w:rPr>
                <w:rFonts w:hint="eastAsia"/>
                <w:sz w:val="21"/>
                <w:szCs w:val="21"/>
              </w:rPr>
              <w:t>3-</w:t>
            </w:r>
            <w:r>
              <w:rPr>
                <w:rFonts w:hint="eastAsia"/>
                <w:sz w:val="21"/>
                <w:szCs w:val="21"/>
                <w:lang w:val="en-US" w:eastAsia="zh-CN"/>
              </w:rPr>
              <w:t>4</w:t>
            </w:r>
            <w:r>
              <w:rPr>
                <w:sz w:val="21"/>
                <w:szCs w:val="21"/>
              </w:rPr>
              <w:t>。</w:t>
            </w:r>
          </w:p>
          <w:p w14:paraId="08F97C0C">
            <w:pPr>
              <w:jc w:val="center"/>
              <w:rPr>
                <w:b/>
                <w:sz w:val="21"/>
                <w:szCs w:val="21"/>
                <w:lang w:val="zh-CN"/>
              </w:rPr>
            </w:pPr>
            <w:r>
              <w:rPr>
                <w:b/>
                <w:sz w:val="21"/>
                <w:szCs w:val="21"/>
                <w:lang w:val="zh-CN"/>
              </w:rPr>
              <w:t>表</w:t>
            </w:r>
            <w:r>
              <w:rPr>
                <w:rFonts w:hint="eastAsia"/>
                <w:b/>
                <w:sz w:val="21"/>
                <w:szCs w:val="21"/>
              </w:rPr>
              <w:t>3</w:t>
            </w:r>
            <w:r>
              <w:rPr>
                <w:rFonts w:hint="eastAsia"/>
                <w:b/>
                <w:sz w:val="21"/>
                <w:szCs w:val="21"/>
                <w:lang w:val="en-US" w:eastAsia="zh-CN"/>
              </w:rPr>
              <w:t>-4</w:t>
            </w:r>
            <w:r>
              <w:rPr>
                <w:rFonts w:hint="eastAsia"/>
                <w:b/>
                <w:sz w:val="21"/>
                <w:szCs w:val="21"/>
              </w:rPr>
              <w:t xml:space="preserve"> </w:t>
            </w:r>
            <w:r>
              <w:rPr>
                <w:b/>
                <w:sz w:val="21"/>
                <w:szCs w:val="21"/>
                <w:lang w:val="zh-CN"/>
              </w:rPr>
              <w:t xml:space="preserve"> 厂界噪声排放标准</w:t>
            </w:r>
          </w:p>
          <w:tbl>
            <w:tblPr>
              <w:tblStyle w:val="35"/>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275"/>
              <w:gridCol w:w="3248"/>
              <w:gridCol w:w="2883"/>
            </w:tblGrid>
            <w:tr w14:paraId="32E375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53" w:type="pct"/>
                  <w:vAlign w:val="center"/>
                </w:tcPr>
                <w:p w14:paraId="4EA81DF2">
                  <w:pPr>
                    <w:jc w:val="center"/>
                    <w:rPr>
                      <w:b/>
                      <w:sz w:val="21"/>
                      <w:szCs w:val="21"/>
                    </w:rPr>
                  </w:pPr>
                  <w:r>
                    <w:rPr>
                      <w:b/>
                      <w:sz w:val="21"/>
                      <w:szCs w:val="21"/>
                    </w:rPr>
                    <w:t>类别</w:t>
                  </w:r>
                </w:p>
              </w:tc>
              <w:tc>
                <w:tcPr>
                  <w:tcW w:w="1931" w:type="pct"/>
                  <w:vAlign w:val="center"/>
                </w:tcPr>
                <w:p w14:paraId="4451AAF9">
                  <w:pPr>
                    <w:jc w:val="center"/>
                    <w:rPr>
                      <w:b/>
                      <w:sz w:val="21"/>
                      <w:szCs w:val="21"/>
                    </w:rPr>
                  </w:pPr>
                  <w:r>
                    <w:rPr>
                      <w:b/>
                      <w:sz w:val="21"/>
                      <w:szCs w:val="21"/>
                    </w:rPr>
                    <w:t>昼间Leq[dB(A)]</w:t>
                  </w:r>
                </w:p>
              </w:tc>
              <w:tc>
                <w:tcPr>
                  <w:tcW w:w="1714" w:type="pct"/>
                  <w:vAlign w:val="center"/>
                </w:tcPr>
                <w:p w14:paraId="28CEF13A">
                  <w:pPr>
                    <w:jc w:val="center"/>
                    <w:rPr>
                      <w:b/>
                      <w:sz w:val="21"/>
                      <w:szCs w:val="21"/>
                    </w:rPr>
                  </w:pPr>
                  <w:r>
                    <w:rPr>
                      <w:b/>
                      <w:sz w:val="21"/>
                      <w:szCs w:val="21"/>
                    </w:rPr>
                    <w:t>夜间Leq[dB(A)]</w:t>
                  </w:r>
                </w:p>
              </w:tc>
            </w:tr>
            <w:tr w14:paraId="153FF0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53" w:type="pct"/>
                  <w:vAlign w:val="center"/>
                </w:tcPr>
                <w:p w14:paraId="17A11E48">
                  <w:pPr>
                    <w:jc w:val="center"/>
                    <w:rPr>
                      <w:sz w:val="21"/>
                      <w:szCs w:val="21"/>
                    </w:rPr>
                  </w:pPr>
                  <w:r>
                    <w:rPr>
                      <w:sz w:val="21"/>
                      <w:szCs w:val="21"/>
                    </w:rPr>
                    <w:t>2类</w:t>
                  </w:r>
                </w:p>
              </w:tc>
              <w:tc>
                <w:tcPr>
                  <w:tcW w:w="1931" w:type="pct"/>
                  <w:vAlign w:val="center"/>
                </w:tcPr>
                <w:p w14:paraId="4BF60B19">
                  <w:pPr>
                    <w:jc w:val="center"/>
                    <w:rPr>
                      <w:sz w:val="21"/>
                      <w:szCs w:val="21"/>
                    </w:rPr>
                  </w:pPr>
                  <w:r>
                    <w:rPr>
                      <w:sz w:val="21"/>
                      <w:szCs w:val="21"/>
                    </w:rPr>
                    <w:t>60</w:t>
                  </w:r>
                </w:p>
              </w:tc>
              <w:tc>
                <w:tcPr>
                  <w:tcW w:w="1714" w:type="pct"/>
                  <w:vAlign w:val="center"/>
                </w:tcPr>
                <w:p w14:paraId="2C3D03BD">
                  <w:pPr>
                    <w:jc w:val="center"/>
                    <w:rPr>
                      <w:rFonts w:hint="default" w:eastAsia="宋体"/>
                      <w:sz w:val="21"/>
                      <w:szCs w:val="21"/>
                      <w:lang w:val="en-US" w:eastAsia="zh-CN"/>
                    </w:rPr>
                  </w:pPr>
                  <w:r>
                    <w:rPr>
                      <w:rFonts w:hint="eastAsia"/>
                      <w:sz w:val="21"/>
                      <w:szCs w:val="21"/>
                      <w:lang w:val="en-US" w:eastAsia="zh-CN"/>
                    </w:rPr>
                    <w:t>--</w:t>
                  </w:r>
                </w:p>
              </w:tc>
            </w:tr>
          </w:tbl>
          <w:p w14:paraId="50237AEE">
            <w:pPr>
              <w:spacing w:line="360" w:lineRule="auto"/>
              <w:ind w:firstLine="422" w:firstLineChars="200"/>
              <w:rPr>
                <w:b/>
                <w:sz w:val="21"/>
                <w:szCs w:val="21"/>
              </w:rPr>
            </w:pPr>
            <w:r>
              <w:rPr>
                <w:rFonts w:hint="eastAsia"/>
                <w:b/>
                <w:sz w:val="21"/>
                <w:szCs w:val="21"/>
              </w:rPr>
              <w:t>三、固废</w:t>
            </w:r>
          </w:p>
          <w:p w14:paraId="113BAF59">
            <w:pPr>
              <w:spacing w:line="360" w:lineRule="auto"/>
              <w:ind w:firstLine="420" w:firstLineChars="200"/>
              <w:rPr>
                <w:sz w:val="21"/>
                <w:szCs w:val="21"/>
                <w:lang w:val="zh-CN"/>
              </w:rPr>
            </w:pPr>
            <w:r>
              <w:rPr>
                <w:rFonts w:hint="default" w:ascii="Times New Roman" w:hAnsi="Times New Roman" w:eastAsia="宋体" w:cs="Times New Roman"/>
                <w:color w:val="auto"/>
                <w:highlight w:val="none"/>
                <w:lang w:val="en-US" w:eastAsia="zh-CN"/>
              </w:rPr>
              <w:t>一般固体废物暂存应符合《中华人民共和国固体废物污染环境防治法》相关要求，采取防扬散、防流失、防渗漏或者其他防止污染环境的措施，不得擅自倾倒、堆放、丢弃、遗撒，一般工业固体废物管理过程中还执行《一般工业固体废物管理台账制定指南（试行）》（公告2021年第82号）要求</w:t>
            </w:r>
            <w:r>
              <w:rPr>
                <w:rFonts w:hint="eastAsia" w:ascii="Times New Roman" w:hAnsi="Times New Roman" w:eastAsia="宋体" w:cs="Times New Roman"/>
                <w:color w:val="auto"/>
                <w:highlight w:val="none"/>
                <w:lang w:val="en-US" w:eastAsia="zh-CN"/>
              </w:rPr>
              <w:t>。</w:t>
            </w:r>
          </w:p>
        </w:tc>
      </w:tr>
      <w:tr w14:paraId="11353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dxa"/>
            <w:vAlign w:val="center"/>
          </w:tcPr>
          <w:p w14:paraId="4FDA276B">
            <w:pPr>
              <w:adjustRightInd w:val="0"/>
              <w:snapToGrid w:val="0"/>
              <w:jc w:val="center"/>
              <w:rPr>
                <w:rFonts w:hint="default" w:ascii="宋体" w:hAnsi="宋体" w:eastAsia="宋体" w:cs="宋体"/>
                <w:kern w:val="0"/>
                <w:sz w:val="21"/>
                <w:szCs w:val="21"/>
              </w:rPr>
            </w:pPr>
            <w:r>
              <w:rPr>
                <w:rFonts w:hint="default" w:ascii="宋体" w:hAnsi="宋体" w:eastAsia="宋体" w:cs="宋体"/>
                <w:kern w:val="0"/>
                <w:sz w:val="21"/>
                <w:szCs w:val="21"/>
              </w:rPr>
              <w:t>总量</w:t>
            </w:r>
          </w:p>
          <w:p w14:paraId="01B7E7CA">
            <w:pPr>
              <w:adjustRightInd w:val="0"/>
              <w:snapToGrid w:val="0"/>
              <w:jc w:val="center"/>
              <w:rPr>
                <w:rFonts w:hint="default" w:ascii="宋体" w:hAnsi="宋体" w:eastAsia="宋体" w:cs="宋体"/>
                <w:kern w:val="0"/>
                <w:sz w:val="21"/>
                <w:szCs w:val="21"/>
              </w:rPr>
            </w:pPr>
            <w:r>
              <w:rPr>
                <w:rFonts w:hint="default" w:ascii="宋体" w:hAnsi="宋体" w:eastAsia="宋体" w:cs="宋体"/>
                <w:kern w:val="0"/>
                <w:sz w:val="21"/>
                <w:szCs w:val="21"/>
              </w:rPr>
              <w:t>控制</w:t>
            </w:r>
          </w:p>
          <w:p w14:paraId="42F5AB8C">
            <w:pPr>
              <w:adjustRightInd w:val="0"/>
              <w:snapToGrid w:val="0"/>
              <w:jc w:val="center"/>
              <w:rPr>
                <w:rFonts w:hint="default" w:ascii="宋体" w:hAnsi="宋体" w:eastAsia="宋体" w:cs="宋体"/>
                <w:kern w:val="0"/>
                <w:sz w:val="21"/>
                <w:szCs w:val="21"/>
              </w:rPr>
            </w:pPr>
            <w:r>
              <w:rPr>
                <w:rFonts w:hint="default" w:ascii="宋体" w:hAnsi="宋体" w:eastAsia="宋体" w:cs="宋体"/>
                <w:kern w:val="0"/>
                <w:sz w:val="21"/>
                <w:szCs w:val="21"/>
              </w:rPr>
              <w:t>指标</w:t>
            </w:r>
          </w:p>
        </w:tc>
        <w:tc>
          <w:tcPr>
            <w:tcW w:w="8630" w:type="dxa"/>
            <w:vAlign w:val="center"/>
          </w:tcPr>
          <w:p w14:paraId="46A989FA">
            <w:pPr>
              <w:spacing w:line="360" w:lineRule="auto"/>
              <w:rPr>
                <w:rFonts w:hint="default" w:ascii="Times New Roman" w:hAnsi="Times New Roman" w:cs="Times New Roman"/>
                <w:sz w:val="21"/>
                <w:szCs w:val="21"/>
              </w:rPr>
            </w:pPr>
          </w:p>
          <w:p w14:paraId="4A16E855">
            <w:pPr>
              <w:keepNext w:val="0"/>
              <w:keepLines w:val="0"/>
              <w:widowControl/>
              <w:suppressLineNumbers w:val="0"/>
              <w:spacing w:line="360" w:lineRule="auto"/>
              <w:ind w:firstLine="420" w:firstLineChars="20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根据《关于印发&lt;统筹使用“十四五”建设项目主要大气污染物总量指标&gt;的通知》（淄环函[2021]55号）要求二氧化硫、氮氧化物、颗粒物、挥发性有机物四项污染物排放总量指标削减替代比例按照《山东省建设项目主要大气污染物排放总量替代指标核算及管理办法》（鲁环发[2019]132号）和《山东省人民政府办公厅关于加强“两高”项目管理的通知》（鲁政办字[2021]57号）文件要求取严进行，由我市上一年度环境空气质量年平均浓度及细颗粒物年平均浓度的数据情况而定。若上一年度环境空气质量年平均浓度达标，则实施相关污染物进行等量代替；若上一年度环境空气质量年平均浓度不达标，则相关污染物应按照建设项目所需代替的污染物排放总量指标的2倍进行削减代替（燃煤发电机组大气污染物排放浓度达到排放标准的进行等量代替）。若上一年度细颗粒物年平均浓度超标，实行二氧化硫、氮氧化物、烟粉尘、挥发性有机物四项污染物排放总量指标2倍削减代替；达标时实行等量代替。代替指标总量均来自市级、区县级“十四五”建设项目主要大气污染物总量库。</w:t>
            </w:r>
            <w:r>
              <w:rPr>
                <w:rFonts w:hint="default" w:ascii="Times New Roman" w:hAnsi="Times New Roman" w:cs="Times New Roman"/>
                <w:color w:val="auto"/>
                <w:sz w:val="21"/>
                <w:szCs w:val="21"/>
                <w:highlight w:val="none"/>
              </w:rPr>
              <w:t>本项目所在淄博市</w:t>
            </w:r>
            <w:r>
              <w:rPr>
                <w:rFonts w:hint="eastAsia" w:cs="Times New Roman"/>
                <w:color w:val="auto"/>
                <w:sz w:val="21"/>
                <w:szCs w:val="21"/>
                <w:highlight w:val="none"/>
                <w:lang w:val="en-US" w:eastAsia="zh-CN"/>
              </w:rPr>
              <w:t>2025</w:t>
            </w:r>
            <w:r>
              <w:rPr>
                <w:rFonts w:hint="default" w:ascii="Times New Roman" w:hAnsi="Times New Roman" w:cs="Times New Roman"/>
                <w:color w:val="auto"/>
                <w:sz w:val="21"/>
                <w:szCs w:val="21"/>
                <w:highlight w:val="none"/>
              </w:rPr>
              <w:t>年细颗粒物年平均浓度</w:t>
            </w:r>
            <w:r>
              <w:rPr>
                <w:rFonts w:hint="eastAsia" w:cs="Times New Roman"/>
                <w:color w:val="auto"/>
                <w:sz w:val="21"/>
                <w:szCs w:val="21"/>
                <w:highlight w:val="none"/>
                <w:lang w:eastAsia="zh-CN"/>
              </w:rPr>
              <w:t>达标</w:t>
            </w:r>
            <w:r>
              <w:rPr>
                <w:rFonts w:hint="default" w:ascii="Times New Roman" w:hAnsi="Times New Roman" w:cs="Times New Roman"/>
                <w:color w:val="auto"/>
                <w:sz w:val="21"/>
                <w:szCs w:val="21"/>
                <w:highlight w:val="none"/>
              </w:rPr>
              <w:t>，应进行</w:t>
            </w:r>
            <w:r>
              <w:rPr>
                <w:rFonts w:hint="default" w:ascii="Times New Roman" w:hAnsi="Times New Roman" w:eastAsia="宋体" w:cs="Times New Roman"/>
                <w:color w:val="auto"/>
                <w:sz w:val="21"/>
                <w:szCs w:val="21"/>
                <w:highlight w:val="none"/>
              </w:rPr>
              <w:t>实等量代替</w:t>
            </w:r>
            <w:r>
              <w:rPr>
                <w:rFonts w:hint="default" w:ascii="Times New Roman" w:hAnsi="Times New Roman" w:cs="Times New Roman"/>
                <w:color w:val="auto"/>
                <w:sz w:val="21"/>
                <w:szCs w:val="21"/>
                <w:highlight w:val="none"/>
                <w:lang w:eastAsia="zh-CN"/>
              </w:rPr>
              <w:t>。</w:t>
            </w:r>
          </w:p>
          <w:p w14:paraId="3E309A47">
            <w:pPr>
              <w:widowControl/>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与本项目有关的总量控制项目为颗粒物。 </w:t>
            </w:r>
          </w:p>
          <w:p w14:paraId="77569E27">
            <w:pPr>
              <w:widowControl/>
              <w:spacing w:line="360" w:lineRule="auto"/>
              <w:ind w:firstLine="420" w:firstLineChars="20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根据工程分析内容，</w:t>
            </w:r>
            <w:r>
              <w:rPr>
                <w:rFonts w:hint="default" w:ascii="Times New Roman" w:hAnsi="Times New Roman"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生产过程颗粒物排放量为</w:t>
            </w:r>
            <w:r>
              <w:rPr>
                <w:rFonts w:hint="eastAsia" w:cs="Times New Roman"/>
                <w:color w:val="auto"/>
                <w:sz w:val="21"/>
                <w:szCs w:val="21"/>
                <w:highlight w:val="none"/>
                <w:lang w:val="en-US" w:eastAsia="zh-CN"/>
              </w:rPr>
              <w:t>1.342</w:t>
            </w:r>
            <w:r>
              <w:rPr>
                <w:rFonts w:hint="default" w:ascii="Times New Roman" w:hAnsi="Times New Roman"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eastAsia="zh-CN"/>
              </w:rPr>
              <w:t>。</w:t>
            </w:r>
          </w:p>
          <w:p w14:paraId="3D57F57A">
            <w:pPr>
              <w:widowControl/>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需申请总量指标为颗粒物</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1.342</w:t>
            </w:r>
            <w:r>
              <w:rPr>
                <w:rFonts w:hint="default" w:ascii="Times New Roman" w:hAnsi="Times New Roman"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eastAsia="zh-CN"/>
              </w:rPr>
              <w:t>。</w:t>
            </w:r>
          </w:p>
          <w:p w14:paraId="4961624D">
            <w:pPr>
              <w:pStyle w:val="2"/>
              <w:spacing w:before="120"/>
              <w:rPr>
                <w:rFonts w:hint="default" w:ascii="Times New Roman" w:hAnsi="Times New Roman" w:cs="Times New Roman"/>
                <w:color w:val="auto"/>
                <w:sz w:val="21"/>
                <w:szCs w:val="21"/>
              </w:rPr>
            </w:pPr>
          </w:p>
          <w:p w14:paraId="308F0222">
            <w:pPr>
              <w:pStyle w:val="2"/>
              <w:spacing w:before="120"/>
              <w:rPr>
                <w:rFonts w:hint="default" w:ascii="Times New Roman" w:hAnsi="Times New Roman" w:cs="Times New Roman"/>
                <w:color w:val="auto"/>
                <w:sz w:val="21"/>
                <w:szCs w:val="21"/>
              </w:rPr>
            </w:pPr>
          </w:p>
          <w:p w14:paraId="421A50CC">
            <w:pPr>
              <w:pStyle w:val="2"/>
              <w:spacing w:before="120"/>
              <w:ind w:left="0" w:leftChars="0" w:firstLine="0" w:firstLineChars="0"/>
              <w:jc w:val="both"/>
              <w:rPr>
                <w:rFonts w:hint="default" w:ascii="Times New Roman" w:hAnsi="Times New Roman" w:cs="Times New Roman"/>
                <w:color w:val="auto"/>
                <w:sz w:val="21"/>
                <w:szCs w:val="21"/>
              </w:rPr>
            </w:pPr>
          </w:p>
        </w:tc>
      </w:tr>
    </w:tbl>
    <w:p w14:paraId="2AA84F39">
      <w:pPr>
        <w:pStyle w:val="30"/>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35"/>
        <w:tblW w:w="512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666"/>
      </w:tblGrid>
      <w:tr w14:paraId="5BDF6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81" w:hRule="atLeast"/>
          <w:jc w:val="center"/>
        </w:trPr>
        <w:tc>
          <w:tcPr>
            <w:tcW w:w="290" w:type="pct"/>
            <w:tcMar>
              <w:left w:w="28" w:type="dxa"/>
              <w:right w:w="28" w:type="dxa"/>
            </w:tcMar>
            <w:vAlign w:val="center"/>
          </w:tcPr>
          <w:p w14:paraId="5F792CDF">
            <w:pPr>
              <w:pStyle w:val="30"/>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施工</w:t>
            </w:r>
          </w:p>
          <w:p w14:paraId="0BDB872F">
            <w:pPr>
              <w:pStyle w:val="30"/>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期环</w:t>
            </w:r>
          </w:p>
          <w:p w14:paraId="789FE6B1">
            <w:pPr>
              <w:pStyle w:val="30"/>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境保</w:t>
            </w:r>
          </w:p>
          <w:p w14:paraId="018630A4">
            <w:pPr>
              <w:pStyle w:val="30"/>
              <w:widowControl w:val="0"/>
              <w:adjustRightInd w:val="0"/>
              <w:snapToGrid w:val="0"/>
              <w:spacing w:before="0" w:beforeAutospacing="0" w:after="0" w:afterAutospacing="0"/>
              <w:jc w:val="center"/>
              <w:rPr>
                <w:rFonts w:cs="宋体"/>
                <w:kern w:val="2"/>
                <w:sz w:val="21"/>
                <w:szCs w:val="21"/>
              </w:rPr>
            </w:pPr>
            <w:r>
              <w:rPr>
                <w:rFonts w:hint="eastAsia" w:cs="宋体"/>
                <w:kern w:val="2"/>
                <w:sz w:val="21"/>
                <w:szCs w:val="21"/>
              </w:rPr>
              <w:t>护措</w:t>
            </w:r>
          </w:p>
          <w:p w14:paraId="557D7C20">
            <w:pPr>
              <w:pStyle w:val="30"/>
              <w:widowControl w:val="0"/>
              <w:adjustRightInd w:val="0"/>
              <w:snapToGrid w:val="0"/>
              <w:spacing w:before="0" w:beforeAutospacing="0" w:after="0" w:afterAutospacing="0"/>
              <w:jc w:val="center"/>
              <w:rPr>
                <w:rFonts w:cs="宋体"/>
                <w:bCs/>
                <w:kern w:val="2"/>
                <w:sz w:val="21"/>
                <w:szCs w:val="21"/>
              </w:rPr>
            </w:pPr>
            <w:r>
              <w:rPr>
                <w:rFonts w:hint="eastAsia" w:cs="宋体"/>
                <w:kern w:val="2"/>
                <w:sz w:val="21"/>
                <w:szCs w:val="21"/>
              </w:rPr>
              <w:t>施</w:t>
            </w:r>
          </w:p>
        </w:tc>
        <w:tc>
          <w:tcPr>
            <w:tcW w:w="4709" w:type="pct"/>
            <w:vAlign w:val="center"/>
          </w:tcPr>
          <w:p w14:paraId="6B0A6AF6">
            <w:pPr>
              <w:spacing w:line="360" w:lineRule="auto"/>
              <w:ind w:firstLine="420" w:firstLineChars="200"/>
              <w:jc w:val="both"/>
              <w:rPr>
                <w:sz w:val="21"/>
                <w:szCs w:val="21"/>
              </w:rPr>
            </w:pPr>
            <w:r>
              <w:rPr>
                <w:color w:val="000000"/>
                <w:kern w:val="0"/>
                <w:sz w:val="21"/>
                <w:szCs w:val="21"/>
                <w:lang w:bidi="ar"/>
              </w:rPr>
              <w:t>本项目</w:t>
            </w:r>
            <w:r>
              <w:rPr>
                <w:rFonts w:hint="eastAsia"/>
                <w:color w:val="000000"/>
                <w:kern w:val="0"/>
                <w:sz w:val="21"/>
                <w:szCs w:val="21"/>
                <w:lang w:bidi="ar"/>
              </w:rPr>
              <w:t>为</w:t>
            </w:r>
            <w:r>
              <w:rPr>
                <w:rFonts w:hint="eastAsia"/>
                <w:color w:val="000000"/>
                <w:kern w:val="0"/>
                <w:sz w:val="21"/>
                <w:szCs w:val="21"/>
                <w:lang w:eastAsia="zh-CN" w:bidi="ar"/>
              </w:rPr>
              <w:t>新建项目</w:t>
            </w:r>
            <w:r>
              <w:rPr>
                <w:rFonts w:hint="eastAsia"/>
                <w:color w:val="000000"/>
                <w:kern w:val="0"/>
                <w:sz w:val="21"/>
                <w:szCs w:val="21"/>
                <w:lang w:bidi="ar"/>
              </w:rPr>
              <w:t>，</w:t>
            </w:r>
            <w:r>
              <w:rPr>
                <w:rFonts w:hint="eastAsia"/>
                <w:color w:val="000000"/>
                <w:kern w:val="0"/>
                <w:sz w:val="21"/>
                <w:szCs w:val="21"/>
                <w:lang w:eastAsia="zh-CN" w:bidi="ar"/>
              </w:rPr>
              <w:t>租赁</w:t>
            </w:r>
            <w:r>
              <w:rPr>
                <w:rFonts w:hint="eastAsia"/>
                <w:color w:val="000000"/>
                <w:kern w:val="0"/>
                <w:sz w:val="21"/>
                <w:szCs w:val="21"/>
                <w:lang w:bidi="ar"/>
              </w:rPr>
              <w:t>现有厂房进行生产</w:t>
            </w:r>
            <w:r>
              <w:rPr>
                <w:color w:val="000000"/>
                <w:kern w:val="0"/>
                <w:sz w:val="21"/>
                <w:szCs w:val="21"/>
                <w:lang w:bidi="ar"/>
              </w:rPr>
              <w:t>，施工期仅包括设备安装等内容，工程量不大，施工期很短，因此本环评不再分析施工期环境影响</w:t>
            </w:r>
            <w:r>
              <w:rPr>
                <w:rFonts w:hint="eastAsia"/>
                <w:color w:val="000000"/>
                <w:kern w:val="0"/>
                <w:sz w:val="21"/>
                <w:szCs w:val="21"/>
                <w:lang w:bidi="ar"/>
              </w:rPr>
              <w:t>。</w:t>
            </w:r>
          </w:p>
          <w:p w14:paraId="662458B7">
            <w:pPr>
              <w:pStyle w:val="34"/>
              <w:ind w:firstLine="480"/>
              <w:jc w:val="both"/>
              <w:rPr>
                <w:sz w:val="21"/>
                <w:szCs w:val="21"/>
              </w:rPr>
            </w:pPr>
          </w:p>
        </w:tc>
      </w:tr>
    </w:tbl>
    <w:p w14:paraId="718364AE">
      <w:pPr>
        <w:adjustRightInd w:val="0"/>
        <w:snapToGrid w:val="0"/>
        <w:jc w:val="center"/>
        <w:rPr>
          <w:rFonts w:ascii="宋体" w:hAnsi="宋体" w:cs="宋体"/>
          <w:bCs/>
          <w:sz w:val="24"/>
        </w:rPr>
        <w:sectPr>
          <w:footerReference r:id="rId6" w:type="default"/>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26515CD">
      <w:pPr>
        <w:adjustRightInd w:val="0"/>
        <w:snapToGrid w:val="0"/>
        <w:jc w:val="center"/>
        <w:rPr>
          <w:rFonts w:ascii="宋体" w:hAnsi="宋体" w:cs="宋体"/>
          <w:bCs/>
          <w:sz w:val="24"/>
        </w:rPr>
      </w:pPr>
    </w:p>
    <w:tbl>
      <w:tblPr>
        <w:tblStyle w:val="35"/>
        <w:tblW w:w="53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3549"/>
      </w:tblGrid>
      <w:tr w14:paraId="3514A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0" w:hRule="atLeast"/>
          <w:jc w:val="center"/>
        </w:trPr>
        <w:tc>
          <w:tcPr>
            <w:tcW w:w="215" w:type="pct"/>
            <w:tcMar>
              <w:left w:w="28" w:type="dxa"/>
              <w:right w:w="28" w:type="dxa"/>
            </w:tcMar>
            <w:vAlign w:val="center"/>
          </w:tcPr>
          <w:p w14:paraId="2FFA8E72">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运营</w:t>
            </w:r>
          </w:p>
          <w:p w14:paraId="76C463FA">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期环</w:t>
            </w:r>
          </w:p>
          <w:p w14:paraId="28AAEA5C">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境影</w:t>
            </w:r>
          </w:p>
          <w:p w14:paraId="75645DC6">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响和</w:t>
            </w:r>
          </w:p>
          <w:p w14:paraId="3A3A7DF7">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保护</w:t>
            </w:r>
          </w:p>
          <w:p w14:paraId="17F4ED1F">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措施</w:t>
            </w:r>
          </w:p>
        </w:tc>
        <w:tc>
          <w:tcPr>
            <w:tcW w:w="4784" w:type="pct"/>
          </w:tcPr>
          <w:p w14:paraId="5D6524B4">
            <w:pPr>
              <w:adjustRightInd w:val="0"/>
              <w:snapToGrid w:val="0"/>
              <w:spacing w:line="360" w:lineRule="auto"/>
              <w:ind w:firstLine="422" w:firstLineChars="20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一、废气</w:t>
            </w:r>
          </w:p>
          <w:p w14:paraId="443EE0E4">
            <w:pPr>
              <w:pStyle w:val="2"/>
              <w:spacing w:before="0" w:beforeLines="0" w:line="360" w:lineRule="auto"/>
              <w:ind w:firstLine="422" w:firstLineChars="200"/>
              <w:jc w:val="both"/>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1、废气产生及排放情况</w:t>
            </w:r>
          </w:p>
          <w:p w14:paraId="2CCFAD1A">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项目生产过程废气主要为</w:t>
            </w:r>
            <w:r>
              <w:rPr>
                <w:rFonts w:hint="eastAsia" w:ascii="Times New Roman" w:cs="Times New Roman"/>
                <w:color w:val="auto"/>
                <w:sz w:val="21"/>
                <w:szCs w:val="21"/>
                <w:highlight w:val="none"/>
                <w:lang w:eastAsia="zh-CN"/>
              </w:rPr>
              <w:t>投料、破碎、粉碎、筛分、球磨、包装及装卸工序产生的颗粒物。</w:t>
            </w:r>
          </w:p>
          <w:p w14:paraId="6CFF2D55">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eastAsia="zh-CN"/>
              </w:rPr>
              <w:t>项目一车间、二车间投料、破碎、粉碎、筛分、球磨工序产生的颗粒物分别经配套布袋除尘器处理后，通过一根</w:t>
            </w:r>
            <w:r>
              <w:rPr>
                <w:rFonts w:hint="eastAsia" w:ascii="Times New Roman" w:cs="Times New Roman"/>
                <w:color w:val="auto"/>
                <w:sz w:val="21"/>
                <w:szCs w:val="21"/>
                <w:highlight w:val="none"/>
                <w:lang w:val="en-US" w:eastAsia="zh-CN"/>
              </w:rPr>
              <w:t>15米高排气筒DA001排放；项目三车间</w:t>
            </w:r>
            <w:r>
              <w:rPr>
                <w:rFonts w:hint="eastAsia" w:ascii="Times New Roman" w:cs="Times New Roman"/>
                <w:color w:val="auto"/>
                <w:sz w:val="21"/>
                <w:szCs w:val="21"/>
                <w:highlight w:val="none"/>
                <w:lang w:eastAsia="zh-CN"/>
              </w:rPr>
              <w:t>投料、破碎、粉碎、筛分、球磨工序产生的颗粒物分别经配套布袋除尘器处理后，通过一根</w:t>
            </w:r>
            <w:r>
              <w:rPr>
                <w:rFonts w:hint="eastAsia" w:ascii="Times New Roman" w:cs="Times New Roman"/>
                <w:color w:val="auto"/>
                <w:sz w:val="21"/>
                <w:szCs w:val="21"/>
                <w:highlight w:val="none"/>
                <w:lang w:val="en-US" w:eastAsia="zh-CN"/>
              </w:rPr>
              <w:t>15米高排气筒DA002排放；项目四车间</w:t>
            </w:r>
            <w:r>
              <w:rPr>
                <w:rFonts w:hint="eastAsia" w:ascii="Times New Roman" w:cs="Times New Roman"/>
                <w:color w:val="auto"/>
                <w:sz w:val="21"/>
                <w:szCs w:val="21"/>
                <w:highlight w:val="none"/>
                <w:lang w:eastAsia="zh-CN"/>
              </w:rPr>
              <w:t>投料、破碎、粉碎、筛分、球磨工序产生的颗粒物分别经配套布袋除尘器处理后，通过一根</w:t>
            </w:r>
            <w:r>
              <w:rPr>
                <w:rFonts w:hint="eastAsia" w:ascii="Times New Roman" w:cs="Times New Roman"/>
                <w:color w:val="auto"/>
                <w:sz w:val="21"/>
                <w:szCs w:val="21"/>
                <w:highlight w:val="none"/>
                <w:lang w:val="en-US" w:eastAsia="zh-CN"/>
              </w:rPr>
              <w:t>15米高排气筒DA003排放。</w:t>
            </w:r>
          </w:p>
          <w:p w14:paraId="09969910">
            <w:pPr>
              <w:pStyle w:val="2"/>
              <w:numPr>
                <w:ilvl w:val="0"/>
                <w:numId w:val="0"/>
              </w:numPr>
              <w:spacing w:before="0" w:beforeLines="0" w:line="360" w:lineRule="auto"/>
              <w:ind w:firstLine="420" w:firstLineChars="200"/>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根据《污染源源强核算技术指南 准则》（HJ884-2018），</w:t>
            </w:r>
            <w:r>
              <w:rPr>
                <w:rFonts w:hint="eastAsia" w:ascii="Times New Roman" w:hAnsi="Times New Roman" w:eastAsia="宋体" w:cs="Times New Roman"/>
                <w:color w:val="auto"/>
                <w:sz w:val="21"/>
                <w:szCs w:val="21"/>
                <w:highlight w:val="none"/>
                <w:lang w:val="en-US" w:eastAsia="zh-CN"/>
              </w:rPr>
              <w:t>本项目污染</w:t>
            </w:r>
            <w:r>
              <w:rPr>
                <w:rFonts w:hint="default" w:ascii="Times New Roman" w:hAnsi="Times New Roman" w:eastAsia="宋体" w:cs="Times New Roman"/>
                <w:color w:val="auto"/>
                <w:sz w:val="21"/>
                <w:szCs w:val="21"/>
                <w:highlight w:val="none"/>
                <w:lang w:val="en-US" w:eastAsia="zh-CN"/>
              </w:rPr>
              <w:t>源强核算采用</w:t>
            </w:r>
            <w:r>
              <w:rPr>
                <w:rFonts w:hint="eastAsia" w:ascii="Times New Roman" w:hAnsi="Times New Roman" w:eastAsia="宋体" w:cs="Times New Roman"/>
                <w:color w:val="auto"/>
                <w:sz w:val="21"/>
                <w:szCs w:val="21"/>
                <w:highlight w:val="none"/>
                <w:lang w:val="en-US" w:eastAsia="zh-CN"/>
              </w:rPr>
              <w:t>污染系数法、</w:t>
            </w:r>
            <w:r>
              <w:rPr>
                <w:rFonts w:hint="default" w:ascii="Times New Roman" w:hAnsi="Times New Roman" w:eastAsia="宋体" w:cs="Times New Roman"/>
                <w:color w:val="auto"/>
                <w:sz w:val="21"/>
                <w:szCs w:val="21"/>
                <w:highlight w:val="none"/>
                <w:lang w:val="en-US" w:eastAsia="zh-CN"/>
              </w:rPr>
              <w:t>物料</w:t>
            </w:r>
            <w:r>
              <w:rPr>
                <w:rFonts w:hint="eastAsia" w:ascii="Times New Roman" w:hAnsi="Times New Roman" w:eastAsia="宋体" w:cs="Times New Roman"/>
                <w:color w:val="auto"/>
                <w:sz w:val="21"/>
                <w:szCs w:val="21"/>
                <w:highlight w:val="none"/>
                <w:lang w:val="en-US" w:eastAsia="zh-CN"/>
              </w:rPr>
              <w:t>平</w:t>
            </w:r>
            <w:r>
              <w:rPr>
                <w:rFonts w:hint="default" w:ascii="Times New Roman" w:hAnsi="Times New Roman" w:eastAsia="宋体" w:cs="Times New Roman"/>
                <w:color w:val="auto"/>
                <w:sz w:val="21"/>
                <w:szCs w:val="21"/>
                <w:highlight w:val="none"/>
                <w:lang w:val="en-US" w:eastAsia="zh-CN"/>
              </w:rPr>
              <w:t>衡</w:t>
            </w:r>
            <w:r>
              <w:rPr>
                <w:rFonts w:hint="eastAsia" w:ascii="Times New Roman" w:hAnsi="Times New Roman" w:eastAsia="宋体" w:cs="Times New Roman"/>
                <w:color w:val="auto"/>
                <w:sz w:val="21"/>
                <w:szCs w:val="21"/>
                <w:highlight w:val="none"/>
                <w:lang w:val="en-US" w:eastAsia="zh-CN"/>
              </w:rPr>
              <w:t>法。</w:t>
            </w:r>
          </w:p>
          <w:p w14:paraId="1F8358E4">
            <w:pPr>
              <w:pStyle w:val="2"/>
              <w:numPr>
                <w:ilvl w:val="0"/>
                <w:numId w:val="8"/>
              </w:numPr>
              <w:spacing w:before="0" w:beforeLines="0" w:line="360" w:lineRule="auto"/>
              <w:ind w:firstLineChars="200"/>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有组织废气</w:t>
            </w:r>
          </w:p>
          <w:p w14:paraId="1ECAC20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highlight w:val="none"/>
                <w:lang w:eastAsia="zh-CN"/>
              </w:rPr>
            </w:pPr>
            <w:r>
              <w:rPr>
                <w:rFonts w:hint="eastAsia"/>
                <w:highlight w:val="none"/>
                <w:lang w:eastAsia="zh-CN"/>
              </w:rPr>
              <w:t>项目有组织废气主要</w:t>
            </w:r>
            <w:r>
              <w:rPr>
                <w:rFonts w:hint="eastAsia" w:ascii="Times New Roman" w:cs="Times New Roman"/>
                <w:color w:val="auto"/>
                <w:sz w:val="21"/>
                <w:szCs w:val="21"/>
                <w:highlight w:val="none"/>
                <w:lang w:eastAsia="zh-CN"/>
              </w:rPr>
              <w:t>投料、破碎、粉碎、筛分、球磨工序产生的颗粒物</w:t>
            </w:r>
          </w:p>
          <w:p w14:paraId="31B721A5">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一车间、二车间</w:t>
            </w:r>
            <w:r>
              <w:rPr>
                <w:rFonts w:hint="eastAsia" w:ascii="Times New Roman" w:hAnsi="Times New Roman" w:eastAsia="宋体" w:cs="Times New Roman"/>
                <w:color w:val="auto"/>
                <w:sz w:val="21"/>
                <w:szCs w:val="21"/>
                <w:highlight w:val="none"/>
                <w:lang w:eastAsia="zh-CN"/>
              </w:rPr>
              <w:t>投料颗粒物</w:t>
            </w:r>
            <w:r>
              <w:rPr>
                <w:rFonts w:hint="eastAsia" w:ascii="Times New Roman" w:hAnsi="Times New Roman" w:eastAsia="宋体" w:cs="Times New Roman"/>
                <w:color w:val="auto"/>
                <w:sz w:val="21"/>
                <w:szCs w:val="21"/>
                <w:highlight w:val="none"/>
                <w:lang w:eastAsia="zh-CN"/>
              </w:rPr>
              <w:br w:type="textWrapping"/>
            </w:r>
            <w:r>
              <w:rPr>
                <w:rFonts w:hint="eastAsia"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一车间、二车间白刚玉投料工</w:t>
            </w:r>
            <w:r>
              <w:rPr>
                <w:rFonts w:hint="eastAsia" w:asci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序会有颗粒物产生，投料颗粒物参考类比</w:t>
            </w:r>
            <w:r>
              <w:rPr>
                <w:rFonts w:hint="default" w:ascii="Times New Roman" w:hAnsi="Times New Roman" w:eastAsia="宋体" w:cs="Times New Roman"/>
                <w:color w:val="auto"/>
                <w:sz w:val="21"/>
                <w:szCs w:val="21"/>
                <w:highlight w:val="none"/>
                <w:lang w:eastAsia="zh-CN"/>
              </w:rPr>
              <w:t>《逸散性工</w:t>
            </w:r>
            <w:r>
              <w:rPr>
                <w:rFonts w:hint="default" w:ascii="Times New Roman" w:hAnsi="Times New Roman" w:eastAsia="宋体" w:cs="Times New Roman"/>
                <w:color w:val="auto"/>
                <w:sz w:val="21"/>
                <w:szCs w:val="21"/>
                <w:highlight w:val="none"/>
                <w:lang w:val="en-US" w:eastAsia="zh-CN"/>
              </w:rPr>
              <w:t>业颗粒物控制技术》</w:t>
            </w:r>
            <w:r>
              <w:rPr>
                <w:rFonts w:hint="eastAsia" w:ascii="Times New Roman" w:hAnsi="Times New Roman" w:eastAsia="宋体" w:cs="Times New Roman"/>
                <w:color w:val="auto"/>
                <w:sz w:val="21"/>
                <w:szCs w:val="21"/>
                <w:highlight w:val="none"/>
                <w:lang w:eastAsia="zh-CN"/>
              </w:rPr>
              <w:t>（中国环境科学出版社）</w:t>
            </w:r>
            <w:r>
              <w:rPr>
                <w:rFonts w:hint="eastAsia" w:ascii="Times New Roman" w:hAnsi="Times New Roman" w:eastAsia="宋体" w:cs="Times New Roman"/>
                <w:color w:val="auto"/>
                <w:sz w:val="21"/>
                <w:szCs w:val="21"/>
                <w:highlight w:val="none"/>
                <w:lang w:val="en-US" w:eastAsia="zh-CN"/>
              </w:rPr>
              <w:t>“第二十二章、混凝土分批搅拌厂”中“送料上堆”污染排放因子0.02kg/t·原料，项目白刚玉用量为</w:t>
            </w:r>
            <w:r>
              <w:rPr>
                <w:rFonts w:hint="eastAsia" w:ascii="Times New Roman" w:hAnsi="Times New Roman" w:eastAsia="宋体" w:cs="Times New Roman"/>
                <w:color w:val="auto"/>
                <w:spacing w:val="0"/>
                <w:kern w:val="0"/>
                <w:sz w:val="21"/>
                <w:szCs w:val="21"/>
                <w:highlight w:val="none"/>
                <w:lang w:val="en-US" w:eastAsia="zh-CN" w:bidi="ar-SA"/>
              </w:rPr>
              <w:t>1500</w:t>
            </w:r>
            <w:r>
              <w:rPr>
                <w:rFonts w:hint="eastAsia" w:ascii="Times New Roman" w:cs="Times New Roman"/>
                <w:color w:val="auto"/>
                <w:spacing w:val="0"/>
                <w:kern w:val="0"/>
                <w:sz w:val="21"/>
                <w:szCs w:val="21"/>
                <w:highlight w:val="none"/>
                <w:lang w:val="en-US" w:eastAsia="zh-CN" w:bidi="ar-SA"/>
              </w:rPr>
              <w:t>3.108</w:t>
            </w:r>
            <w:r>
              <w:rPr>
                <w:rFonts w:hint="eastAsia" w:ascii="Times New Roman" w:hAnsi="Times New Roman" w:eastAsia="宋体" w:cs="Times New Roman"/>
                <w:color w:val="auto"/>
                <w:sz w:val="21"/>
                <w:szCs w:val="21"/>
                <w:highlight w:val="none"/>
                <w:lang w:val="en-US" w:eastAsia="zh-CN"/>
              </w:rPr>
              <w:t>t/a，则一车间、二车间投料颗粒物产生量为0.3t/a。</w:t>
            </w:r>
          </w:p>
          <w:p w14:paraId="130449F7">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一车间、二车间破碎颗粒物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一车间、二车间白刚玉破碎工序会有颗粒物产生，破碎颗粒物参考《逸散性工业粉尘控制</w:t>
            </w:r>
            <w:r>
              <w:rPr>
                <w:rFonts w:hint="eastAsia" w:ascii="Times New Roman" w:hAnsi="Times New Roman" w:eastAsia="宋体" w:cs="Times New Roman"/>
                <w:color w:val="auto"/>
                <w:spacing w:val="0"/>
                <w:kern w:val="0"/>
                <w:sz w:val="21"/>
                <w:szCs w:val="21"/>
                <w:highlight w:val="none"/>
                <w:lang w:val="en-US" w:eastAsia="zh-CN" w:bidi="ar-SA"/>
              </w:rPr>
              <w:t>技术》粒料生产“一级破碎机和筛选”排放因子为 0.05kg/t （破碎料），项目白玉刚用量为1500</w:t>
            </w:r>
            <w:r>
              <w:rPr>
                <w:rFonts w:hint="eastAsia" w:ascii="Times New Roman" w:cs="Times New Roman"/>
                <w:color w:val="auto"/>
                <w:spacing w:val="0"/>
                <w:kern w:val="0"/>
                <w:sz w:val="21"/>
                <w:szCs w:val="21"/>
                <w:highlight w:val="none"/>
                <w:lang w:val="en-US" w:eastAsia="zh-CN" w:bidi="ar-SA"/>
              </w:rPr>
              <w:t>3.108</w:t>
            </w:r>
            <w:r>
              <w:rPr>
                <w:rFonts w:hint="eastAsia" w:ascii="Times New Roman" w:hAnsi="Times New Roman" w:eastAsia="宋体" w:cs="Times New Roman"/>
                <w:color w:val="auto"/>
                <w:spacing w:val="0"/>
                <w:kern w:val="0"/>
                <w:sz w:val="21"/>
                <w:szCs w:val="21"/>
                <w:highlight w:val="none"/>
                <w:lang w:val="en-US" w:eastAsia="zh-CN" w:bidi="ar-SA"/>
              </w:rPr>
              <w:t>t/a，则一车间、二车间破碎颗粒物产生量为0.75t/a。</w:t>
            </w:r>
          </w:p>
          <w:p w14:paraId="48CFB172">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一车间、二车间粉碎颗粒物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本项目一车间、二车间白玉刚粉碎工序会有颗粒物产生，粉碎颗粒物参考</w:t>
            </w:r>
            <w:r>
              <w:rPr>
                <w:rFonts w:hint="default" w:ascii="Times New Roman" w:hAnsi="Times New Roman" w:eastAsia="宋体" w:cs="Times New Roman"/>
                <w:color w:val="auto"/>
                <w:spacing w:val="0"/>
                <w:kern w:val="0"/>
                <w:sz w:val="21"/>
                <w:szCs w:val="21"/>
                <w:highlight w:val="none"/>
                <w:lang w:val="en-US" w:eastAsia="zh-CN" w:bidi="ar-SA"/>
              </w:rPr>
              <w:t>《逸散性工业颗粒物控制技术》</w:t>
            </w:r>
            <w:r>
              <w:rPr>
                <w:rFonts w:hint="eastAsia" w:ascii="Times New Roman" w:hAnsi="Times New Roman" w:eastAsia="宋体" w:cs="Times New Roman"/>
                <w:color w:val="auto"/>
                <w:spacing w:val="0"/>
                <w:kern w:val="0"/>
                <w:sz w:val="21"/>
                <w:szCs w:val="21"/>
                <w:highlight w:val="none"/>
                <w:lang w:val="en-US" w:eastAsia="zh-CN" w:bidi="ar-SA"/>
              </w:rPr>
              <w:t>粒料生产中“粉碎”排放因子为0.05kg/t（</w:t>
            </w:r>
            <w:r>
              <w:rPr>
                <w:rFonts w:hint="eastAsia" w:ascii="Times New Roman" w:hAnsi="Times New Roman" w:eastAsia="宋体" w:cs="Times New Roman"/>
                <w:color w:val="auto"/>
                <w:sz w:val="21"/>
                <w:szCs w:val="21"/>
                <w:highlight w:val="none"/>
                <w:lang w:val="en-US" w:eastAsia="zh-CN"/>
              </w:rPr>
              <w:t>粉碎料），项目白玉刚用量为</w:t>
            </w:r>
            <w:r>
              <w:rPr>
                <w:rFonts w:hint="eastAsia" w:ascii="Times New Roman" w:hAnsi="Times New Roman" w:eastAsia="宋体" w:cs="Times New Roman"/>
                <w:color w:val="auto"/>
                <w:spacing w:val="0"/>
                <w:kern w:val="0"/>
                <w:sz w:val="21"/>
                <w:szCs w:val="21"/>
                <w:highlight w:val="none"/>
                <w:lang w:val="en-US" w:eastAsia="zh-CN" w:bidi="ar-SA"/>
              </w:rPr>
              <w:t>1500</w:t>
            </w:r>
            <w:r>
              <w:rPr>
                <w:rFonts w:hint="eastAsia" w:ascii="Times New Roman" w:cs="Times New Roman"/>
                <w:color w:val="auto"/>
                <w:spacing w:val="0"/>
                <w:kern w:val="0"/>
                <w:sz w:val="21"/>
                <w:szCs w:val="21"/>
                <w:highlight w:val="none"/>
                <w:lang w:val="en-US" w:eastAsia="zh-CN" w:bidi="ar-SA"/>
              </w:rPr>
              <w:t>3.108</w:t>
            </w:r>
            <w:r>
              <w:rPr>
                <w:rFonts w:hint="eastAsia" w:ascii="Times New Roman" w:hAnsi="Times New Roman" w:eastAsia="宋体" w:cs="Times New Roman"/>
                <w:color w:val="auto"/>
                <w:sz w:val="21"/>
                <w:szCs w:val="21"/>
                <w:highlight w:val="none"/>
                <w:lang w:val="en-US" w:eastAsia="zh-CN"/>
              </w:rPr>
              <w:t>t/a，则一车间、二车间粉碎颗粒物产生量为0.75t/a。</w:t>
            </w:r>
          </w:p>
          <w:p w14:paraId="48EDE58C">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一车间、二车间筛分颗粒物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本项目一车间、二车间白玉刚筛分工序会有颗粒物产生，筛分颗粒物参考</w:t>
            </w:r>
            <w:r>
              <w:rPr>
                <w:rFonts w:hint="default" w:ascii="Times New Roman" w:hAnsi="Times New Roman" w:eastAsia="宋体" w:cs="Times New Roman"/>
                <w:color w:val="auto"/>
                <w:sz w:val="21"/>
                <w:szCs w:val="21"/>
                <w:highlight w:val="none"/>
                <w:lang w:val="en-US" w:eastAsia="zh-CN"/>
              </w:rPr>
              <w:t>《逸散性工业颗粒物控制技术》</w:t>
            </w:r>
            <w:r>
              <w:rPr>
                <w:rFonts w:hint="eastAsia" w:ascii="Times New Roman" w:hAnsi="Times New Roman" w:eastAsia="宋体" w:cs="Times New Roman"/>
                <w:color w:val="auto"/>
                <w:sz w:val="21"/>
                <w:szCs w:val="21"/>
                <w:highlight w:val="none"/>
                <w:lang w:val="en-US" w:eastAsia="zh-CN"/>
              </w:rPr>
              <w:t>粒料生产中“筛选、运输和搬运”排放因子为0.15kg/t （破碎料），项目白玉刚用量为</w:t>
            </w:r>
            <w:r>
              <w:rPr>
                <w:rFonts w:hint="eastAsia" w:ascii="Times New Roman" w:hAnsi="Times New Roman" w:eastAsia="宋体" w:cs="Times New Roman"/>
                <w:color w:val="auto"/>
                <w:spacing w:val="0"/>
                <w:kern w:val="0"/>
                <w:sz w:val="21"/>
                <w:szCs w:val="21"/>
                <w:highlight w:val="none"/>
                <w:lang w:val="en-US" w:eastAsia="zh-CN" w:bidi="ar-SA"/>
              </w:rPr>
              <w:t>1500</w:t>
            </w:r>
            <w:r>
              <w:rPr>
                <w:rFonts w:hint="eastAsia" w:ascii="Times New Roman" w:cs="Times New Roman"/>
                <w:color w:val="auto"/>
                <w:spacing w:val="0"/>
                <w:kern w:val="0"/>
                <w:sz w:val="21"/>
                <w:szCs w:val="21"/>
                <w:highlight w:val="none"/>
                <w:lang w:val="en-US" w:eastAsia="zh-CN" w:bidi="ar-SA"/>
              </w:rPr>
              <w:t>3.108</w:t>
            </w:r>
            <w:r>
              <w:rPr>
                <w:rFonts w:hint="eastAsia" w:ascii="Times New Roman" w:hAnsi="Times New Roman" w:eastAsia="宋体" w:cs="Times New Roman"/>
                <w:color w:val="auto"/>
                <w:sz w:val="21"/>
                <w:szCs w:val="21"/>
                <w:highlight w:val="none"/>
                <w:lang w:val="en-US" w:eastAsia="zh-CN"/>
              </w:rPr>
              <w:t>t/a，则一车间、二车间筛分颗粒物产生量为2.25t/a。</w:t>
            </w:r>
          </w:p>
          <w:p w14:paraId="1A63598B">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一车间、二车间球磨颗粒物</w:t>
            </w:r>
          </w:p>
          <w:p w14:paraId="5641DC06">
            <w:pPr>
              <w:spacing w:line="360" w:lineRule="auto"/>
              <w:ind w:firstLine="420" w:firstLineChars="20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球磨工序会有颗粒物产生，球磨颗粒物参考《排放源统计调查产排污核算方法和系数手册》中“其他非金属矿物制品制造行业系数表”、“粉磨”产污系数1.19kg/t·产品，项目一车间、二车间为白刚玉加工车间，白刚玉粉末产量为7500t/a，则球磨工序颗粒物产生量为8.925t/a。</w:t>
            </w:r>
          </w:p>
          <w:p w14:paraId="36ADC5D9">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FF0000"/>
                <w:spacing w:val="0"/>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由上文计算，项目一车间、二车间投料、破碎、粉碎、筛分、球磨工序颗粒物产生量为</w:t>
            </w:r>
            <w:r>
              <w:rPr>
                <w:rFonts w:hint="eastAsia" w:ascii="Times New Roman" w:hAnsi="Times New Roman" w:eastAsia="宋体" w:cs="Times New Roman"/>
                <w:color w:val="auto"/>
                <w:sz w:val="21"/>
                <w:szCs w:val="21"/>
                <w:highlight w:val="none"/>
                <w:lang w:val="en-US" w:eastAsia="zh-CN"/>
              </w:rPr>
              <w:t>12.975t/a，</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一车间、二车间白刚玉投料、破碎、粉碎、筛分、球磨工序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15米高排气筒DA001排放；项目年运行时间为2400小时，引风机风量为30000m</w:t>
            </w:r>
            <w:r>
              <w:rPr>
                <w:rFonts w:hint="eastAsia" w:ascii="Times New Roman" w:cs="Times New Roman"/>
                <w:color w:val="auto"/>
                <w:sz w:val="21"/>
                <w:szCs w:val="21"/>
                <w:highlight w:val="none"/>
                <w:vertAlign w:val="superscript"/>
                <w:lang w:val="en-US" w:eastAsia="zh-CN"/>
              </w:rPr>
              <w:t>3</w:t>
            </w:r>
            <w:r>
              <w:rPr>
                <w:rFonts w:hint="eastAsia" w:ascii="Times New Roman" w:cs="Times New Roman"/>
                <w:color w:val="auto"/>
                <w:sz w:val="21"/>
                <w:szCs w:val="21"/>
                <w:highlight w:val="none"/>
                <w:lang w:val="en-US" w:eastAsia="zh-CN"/>
              </w:rPr>
              <w:t>/h，则</w:t>
            </w:r>
            <w:r>
              <w:rPr>
                <w:rFonts w:hint="eastAsia" w:ascii="Times New Roman" w:hAnsi="Times New Roman" w:eastAsia="宋体" w:cs="Times New Roman"/>
                <w:color w:val="auto"/>
                <w:sz w:val="21"/>
                <w:szCs w:val="21"/>
                <w:highlight w:val="none"/>
                <w:lang w:eastAsia="zh-CN"/>
              </w:rPr>
              <w:t>项目一车间、二车间投料、破碎、粉碎、筛分、球磨工序有组织颗粒物产生量为</w:t>
            </w:r>
            <w:r>
              <w:rPr>
                <w:rFonts w:hint="eastAsia" w:ascii="Times New Roman" w:hAnsi="Times New Roman" w:eastAsia="宋体" w:cs="Times New Roman"/>
                <w:color w:val="auto"/>
                <w:sz w:val="21"/>
                <w:szCs w:val="21"/>
                <w:highlight w:val="none"/>
                <w:lang w:val="en-US" w:eastAsia="zh-CN"/>
              </w:rPr>
              <w:t>11.678t/a，有组织颗粒物产生速率为4.866kg/h，有组织颗粒物产生浓度为162.2mg/m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；有组织颗粒物排放量为0.584t/a，有组织颗粒物排放速率为0.243kg/h，有组织颗粒物排放浓度为8.1mg/m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p w14:paraId="3C53D66C">
            <w:pPr>
              <w:pStyle w:val="2"/>
              <w:numPr>
                <w:ilvl w:val="0"/>
                <w:numId w:val="9"/>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三车间投料颗粒物</w:t>
            </w:r>
          </w:p>
          <w:p w14:paraId="4D0CB4F7">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三车间棕刚玉、铬刚玉投料工序会有颗粒物产生，投料颗粒物参考类比</w:t>
            </w:r>
            <w:r>
              <w:rPr>
                <w:rFonts w:hint="default" w:ascii="Times New Roman" w:hAnsi="Times New Roman" w:eastAsia="宋体" w:cs="Times New Roman"/>
                <w:color w:val="auto"/>
                <w:sz w:val="21"/>
                <w:szCs w:val="21"/>
                <w:highlight w:val="none"/>
                <w:lang w:eastAsia="zh-CN"/>
              </w:rPr>
              <w:t>《逸散性工</w:t>
            </w:r>
            <w:r>
              <w:rPr>
                <w:rFonts w:hint="default" w:ascii="Times New Roman" w:hAnsi="Times New Roman" w:eastAsia="宋体" w:cs="Times New Roman"/>
                <w:color w:val="auto"/>
                <w:sz w:val="21"/>
                <w:szCs w:val="21"/>
                <w:highlight w:val="none"/>
                <w:lang w:val="en-US" w:eastAsia="zh-CN"/>
              </w:rPr>
              <w:t>业颗粒物控制技术》</w:t>
            </w:r>
            <w:r>
              <w:rPr>
                <w:rFonts w:hint="eastAsia" w:ascii="Times New Roman" w:hAnsi="Times New Roman" w:eastAsia="宋体" w:cs="Times New Roman"/>
                <w:color w:val="auto"/>
                <w:sz w:val="21"/>
                <w:szCs w:val="21"/>
                <w:highlight w:val="none"/>
                <w:lang w:eastAsia="zh-CN"/>
              </w:rPr>
              <w:t>（中国环境科学出版社）</w:t>
            </w:r>
            <w:r>
              <w:rPr>
                <w:rFonts w:hint="eastAsia" w:ascii="Times New Roman" w:hAnsi="Times New Roman" w:eastAsia="宋体" w:cs="Times New Roman"/>
                <w:color w:val="auto"/>
                <w:sz w:val="21"/>
                <w:szCs w:val="21"/>
                <w:highlight w:val="none"/>
                <w:lang w:val="en-US" w:eastAsia="zh-CN"/>
              </w:rPr>
              <w:t>“第二十二章、混凝土分批搅拌厂”中“装水泥、砂、粒料入称量斗”污染排放因子0.02kg/t·原料，项目三车间棕刚玉、铬刚玉用量为2500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t/a，则三车间投料颗粒物产生量为0.05t/a。</w:t>
            </w:r>
          </w:p>
          <w:p w14:paraId="32DA4C8A">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7）三车间破碎颗粒物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eastAsia="zh-CN"/>
              </w:rPr>
              <w:t>本项目三车间</w:t>
            </w:r>
            <w:r>
              <w:rPr>
                <w:rFonts w:hint="eastAsia" w:ascii="Times New Roman" w:hAnsi="Times New Roman" w:eastAsia="宋体" w:cs="Times New Roman"/>
                <w:color w:val="auto"/>
                <w:sz w:val="21"/>
                <w:szCs w:val="21"/>
                <w:highlight w:val="none"/>
                <w:lang w:val="en-US" w:eastAsia="zh-CN"/>
              </w:rPr>
              <w:t>棕刚玉、铬刚玉破碎工序会有颗粒物产生，破碎颗粒物参考《逸散性工业粉尘控制</w:t>
            </w:r>
            <w:r>
              <w:rPr>
                <w:rFonts w:hint="eastAsia" w:ascii="Times New Roman" w:hAnsi="Times New Roman" w:eastAsia="宋体" w:cs="Times New Roman"/>
                <w:color w:val="auto"/>
                <w:spacing w:val="0"/>
                <w:kern w:val="0"/>
                <w:sz w:val="21"/>
                <w:szCs w:val="21"/>
                <w:lang w:val="en-US" w:eastAsia="zh-CN" w:bidi="ar-SA"/>
              </w:rPr>
              <w:t>技术》粒料生产“一级破碎机和筛选”排放因子为 0.05kg/t （破碎料），</w:t>
            </w:r>
            <w:r>
              <w:rPr>
                <w:rFonts w:hint="eastAsia" w:ascii="Times New Roman" w:hAnsi="Times New Roman" w:eastAsia="宋体" w:cs="Times New Roman"/>
                <w:color w:val="auto"/>
                <w:sz w:val="21"/>
                <w:szCs w:val="21"/>
                <w:highlight w:val="none"/>
                <w:lang w:val="en-US" w:eastAsia="zh-CN"/>
              </w:rPr>
              <w:t>项目三车间棕刚玉、铬刚玉用量为2500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w:t>
            </w:r>
            <w:r>
              <w:rPr>
                <w:rFonts w:hint="eastAsia" w:ascii="Times New Roman" w:hAnsi="Times New Roman" w:eastAsia="宋体" w:cs="Times New Roman"/>
                <w:color w:val="auto"/>
                <w:spacing w:val="0"/>
                <w:kern w:val="0"/>
                <w:sz w:val="21"/>
                <w:szCs w:val="21"/>
                <w:lang w:val="en-US" w:eastAsia="zh-CN" w:bidi="ar-SA"/>
              </w:rPr>
              <w:t>则三车间破碎颗粒物产生量为0.125t/a。</w:t>
            </w:r>
          </w:p>
          <w:p w14:paraId="2745FB02">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8）三车间粉碎颗粒物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本项目三车间棕刚玉、铬刚玉粉碎工序会有颗粒物产生，粉碎颗粒物参考</w:t>
            </w:r>
            <w:r>
              <w:rPr>
                <w:rFonts w:hint="default" w:ascii="Times New Roman" w:hAnsi="Times New Roman" w:eastAsia="宋体" w:cs="Times New Roman"/>
                <w:color w:val="auto"/>
                <w:spacing w:val="0"/>
                <w:kern w:val="0"/>
                <w:sz w:val="21"/>
                <w:szCs w:val="21"/>
                <w:lang w:val="en-US" w:eastAsia="zh-CN" w:bidi="ar-SA"/>
              </w:rPr>
              <w:t>《逸散性工业颗粒物控制技术》</w:t>
            </w:r>
            <w:r>
              <w:rPr>
                <w:rFonts w:hint="eastAsia" w:ascii="Times New Roman" w:hAnsi="Times New Roman" w:eastAsia="宋体" w:cs="Times New Roman"/>
                <w:color w:val="auto"/>
                <w:spacing w:val="0"/>
                <w:kern w:val="0"/>
                <w:sz w:val="21"/>
                <w:szCs w:val="21"/>
                <w:lang w:val="en-US" w:eastAsia="zh-CN" w:bidi="ar-SA"/>
              </w:rPr>
              <w:t>粒料生产中“粉碎”排放因子为0.05kg/t（粉碎料），</w:t>
            </w:r>
            <w:r>
              <w:rPr>
                <w:rFonts w:hint="eastAsia" w:ascii="Times New Roman" w:hAnsi="Times New Roman" w:eastAsia="宋体" w:cs="Times New Roman"/>
                <w:color w:val="auto"/>
                <w:sz w:val="21"/>
                <w:szCs w:val="21"/>
                <w:highlight w:val="none"/>
                <w:lang w:val="en-US" w:eastAsia="zh-CN"/>
              </w:rPr>
              <w:t>项目三车间棕刚玉、铬刚玉用量为2500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w:t>
            </w:r>
            <w:r>
              <w:rPr>
                <w:rFonts w:hint="eastAsia" w:ascii="Times New Roman" w:hAnsi="Times New Roman" w:eastAsia="宋体" w:cs="Times New Roman"/>
                <w:color w:val="auto"/>
                <w:spacing w:val="0"/>
                <w:kern w:val="0"/>
                <w:sz w:val="21"/>
                <w:szCs w:val="21"/>
                <w:lang w:val="en-US" w:eastAsia="zh-CN" w:bidi="ar-SA"/>
              </w:rPr>
              <w:t>则三车间粉碎颗粒物产生量为0.125t/a。</w:t>
            </w:r>
          </w:p>
          <w:p w14:paraId="0329B541">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9）三车间筛分颗粒物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本项目三车间棕刚玉、铬刚玉筛分工序会有颗粒物产生，筛分颗粒物参考</w:t>
            </w:r>
            <w:r>
              <w:rPr>
                <w:rFonts w:hint="default" w:ascii="Times New Roman" w:hAnsi="Times New Roman" w:eastAsia="宋体" w:cs="Times New Roman"/>
                <w:color w:val="auto"/>
                <w:sz w:val="21"/>
                <w:szCs w:val="21"/>
                <w:highlight w:val="none"/>
                <w:lang w:val="en-US" w:eastAsia="zh-CN"/>
              </w:rPr>
              <w:t>《逸散性工业颗粒物控制技术》</w:t>
            </w:r>
            <w:r>
              <w:rPr>
                <w:rFonts w:hint="eastAsia" w:ascii="Times New Roman" w:hAnsi="Times New Roman" w:eastAsia="宋体" w:cs="Times New Roman"/>
                <w:color w:val="auto"/>
                <w:sz w:val="21"/>
                <w:szCs w:val="21"/>
                <w:highlight w:val="none"/>
                <w:lang w:val="en-US" w:eastAsia="zh-CN"/>
              </w:rPr>
              <w:t>》粒料生产中“筛选、运输和搬运”排放因子为0.15kg/t （破碎料），项目三车间棕刚玉、铬刚玉用量为2500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t/a，则三车间筛分颗粒物产生量为0.375t/a。</w:t>
            </w:r>
          </w:p>
          <w:p w14:paraId="4AD771EB">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10）三车间球磨颗粒物</w:t>
            </w:r>
          </w:p>
          <w:p w14:paraId="1669FB08">
            <w:pPr>
              <w:spacing w:line="360" w:lineRule="auto"/>
              <w:ind w:firstLine="420" w:firstLineChars="20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三车间棕刚玉、铬刚玉球磨工序会有颗粒物产生，球磨颗粒物参考《排放源统计调查产排污核算方法和系数手册》中“其他非金属矿物制品制造行业系数表”、“粉磨”产污系数1.19kg/t·产品，项目三车间棕刚玉、铬刚玉粉产量为2000t/a，则球磨工序颗粒物产生量为2.38t/a。</w:t>
            </w:r>
          </w:p>
          <w:p w14:paraId="5238B770">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FF0000"/>
                <w:spacing w:val="0"/>
                <w:kern w:val="0"/>
                <w:sz w:val="21"/>
                <w:szCs w:val="21"/>
                <w:lang w:val="en-US" w:eastAsia="zh-CN" w:bidi="ar-SA"/>
              </w:rPr>
            </w:pPr>
            <w:r>
              <w:rPr>
                <w:rFonts w:hint="eastAsia" w:ascii="Times New Roman" w:hAnsi="Times New Roman" w:eastAsia="宋体" w:cs="Times New Roman"/>
                <w:color w:val="auto"/>
                <w:sz w:val="21"/>
                <w:szCs w:val="21"/>
                <w:highlight w:val="none"/>
                <w:lang w:eastAsia="zh-CN"/>
              </w:rPr>
              <w:t>由上文计算，项目三车间投料、破碎、粉碎、筛分、球磨工序颗粒物产生量为</w:t>
            </w:r>
            <w:r>
              <w:rPr>
                <w:rFonts w:hint="eastAsia" w:ascii="Times New Roman" w:hAnsi="Times New Roman" w:eastAsia="宋体" w:cs="Times New Roman"/>
                <w:color w:val="auto"/>
                <w:sz w:val="21"/>
                <w:szCs w:val="21"/>
                <w:highlight w:val="none"/>
                <w:lang w:val="en-US" w:eastAsia="zh-CN"/>
              </w:rPr>
              <w:t>3.055t/a，</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三车间棕刚玉、铬刚玉投料、破碎、粉碎、筛分、球磨工序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15米高排气筒DA002排放；项目三车间年运行时间为1800小时，引风机风量为10000m</w:t>
            </w:r>
            <w:r>
              <w:rPr>
                <w:rFonts w:hint="eastAsia" w:ascii="Times New Roman" w:cs="Times New Roman"/>
                <w:color w:val="auto"/>
                <w:sz w:val="21"/>
                <w:szCs w:val="21"/>
                <w:highlight w:val="none"/>
                <w:vertAlign w:val="superscript"/>
                <w:lang w:val="en-US" w:eastAsia="zh-CN"/>
              </w:rPr>
              <w:t>3</w:t>
            </w:r>
            <w:r>
              <w:rPr>
                <w:rFonts w:hint="eastAsia" w:ascii="Times New Roman" w:cs="Times New Roman"/>
                <w:color w:val="auto"/>
                <w:sz w:val="21"/>
                <w:szCs w:val="21"/>
                <w:highlight w:val="none"/>
                <w:lang w:val="en-US" w:eastAsia="zh-CN"/>
              </w:rPr>
              <w:t>/h，则</w:t>
            </w:r>
            <w:r>
              <w:rPr>
                <w:rFonts w:hint="eastAsia" w:ascii="Times New Roman" w:hAnsi="Times New Roman" w:eastAsia="宋体" w:cs="Times New Roman"/>
                <w:color w:val="auto"/>
                <w:sz w:val="21"/>
                <w:szCs w:val="21"/>
                <w:highlight w:val="none"/>
                <w:lang w:eastAsia="zh-CN"/>
              </w:rPr>
              <w:t>项目三车间投料、破碎、粉碎、筛分、球磨工序有组织颗粒物产生量为</w:t>
            </w:r>
            <w:r>
              <w:rPr>
                <w:rFonts w:hint="eastAsia" w:ascii="Times New Roman" w:hAnsi="Times New Roman" w:eastAsia="宋体" w:cs="Times New Roman"/>
                <w:color w:val="auto"/>
                <w:sz w:val="21"/>
                <w:szCs w:val="21"/>
                <w:highlight w:val="none"/>
                <w:lang w:val="en-US" w:eastAsia="zh-CN"/>
              </w:rPr>
              <w:t>2.75t/a，有组织颗粒物产生速率为</w:t>
            </w:r>
            <w:r>
              <w:rPr>
                <w:rFonts w:hint="eastAsia" w:ascii="Times New Roman" w:cs="Times New Roman"/>
                <w:color w:val="auto"/>
                <w:sz w:val="21"/>
                <w:szCs w:val="21"/>
                <w:highlight w:val="none"/>
                <w:lang w:val="en-US" w:eastAsia="zh-CN"/>
              </w:rPr>
              <w:t>1.146</w:t>
            </w:r>
            <w:r>
              <w:rPr>
                <w:rFonts w:hint="eastAsia" w:ascii="Times New Roman" w:hAnsi="Times New Roman" w:eastAsia="宋体" w:cs="Times New Roman"/>
                <w:color w:val="auto"/>
                <w:sz w:val="21"/>
                <w:szCs w:val="21"/>
                <w:highlight w:val="none"/>
                <w:lang w:val="en-US" w:eastAsia="zh-CN"/>
              </w:rPr>
              <w:t>kg/h，有组织颗粒物产生浓度为</w:t>
            </w:r>
            <w:r>
              <w:rPr>
                <w:rFonts w:hint="eastAsia" w:ascii="Times New Roman" w:cs="Times New Roman"/>
                <w:color w:val="auto"/>
                <w:sz w:val="21"/>
                <w:szCs w:val="21"/>
                <w:highlight w:val="none"/>
                <w:lang w:val="en-US" w:eastAsia="zh-CN"/>
              </w:rPr>
              <w:t>114.6</w:t>
            </w:r>
            <w:r>
              <w:rPr>
                <w:rFonts w:hint="eastAsia" w:ascii="Times New Roman" w:hAnsi="Times New Roman" w:eastAsia="宋体" w:cs="Times New Roman"/>
                <w:color w:val="auto"/>
                <w:sz w:val="21"/>
                <w:szCs w:val="21"/>
                <w:highlight w:val="none"/>
                <w:lang w:val="en-US" w:eastAsia="zh-CN"/>
              </w:rPr>
              <w:t>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；有组织颗粒物排放量为0.138t/a，有组织颗粒物排放速率为</w:t>
            </w:r>
            <w:r>
              <w:rPr>
                <w:rFonts w:hint="eastAsia" w:ascii="Times New Roman" w:cs="Times New Roman"/>
                <w:color w:val="auto"/>
                <w:sz w:val="21"/>
                <w:szCs w:val="21"/>
                <w:highlight w:val="none"/>
                <w:lang w:val="en-US" w:eastAsia="zh-CN"/>
              </w:rPr>
              <w:t>0.058</w:t>
            </w:r>
            <w:r>
              <w:rPr>
                <w:rFonts w:hint="eastAsia" w:ascii="Times New Roman" w:hAnsi="Times New Roman" w:eastAsia="宋体" w:cs="Times New Roman"/>
                <w:color w:val="auto"/>
                <w:sz w:val="21"/>
                <w:szCs w:val="21"/>
                <w:highlight w:val="none"/>
                <w:lang w:val="en-US" w:eastAsia="zh-CN"/>
              </w:rPr>
              <w:t>kg/h，有组织颗粒物排放浓度为</w:t>
            </w:r>
            <w:r>
              <w:rPr>
                <w:rFonts w:hint="eastAsia" w:ascii="Times New Roman" w:cs="Times New Roman"/>
                <w:color w:val="auto"/>
                <w:sz w:val="21"/>
                <w:szCs w:val="21"/>
                <w:highlight w:val="none"/>
                <w:lang w:val="en-US" w:eastAsia="zh-CN"/>
              </w:rPr>
              <w:t>5.8</w:t>
            </w:r>
            <w:r>
              <w:rPr>
                <w:rFonts w:hint="eastAsia" w:ascii="Times New Roman" w:hAnsi="Times New Roman" w:eastAsia="宋体" w:cs="Times New Roman"/>
                <w:color w:val="auto"/>
                <w:sz w:val="21"/>
                <w:szCs w:val="21"/>
                <w:highlight w:val="none"/>
                <w:lang w:val="en-US" w:eastAsia="zh-CN"/>
              </w:rPr>
              <w:t>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p w14:paraId="473B38D4">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11）四</w:t>
            </w:r>
            <w:r>
              <w:rPr>
                <w:rFonts w:hint="eastAsia" w:ascii="Times New Roman" w:hAnsi="Times New Roman" w:eastAsia="宋体" w:cs="Times New Roman"/>
                <w:color w:val="auto"/>
                <w:sz w:val="21"/>
                <w:szCs w:val="21"/>
                <w:highlight w:val="none"/>
                <w:lang w:val="en-US" w:eastAsia="zh-CN"/>
              </w:rPr>
              <w:t>车间投料颗粒物</w:t>
            </w:r>
          </w:p>
          <w:p w14:paraId="1A8858BB">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本项目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车间棕刚玉、铬刚玉投料工序会有颗粒物产生，投料颗粒物参考类比</w:t>
            </w:r>
            <w:r>
              <w:rPr>
                <w:rFonts w:hint="default" w:ascii="Times New Roman" w:hAnsi="Times New Roman" w:eastAsia="宋体" w:cs="Times New Roman"/>
                <w:color w:val="auto"/>
                <w:sz w:val="21"/>
                <w:szCs w:val="21"/>
                <w:highlight w:val="none"/>
                <w:lang w:eastAsia="zh-CN"/>
              </w:rPr>
              <w:t>《逸散性工</w:t>
            </w:r>
            <w:r>
              <w:rPr>
                <w:rFonts w:hint="default" w:ascii="Times New Roman" w:hAnsi="Times New Roman" w:eastAsia="宋体" w:cs="Times New Roman"/>
                <w:color w:val="auto"/>
                <w:sz w:val="21"/>
                <w:szCs w:val="21"/>
                <w:highlight w:val="none"/>
                <w:lang w:val="en-US" w:eastAsia="zh-CN"/>
              </w:rPr>
              <w:t>业颗粒物控制技术》</w:t>
            </w:r>
            <w:r>
              <w:rPr>
                <w:rFonts w:hint="eastAsia" w:ascii="Times New Roman" w:hAnsi="Times New Roman" w:eastAsia="宋体" w:cs="Times New Roman"/>
                <w:color w:val="auto"/>
                <w:sz w:val="21"/>
                <w:szCs w:val="21"/>
                <w:highlight w:val="none"/>
                <w:lang w:eastAsia="zh-CN"/>
              </w:rPr>
              <w:t>（中国环境科学出版社）</w:t>
            </w:r>
            <w:r>
              <w:rPr>
                <w:rFonts w:hint="eastAsia" w:ascii="Times New Roman" w:hAnsi="Times New Roman" w:eastAsia="宋体" w:cs="Times New Roman"/>
                <w:color w:val="auto"/>
                <w:sz w:val="21"/>
                <w:szCs w:val="21"/>
                <w:highlight w:val="none"/>
                <w:lang w:val="en-US" w:eastAsia="zh-CN"/>
              </w:rPr>
              <w:t>“第二十二章、混凝土分批搅拌厂”中“装水泥、砂、粒料入称量斗”污染排放因子0.02kg/t·原料，项目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t/a，则</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车间投料颗粒物产生量为0.05t/a。</w:t>
            </w:r>
          </w:p>
          <w:p w14:paraId="5F593A01">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12</w:t>
            </w:r>
            <w:r>
              <w:rPr>
                <w:rFonts w:hint="eastAsia" w:ascii="Times New Roman" w:hAnsi="Times New Roman" w:eastAsia="宋体"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车间破碎颗粒物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eastAsia="zh-CN"/>
              </w:rPr>
              <w:t>本项目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车间棕刚玉、铬刚玉破碎工序会有颗粒物产生，破碎颗粒物参考《逸散性工业粉尘控制</w:t>
            </w:r>
            <w:r>
              <w:rPr>
                <w:rFonts w:hint="eastAsia" w:ascii="Times New Roman" w:hAnsi="Times New Roman" w:eastAsia="宋体" w:cs="Times New Roman"/>
                <w:color w:val="auto"/>
                <w:spacing w:val="0"/>
                <w:kern w:val="0"/>
                <w:sz w:val="21"/>
                <w:szCs w:val="21"/>
                <w:lang w:val="en-US" w:eastAsia="zh-CN" w:bidi="ar-SA"/>
              </w:rPr>
              <w:t>技术》粒料生产“一级破碎机和筛选”排放因子为 0.05kg/t （破碎料），</w:t>
            </w:r>
            <w:r>
              <w:rPr>
                <w:rFonts w:hint="eastAsia" w:ascii="Times New Roman" w:hAnsi="Times New Roman" w:eastAsia="宋体" w:cs="Times New Roman"/>
                <w:color w:val="auto"/>
                <w:sz w:val="21"/>
                <w:szCs w:val="21"/>
                <w:highlight w:val="none"/>
                <w:lang w:val="en-US" w:eastAsia="zh-CN"/>
              </w:rPr>
              <w:t>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w:t>
            </w:r>
            <w:r>
              <w:rPr>
                <w:rFonts w:hint="eastAsia" w:ascii="Times New Roman" w:hAnsi="Times New Roman" w:eastAsia="宋体" w:cs="Times New Roman"/>
                <w:color w:val="auto"/>
                <w:spacing w:val="0"/>
                <w:kern w:val="0"/>
                <w:sz w:val="21"/>
                <w:szCs w:val="21"/>
                <w:lang w:val="en-US" w:eastAsia="zh-CN" w:bidi="ar-SA"/>
              </w:rPr>
              <w:t>则</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w:t>
            </w:r>
            <w:r>
              <w:rPr>
                <w:rFonts w:hint="eastAsia" w:ascii="Times New Roman" w:hAnsi="Times New Roman" w:eastAsia="宋体" w:cs="Times New Roman"/>
                <w:color w:val="auto"/>
                <w:spacing w:val="0"/>
                <w:kern w:val="0"/>
                <w:sz w:val="21"/>
                <w:szCs w:val="21"/>
                <w:lang w:val="en-US" w:eastAsia="zh-CN" w:bidi="ar-SA"/>
              </w:rPr>
              <w:t>破碎颗粒物产生量为0.125t/a。</w:t>
            </w:r>
          </w:p>
          <w:p w14:paraId="2A3EF8F2">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13</w:t>
            </w:r>
            <w:r>
              <w:rPr>
                <w:rFonts w:hint="eastAsia" w:ascii="Times New Roman" w:hAnsi="Times New Roman" w:eastAsia="宋体"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车间粉碎颗粒物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车间棕刚玉、铬刚玉粉碎工序会有颗粒物产生，粉碎颗粒物参考</w:t>
            </w:r>
            <w:r>
              <w:rPr>
                <w:rFonts w:hint="default" w:ascii="Times New Roman" w:hAnsi="Times New Roman" w:eastAsia="宋体" w:cs="Times New Roman"/>
                <w:color w:val="auto"/>
                <w:spacing w:val="0"/>
                <w:kern w:val="0"/>
                <w:sz w:val="21"/>
                <w:szCs w:val="21"/>
                <w:lang w:val="en-US" w:eastAsia="zh-CN" w:bidi="ar-SA"/>
              </w:rPr>
              <w:t>《逸散性工业颗粒物控制技术》</w:t>
            </w:r>
            <w:r>
              <w:rPr>
                <w:rFonts w:hint="eastAsia" w:ascii="Times New Roman" w:hAnsi="Times New Roman" w:eastAsia="宋体" w:cs="Times New Roman"/>
                <w:color w:val="auto"/>
                <w:spacing w:val="0"/>
                <w:kern w:val="0"/>
                <w:sz w:val="21"/>
                <w:szCs w:val="21"/>
                <w:lang w:val="en-US" w:eastAsia="zh-CN" w:bidi="ar-SA"/>
              </w:rPr>
              <w:t>粒料生产中“粉碎”排放因子为0.05kg/t（粉碎料），</w:t>
            </w:r>
            <w:r>
              <w:rPr>
                <w:rFonts w:hint="eastAsia" w:ascii="Times New Roman" w:hAnsi="Times New Roman" w:eastAsia="宋体" w:cs="Times New Roman"/>
                <w:color w:val="auto"/>
                <w:sz w:val="21"/>
                <w:szCs w:val="21"/>
                <w:highlight w:val="none"/>
                <w:lang w:val="en-US" w:eastAsia="zh-CN"/>
              </w:rPr>
              <w:t>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w:t>
            </w:r>
            <w:r>
              <w:rPr>
                <w:rFonts w:hint="eastAsia" w:ascii="Times New Roman" w:hAnsi="Times New Roman" w:eastAsia="宋体" w:cs="Times New Roman"/>
                <w:color w:val="auto"/>
                <w:spacing w:val="0"/>
                <w:kern w:val="0"/>
                <w:sz w:val="21"/>
                <w:szCs w:val="21"/>
                <w:lang w:val="en-US" w:eastAsia="zh-CN" w:bidi="ar-SA"/>
              </w:rPr>
              <w:t>则</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w:t>
            </w:r>
            <w:r>
              <w:rPr>
                <w:rFonts w:hint="eastAsia" w:ascii="Times New Roman" w:hAnsi="Times New Roman" w:eastAsia="宋体" w:cs="Times New Roman"/>
                <w:color w:val="auto"/>
                <w:spacing w:val="0"/>
                <w:kern w:val="0"/>
                <w:sz w:val="21"/>
                <w:szCs w:val="21"/>
                <w:lang w:val="en-US" w:eastAsia="zh-CN" w:bidi="ar-SA"/>
              </w:rPr>
              <w:t>粉碎颗粒物产生量为0.125t/a。</w:t>
            </w:r>
          </w:p>
          <w:p w14:paraId="036BF870">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14</w:t>
            </w:r>
            <w:r>
              <w:rPr>
                <w:rFonts w:hint="eastAsia" w:ascii="Times New Roman" w:hAnsi="Times New Roman" w:eastAsia="宋体"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车间筛分颗粒物</w:t>
            </w:r>
            <w:r>
              <w:rPr>
                <w:rFonts w:hint="eastAsia" w:ascii="Times New Roman" w:hAnsi="Times New Roman" w:eastAsia="宋体" w:cs="Times New Roman"/>
                <w:color w:val="auto"/>
                <w:sz w:val="21"/>
                <w:szCs w:val="21"/>
                <w:highlight w:val="none"/>
                <w:lang w:val="en-US" w:eastAsia="zh-CN"/>
              </w:rPr>
              <w:br w:type="textWrapping"/>
            </w:r>
            <w:r>
              <w:rPr>
                <w:rFonts w:hint="eastAsia" w:ascii="Times New Roman" w:hAnsi="Times New Roman" w:eastAsia="宋体" w:cs="Times New Roman"/>
                <w:color w:val="auto"/>
                <w:sz w:val="21"/>
                <w:szCs w:val="21"/>
                <w:highlight w:val="none"/>
                <w:lang w:val="en-US" w:eastAsia="zh-CN"/>
              </w:rPr>
              <w:t xml:space="preserve">    本项目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车间棕刚玉、铬刚玉筛分工序会有颗粒物产生，筛分颗粒物参考</w:t>
            </w:r>
            <w:r>
              <w:rPr>
                <w:rFonts w:hint="default" w:ascii="Times New Roman" w:hAnsi="Times New Roman" w:eastAsia="宋体" w:cs="Times New Roman"/>
                <w:color w:val="auto"/>
                <w:sz w:val="21"/>
                <w:szCs w:val="21"/>
                <w:highlight w:val="none"/>
                <w:lang w:val="en-US" w:eastAsia="zh-CN"/>
              </w:rPr>
              <w:t>《逸散性工业颗粒物控制技术》</w:t>
            </w:r>
            <w:r>
              <w:rPr>
                <w:rFonts w:hint="eastAsia" w:ascii="Times New Roman" w:hAnsi="Times New Roman" w:eastAsia="宋体" w:cs="Times New Roman"/>
                <w:color w:val="auto"/>
                <w:sz w:val="21"/>
                <w:szCs w:val="21"/>
                <w:highlight w:val="none"/>
                <w:lang w:val="en-US" w:eastAsia="zh-CN"/>
              </w:rPr>
              <w:t>粒料生产中“筛选、运输和搬运”排放因子为0.15kg/t （破碎料），项目</w:t>
            </w:r>
            <w:r>
              <w:rPr>
                <w:rFonts w:hint="eastAsia" w:ascii="Times New Roman" w:cs="Times New Roman"/>
                <w:color w:val="auto"/>
                <w:sz w:val="21"/>
                <w:szCs w:val="21"/>
                <w:highlight w:val="none"/>
                <w:lang w:val="en-US" w:eastAsia="zh-CN"/>
              </w:rPr>
              <w:t>四</w:t>
            </w:r>
            <w:r>
              <w:rPr>
                <w:rFonts w:hint="eastAsia" w:ascii="Times New Roman" w:hAnsi="Times New Roman" w:eastAsia="宋体" w:cs="Times New Roman"/>
                <w:color w:val="auto"/>
                <w:sz w:val="21"/>
                <w:szCs w:val="21"/>
                <w:highlight w:val="none"/>
                <w:lang w:val="en-US" w:eastAsia="zh-CN"/>
              </w:rPr>
              <w:t>车间棕刚玉、铬刚玉用量为2500</w:t>
            </w:r>
            <w:r>
              <w:rPr>
                <w:rFonts w:hint="eastAsia" w:ascii="Times New Roman" w:cs="Times New Roman"/>
                <w:color w:val="auto"/>
                <w:sz w:val="21"/>
                <w:szCs w:val="21"/>
                <w:highlight w:val="none"/>
                <w:lang w:val="en-US" w:eastAsia="zh-CN"/>
              </w:rPr>
              <w:t>.283</w:t>
            </w:r>
            <w:r>
              <w:rPr>
                <w:rFonts w:hint="eastAsia" w:ascii="Times New Roman" w:hAnsi="Times New Roman" w:eastAsia="宋体" w:cs="Times New Roman"/>
                <w:color w:val="auto"/>
                <w:sz w:val="21"/>
                <w:szCs w:val="21"/>
                <w:highlight w:val="none"/>
                <w:lang w:val="en-US" w:eastAsia="zh-CN"/>
              </w:rPr>
              <w:t>t/a，则</w:t>
            </w:r>
            <w:r>
              <w:rPr>
                <w:rFonts w:hint="eastAsia" w:ascii="Times New Roman" w:cs="Times New Roman"/>
                <w:color w:val="auto"/>
                <w:sz w:val="21"/>
                <w:szCs w:val="21"/>
                <w:highlight w:val="none"/>
                <w:lang w:val="en-US" w:eastAsia="zh-CN"/>
              </w:rPr>
              <w:t>四车间</w:t>
            </w:r>
            <w:r>
              <w:rPr>
                <w:rFonts w:hint="eastAsia" w:ascii="Times New Roman" w:hAnsi="Times New Roman" w:eastAsia="宋体" w:cs="Times New Roman"/>
                <w:color w:val="auto"/>
                <w:sz w:val="21"/>
                <w:szCs w:val="21"/>
                <w:highlight w:val="none"/>
                <w:lang w:val="en-US" w:eastAsia="zh-CN"/>
              </w:rPr>
              <w:t>筛分颗粒物产生量为0.375t/a。</w:t>
            </w:r>
          </w:p>
          <w:p w14:paraId="4FCE15F6">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15</w:t>
            </w:r>
            <w:r>
              <w:rPr>
                <w:rFonts w:hint="eastAsia" w:ascii="Times New Roman" w:hAnsi="Times New Roman" w:eastAsia="宋体"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四车间</w:t>
            </w:r>
            <w:r>
              <w:rPr>
                <w:rFonts w:hint="eastAsia" w:ascii="Times New Roman" w:hAnsi="Times New Roman" w:eastAsia="宋体" w:cs="Times New Roman"/>
                <w:color w:val="auto"/>
                <w:sz w:val="21"/>
                <w:szCs w:val="21"/>
                <w:highlight w:val="none"/>
                <w:lang w:val="en-US" w:eastAsia="zh-CN"/>
              </w:rPr>
              <w:t>球磨颗粒物</w:t>
            </w:r>
          </w:p>
          <w:p w14:paraId="74C9EB11">
            <w:pPr>
              <w:spacing w:line="360" w:lineRule="auto"/>
              <w:ind w:firstLine="420" w:firstLineChars="20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四车间</w:t>
            </w:r>
            <w:r>
              <w:rPr>
                <w:rFonts w:hint="eastAsia" w:ascii="Times New Roman" w:hAnsi="Times New Roman" w:eastAsia="宋体" w:cs="Times New Roman"/>
                <w:color w:val="auto"/>
                <w:kern w:val="2"/>
                <w:sz w:val="21"/>
                <w:szCs w:val="21"/>
                <w:highlight w:val="none"/>
                <w:lang w:val="en-US" w:eastAsia="zh-CN" w:bidi="ar-SA"/>
              </w:rPr>
              <w:t>棕刚玉、铬刚玉球磨工序会有颗粒物产生，球磨颗粒物参考《排放源统计调查产排污核算方法和系数手册》中“其他非金属矿物制品制造行业系数表”、“粉磨”产污系数1.19kg/t·产品，项目</w:t>
            </w:r>
            <w:r>
              <w:rPr>
                <w:rFonts w:hint="eastAsia" w:cs="Times New Roman"/>
                <w:color w:val="auto"/>
                <w:kern w:val="2"/>
                <w:sz w:val="21"/>
                <w:szCs w:val="21"/>
                <w:highlight w:val="none"/>
                <w:lang w:val="en-US" w:eastAsia="zh-CN" w:bidi="ar-SA"/>
              </w:rPr>
              <w:t>四车间</w:t>
            </w:r>
            <w:r>
              <w:rPr>
                <w:rFonts w:hint="eastAsia" w:ascii="Times New Roman" w:hAnsi="Times New Roman" w:eastAsia="宋体" w:cs="Times New Roman"/>
                <w:color w:val="auto"/>
                <w:kern w:val="2"/>
                <w:sz w:val="21"/>
                <w:szCs w:val="21"/>
                <w:highlight w:val="none"/>
                <w:lang w:val="en-US" w:eastAsia="zh-CN" w:bidi="ar-SA"/>
              </w:rPr>
              <w:t>棕刚玉、铬刚玉粉产量为2000t/a，则球磨工序颗粒物产生量为2.38t/a。</w:t>
            </w:r>
          </w:p>
          <w:p w14:paraId="326711B8">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FF0000"/>
                <w:spacing w:val="0"/>
                <w:kern w:val="0"/>
                <w:sz w:val="21"/>
                <w:szCs w:val="21"/>
                <w:lang w:val="en-US" w:eastAsia="zh-CN" w:bidi="ar-SA"/>
              </w:rPr>
            </w:pPr>
            <w:r>
              <w:rPr>
                <w:rFonts w:hint="eastAsia" w:ascii="Times New Roman" w:hAnsi="Times New Roman" w:eastAsia="宋体" w:cs="Times New Roman"/>
                <w:color w:val="auto"/>
                <w:sz w:val="21"/>
                <w:szCs w:val="21"/>
                <w:highlight w:val="none"/>
                <w:lang w:eastAsia="zh-CN"/>
              </w:rPr>
              <w:t>由上文计算，项目</w:t>
            </w:r>
            <w:r>
              <w:rPr>
                <w:rFonts w:hint="eastAsia" w:ascii="Times New Roman" w:cs="Times New Roman"/>
                <w:color w:val="auto"/>
                <w:sz w:val="21"/>
                <w:szCs w:val="21"/>
                <w:highlight w:val="none"/>
                <w:lang w:eastAsia="zh-CN"/>
              </w:rPr>
              <w:t>四车间</w:t>
            </w:r>
            <w:r>
              <w:rPr>
                <w:rFonts w:hint="eastAsia" w:ascii="Times New Roman" w:hAnsi="Times New Roman" w:eastAsia="宋体" w:cs="Times New Roman"/>
                <w:color w:val="auto"/>
                <w:sz w:val="21"/>
                <w:szCs w:val="21"/>
                <w:highlight w:val="none"/>
                <w:lang w:eastAsia="zh-CN"/>
              </w:rPr>
              <w:t>投料、破碎、粉碎、筛分、球磨工序颗粒物产生量为</w:t>
            </w:r>
            <w:r>
              <w:rPr>
                <w:rFonts w:hint="eastAsia" w:ascii="Times New Roman" w:hAnsi="Times New Roman" w:eastAsia="宋体" w:cs="Times New Roman"/>
                <w:color w:val="auto"/>
                <w:sz w:val="21"/>
                <w:szCs w:val="21"/>
                <w:highlight w:val="none"/>
                <w:lang w:val="en-US" w:eastAsia="zh-CN"/>
              </w:rPr>
              <w:t>3.055t/a，</w:t>
            </w:r>
            <w:r>
              <w:rPr>
                <w:rFonts w:hint="eastAsia" w:ascii="Times New Roman" w:hAnsi="Times New Roman" w:eastAsia="宋体" w:cs="Times New Roman"/>
                <w:color w:val="auto"/>
                <w:sz w:val="21"/>
                <w:szCs w:val="21"/>
                <w:highlight w:val="none"/>
                <w:lang w:eastAsia="zh-CN"/>
              </w:rPr>
              <w:t>本项目</w:t>
            </w:r>
            <w:r>
              <w:rPr>
                <w:rFonts w:hint="eastAsia" w:ascii="Times New Roman" w:cs="Times New Roman"/>
                <w:color w:val="auto"/>
                <w:sz w:val="21"/>
                <w:szCs w:val="21"/>
                <w:highlight w:val="none"/>
                <w:lang w:val="en-US" w:eastAsia="zh-CN"/>
              </w:rPr>
              <w:t>四车间</w:t>
            </w:r>
            <w:r>
              <w:rPr>
                <w:rFonts w:hint="eastAsia" w:ascii="Times New Roman" w:hAnsi="Times New Roman" w:eastAsia="宋体" w:cs="Times New Roman"/>
                <w:color w:val="auto"/>
                <w:sz w:val="21"/>
                <w:szCs w:val="21"/>
                <w:highlight w:val="none"/>
                <w:lang w:val="en-US" w:eastAsia="zh-CN"/>
              </w:rPr>
              <w:t>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15米高排气筒DA003排放；项目四车间年运行时间为1800小时，引风机风量为10000m</w:t>
            </w:r>
            <w:r>
              <w:rPr>
                <w:rFonts w:hint="eastAsia" w:ascii="Times New Roman" w:cs="Times New Roman"/>
                <w:color w:val="auto"/>
                <w:sz w:val="21"/>
                <w:szCs w:val="21"/>
                <w:highlight w:val="none"/>
                <w:vertAlign w:val="superscript"/>
                <w:lang w:val="en-US" w:eastAsia="zh-CN"/>
              </w:rPr>
              <w:t>3</w:t>
            </w:r>
            <w:r>
              <w:rPr>
                <w:rFonts w:hint="eastAsia" w:ascii="Times New Roman" w:cs="Times New Roman"/>
                <w:color w:val="auto"/>
                <w:sz w:val="21"/>
                <w:szCs w:val="21"/>
                <w:highlight w:val="none"/>
                <w:lang w:val="en-US" w:eastAsia="zh-CN"/>
              </w:rPr>
              <w:t>/h，则</w:t>
            </w:r>
            <w:r>
              <w:rPr>
                <w:rFonts w:hint="eastAsia" w:ascii="Times New Roman" w:hAnsi="Times New Roman" w:eastAsia="宋体" w:cs="Times New Roman"/>
                <w:color w:val="auto"/>
                <w:sz w:val="21"/>
                <w:szCs w:val="21"/>
                <w:highlight w:val="none"/>
                <w:lang w:eastAsia="zh-CN"/>
              </w:rPr>
              <w:t>项目</w:t>
            </w:r>
            <w:r>
              <w:rPr>
                <w:rFonts w:hint="eastAsia" w:ascii="Times New Roman" w:cs="Times New Roman"/>
                <w:color w:val="auto"/>
                <w:sz w:val="21"/>
                <w:szCs w:val="21"/>
                <w:highlight w:val="none"/>
                <w:lang w:eastAsia="zh-CN"/>
              </w:rPr>
              <w:t>四车间</w:t>
            </w:r>
            <w:r>
              <w:rPr>
                <w:rFonts w:hint="eastAsia" w:ascii="Times New Roman" w:hAnsi="Times New Roman" w:eastAsia="宋体" w:cs="Times New Roman"/>
                <w:color w:val="auto"/>
                <w:sz w:val="21"/>
                <w:szCs w:val="21"/>
                <w:highlight w:val="none"/>
                <w:lang w:eastAsia="zh-CN"/>
              </w:rPr>
              <w:t>投料、破碎、粉碎、筛分、球磨工序有组织颗粒物产生量为</w:t>
            </w:r>
            <w:r>
              <w:rPr>
                <w:rFonts w:hint="eastAsia" w:ascii="Times New Roman" w:hAnsi="Times New Roman" w:eastAsia="宋体" w:cs="Times New Roman"/>
                <w:color w:val="auto"/>
                <w:sz w:val="21"/>
                <w:szCs w:val="21"/>
                <w:highlight w:val="none"/>
                <w:lang w:val="en-US" w:eastAsia="zh-CN"/>
              </w:rPr>
              <w:t>2.75t/a，有组织颗粒物产生速率为</w:t>
            </w:r>
            <w:r>
              <w:rPr>
                <w:rFonts w:hint="eastAsia" w:ascii="Times New Roman" w:cs="Times New Roman"/>
                <w:color w:val="auto"/>
                <w:sz w:val="21"/>
                <w:szCs w:val="21"/>
                <w:highlight w:val="none"/>
                <w:lang w:val="en-US" w:eastAsia="zh-CN"/>
              </w:rPr>
              <w:t>1.146</w:t>
            </w:r>
            <w:r>
              <w:rPr>
                <w:rFonts w:hint="eastAsia" w:ascii="Times New Roman" w:hAnsi="Times New Roman" w:eastAsia="宋体" w:cs="Times New Roman"/>
                <w:color w:val="auto"/>
                <w:sz w:val="21"/>
                <w:szCs w:val="21"/>
                <w:highlight w:val="none"/>
                <w:lang w:val="en-US" w:eastAsia="zh-CN"/>
              </w:rPr>
              <w:t>kg/h，有组织颗粒物产生浓度为</w:t>
            </w:r>
            <w:r>
              <w:rPr>
                <w:rFonts w:hint="eastAsia" w:ascii="Times New Roman" w:cs="Times New Roman"/>
                <w:color w:val="auto"/>
                <w:sz w:val="21"/>
                <w:szCs w:val="21"/>
                <w:highlight w:val="none"/>
                <w:lang w:val="en-US" w:eastAsia="zh-CN"/>
              </w:rPr>
              <w:t>114.6</w:t>
            </w:r>
            <w:r>
              <w:rPr>
                <w:rFonts w:hint="eastAsia" w:ascii="Times New Roman" w:hAnsi="Times New Roman" w:eastAsia="宋体" w:cs="Times New Roman"/>
                <w:color w:val="auto"/>
                <w:sz w:val="21"/>
                <w:szCs w:val="21"/>
                <w:highlight w:val="none"/>
                <w:lang w:val="en-US" w:eastAsia="zh-CN"/>
              </w:rPr>
              <w:t>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；有组织颗粒物排放量为0.138t/a，有组织颗粒物排放速率为</w:t>
            </w:r>
            <w:r>
              <w:rPr>
                <w:rFonts w:hint="eastAsia" w:ascii="Times New Roman" w:cs="Times New Roman"/>
                <w:color w:val="auto"/>
                <w:sz w:val="21"/>
                <w:szCs w:val="21"/>
                <w:highlight w:val="none"/>
                <w:lang w:val="en-US" w:eastAsia="zh-CN"/>
              </w:rPr>
              <w:t>0.058</w:t>
            </w:r>
            <w:r>
              <w:rPr>
                <w:rFonts w:hint="eastAsia" w:ascii="Times New Roman" w:hAnsi="Times New Roman" w:eastAsia="宋体" w:cs="Times New Roman"/>
                <w:color w:val="auto"/>
                <w:sz w:val="21"/>
                <w:szCs w:val="21"/>
                <w:highlight w:val="none"/>
                <w:lang w:val="en-US" w:eastAsia="zh-CN"/>
              </w:rPr>
              <w:t>kg/h，有组织颗粒物排放浓度为</w:t>
            </w:r>
            <w:r>
              <w:rPr>
                <w:rFonts w:hint="eastAsia" w:ascii="Times New Roman" w:cs="Times New Roman"/>
                <w:color w:val="auto"/>
                <w:sz w:val="21"/>
                <w:szCs w:val="21"/>
                <w:highlight w:val="none"/>
                <w:lang w:val="en-US" w:eastAsia="zh-CN"/>
              </w:rPr>
              <w:t>5.8</w:t>
            </w:r>
            <w:r>
              <w:rPr>
                <w:rFonts w:hint="eastAsia" w:ascii="Times New Roman" w:hAnsi="Times New Roman" w:eastAsia="宋体" w:cs="Times New Roman"/>
                <w:color w:val="auto"/>
                <w:sz w:val="21"/>
                <w:szCs w:val="21"/>
                <w:highlight w:val="none"/>
                <w:lang w:val="en-US" w:eastAsia="zh-CN"/>
              </w:rPr>
              <w:t>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w:t>
            </w:r>
          </w:p>
          <w:p w14:paraId="15291358">
            <w:pPr>
              <w:pStyle w:val="2"/>
              <w:numPr>
                <w:ilvl w:val="0"/>
                <w:numId w:val="0"/>
              </w:numPr>
              <w:spacing w:before="0" w:beforeLines="0" w:line="360" w:lineRule="auto"/>
              <w:ind w:firstLine="420" w:firstLineChars="200"/>
              <w:jc w:val="both"/>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cs="Times New Roman"/>
                <w:color w:val="auto"/>
                <w:spacing w:val="0"/>
                <w:kern w:val="0"/>
                <w:sz w:val="21"/>
                <w:szCs w:val="21"/>
                <w:lang w:val="en-US" w:eastAsia="zh-CN" w:bidi="ar-SA"/>
              </w:rPr>
              <w:t>（2）无组织废气</w:t>
            </w:r>
          </w:p>
          <w:p w14:paraId="1B526B64">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eastAsia="zh-CN"/>
              </w:rPr>
              <w:t>项目无组织废气主要为投料、破碎、粉碎、筛分、球磨工序未经集气罩收集的颗粒物、包装工序产生的颗粒物、装卸工序产生的颗粒物。</w:t>
            </w:r>
          </w:p>
          <w:p w14:paraId="0D25D7C0">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一车间、二车间</w:t>
            </w:r>
            <w:r>
              <w:rPr>
                <w:rFonts w:hint="eastAsia" w:ascii="Times New Roman" w:cs="Times New Roman"/>
                <w:color w:val="auto"/>
                <w:sz w:val="21"/>
                <w:szCs w:val="21"/>
                <w:highlight w:val="none"/>
                <w:lang w:eastAsia="zh-CN"/>
              </w:rPr>
              <w:t>投料、破碎、粉碎、筛分、球磨工序未经集气罩收集的颗粒物</w:t>
            </w:r>
          </w:p>
          <w:p w14:paraId="640017A2">
            <w:pPr>
              <w:pStyle w:val="2"/>
              <w:spacing w:before="0" w:beforeLines="0" w:line="360" w:lineRule="auto"/>
              <w:ind w:firstLineChars="200"/>
              <w:jc w:val="both"/>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eastAsia="zh-CN"/>
              </w:rPr>
              <w:t>由前文计算，</w:t>
            </w:r>
            <w:r>
              <w:rPr>
                <w:rFonts w:hint="eastAsia" w:ascii="Times New Roman" w:hAnsi="Times New Roman" w:eastAsia="宋体" w:cs="Times New Roman"/>
                <w:color w:val="auto"/>
                <w:sz w:val="21"/>
                <w:szCs w:val="21"/>
                <w:highlight w:val="none"/>
                <w:lang w:eastAsia="zh-CN"/>
              </w:rPr>
              <w:t>项目一车间、二车间投料、破碎、粉碎、筛分、球磨工序颗粒物产生量为</w:t>
            </w:r>
            <w:r>
              <w:rPr>
                <w:rFonts w:hint="eastAsia" w:ascii="Times New Roman" w:hAnsi="Times New Roman" w:eastAsia="宋体" w:cs="Times New Roman"/>
                <w:color w:val="auto"/>
                <w:sz w:val="21"/>
                <w:szCs w:val="21"/>
                <w:highlight w:val="none"/>
                <w:lang w:val="en-US" w:eastAsia="zh-CN"/>
              </w:rPr>
              <w:t>12.975t/a，集气罩收集效率为95%，则一车间、二车间</w:t>
            </w:r>
            <w:r>
              <w:rPr>
                <w:rFonts w:hint="eastAsia" w:ascii="Times New Roman" w:cs="Times New Roman"/>
                <w:color w:val="auto"/>
                <w:sz w:val="21"/>
                <w:szCs w:val="21"/>
                <w:highlight w:val="none"/>
                <w:lang w:eastAsia="zh-CN"/>
              </w:rPr>
              <w:t>投料、破碎、粉碎、筛分、球磨工序未经集气罩收集的颗粒物产生量为</w:t>
            </w:r>
            <w:r>
              <w:rPr>
                <w:rFonts w:hint="eastAsia" w:ascii="Times New Roman" w:cs="Times New Roman"/>
                <w:color w:val="auto"/>
                <w:sz w:val="21"/>
                <w:szCs w:val="21"/>
                <w:highlight w:val="none"/>
                <w:lang w:val="en-US" w:eastAsia="zh-CN"/>
              </w:rPr>
              <w:t>0.649t/a，无组织排放，年运行时间为2400小时，则无组织排放速率为0.270kg/h。</w:t>
            </w:r>
          </w:p>
          <w:p w14:paraId="2D1DFB6B">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为减少车间内无组织</w:t>
            </w:r>
            <w:r>
              <w:rPr>
                <w:rFonts w:hint="eastAsia" w:ascii="Times New Roman" w:hAnsi="Times New Roman" w:eastAsia="宋体"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lang w:val="en-US" w:eastAsia="zh-CN"/>
              </w:rPr>
              <w:t>的排放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车间完全密闭并定期进行</w:t>
            </w:r>
            <w:r>
              <w:rPr>
                <w:rFonts w:hint="default" w:ascii="Times New Roman" w:hAnsi="Times New Roman" w:eastAsia="宋体" w:cs="Times New Roman"/>
                <w:color w:val="auto"/>
                <w:sz w:val="21"/>
                <w:szCs w:val="21"/>
                <w:highlight w:val="none"/>
                <w:lang w:eastAsia="zh-CN"/>
              </w:rPr>
              <w:t>喷淋洒水，所有物料进库存放；物料提升机在密闭廊道内运行，并在所有落料位置设置集尘装置及配备除尘系统。除尘器卸灰不直接卸落到地面，卸灰区封闭。</w:t>
            </w:r>
          </w:p>
          <w:p w14:paraId="499BF1AA">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default"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采取以上措施后，可以减少无组织颗粒物产生量的</w:t>
            </w:r>
            <w:r>
              <w:rPr>
                <w:rFonts w:hint="eastAsia"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lang w:eastAsia="zh-CN"/>
              </w:rPr>
              <w:t>%，则无组织颗粒物排放量为</w:t>
            </w:r>
            <w:r>
              <w:rPr>
                <w:rFonts w:hint="eastAsia" w:ascii="Times New Roman" w:hAnsi="Times New Roman" w:eastAsia="宋体" w:cs="Times New Roman"/>
                <w:color w:val="auto"/>
                <w:sz w:val="21"/>
                <w:szCs w:val="21"/>
                <w:highlight w:val="none"/>
                <w:lang w:val="en-US" w:eastAsia="zh-CN"/>
              </w:rPr>
              <w:t>0.26</w:t>
            </w:r>
            <w:r>
              <w:rPr>
                <w:rFonts w:hint="default" w:ascii="Times New Roman" w:hAnsi="Times New Roman" w:eastAsia="宋体" w:cs="Times New Roman"/>
                <w:color w:val="auto"/>
                <w:sz w:val="21"/>
                <w:szCs w:val="21"/>
                <w:highlight w:val="none"/>
                <w:lang w:val="en-US" w:eastAsia="zh-CN"/>
              </w:rPr>
              <w:t>t/a，无组织排放速率为</w:t>
            </w:r>
            <w:r>
              <w:rPr>
                <w:rFonts w:hint="eastAsia" w:ascii="Times New Roman" w:hAnsi="Times New Roman" w:eastAsia="宋体" w:cs="Times New Roman"/>
                <w:color w:val="auto"/>
                <w:sz w:val="21"/>
                <w:szCs w:val="21"/>
                <w:highlight w:val="none"/>
                <w:lang w:val="en-US" w:eastAsia="zh-CN"/>
              </w:rPr>
              <w:t>0.108</w:t>
            </w:r>
            <w:r>
              <w:rPr>
                <w:rFonts w:hint="default" w:ascii="Times New Roman" w:hAnsi="Times New Roman" w:eastAsia="宋体" w:cs="Times New Roman"/>
                <w:color w:val="auto"/>
                <w:sz w:val="21"/>
                <w:szCs w:val="21"/>
                <w:highlight w:val="none"/>
                <w:lang w:val="en-US" w:eastAsia="zh-CN"/>
              </w:rPr>
              <w:t>kg/h。</w:t>
            </w:r>
          </w:p>
          <w:p w14:paraId="38221408">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2）三车间</w:t>
            </w:r>
            <w:r>
              <w:rPr>
                <w:rFonts w:hint="eastAsia" w:ascii="Times New Roman" w:cs="Times New Roman"/>
                <w:color w:val="auto"/>
                <w:sz w:val="21"/>
                <w:szCs w:val="21"/>
                <w:highlight w:val="none"/>
                <w:lang w:eastAsia="zh-CN"/>
              </w:rPr>
              <w:t>投料、破碎、粉碎、筛分、球磨工序未经集气罩收集的颗粒物</w:t>
            </w:r>
          </w:p>
          <w:p w14:paraId="6A4ECED1">
            <w:pPr>
              <w:pStyle w:val="2"/>
              <w:spacing w:before="0" w:beforeLines="0" w:line="360" w:lineRule="auto"/>
              <w:ind w:firstLineChars="200"/>
              <w:jc w:val="both"/>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eastAsia="zh-CN"/>
              </w:rPr>
              <w:t>由前文计算</w:t>
            </w:r>
            <w:r>
              <w:rPr>
                <w:rFonts w:hint="eastAsia" w:ascii="Times New Roman" w:hAnsi="Times New Roman" w:eastAsia="宋体" w:cs="Times New Roman"/>
                <w:color w:val="auto"/>
                <w:sz w:val="21"/>
                <w:szCs w:val="21"/>
                <w:highlight w:val="none"/>
                <w:lang w:eastAsia="zh-CN"/>
              </w:rPr>
              <w:t>，项目三车间投料、破碎、粉碎、筛分、球磨工序颗粒物产生量为</w:t>
            </w:r>
            <w:r>
              <w:rPr>
                <w:rFonts w:hint="eastAsia" w:ascii="Times New Roman" w:hAnsi="Times New Roman" w:eastAsia="宋体" w:cs="Times New Roman"/>
                <w:color w:val="auto"/>
                <w:sz w:val="21"/>
                <w:szCs w:val="21"/>
                <w:highlight w:val="none"/>
                <w:lang w:val="en-US" w:eastAsia="zh-CN"/>
              </w:rPr>
              <w:t>3.055t/a，集气罩收集效率为95%，则三车间</w:t>
            </w:r>
            <w:r>
              <w:rPr>
                <w:rFonts w:hint="eastAsia" w:ascii="Times New Roman" w:cs="Times New Roman"/>
                <w:color w:val="auto"/>
                <w:sz w:val="21"/>
                <w:szCs w:val="21"/>
                <w:highlight w:val="none"/>
                <w:lang w:eastAsia="zh-CN"/>
              </w:rPr>
              <w:t>投料、破碎、粉碎、筛分、球磨工序未经集气罩收集的颗粒物产生量为</w:t>
            </w:r>
            <w:r>
              <w:rPr>
                <w:rFonts w:hint="eastAsia" w:ascii="Times New Roman" w:cs="Times New Roman"/>
                <w:color w:val="auto"/>
                <w:sz w:val="21"/>
                <w:szCs w:val="21"/>
                <w:highlight w:val="none"/>
                <w:lang w:val="en-US" w:eastAsia="zh-CN"/>
              </w:rPr>
              <w:t>0.153t/a，无组织排放，三车间年运行时间为1800小时，则无组织排放速率为0.085kg/h。</w:t>
            </w:r>
          </w:p>
          <w:p w14:paraId="3ECCC0D6">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为减少车间内无组织</w:t>
            </w:r>
            <w:r>
              <w:rPr>
                <w:rFonts w:hint="eastAsia" w:ascii="Times New Roman" w:hAnsi="Times New Roman" w:eastAsia="宋体"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lang w:val="en-US" w:eastAsia="zh-CN"/>
              </w:rPr>
              <w:t>的排放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车间完全密闭并定期进行</w:t>
            </w:r>
            <w:r>
              <w:rPr>
                <w:rFonts w:hint="default" w:ascii="Times New Roman" w:hAnsi="Times New Roman" w:eastAsia="宋体" w:cs="Times New Roman"/>
                <w:color w:val="auto"/>
                <w:sz w:val="21"/>
                <w:szCs w:val="21"/>
                <w:highlight w:val="none"/>
                <w:lang w:eastAsia="zh-CN"/>
              </w:rPr>
              <w:t>喷淋洒水，所有物料进库存放；物料提升机在密闭廊道内运行，并在所有落料位置设置集尘装置及配备除尘系统。除尘器卸灰不直接卸落到地面，卸灰区封闭。</w:t>
            </w:r>
          </w:p>
          <w:p w14:paraId="354070AB">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eastAsia"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采取以上措施后，可以减少无组织颗粒物产生量的</w:t>
            </w:r>
            <w:r>
              <w:rPr>
                <w:rFonts w:hint="eastAsia" w:ascii="Times New Roman"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lang w:eastAsia="zh-CN"/>
              </w:rPr>
              <w:t>%，则无组织颗粒物排放量为</w:t>
            </w:r>
            <w:r>
              <w:rPr>
                <w:rFonts w:hint="eastAsia" w:ascii="Times New Roman" w:hAnsi="Times New Roman" w:eastAsia="宋体" w:cs="Times New Roman"/>
                <w:color w:val="auto"/>
                <w:sz w:val="21"/>
                <w:szCs w:val="21"/>
                <w:highlight w:val="none"/>
                <w:lang w:val="en-US" w:eastAsia="zh-CN"/>
              </w:rPr>
              <w:t>0.061</w:t>
            </w:r>
            <w:r>
              <w:rPr>
                <w:rFonts w:hint="default" w:ascii="Times New Roman" w:hAnsi="Times New Roman" w:eastAsia="宋体" w:cs="Times New Roman"/>
                <w:color w:val="auto"/>
                <w:sz w:val="21"/>
                <w:szCs w:val="21"/>
                <w:highlight w:val="none"/>
                <w:lang w:val="en-US" w:eastAsia="zh-CN"/>
              </w:rPr>
              <w:t>t/a，无组织排放速率为</w:t>
            </w:r>
            <w:r>
              <w:rPr>
                <w:rFonts w:hint="eastAsia" w:ascii="Times New Roman" w:hAnsi="Times New Roman" w:eastAsia="宋体" w:cs="Times New Roman"/>
                <w:color w:val="auto"/>
                <w:sz w:val="21"/>
                <w:szCs w:val="21"/>
                <w:highlight w:val="none"/>
                <w:lang w:val="en-US" w:eastAsia="zh-CN"/>
              </w:rPr>
              <w:t>0.034</w:t>
            </w:r>
            <w:r>
              <w:rPr>
                <w:rFonts w:hint="default" w:ascii="Times New Roman" w:hAnsi="Times New Roman" w:eastAsia="宋体" w:cs="Times New Roman"/>
                <w:color w:val="auto"/>
                <w:sz w:val="21"/>
                <w:szCs w:val="21"/>
                <w:highlight w:val="none"/>
                <w:lang w:val="en-US" w:eastAsia="zh-CN"/>
              </w:rPr>
              <w:t>kg/h。</w:t>
            </w:r>
          </w:p>
          <w:p w14:paraId="74E18A53">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3）四车间</w:t>
            </w:r>
            <w:r>
              <w:rPr>
                <w:rFonts w:hint="eastAsia" w:ascii="Times New Roman" w:cs="Times New Roman"/>
                <w:color w:val="auto"/>
                <w:sz w:val="21"/>
                <w:szCs w:val="21"/>
                <w:highlight w:val="none"/>
                <w:lang w:eastAsia="zh-CN"/>
              </w:rPr>
              <w:t>投料、破碎、粉碎、筛分、球磨工序未经集气罩收集的颗粒物</w:t>
            </w:r>
          </w:p>
          <w:p w14:paraId="5ADC6478">
            <w:pPr>
              <w:pStyle w:val="2"/>
              <w:spacing w:before="0" w:beforeLines="0" w:line="360" w:lineRule="auto"/>
              <w:ind w:firstLineChars="200"/>
              <w:jc w:val="both"/>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eastAsia="zh-CN"/>
              </w:rPr>
              <w:t>由前文计算</w:t>
            </w:r>
            <w:r>
              <w:rPr>
                <w:rFonts w:hint="eastAsia" w:ascii="Times New Roman" w:hAnsi="Times New Roman" w:eastAsia="宋体" w:cs="Times New Roman"/>
                <w:color w:val="auto"/>
                <w:sz w:val="21"/>
                <w:szCs w:val="21"/>
                <w:highlight w:val="none"/>
                <w:lang w:eastAsia="zh-CN"/>
              </w:rPr>
              <w:t>，项目四车间投料、破碎、粉碎、筛分、球磨工序颗粒物产生量为</w:t>
            </w:r>
            <w:r>
              <w:rPr>
                <w:rFonts w:hint="eastAsia" w:ascii="Times New Roman" w:hAnsi="Times New Roman" w:eastAsia="宋体" w:cs="Times New Roman"/>
                <w:color w:val="auto"/>
                <w:sz w:val="21"/>
                <w:szCs w:val="21"/>
                <w:highlight w:val="none"/>
                <w:lang w:val="en-US" w:eastAsia="zh-CN"/>
              </w:rPr>
              <w:t>3.055t/a，集气罩收集效率为95%，则三车间</w:t>
            </w:r>
            <w:r>
              <w:rPr>
                <w:rFonts w:hint="eastAsia" w:ascii="Times New Roman" w:cs="Times New Roman"/>
                <w:color w:val="auto"/>
                <w:sz w:val="21"/>
                <w:szCs w:val="21"/>
                <w:highlight w:val="none"/>
                <w:lang w:eastAsia="zh-CN"/>
              </w:rPr>
              <w:t>投料、破碎、粉碎、筛分、球磨工序未经集气罩收集的颗粒物产生量为</w:t>
            </w:r>
            <w:r>
              <w:rPr>
                <w:rFonts w:hint="eastAsia" w:ascii="Times New Roman" w:cs="Times New Roman"/>
                <w:color w:val="auto"/>
                <w:sz w:val="21"/>
                <w:szCs w:val="21"/>
                <w:highlight w:val="none"/>
                <w:lang w:val="en-US" w:eastAsia="zh-CN"/>
              </w:rPr>
              <w:t>0.153t/a，无组织排放，四车间年运行时间为1800小时，则无组织排放速率为0.085kg/h。</w:t>
            </w:r>
          </w:p>
          <w:p w14:paraId="631EAE04">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为减少车间内无组织</w:t>
            </w:r>
            <w:r>
              <w:rPr>
                <w:rFonts w:hint="eastAsia" w:ascii="Times New Roman" w:hAnsi="Times New Roman" w:eastAsia="宋体"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lang w:val="en-US" w:eastAsia="zh-CN"/>
              </w:rPr>
              <w:t>的排放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车间完全密闭并定期进行</w:t>
            </w:r>
            <w:r>
              <w:rPr>
                <w:rFonts w:hint="default" w:ascii="Times New Roman" w:hAnsi="Times New Roman" w:eastAsia="宋体" w:cs="Times New Roman"/>
                <w:color w:val="auto"/>
                <w:sz w:val="21"/>
                <w:szCs w:val="21"/>
                <w:highlight w:val="none"/>
                <w:lang w:eastAsia="zh-CN"/>
              </w:rPr>
              <w:t>喷淋洒水，所有物料进库存放；物料提升机在密闭廊道内运行，并在所有落料位置设置集尘装置及配备除尘系统。除尘器卸灰不直接卸落到地面，卸灰区封闭。</w:t>
            </w:r>
          </w:p>
          <w:p w14:paraId="4A805316">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eastAsia"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采取以上措施后，可以减少无组织颗粒物产生量的</w:t>
            </w:r>
            <w:r>
              <w:rPr>
                <w:rFonts w:hint="eastAsia" w:ascii="Times New Roman"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lang w:eastAsia="zh-CN"/>
              </w:rPr>
              <w:t>%，则无组织颗粒物排放量为</w:t>
            </w:r>
            <w:r>
              <w:rPr>
                <w:rFonts w:hint="eastAsia" w:ascii="Times New Roman" w:hAnsi="Times New Roman" w:eastAsia="宋体" w:cs="Times New Roman"/>
                <w:color w:val="auto"/>
                <w:sz w:val="21"/>
                <w:szCs w:val="21"/>
                <w:highlight w:val="none"/>
                <w:lang w:val="en-US" w:eastAsia="zh-CN"/>
              </w:rPr>
              <w:t>0.061</w:t>
            </w:r>
            <w:r>
              <w:rPr>
                <w:rFonts w:hint="default" w:ascii="Times New Roman" w:hAnsi="Times New Roman" w:eastAsia="宋体" w:cs="Times New Roman"/>
                <w:color w:val="auto"/>
                <w:sz w:val="21"/>
                <w:szCs w:val="21"/>
                <w:highlight w:val="none"/>
                <w:lang w:val="en-US" w:eastAsia="zh-CN"/>
              </w:rPr>
              <w:t>t/a，无组织排放速率为</w:t>
            </w:r>
            <w:r>
              <w:rPr>
                <w:rFonts w:hint="eastAsia" w:ascii="Times New Roman" w:hAnsi="Times New Roman" w:eastAsia="宋体" w:cs="Times New Roman"/>
                <w:color w:val="auto"/>
                <w:sz w:val="21"/>
                <w:szCs w:val="21"/>
                <w:highlight w:val="none"/>
                <w:lang w:val="en-US" w:eastAsia="zh-CN"/>
              </w:rPr>
              <w:t>0.034</w:t>
            </w:r>
            <w:r>
              <w:rPr>
                <w:rFonts w:hint="default" w:ascii="Times New Roman" w:hAnsi="Times New Roman" w:eastAsia="宋体" w:cs="Times New Roman"/>
                <w:color w:val="auto"/>
                <w:sz w:val="21"/>
                <w:szCs w:val="21"/>
                <w:highlight w:val="none"/>
                <w:lang w:val="en-US" w:eastAsia="zh-CN"/>
              </w:rPr>
              <w:t>kg/h。</w:t>
            </w:r>
          </w:p>
          <w:p w14:paraId="6A011BBA">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4）包装工序产生的颗粒物</w:t>
            </w:r>
          </w:p>
          <w:p w14:paraId="566794C5">
            <w:pPr>
              <w:pStyle w:val="2"/>
              <w:spacing w:before="0" w:beforeLines="0" w:line="360" w:lineRule="auto"/>
              <w:ind w:firstLineChars="20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该项目包装规格为均为25kg/包，将包装袋与出料口完全衔接，只是物料在下落至包装袋时由于落差会产生少量粉尘，</w:t>
            </w:r>
            <w:r>
              <w:rPr>
                <w:rFonts w:hint="default" w:ascii="Times New Roman" w:hAnsi="Times New Roman" w:eastAsia="宋体" w:cs="Times New Roman"/>
                <w:color w:val="auto"/>
                <w:sz w:val="21"/>
                <w:szCs w:val="21"/>
                <w:highlight w:val="none"/>
                <w:lang w:val="en-US" w:eastAsia="zh-CN"/>
              </w:rPr>
              <w:t>参考</w:t>
            </w:r>
            <w:r>
              <w:rPr>
                <w:rFonts w:hint="eastAsia" w:ascii="Times New Roman" w:hAnsi="Times New Roman" w:eastAsia="宋体" w:cs="Times New Roman"/>
                <w:color w:val="auto"/>
                <w:sz w:val="21"/>
                <w:szCs w:val="21"/>
                <w:highlight w:val="none"/>
                <w:lang w:val="en-US" w:eastAsia="zh-CN"/>
              </w:rPr>
              <w:t>《逸散性工业粉尘控制技术》“13-2水泥生产逸散尘排放因子”中第16条“水泥装袋”排放因子系数为0.0025kg/t，项目超硬复合材料总产能为20000t/a，则包装工序颗粒物产生量为0.05t/a，项目年运行时间为2400小时，则无组织颗粒物产生速率为0.021kg/h。</w:t>
            </w:r>
          </w:p>
          <w:p w14:paraId="4F558F84">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为减少车间内无组织</w:t>
            </w:r>
            <w:r>
              <w:rPr>
                <w:rFonts w:hint="eastAsia" w:ascii="Times New Roman" w:hAnsi="Times New Roman" w:eastAsia="宋体"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lang w:val="en-US" w:eastAsia="zh-CN"/>
              </w:rPr>
              <w:t>的排放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车间完全密闭并定期进行</w:t>
            </w:r>
            <w:r>
              <w:rPr>
                <w:rFonts w:hint="default" w:ascii="Times New Roman" w:hAnsi="Times New Roman" w:eastAsia="宋体" w:cs="Times New Roman"/>
                <w:color w:val="auto"/>
                <w:sz w:val="21"/>
                <w:szCs w:val="21"/>
                <w:highlight w:val="none"/>
                <w:lang w:eastAsia="zh-CN"/>
              </w:rPr>
              <w:t>喷淋洒水，所有物料进库存放；物料提升机在密闭廊道内运行，并在所有落料位置设置集尘装置及配备除尘系统。除尘器卸灰不直接卸落到地面，卸灰区封闭。</w:t>
            </w:r>
          </w:p>
          <w:p w14:paraId="6914D980">
            <w:pPr>
              <w:pStyle w:val="2"/>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left="0" w:leftChars="0" w:firstLine="420" w:firstLineChars="200"/>
              <w:jc w:val="both"/>
              <w:textAlignment w:val="auto"/>
              <w:rPr>
                <w:rFonts w:hint="eastAsia" w:asci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采取以上措施后，可以减少无组织颗粒物产生量的</w:t>
            </w:r>
            <w:r>
              <w:rPr>
                <w:rFonts w:hint="eastAsia"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lang w:eastAsia="zh-CN"/>
              </w:rPr>
              <w:t>%，则无组织颗粒物排放量为</w:t>
            </w:r>
            <w:r>
              <w:rPr>
                <w:rFonts w:hint="eastAsia" w:ascii="Times New Roman" w:hAnsi="Times New Roman" w:eastAsia="宋体" w:cs="Times New Roman"/>
                <w:color w:val="auto"/>
                <w:sz w:val="21"/>
                <w:szCs w:val="21"/>
                <w:highlight w:val="none"/>
                <w:lang w:val="en-US" w:eastAsia="zh-CN"/>
              </w:rPr>
              <w:t>0.02</w:t>
            </w:r>
            <w:r>
              <w:rPr>
                <w:rFonts w:hint="default" w:ascii="Times New Roman" w:hAnsi="Times New Roman" w:eastAsia="宋体" w:cs="Times New Roman"/>
                <w:color w:val="auto"/>
                <w:sz w:val="21"/>
                <w:szCs w:val="21"/>
                <w:highlight w:val="none"/>
                <w:lang w:val="en-US" w:eastAsia="zh-CN"/>
              </w:rPr>
              <w:t>t/a，无组织排放速率为</w:t>
            </w:r>
            <w:r>
              <w:rPr>
                <w:rFonts w:hint="eastAsia" w:ascii="Times New Roman" w:hAnsi="Times New Roman" w:eastAsia="宋体" w:cs="Times New Roman"/>
                <w:color w:val="auto"/>
                <w:sz w:val="21"/>
                <w:szCs w:val="21"/>
                <w:highlight w:val="none"/>
                <w:lang w:val="en-US" w:eastAsia="zh-CN"/>
              </w:rPr>
              <w:t>0.008</w:t>
            </w:r>
            <w:r>
              <w:rPr>
                <w:rFonts w:hint="default" w:ascii="Times New Roman" w:hAnsi="Times New Roman" w:eastAsia="宋体" w:cs="Times New Roman"/>
                <w:color w:val="auto"/>
                <w:sz w:val="21"/>
                <w:szCs w:val="21"/>
                <w:highlight w:val="none"/>
                <w:lang w:val="en-US" w:eastAsia="zh-CN"/>
              </w:rPr>
              <w:t>kg/h。</w:t>
            </w:r>
          </w:p>
          <w:p w14:paraId="1B7384E5">
            <w:pPr>
              <w:pStyle w:val="2"/>
              <w:spacing w:before="0" w:beforeLines="0" w:line="360" w:lineRule="auto"/>
              <w:ind w:firstLineChars="20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5）物料装卸工序产生的颗粒物</w:t>
            </w:r>
          </w:p>
          <w:p w14:paraId="50BC134E">
            <w:pPr>
              <w:keepNext w:val="0"/>
              <w:keepLines w:val="0"/>
              <w:pageBreakBefore w:val="0"/>
              <w:widowControl w:val="0"/>
              <w:kinsoku/>
              <w:wordWrap/>
              <w:overflowPunct/>
              <w:topLinePunct w:val="0"/>
              <w:bidi w:val="0"/>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该项目原材料全部储存在</w:t>
            </w:r>
            <w:r>
              <w:rPr>
                <w:rFonts w:hint="eastAsia" w:ascii="Times New Roman" w:hAnsi="Times New Roman" w:cs="Times New Roman"/>
                <w:color w:val="auto"/>
                <w:sz w:val="21"/>
                <w:szCs w:val="21"/>
                <w:lang w:val="en-US" w:eastAsia="zh-CN"/>
              </w:rPr>
              <w:t>仓库内，</w:t>
            </w:r>
            <w:r>
              <w:rPr>
                <w:rFonts w:hint="default" w:ascii="Times New Roman" w:hAnsi="Times New Roman" w:eastAsia="宋体" w:cs="Times New Roman"/>
                <w:color w:val="auto"/>
                <w:sz w:val="21"/>
                <w:szCs w:val="21"/>
              </w:rPr>
              <w:t>由于原料储存</w:t>
            </w:r>
            <w:r>
              <w:rPr>
                <w:rFonts w:hint="eastAsia" w:cs="Times New Roman"/>
                <w:color w:val="auto"/>
                <w:sz w:val="21"/>
                <w:szCs w:val="21"/>
                <w:lang w:eastAsia="zh-CN"/>
              </w:rPr>
              <w:t>于</w:t>
            </w:r>
            <w:r>
              <w:rPr>
                <w:rFonts w:hint="default" w:ascii="Times New Roman" w:hAnsi="Times New Roman" w:eastAsia="宋体" w:cs="Times New Roman"/>
                <w:color w:val="auto"/>
                <w:sz w:val="21"/>
                <w:szCs w:val="21"/>
              </w:rPr>
              <w:t>封闭</w:t>
            </w:r>
            <w:r>
              <w:rPr>
                <w:rFonts w:hint="eastAsia" w:ascii="Times New Roman" w:hAnsi="Times New Roman" w:eastAsia="宋体" w:cs="Times New Roman"/>
                <w:color w:val="auto"/>
                <w:sz w:val="21"/>
                <w:szCs w:val="21"/>
                <w:lang w:val="en-US" w:eastAsia="zh-CN"/>
              </w:rPr>
              <w:t>厂房</w:t>
            </w:r>
            <w:r>
              <w:rPr>
                <w:rFonts w:hint="default" w:ascii="Times New Roman" w:hAnsi="Times New Roman" w:eastAsia="宋体" w:cs="Times New Roman"/>
                <w:color w:val="auto"/>
                <w:sz w:val="21"/>
                <w:szCs w:val="21"/>
              </w:rPr>
              <w:t>内，储存时产尘与风速成正比，车间密闭储存，风速接近静风状态，基本无尘产生，主要产尘为装卸</w:t>
            </w:r>
            <w:r>
              <w:rPr>
                <w:rFonts w:hint="default" w:ascii="Times New Roman" w:hAnsi="Times New Roman" w:eastAsia="宋体" w:cs="Times New Roman"/>
                <w:color w:val="auto"/>
                <w:sz w:val="21"/>
                <w:szCs w:val="21"/>
                <w:lang w:eastAsia="zh-CN"/>
              </w:rPr>
              <w:t>时</w:t>
            </w:r>
            <w:r>
              <w:rPr>
                <w:rFonts w:hint="default" w:ascii="Times New Roman" w:hAnsi="Times New Roman" w:eastAsia="宋体" w:cs="Times New Roman"/>
                <w:color w:val="auto"/>
                <w:sz w:val="21"/>
                <w:szCs w:val="21"/>
              </w:rPr>
              <w:t>产生的颗粒物，本项目的扬尘量可根据类比同类型项目，并参考《逸散性工业颗粒物控制技术》技术中“第十八章、粒料加工厂”中“卸料”逸散尘排放系数取0.01kg/t，</w:t>
            </w:r>
            <w:r>
              <w:rPr>
                <w:rFonts w:hint="eastAsia" w:ascii="Times New Roman" w:hAnsi="Times New Roman" w:eastAsia="宋体" w:cs="Times New Roman"/>
                <w:color w:val="auto"/>
                <w:sz w:val="21"/>
                <w:szCs w:val="21"/>
                <w:lang w:eastAsia="zh-CN"/>
              </w:rPr>
              <w:t>项目</w:t>
            </w:r>
            <w:r>
              <w:rPr>
                <w:rFonts w:hint="eastAsia" w:ascii="Times New Roman" w:hAnsi="Times New Roman" w:cs="Times New Roman"/>
                <w:color w:val="auto"/>
                <w:sz w:val="21"/>
                <w:szCs w:val="21"/>
                <w:lang w:eastAsia="zh-CN"/>
              </w:rPr>
              <w:t>原辅料总用量为</w:t>
            </w:r>
            <w:r>
              <w:rPr>
                <w:rFonts w:hint="eastAsia" w:ascii="Times New Roman" w:hAnsi="Times New Roman" w:cs="Times New Roman"/>
                <w:color w:val="auto"/>
                <w:sz w:val="21"/>
                <w:szCs w:val="21"/>
                <w:lang w:val="en-US" w:eastAsia="zh-CN"/>
              </w:rPr>
              <w:t>2000</w:t>
            </w:r>
            <w:r>
              <w:rPr>
                <w:rFonts w:hint="eastAsia" w:cs="Times New Roman"/>
                <w:color w:val="auto"/>
                <w:sz w:val="21"/>
                <w:szCs w:val="21"/>
                <w:lang w:val="en-US" w:eastAsia="zh-CN"/>
              </w:rPr>
              <w:t>3.674</w:t>
            </w:r>
            <w:r>
              <w:rPr>
                <w:rFonts w:hint="eastAsia" w:ascii="Times New Roman" w:hAnsi="Times New Roman" w:cs="Times New Roman"/>
                <w:color w:val="auto"/>
                <w:sz w:val="21"/>
                <w:szCs w:val="21"/>
                <w:lang w:val="en-US" w:eastAsia="zh-CN"/>
              </w:rPr>
              <w:t>t/a</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则项目</w:t>
            </w:r>
            <w:r>
              <w:rPr>
                <w:rFonts w:hint="eastAsia" w:ascii="Times New Roman" w:hAnsi="Times New Roman" w:eastAsia="宋体" w:cs="Times New Roman"/>
                <w:color w:val="auto"/>
                <w:sz w:val="21"/>
                <w:szCs w:val="21"/>
                <w:lang w:eastAsia="zh-CN"/>
              </w:rPr>
              <w:t>原料装卸时粉尘</w:t>
            </w:r>
            <w:r>
              <w:rPr>
                <w:rFonts w:hint="default" w:ascii="Times New Roman" w:hAnsi="Times New Roman" w:eastAsia="宋体" w:cs="Times New Roman"/>
                <w:color w:val="auto"/>
                <w:sz w:val="21"/>
                <w:szCs w:val="21"/>
              </w:rPr>
              <w:t>产生量为</w:t>
            </w:r>
            <w:r>
              <w:rPr>
                <w:rFonts w:hint="eastAsia" w:ascii="Times New Roman" w:cs="Times New Roman"/>
                <w:color w:val="auto"/>
                <w:sz w:val="21"/>
                <w:szCs w:val="21"/>
                <w:lang w:val="en-US" w:eastAsia="zh-CN"/>
              </w:rPr>
              <w:t>0.2</w:t>
            </w:r>
            <w:r>
              <w:rPr>
                <w:rFonts w:hint="default" w:ascii="Times New Roman" w:hAnsi="Times New Roman" w:eastAsia="宋体" w:cs="Times New Roman"/>
                <w:color w:val="auto"/>
                <w:sz w:val="21"/>
                <w:szCs w:val="21"/>
              </w:rPr>
              <w:t>t/a</w:t>
            </w:r>
            <w:r>
              <w:rPr>
                <w:rFonts w:hint="eastAsia" w:ascii="Times New Roman" w:hAnsi="Times New Roman" w:eastAsia="宋体" w:cs="Times New Roman"/>
                <w:color w:val="auto"/>
                <w:sz w:val="21"/>
                <w:szCs w:val="21"/>
                <w:lang w:eastAsia="zh-CN"/>
              </w:rPr>
              <w:t>，原料装卸时间为</w:t>
            </w:r>
            <w:r>
              <w:rPr>
                <w:rFonts w:hint="eastAsia" w:cs="Times New Roman"/>
                <w:color w:val="auto"/>
                <w:sz w:val="21"/>
                <w:szCs w:val="21"/>
                <w:lang w:val="en-US" w:eastAsia="zh-CN"/>
              </w:rPr>
              <w:t>900</w:t>
            </w:r>
            <w:r>
              <w:rPr>
                <w:rFonts w:hint="eastAsia" w:ascii="Times New Roman" w:hAnsi="Times New Roman" w:eastAsia="宋体" w:cs="Times New Roman"/>
                <w:color w:val="auto"/>
                <w:sz w:val="21"/>
                <w:szCs w:val="21"/>
                <w:lang w:val="en-US" w:eastAsia="zh-CN"/>
              </w:rPr>
              <w:t>h/a，则无组织颗粒物产生速率为</w:t>
            </w:r>
            <w:r>
              <w:rPr>
                <w:rFonts w:hint="eastAsia" w:cs="Times New Roman"/>
                <w:color w:val="auto"/>
                <w:sz w:val="21"/>
                <w:szCs w:val="21"/>
                <w:lang w:val="en-US" w:eastAsia="zh-CN"/>
              </w:rPr>
              <w:t>0.222</w:t>
            </w:r>
            <w:r>
              <w:rPr>
                <w:rFonts w:hint="eastAsia" w:ascii="Times New Roman" w:hAnsi="Times New Roman" w:eastAsia="宋体" w:cs="Times New Roman"/>
                <w:color w:val="auto"/>
                <w:sz w:val="21"/>
                <w:szCs w:val="21"/>
                <w:lang w:val="en-US" w:eastAsia="zh-CN"/>
              </w:rPr>
              <w:t>kg/h。</w:t>
            </w:r>
          </w:p>
          <w:p w14:paraId="6B883F5A">
            <w:pPr>
              <w:spacing w:line="360" w:lineRule="auto"/>
              <w:ind w:firstLine="420" w:firstLineChars="200"/>
              <w:rPr>
                <w:rFonts w:hint="default" w:ascii="Times New Roman" w:hAnsi="Times New Roman" w:eastAsia="宋体" w:cs="Times New Roman"/>
                <w:color w:val="auto"/>
                <w:kern w:val="0"/>
                <w:sz w:val="21"/>
                <w:szCs w:val="21"/>
              </w:rPr>
            </w:pPr>
            <w:r>
              <w:rPr>
                <w:rFonts w:hint="eastAsia" w:cs="Times New Roman"/>
                <w:color w:val="auto"/>
                <w:kern w:val="0"/>
                <w:sz w:val="21"/>
                <w:szCs w:val="21"/>
                <w:lang w:eastAsia="zh-CN"/>
              </w:rPr>
              <w:t>本项目采取以下</w:t>
            </w:r>
            <w:r>
              <w:rPr>
                <w:rFonts w:hint="default" w:ascii="Times New Roman" w:hAnsi="Times New Roman" w:eastAsia="宋体" w:cs="Times New Roman"/>
                <w:color w:val="auto"/>
                <w:kern w:val="0"/>
                <w:sz w:val="21"/>
                <w:szCs w:val="21"/>
              </w:rPr>
              <w:t>评价要求</w:t>
            </w:r>
            <w:r>
              <w:rPr>
                <w:rFonts w:hint="eastAsia" w:cs="Times New Roman"/>
                <w:color w:val="auto"/>
                <w:kern w:val="0"/>
                <w:sz w:val="21"/>
                <w:szCs w:val="21"/>
                <w:lang w:eastAsia="zh-CN"/>
              </w:rPr>
              <w:t>可有效降低颗粒物的排放</w:t>
            </w:r>
            <w:r>
              <w:rPr>
                <w:rFonts w:hint="default" w:ascii="Times New Roman" w:hAnsi="Times New Roman" w:eastAsia="宋体" w:cs="Times New Roman"/>
                <w:color w:val="auto"/>
                <w:kern w:val="0"/>
                <w:sz w:val="21"/>
                <w:szCs w:val="21"/>
              </w:rPr>
              <w:t>：</w:t>
            </w:r>
          </w:p>
          <w:p w14:paraId="1061FE15">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①原料在封闭车间、仓库储存，对堆料区进行定期洒水，保持料堆表层湿润，防止物料扬散，有效抑制颗粒物的产生。</w:t>
            </w:r>
          </w:p>
          <w:p w14:paraId="2F9D5378">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②原料及成品装卸时，铲车应尽量靠近运输车辆，并尽可能缩小装卸时的高差，同时洒水进行装卸抑尘。</w:t>
            </w:r>
          </w:p>
          <w:p w14:paraId="54FF9873">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③加强料堆地面硬化和清洁，地面积尘要及时清理，保持场地内及周边整洁干净，减少二次扬尘。</w:t>
            </w:r>
          </w:p>
          <w:p w14:paraId="57DA1189">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④在物料配料前对料堆进行喷水，减少起尘量。</w:t>
            </w:r>
          </w:p>
          <w:p w14:paraId="0280D83F">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⑤运输车辆不得超载，车厢必须要求采取封闭措施，以减少物料洒落扬尘对公路周围大气环境的影响。</w:t>
            </w:r>
          </w:p>
          <w:p w14:paraId="0BD44DAB">
            <w:pPr>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⑥加强对厂区和出场道路的清洁。企业对厂区内未硬化场地和道路进行场地硬化、绿化处理，并安排专人对企业厂区及企业进出口的道路进行经常性的清扫、冲洗，保持道路清洁。</w:t>
            </w:r>
          </w:p>
          <w:p w14:paraId="6C159790">
            <w:pPr>
              <w:spacing w:line="360" w:lineRule="auto"/>
              <w:ind w:firstLine="420" w:firstLineChars="200"/>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color w:val="auto"/>
                <w:sz w:val="21"/>
                <w:szCs w:val="21"/>
                <w:lang w:val="en-US" w:eastAsia="zh-CN"/>
              </w:rPr>
              <w:t>采取上述措施后，无组织颗粒物可降低</w:t>
            </w:r>
            <w:r>
              <w:rPr>
                <w:rFonts w:hint="eastAsia" w:ascii="Times New Roman" w:hAnsi="Times New Roman" w:cs="Times New Roman"/>
                <w:color w:val="auto"/>
                <w:sz w:val="21"/>
                <w:szCs w:val="21"/>
                <w:lang w:val="en-US" w:eastAsia="zh-CN"/>
              </w:rPr>
              <w:t>60</w:t>
            </w:r>
            <w:r>
              <w:rPr>
                <w:rFonts w:hint="default" w:ascii="Times New Roman" w:hAnsi="Times New Roman" w:cs="Times New Roman"/>
                <w:color w:val="auto"/>
                <w:sz w:val="21"/>
                <w:szCs w:val="21"/>
                <w:lang w:val="en-US" w:eastAsia="zh-CN"/>
              </w:rPr>
              <w:t>%以上，则</w:t>
            </w:r>
            <w:r>
              <w:rPr>
                <w:rFonts w:hint="eastAsia" w:ascii="Times New Roman" w:hAnsi="Times New Roman" w:cs="Times New Roman"/>
                <w:color w:val="auto"/>
                <w:sz w:val="21"/>
                <w:szCs w:val="21"/>
                <w:lang w:val="en-US" w:eastAsia="zh-CN"/>
              </w:rPr>
              <w:t>仓库内无组织颗粒物排放量为0.08t/a，排放速率为</w:t>
            </w:r>
            <w:r>
              <w:rPr>
                <w:rFonts w:hint="eastAsia" w:cs="Times New Roman"/>
                <w:color w:val="auto"/>
                <w:sz w:val="21"/>
                <w:szCs w:val="21"/>
                <w:lang w:val="en-US" w:eastAsia="zh-CN"/>
              </w:rPr>
              <w:t>0.089</w:t>
            </w:r>
            <w:r>
              <w:rPr>
                <w:rFonts w:hint="eastAsia" w:ascii="Times New Roman" w:hAnsi="Times New Roman" w:cs="Times New Roman"/>
                <w:color w:val="auto"/>
                <w:sz w:val="21"/>
                <w:szCs w:val="21"/>
                <w:lang w:val="en-US" w:eastAsia="zh-CN"/>
              </w:rPr>
              <w:t>kg/h。</w:t>
            </w:r>
          </w:p>
          <w:p w14:paraId="7E4A976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pacing w:val="0"/>
                <w:w w:val="100"/>
                <w:position w:val="0"/>
                <w:sz w:val="21"/>
                <w:szCs w:val="21"/>
                <w:highlight w:val="none"/>
                <w:lang w:val="en-US" w:eastAsia="zh-CN"/>
              </w:rPr>
            </w:pPr>
            <w:r>
              <w:rPr>
                <w:rFonts w:hint="eastAsia" w:cs="Times New Roman"/>
                <w:bCs/>
                <w:color w:val="auto"/>
                <w:spacing w:val="0"/>
                <w:w w:val="100"/>
                <w:position w:val="0"/>
                <w:sz w:val="21"/>
                <w:szCs w:val="21"/>
                <w:highlight w:val="none"/>
                <w:lang w:val="en-US" w:eastAsia="zh-CN"/>
              </w:rPr>
              <w:t>本项目</w:t>
            </w:r>
            <w:r>
              <w:rPr>
                <w:rFonts w:hint="default" w:ascii="Times New Roman" w:hAnsi="Times New Roman" w:eastAsia="宋体" w:cs="Times New Roman"/>
                <w:bCs/>
                <w:color w:val="auto"/>
                <w:spacing w:val="0"/>
                <w:w w:val="100"/>
                <w:position w:val="0"/>
                <w:sz w:val="21"/>
                <w:szCs w:val="21"/>
                <w:highlight w:val="none"/>
                <w:lang w:val="en-US" w:eastAsia="zh-CN"/>
              </w:rPr>
              <w:t>废气排放情况汇总如下：</w:t>
            </w:r>
          </w:p>
          <w:p w14:paraId="071ED9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rPr>
              <w:t>表</w:t>
            </w:r>
            <w:r>
              <w:rPr>
                <w:rFonts w:hint="eastAsia" w:cs="Times New Roman"/>
                <w:b/>
                <w:bCs/>
                <w:color w:val="auto"/>
                <w:spacing w:val="0"/>
                <w:w w:val="100"/>
                <w:position w:val="0"/>
                <w:sz w:val="21"/>
                <w:szCs w:val="21"/>
                <w:highlight w:val="none"/>
                <w:lang w:val="en-US" w:eastAsia="zh-CN"/>
              </w:rPr>
              <w:t>4-1 本项目</w:t>
            </w:r>
            <w:r>
              <w:rPr>
                <w:rFonts w:hint="default" w:ascii="Times New Roman" w:hAnsi="Times New Roman" w:eastAsia="宋体" w:cs="Times New Roman"/>
                <w:b/>
                <w:bCs/>
                <w:color w:val="auto"/>
                <w:spacing w:val="0"/>
                <w:w w:val="100"/>
                <w:position w:val="0"/>
                <w:sz w:val="21"/>
                <w:szCs w:val="21"/>
                <w:highlight w:val="none"/>
              </w:rPr>
              <w:t>废气排放情况</w:t>
            </w:r>
          </w:p>
          <w:tbl>
            <w:tblPr>
              <w:tblStyle w:val="35"/>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3204"/>
              <w:gridCol w:w="3207"/>
              <w:gridCol w:w="3398"/>
              <w:gridCol w:w="3519"/>
            </w:tblGrid>
            <w:tr w14:paraId="4FAF23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204" w:type="dxa"/>
                  <w:tcBorders>
                    <w:tl2br w:val="nil"/>
                    <w:tr2bl w:val="nil"/>
                  </w:tcBorders>
                  <w:noWrap w:val="0"/>
                  <w:vAlign w:val="center"/>
                </w:tcPr>
                <w:p w14:paraId="5610C8B1">
                  <w:pPr>
                    <w:pStyle w:val="65"/>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废气污染物</w:t>
                  </w:r>
                </w:p>
              </w:tc>
              <w:tc>
                <w:tcPr>
                  <w:tcW w:w="3207" w:type="dxa"/>
                  <w:tcBorders>
                    <w:tl2br w:val="nil"/>
                    <w:tr2bl w:val="nil"/>
                  </w:tcBorders>
                  <w:noWrap w:val="0"/>
                  <w:vAlign w:val="center"/>
                </w:tcPr>
                <w:p w14:paraId="5B4716B9">
                  <w:pPr>
                    <w:pStyle w:val="65"/>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有组织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398" w:type="dxa"/>
                  <w:tcBorders>
                    <w:tl2br w:val="nil"/>
                    <w:tr2bl w:val="nil"/>
                  </w:tcBorders>
                  <w:noWrap w:val="0"/>
                  <w:vAlign w:val="center"/>
                </w:tcPr>
                <w:p w14:paraId="7D3B8273">
                  <w:pPr>
                    <w:pStyle w:val="65"/>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无组织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518" w:type="dxa"/>
                  <w:tcBorders>
                    <w:tl2br w:val="nil"/>
                    <w:tr2bl w:val="nil"/>
                  </w:tcBorders>
                  <w:noWrap w:val="0"/>
                  <w:vAlign w:val="center"/>
                </w:tcPr>
                <w:p w14:paraId="474BE16B">
                  <w:pPr>
                    <w:pStyle w:val="65"/>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ascii="Times New Roman" w:hAnsi="Times New Roman" w:eastAsia="宋体" w:cs="Times New Roman"/>
                      <w:b/>
                      <w:bCs/>
                      <w:color w:val="auto"/>
                      <w:spacing w:val="0"/>
                      <w:w w:val="100"/>
                      <w:position w:val="0"/>
                      <w:sz w:val="21"/>
                      <w:szCs w:val="21"/>
                      <w:highlight w:val="none"/>
                      <w:lang w:eastAsia="zh-CN"/>
                    </w:rPr>
                  </w:pPr>
                  <w:r>
                    <w:rPr>
                      <w:rFonts w:hint="eastAsia" w:ascii="Times New Roman" w:hAnsi="Times New Roman" w:cs="Times New Roman"/>
                      <w:b/>
                      <w:bCs/>
                      <w:color w:val="auto"/>
                      <w:spacing w:val="0"/>
                      <w:w w:val="100"/>
                      <w:position w:val="0"/>
                      <w:sz w:val="21"/>
                      <w:szCs w:val="21"/>
                      <w:highlight w:val="none"/>
                      <w:lang w:eastAsia="zh-CN"/>
                    </w:rPr>
                    <w:t>合计</w:t>
                  </w:r>
                  <w:r>
                    <w:rPr>
                      <w:rFonts w:hint="default" w:ascii="Times New Roman" w:hAnsi="Times New Roman" w:eastAsia="宋体" w:cs="Times New Roman"/>
                      <w:b/>
                      <w:bCs/>
                      <w:color w:val="auto"/>
                      <w:spacing w:val="0"/>
                      <w:w w:val="100"/>
                      <w:position w:val="0"/>
                      <w:sz w:val="21"/>
                      <w:szCs w:val="21"/>
                      <w:highlight w:val="none"/>
                      <w:lang w:val="en-US" w:eastAsia="zh-CN"/>
                    </w:rPr>
                    <w:t>（t/a）</w:t>
                  </w:r>
                </w:p>
              </w:tc>
            </w:tr>
            <w:tr w14:paraId="764F6D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204" w:type="dxa"/>
                  <w:tcBorders>
                    <w:tl2br w:val="nil"/>
                    <w:tr2bl w:val="nil"/>
                  </w:tcBorders>
                  <w:noWrap w:val="0"/>
                  <w:vAlign w:val="center"/>
                </w:tcPr>
                <w:p w14:paraId="28C90F79">
                  <w:pPr>
                    <w:pStyle w:val="65"/>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颗粒物</w:t>
                  </w:r>
                </w:p>
              </w:tc>
              <w:tc>
                <w:tcPr>
                  <w:tcW w:w="3207" w:type="dxa"/>
                  <w:tcBorders>
                    <w:tl2br w:val="nil"/>
                    <w:tr2bl w:val="nil"/>
                  </w:tcBorders>
                  <w:noWrap w:val="0"/>
                  <w:vAlign w:val="center"/>
                </w:tcPr>
                <w:p w14:paraId="132F4922">
                  <w:pPr>
                    <w:keepNext w:val="0"/>
                    <w:keepLines w:val="0"/>
                    <w:widowControl/>
                    <w:suppressLineNumbers w:val="0"/>
                    <w:jc w:val="center"/>
                    <w:textAlignment w:val="center"/>
                    <w:rPr>
                      <w:rFonts w:hint="default" w:cs="Times New Roman"/>
                      <w:color w:val="auto"/>
                      <w:spacing w:val="0"/>
                      <w:w w:val="100"/>
                      <w:kern w:val="2"/>
                      <w:position w:val="0"/>
                      <w:sz w:val="21"/>
                      <w:szCs w:val="21"/>
                      <w:highlight w:val="none"/>
                      <w:lang w:val="en-US" w:eastAsia="zh-CN" w:bidi="zh-CN"/>
                    </w:rPr>
                  </w:pPr>
                  <w:r>
                    <w:rPr>
                      <w:rFonts w:hint="eastAsia" w:cs="Times New Roman"/>
                      <w:color w:val="auto"/>
                      <w:spacing w:val="0"/>
                      <w:w w:val="100"/>
                      <w:kern w:val="2"/>
                      <w:position w:val="0"/>
                      <w:sz w:val="21"/>
                      <w:szCs w:val="21"/>
                      <w:highlight w:val="none"/>
                      <w:lang w:val="en-US" w:eastAsia="zh-CN" w:bidi="zh-CN"/>
                    </w:rPr>
                    <w:t>0.86</w:t>
                  </w:r>
                </w:p>
              </w:tc>
              <w:tc>
                <w:tcPr>
                  <w:tcW w:w="3398" w:type="dxa"/>
                  <w:tcBorders>
                    <w:tl2br w:val="nil"/>
                    <w:tr2bl w:val="nil"/>
                  </w:tcBorders>
                  <w:noWrap w:val="0"/>
                  <w:vAlign w:val="center"/>
                </w:tcPr>
                <w:p w14:paraId="04A50871">
                  <w:pPr>
                    <w:keepNext w:val="0"/>
                    <w:keepLines w:val="0"/>
                    <w:widowControl/>
                    <w:suppressLineNumbers w:val="0"/>
                    <w:jc w:val="center"/>
                    <w:textAlignment w:val="center"/>
                    <w:rPr>
                      <w:rFonts w:hint="default" w:cs="Times New Roman"/>
                      <w:color w:val="auto"/>
                      <w:spacing w:val="0"/>
                      <w:w w:val="100"/>
                      <w:kern w:val="2"/>
                      <w:position w:val="0"/>
                      <w:sz w:val="21"/>
                      <w:szCs w:val="21"/>
                      <w:highlight w:val="none"/>
                      <w:lang w:val="en-US" w:eastAsia="zh-CN" w:bidi="zh-CN"/>
                    </w:rPr>
                  </w:pPr>
                  <w:r>
                    <w:rPr>
                      <w:rFonts w:hint="eastAsia" w:cs="Times New Roman"/>
                      <w:color w:val="auto"/>
                      <w:spacing w:val="0"/>
                      <w:w w:val="100"/>
                      <w:kern w:val="2"/>
                      <w:position w:val="0"/>
                      <w:sz w:val="21"/>
                      <w:szCs w:val="21"/>
                      <w:highlight w:val="none"/>
                      <w:lang w:val="en-US" w:eastAsia="zh-CN" w:bidi="zh-CN"/>
                    </w:rPr>
                    <w:t>0.482</w:t>
                  </w:r>
                </w:p>
              </w:tc>
              <w:tc>
                <w:tcPr>
                  <w:tcW w:w="3518" w:type="dxa"/>
                  <w:tcBorders>
                    <w:tl2br w:val="nil"/>
                    <w:tr2bl w:val="nil"/>
                  </w:tcBorders>
                  <w:noWrap w:val="0"/>
                  <w:vAlign w:val="center"/>
                </w:tcPr>
                <w:p w14:paraId="24DA70BA">
                  <w:pPr>
                    <w:keepNext w:val="0"/>
                    <w:keepLines w:val="0"/>
                    <w:widowControl/>
                    <w:suppressLineNumbers w:val="0"/>
                    <w:jc w:val="center"/>
                    <w:textAlignment w:val="center"/>
                    <w:rPr>
                      <w:rFonts w:hint="default" w:cs="Times New Roman"/>
                      <w:color w:val="auto"/>
                      <w:spacing w:val="0"/>
                      <w:w w:val="100"/>
                      <w:kern w:val="2"/>
                      <w:position w:val="0"/>
                      <w:sz w:val="21"/>
                      <w:szCs w:val="21"/>
                      <w:highlight w:val="none"/>
                      <w:lang w:val="en-US" w:eastAsia="zh-CN" w:bidi="zh-CN"/>
                    </w:rPr>
                  </w:pPr>
                  <w:r>
                    <w:rPr>
                      <w:rFonts w:hint="eastAsia" w:cs="Times New Roman"/>
                      <w:color w:val="auto"/>
                      <w:spacing w:val="0"/>
                      <w:w w:val="100"/>
                      <w:kern w:val="2"/>
                      <w:position w:val="0"/>
                      <w:sz w:val="21"/>
                      <w:szCs w:val="21"/>
                      <w:highlight w:val="none"/>
                      <w:lang w:val="en-US" w:eastAsia="zh-CN" w:bidi="zh-CN"/>
                    </w:rPr>
                    <w:t>1.342</w:t>
                  </w:r>
                </w:p>
              </w:tc>
            </w:tr>
          </w:tbl>
          <w:p w14:paraId="4BEF046A">
            <w:pPr>
              <w:autoSpaceDE w:val="0"/>
              <w:autoSpaceDN w:val="0"/>
              <w:adjustRightInd w:val="0"/>
              <w:spacing w:line="360" w:lineRule="auto"/>
              <w:ind w:firstLine="480"/>
              <w:rPr>
                <w:color w:val="auto"/>
                <w:lang w:val="zh-CN"/>
              </w:rPr>
            </w:pPr>
            <w:r>
              <w:rPr>
                <w:color w:val="auto"/>
                <w:lang w:val="zh-CN"/>
              </w:rPr>
              <w:t>废气产排污节点、污染物及污染治理设施见下表。</w:t>
            </w:r>
          </w:p>
          <w:p w14:paraId="26F3F1C9">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b/>
                <w:bCs/>
                <w:color w:val="auto"/>
                <w:szCs w:val="21"/>
              </w:rPr>
            </w:pPr>
            <w:r>
              <w:rPr>
                <w:rFonts w:hint="eastAsia"/>
                <w:b/>
                <w:bCs/>
                <w:color w:val="auto"/>
                <w:szCs w:val="21"/>
                <w:lang w:val="en-US" w:eastAsia="zh-CN"/>
              </w:rPr>
              <w:t xml:space="preserve">表4-2 </w:t>
            </w:r>
            <w:r>
              <w:rPr>
                <w:rFonts w:hint="eastAsia"/>
                <w:b/>
                <w:bCs/>
                <w:color w:val="auto"/>
                <w:szCs w:val="21"/>
              </w:rPr>
              <w:t>废气产</w:t>
            </w:r>
            <w:r>
              <w:rPr>
                <w:rFonts w:hint="eastAsia" w:ascii="Times New Roman" w:hAnsi="Times New Roman" w:eastAsia="宋体" w:cs="Times New Roman"/>
                <w:b/>
                <w:color w:val="auto"/>
                <w:szCs w:val="21"/>
              </w:rPr>
              <w:t>排污</w:t>
            </w:r>
            <w:r>
              <w:rPr>
                <w:rFonts w:hint="eastAsia"/>
                <w:b/>
                <w:bCs/>
                <w:color w:val="auto"/>
                <w:szCs w:val="21"/>
              </w:rPr>
              <w:t>节点、污染物及污染治理设施信息表</w:t>
            </w:r>
          </w:p>
          <w:tbl>
            <w:tblPr>
              <w:tblStyle w:val="35"/>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96"/>
              <w:gridCol w:w="858"/>
              <w:gridCol w:w="658"/>
              <w:gridCol w:w="714"/>
              <w:gridCol w:w="791"/>
              <w:gridCol w:w="904"/>
              <w:gridCol w:w="1400"/>
              <w:gridCol w:w="651"/>
              <w:gridCol w:w="571"/>
              <w:gridCol w:w="651"/>
              <w:gridCol w:w="909"/>
              <w:gridCol w:w="779"/>
              <w:gridCol w:w="651"/>
              <w:gridCol w:w="931"/>
              <w:gridCol w:w="859"/>
              <w:gridCol w:w="589"/>
            </w:tblGrid>
            <w:tr w14:paraId="71C32D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tcMar>
                    <w:top w:w="0" w:type="dxa"/>
                    <w:left w:w="0" w:type="dxa"/>
                    <w:bottom w:w="0" w:type="dxa"/>
                    <w:right w:w="0" w:type="dxa"/>
                  </w:tcMar>
                  <w:vAlign w:val="center"/>
                </w:tcPr>
                <w:p w14:paraId="2AC52AE7">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产排污环节</w:t>
                  </w:r>
                </w:p>
              </w:tc>
              <w:tc>
                <w:tcPr>
                  <w:tcW w:w="322" w:type="pct"/>
                  <w:tcBorders>
                    <w:tl2br w:val="nil"/>
                    <w:tr2bl w:val="nil"/>
                  </w:tcBorders>
                  <w:noWrap w:val="0"/>
                  <w:tcMar>
                    <w:top w:w="0" w:type="dxa"/>
                    <w:left w:w="0" w:type="dxa"/>
                    <w:bottom w:w="0" w:type="dxa"/>
                    <w:right w:w="0" w:type="dxa"/>
                  </w:tcMar>
                  <w:vAlign w:val="center"/>
                </w:tcPr>
                <w:p w14:paraId="547AF687">
                  <w:pPr>
                    <w:adjustRightInd w:val="0"/>
                    <w:snapToGrid w:val="0"/>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排放</w:t>
                  </w:r>
                </w:p>
                <w:p w14:paraId="7A05CE57">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形式</w:t>
                  </w:r>
                </w:p>
              </w:tc>
              <w:tc>
                <w:tcPr>
                  <w:tcW w:w="247" w:type="pct"/>
                  <w:tcBorders>
                    <w:tl2br w:val="nil"/>
                    <w:tr2bl w:val="nil"/>
                  </w:tcBorders>
                  <w:noWrap w:val="0"/>
                  <w:tcMar>
                    <w:top w:w="0" w:type="dxa"/>
                    <w:left w:w="0" w:type="dxa"/>
                    <w:bottom w:w="0" w:type="dxa"/>
                    <w:right w:w="0" w:type="dxa"/>
                  </w:tcMar>
                  <w:vAlign w:val="center"/>
                </w:tcPr>
                <w:p w14:paraId="48162C82">
                  <w:pPr>
                    <w:adjustRightInd w:val="0"/>
                    <w:snapToGrid w:val="0"/>
                    <w:jc w:val="center"/>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sz w:val="21"/>
                      <w:szCs w:val="21"/>
                    </w:rPr>
                    <w:t>污染物种类</w:t>
                  </w:r>
                </w:p>
              </w:tc>
              <w:tc>
                <w:tcPr>
                  <w:tcW w:w="268" w:type="pct"/>
                  <w:tcBorders>
                    <w:tl2br w:val="nil"/>
                    <w:tr2bl w:val="nil"/>
                  </w:tcBorders>
                  <w:noWrap w:val="0"/>
                  <w:tcMar>
                    <w:top w:w="0" w:type="dxa"/>
                    <w:left w:w="0" w:type="dxa"/>
                    <w:bottom w:w="0" w:type="dxa"/>
                    <w:right w:w="0" w:type="dxa"/>
                  </w:tcMar>
                  <w:vAlign w:val="center"/>
                </w:tcPr>
                <w:p w14:paraId="19869577">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产生</w:t>
                  </w:r>
                  <w:r>
                    <w:rPr>
                      <w:rFonts w:hint="default" w:ascii="Times New Roman" w:hAnsi="Times New Roman" w:cs="Times New Roman"/>
                      <w:b/>
                      <w:bCs/>
                      <w:color w:val="auto"/>
                      <w:sz w:val="21"/>
                      <w:szCs w:val="21"/>
                    </w:rPr>
                    <w:t>量</w:t>
                  </w:r>
                  <w:r>
                    <w:rPr>
                      <w:rFonts w:hint="default" w:ascii="Times New Roman" w:hAnsi="Times New Roman" w:cs="Times New Roman"/>
                      <w:b/>
                      <w:bCs/>
                      <w:color w:val="auto"/>
                      <w:sz w:val="21"/>
                      <w:szCs w:val="21"/>
                      <w:lang w:val="en-US" w:eastAsia="zh-CN"/>
                    </w:rPr>
                    <w:t>(</w:t>
                  </w:r>
                  <w:r>
                    <w:rPr>
                      <w:rFonts w:hint="default" w:ascii="Times New Roman" w:hAnsi="Times New Roman" w:cs="Times New Roman"/>
                      <w:b/>
                      <w:bCs/>
                      <w:color w:val="auto"/>
                      <w:sz w:val="21"/>
                      <w:szCs w:val="21"/>
                    </w:rPr>
                    <w:t>t/a</w:t>
                  </w:r>
                  <w:r>
                    <w:rPr>
                      <w:rFonts w:hint="default" w:ascii="Times New Roman" w:hAnsi="Times New Roman" w:cs="Times New Roman"/>
                      <w:b/>
                      <w:bCs/>
                      <w:color w:val="auto"/>
                      <w:sz w:val="21"/>
                      <w:szCs w:val="21"/>
                      <w:lang w:val="en-US" w:eastAsia="zh-CN"/>
                    </w:rPr>
                    <w:t>)</w:t>
                  </w:r>
                </w:p>
              </w:tc>
              <w:tc>
                <w:tcPr>
                  <w:tcW w:w="297" w:type="pct"/>
                  <w:tcBorders>
                    <w:tl2br w:val="nil"/>
                    <w:tr2bl w:val="nil"/>
                  </w:tcBorders>
                  <w:noWrap w:val="0"/>
                  <w:tcMar>
                    <w:top w:w="0" w:type="dxa"/>
                    <w:left w:w="0" w:type="dxa"/>
                    <w:bottom w:w="0" w:type="dxa"/>
                    <w:right w:w="0" w:type="dxa"/>
                  </w:tcMar>
                  <w:vAlign w:val="center"/>
                </w:tcPr>
                <w:p w14:paraId="7F18E7BE">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产生速率</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kg/h</w:t>
                  </w:r>
                  <w:r>
                    <w:rPr>
                      <w:rFonts w:hint="default" w:ascii="Times New Roman" w:hAnsi="Times New Roman" w:cs="Times New Roman"/>
                      <w:b/>
                      <w:bCs/>
                      <w:color w:val="auto"/>
                      <w:sz w:val="21"/>
                      <w:szCs w:val="21"/>
                      <w:lang w:eastAsia="zh-CN"/>
                    </w:rPr>
                    <w:t>)</w:t>
                  </w:r>
                </w:p>
              </w:tc>
              <w:tc>
                <w:tcPr>
                  <w:tcW w:w="339" w:type="pct"/>
                  <w:tcBorders>
                    <w:tl2br w:val="nil"/>
                    <w:tr2bl w:val="nil"/>
                  </w:tcBorders>
                  <w:noWrap w:val="0"/>
                  <w:tcMar>
                    <w:top w:w="0" w:type="dxa"/>
                    <w:left w:w="0" w:type="dxa"/>
                    <w:bottom w:w="0" w:type="dxa"/>
                    <w:right w:w="0" w:type="dxa"/>
                  </w:tcMar>
                  <w:vAlign w:val="center"/>
                </w:tcPr>
                <w:p w14:paraId="48C7F773">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产生浓度</w:t>
                  </w:r>
                </w:p>
                <w:p w14:paraId="7272B5B2">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lang w:eastAsia="zh-CN"/>
                    </w:rPr>
                    <w:t>)</w:t>
                  </w:r>
                </w:p>
              </w:tc>
              <w:tc>
                <w:tcPr>
                  <w:tcW w:w="525" w:type="pct"/>
                  <w:tcBorders>
                    <w:tl2br w:val="nil"/>
                    <w:tr2bl w:val="nil"/>
                  </w:tcBorders>
                  <w:noWrap w:val="0"/>
                  <w:tcMar>
                    <w:top w:w="0" w:type="dxa"/>
                    <w:left w:w="0" w:type="dxa"/>
                    <w:bottom w:w="0" w:type="dxa"/>
                    <w:right w:w="0" w:type="dxa"/>
                  </w:tcMar>
                  <w:vAlign w:val="center"/>
                </w:tcPr>
                <w:p w14:paraId="370A78B4">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治理设施</w:t>
                  </w:r>
                </w:p>
              </w:tc>
              <w:tc>
                <w:tcPr>
                  <w:tcW w:w="244" w:type="pct"/>
                  <w:tcBorders>
                    <w:tl2br w:val="nil"/>
                    <w:tr2bl w:val="nil"/>
                  </w:tcBorders>
                  <w:noWrap w:val="0"/>
                  <w:tcMar>
                    <w:top w:w="0" w:type="dxa"/>
                    <w:left w:w="0" w:type="dxa"/>
                    <w:bottom w:w="0" w:type="dxa"/>
                    <w:right w:w="0" w:type="dxa"/>
                  </w:tcMar>
                  <w:vAlign w:val="center"/>
                </w:tcPr>
                <w:p w14:paraId="378344F7">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废气量</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/h</w:t>
                  </w:r>
                  <w:r>
                    <w:rPr>
                      <w:rFonts w:hint="default" w:ascii="Times New Roman" w:hAnsi="Times New Roman" w:cs="Times New Roman"/>
                      <w:b/>
                      <w:bCs/>
                      <w:color w:val="auto"/>
                      <w:sz w:val="21"/>
                      <w:szCs w:val="21"/>
                      <w:lang w:eastAsia="zh-CN"/>
                    </w:rPr>
                    <w:t>)</w:t>
                  </w:r>
                </w:p>
              </w:tc>
              <w:tc>
                <w:tcPr>
                  <w:tcW w:w="214" w:type="pct"/>
                  <w:tcBorders>
                    <w:tl2br w:val="nil"/>
                    <w:tr2bl w:val="nil"/>
                  </w:tcBorders>
                  <w:noWrap w:val="0"/>
                  <w:tcMar>
                    <w:top w:w="0" w:type="dxa"/>
                    <w:left w:w="0" w:type="dxa"/>
                    <w:bottom w:w="0" w:type="dxa"/>
                    <w:right w:w="0" w:type="dxa"/>
                  </w:tcMar>
                  <w:vAlign w:val="center"/>
                </w:tcPr>
                <w:p w14:paraId="0C1603A4">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收集效率</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w:t>
                  </w:r>
                  <w:r>
                    <w:rPr>
                      <w:rFonts w:hint="default" w:ascii="Times New Roman" w:hAnsi="Times New Roman" w:cs="Times New Roman"/>
                      <w:b/>
                      <w:bCs/>
                      <w:color w:val="auto"/>
                      <w:sz w:val="21"/>
                      <w:szCs w:val="21"/>
                      <w:lang w:eastAsia="zh-CN"/>
                    </w:rPr>
                    <w:t>)</w:t>
                  </w:r>
                </w:p>
              </w:tc>
              <w:tc>
                <w:tcPr>
                  <w:tcW w:w="244" w:type="pct"/>
                  <w:tcBorders>
                    <w:tl2br w:val="nil"/>
                    <w:tr2bl w:val="nil"/>
                  </w:tcBorders>
                  <w:noWrap w:val="0"/>
                  <w:tcMar>
                    <w:top w:w="0" w:type="dxa"/>
                    <w:left w:w="0" w:type="dxa"/>
                    <w:bottom w:w="0" w:type="dxa"/>
                    <w:right w:w="0" w:type="dxa"/>
                  </w:tcMar>
                  <w:vAlign w:val="center"/>
                </w:tcPr>
                <w:p w14:paraId="5E52853B">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去除</w:t>
                  </w:r>
                  <w:r>
                    <w:rPr>
                      <w:rFonts w:hint="default" w:ascii="Times New Roman" w:hAnsi="Times New Roman" w:cs="Times New Roman"/>
                      <w:b/>
                      <w:bCs/>
                      <w:color w:val="auto"/>
                      <w:sz w:val="21"/>
                      <w:szCs w:val="21"/>
                      <w:lang w:val="en-US" w:eastAsia="zh-CN"/>
                    </w:rPr>
                    <w:t>效</w:t>
                  </w:r>
                  <w:r>
                    <w:rPr>
                      <w:rFonts w:hint="default" w:ascii="Times New Roman" w:hAnsi="Times New Roman" w:cs="Times New Roman"/>
                      <w:b/>
                      <w:bCs/>
                      <w:color w:val="auto"/>
                      <w:sz w:val="21"/>
                      <w:szCs w:val="21"/>
                    </w:rPr>
                    <w:t>率</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w:t>
                  </w:r>
                  <w:r>
                    <w:rPr>
                      <w:rFonts w:hint="default" w:ascii="Times New Roman" w:hAnsi="Times New Roman" w:cs="Times New Roman"/>
                      <w:b/>
                      <w:bCs/>
                      <w:color w:val="auto"/>
                      <w:sz w:val="21"/>
                      <w:szCs w:val="21"/>
                      <w:lang w:eastAsia="zh-CN"/>
                    </w:rPr>
                    <w:t>)</w:t>
                  </w:r>
                </w:p>
              </w:tc>
              <w:tc>
                <w:tcPr>
                  <w:tcW w:w="341" w:type="pct"/>
                  <w:tcBorders>
                    <w:tl2br w:val="nil"/>
                    <w:tr2bl w:val="nil"/>
                  </w:tcBorders>
                  <w:noWrap w:val="0"/>
                  <w:tcMar>
                    <w:top w:w="0" w:type="dxa"/>
                    <w:left w:w="0" w:type="dxa"/>
                    <w:bottom w:w="0" w:type="dxa"/>
                    <w:right w:w="0" w:type="dxa"/>
                  </w:tcMar>
                  <w:vAlign w:val="center"/>
                </w:tcPr>
                <w:p w14:paraId="128F0E1A">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是否为可行技术</w:t>
                  </w:r>
                </w:p>
              </w:tc>
              <w:tc>
                <w:tcPr>
                  <w:tcW w:w="292" w:type="pct"/>
                  <w:tcBorders>
                    <w:tl2br w:val="nil"/>
                    <w:tr2bl w:val="nil"/>
                  </w:tcBorders>
                  <w:noWrap w:val="0"/>
                  <w:tcMar>
                    <w:top w:w="0" w:type="dxa"/>
                    <w:left w:w="0" w:type="dxa"/>
                    <w:bottom w:w="0" w:type="dxa"/>
                    <w:right w:w="0" w:type="dxa"/>
                  </w:tcMar>
                  <w:vAlign w:val="center"/>
                </w:tcPr>
                <w:p w14:paraId="02F93ADD">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排放口编号</w:t>
                  </w:r>
                </w:p>
              </w:tc>
              <w:tc>
                <w:tcPr>
                  <w:tcW w:w="244" w:type="pct"/>
                  <w:tcBorders>
                    <w:tl2br w:val="nil"/>
                    <w:tr2bl w:val="nil"/>
                  </w:tcBorders>
                  <w:noWrap w:val="0"/>
                  <w:tcMar>
                    <w:top w:w="0" w:type="dxa"/>
                    <w:left w:w="0" w:type="dxa"/>
                    <w:bottom w:w="0" w:type="dxa"/>
                    <w:right w:w="0" w:type="dxa"/>
                  </w:tcMar>
                  <w:vAlign w:val="center"/>
                </w:tcPr>
                <w:p w14:paraId="1458B186">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rPr>
                    <w:t>排放量</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t/a</w:t>
                  </w:r>
                  <w:r>
                    <w:rPr>
                      <w:rFonts w:hint="default" w:ascii="Times New Roman" w:hAnsi="Times New Roman" w:cs="Times New Roman"/>
                      <w:b/>
                      <w:bCs/>
                      <w:color w:val="auto"/>
                      <w:sz w:val="21"/>
                      <w:szCs w:val="21"/>
                      <w:lang w:val="en-US" w:eastAsia="zh-CN"/>
                    </w:rPr>
                    <w:t>)</w:t>
                  </w:r>
                </w:p>
              </w:tc>
              <w:tc>
                <w:tcPr>
                  <w:tcW w:w="349" w:type="pct"/>
                  <w:tcBorders>
                    <w:tl2br w:val="nil"/>
                    <w:tr2bl w:val="nil"/>
                  </w:tcBorders>
                  <w:noWrap w:val="0"/>
                  <w:tcMar>
                    <w:top w:w="0" w:type="dxa"/>
                    <w:left w:w="0" w:type="dxa"/>
                    <w:bottom w:w="0" w:type="dxa"/>
                    <w:right w:w="0" w:type="dxa"/>
                  </w:tcMar>
                  <w:vAlign w:val="center"/>
                </w:tcPr>
                <w:p w14:paraId="0D1C009A">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排放速率</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kg/h</w:t>
                  </w:r>
                  <w:r>
                    <w:rPr>
                      <w:rFonts w:hint="default" w:ascii="Times New Roman" w:hAnsi="Times New Roman" w:cs="Times New Roman"/>
                      <w:b/>
                      <w:bCs/>
                      <w:color w:val="auto"/>
                      <w:sz w:val="21"/>
                      <w:szCs w:val="21"/>
                      <w:lang w:eastAsia="zh-CN"/>
                    </w:rPr>
                    <w:t>)</w:t>
                  </w:r>
                </w:p>
              </w:tc>
              <w:tc>
                <w:tcPr>
                  <w:tcW w:w="322" w:type="pct"/>
                  <w:tcBorders>
                    <w:tl2br w:val="nil"/>
                    <w:tr2bl w:val="nil"/>
                  </w:tcBorders>
                  <w:noWrap w:val="0"/>
                  <w:tcMar>
                    <w:top w:w="0" w:type="dxa"/>
                    <w:left w:w="0" w:type="dxa"/>
                    <w:bottom w:w="0" w:type="dxa"/>
                    <w:right w:w="0" w:type="dxa"/>
                  </w:tcMar>
                  <w:vAlign w:val="center"/>
                </w:tcPr>
                <w:p w14:paraId="2BD0574F">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排放浓度</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lang w:eastAsia="zh-CN"/>
                    </w:rPr>
                    <w:t>)</w:t>
                  </w:r>
                </w:p>
              </w:tc>
              <w:tc>
                <w:tcPr>
                  <w:tcW w:w="221" w:type="pct"/>
                  <w:tcBorders>
                    <w:tl2br w:val="nil"/>
                    <w:tr2bl w:val="nil"/>
                  </w:tcBorders>
                  <w:noWrap w:val="0"/>
                  <w:tcMar>
                    <w:top w:w="0" w:type="dxa"/>
                    <w:left w:w="0" w:type="dxa"/>
                    <w:bottom w:w="0" w:type="dxa"/>
                    <w:right w:w="0" w:type="dxa"/>
                  </w:tcMar>
                  <w:vAlign w:val="center"/>
                </w:tcPr>
                <w:p w14:paraId="0B25ACC2">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w:t>
                  </w:r>
                </w:p>
                <w:p w14:paraId="7D20B8CB">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时间</w:t>
                  </w:r>
                </w:p>
                <w:p w14:paraId="630DE126">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h/a</w:t>
                  </w:r>
                  <w:r>
                    <w:rPr>
                      <w:rFonts w:hint="default" w:ascii="Times New Roman" w:hAnsi="Times New Roman" w:cs="Times New Roman"/>
                      <w:b/>
                      <w:bCs/>
                      <w:color w:val="auto"/>
                      <w:sz w:val="21"/>
                      <w:szCs w:val="21"/>
                      <w:lang w:eastAsia="zh-CN"/>
                    </w:rPr>
                    <w:t>)</w:t>
                  </w:r>
                </w:p>
              </w:tc>
            </w:tr>
            <w:tr w14:paraId="3BC126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vMerge w:val="restart"/>
                  <w:tcBorders>
                    <w:tl2br w:val="nil"/>
                    <w:tr2bl w:val="nil"/>
                  </w:tcBorders>
                  <w:noWrap w:val="0"/>
                  <w:tcMar>
                    <w:top w:w="0" w:type="dxa"/>
                    <w:left w:w="0" w:type="dxa"/>
                    <w:bottom w:w="0" w:type="dxa"/>
                    <w:right w:w="0" w:type="dxa"/>
                  </w:tcMar>
                  <w:vAlign w:val="center"/>
                </w:tcPr>
                <w:p w14:paraId="603F24E6">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highlight w:val="none"/>
                      <w:lang w:eastAsia="zh-CN"/>
                    </w:rPr>
                    <w:t>一车间、二车间投料、破碎、粉碎、筛分、球磨工序</w:t>
                  </w:r>
                </w:p>
              </w:tc>
              <w:tc>
                <w:tcPr>
                  <w:tcW w:w="322" w:type="pct"/>
                  <w:tcBorders>
                    <w:tl2br w:val="nil"/>
                    <w:tr2bl w:val="nil"/>
                  </w:tcBorders>
                  <w:noWrap w:val="0"/>
                  <w:tcMar>
                    <w:top w:w="0" w:type="dxa"/>
                    <w:left w:w="0" w:type="dxa"/>
                    <w:bottom w:w="0" w:type="dxa"/>
                    <w:right w:w="0" w:type="dxa"/>
                  </w:tcMar>
                  <w:vAlign w:val="center"/>
                </w:tcPr>
                <w:p w14:paraId="314488D0">
                  <w:pPr>
                    <w:widowControl/>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有组织</w:t>
                  </w:r>
                </w:p>
              </w:tc>
              <w:tc>
                <w:tcPr>
                  <w:tcW w:w="247" w:type="pct"/>
                  <w:tcBorders>
                    <w:tl2br w:val="nil"/>
                    <w:tr2bl w:val="nil"/>
                  </w:tcBorders>
                  <w:noWrap w:val="0"/>
                  <w:tcMar>
                    <w:top w:w="0" w:type="dxa"/>
                    <w:left w:w="0" w:type="dxa"/>
                    <w:bottom w:w="0" w:type="dxa"/>
                    <w:right w:w="0" w:type="dxa"/>
                  </w:tcMar>
                  <w:vAlign w:val="center"/>
                </w:tcPr>
                <w:p w14:paraId="3704A02E">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颗粒物</w:t>
                  </w:r>
                </w:p>
              </w:tc>
              <w:tc>
                <w:tcPr>
                  <w:tcW w:w="268" w:type="pct"/>
                  <w:tcBorders>
                    <w:tl2br w:val="nil"/>
                    <w:tr2bl w:val="nil"/>
                  </w:tcBorders>
                  <w:noWrap w:val="0"/>
                  <w:tcMar>
                    <w:top w:w="0" w:type="dxa"/>
                    <w:left w:w="0" w:type="dxa"/>
                    <w:bottom w:w="0" w:type="dxa"/>
                    <w:right w:w="0" w:type="dxa"/>
                  </w:tcMar>
                  <w:vAlign w:val="center"/>
                </w:tcPr>
                <w:p w14:paraId="7DF0FB79">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11.678</w:t>
                  </w:r>
                </w:p>
              </w:tc>
              <w:tc>
                <w:tcPr>
                  <w:tcW w:w="297" w:type="pct"/>
                  <w:tcBorders>
                    <w:tl2br w:val="nil"/>
                    <w:tr2bl w:val="nil"/>
                  </w:tcBorders>
                  <w:noWrap w:val="0"/>
                  <w:tcMar>
                    <w:top w:w="0" w:type="dxa"/>
                    <w:left w:w="0" w:type="dxa"/>
                    <w:bottom w:w="0" w:type="dxa"/>
                    <w:right w:w="0" w:type="dxa"/>
                  </w:tcMar>
                  <w:vAlign w:val="center"/>
                </w:tcPr>
                <w:p w14:paraId="15E7BBA3">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4.866</w:t>
                  </w:r>
                </w:p>
              </w:tc>
              <w:tc>
                <w:tcPr>
                  <w:tcW w:w="339" w:type="pct"/>
                  <w:tcBorders>
                    <w:tl2br w:val="nil"/>
                    <w:tr2bl w:val="nil"/>
                  </w:tcBorders>
                  <w:noWrap w:val="0"/>
                  <w:tcMar>
                    <w:top w:w="0" w:type="dxa"/>
                    <w:left w:w="0" w:type="dxa"/>
                    <w:bottom w:w="0" w:type="dxa"/>
                    <w:right w:w="0" w:type="dxa"/>
                  </w:tcMar>
                  <w:vAlign w:val="center"/>
                </w:tcPr>
                <w:p w14:paraId="3DECA562">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162.2</w:t>
                  </w:r>
                </w:p>
              </w:tc>
              <w:tc>
                <w:tcPr>
                  <w:tcW w:w="525" w:type="pct"/>
                  <w:tcBorders>
                    <w:tl2br w:val="nil"/>
                    <w:tr2bl w:val="nil"/>
                  </w:tcBorders>
                  <w:noWrap w:val="0"/>
                  <w:tcMar>
                    <w:top w:w="0" w:type="dxa"/>
                    <w:left w:w="0" w:type="dxa"/>
                    <w:bottom w:w="0" w:type="dxa"/>
                    <w:right w:w="0" w:type="dxa"/>
                  </w:tcMar>
                  <w:vAlign w:val="center"/>
                </w:tcPr>
                <w:p w14:paraId="505A5AF3">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布袋除尘器</w:t>
                  </w:r>
                </w:p>
              </w:tc>
              <w:tc>
                <w:tcPr>
                  <w:tcW w:w="244" w:type="pct"/>
                  <w:tcBorders>
                    <w:tl2br w:val="nil"/>
                    <w:tr2bl w:val="nil"/>
                  </w:tcBorders>
                  <w:noWrap w:val="0"/>
                  <w:tcMar>
                    <w:top w:w="0" w:type="dxa"/>
                    <w:left w:w="0" w:type="dxa"/>
                    <w:bottom w:w="0" w:type="dxa"/>
                    <w:right w:w="0" w:type="dxa"/>
                  </w:tcMar>
                  <w:vAlign w:val="center"/>
                </w:tcPr>
                <w:p w14:paraId="3035340E">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30000</w:t>
                  </w:r>
                </w:p>
              </w:tc>
              <w:tc>
                <w:tcPr>
                  <w:tcW w:w="214" w:type="pct"/>
                  <w:tcBorders>
                    <w:tl2br w:val="nil"/>
                    <w:tr2bl w:val="nil"/>
                  </w:tcBorders>
                  <w:noWrap w:val="0"/>
                  <w:tcMar>
                    <w:top w:w="0" w:type="dxa"/>
                    <w:left w:w="0" w:type="dxa"/>
                    <w:bottom w:w="0" w:type="dxa"/>
                    <w:right w:w="0" w:type="dxa"/>
                  </w:tcMar>
                  <w:vAlign w:val="center"/>
                </w:tcPr>
                <w:p w14:paraId="4B73EAC0">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90</w:t>
                  </w:r>
                </w:p>
              </w:tc>
              <w:tc>
                <w:tcPr>
                  <w:tcW w:w="244" w:type="pct"/>
                  <w:tcBorders>
                    <w:tl2br w:val="nil"/>
                    <w:tr2bl w:val="nil"/>
                  </w:tcBorders>
                  <w:noWrap w:val="0"/>
                  <w:tcMar>
                    <w:top w:w="0" w:type="dxa"/>
                    <w:left w:w="0" w:type="dxa"/>
                    <w:bottom w:w="0" w:type="dxa"/>
                    <w:right w:w="0" w:type="dxa"/>
                  </w:tcMar>
                  <w:vAlign w:val="center"/>
                </w:tcPr>
                <w:p w14:paraId="74F62F9A">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95</w:t>
                  </w:r>
                </w:p>
              </w:tc>
              <w:tc>
                <w:tcPr>
                  <w:tcW w:w="341" w:type="pct"/>
                  <w:tcBorders>
                    <w:tl2br w:val="nil"/>
                    <w:tr2bl w:val="nil"/>
                  </w:tcBorders>
                  <w:noWrap w:val="0"/>
                  <w:tcMar>
                    <w:top w:w="0" w:type="dxa"/>
                    <w:left w:w="0" w:type="dxa"/>
                    <w:bottom w:w="0" w:type="dxa"/>
                    <w:right w:w="0" w:type="dxa"/>
                  </w:tcMar>
                  <w:vAlign w:val="center"/>
                </w:tcPr>
                <w:p w14:paraId="78725A28">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rPr>
                    <w:t>是</w:t>
                  </w:r>
                </w:p>
              </w:tc>
              <w:tc>
                <w:tcPr>
                  <w:tcW w:w="292" w:type="pct"/>
                  <w:tcBorders>
                    <w:tl2br w:val="nil"/>
                    <w:tr2bl w:val="nil"/>
                  </w:tcBorders>
                  <w:noWrap w:val="0"/>
                  <w:tcMar>
                    <w:top w:w="0" w:type="dxa"/>
                    <w:left w:w="0" w:type="dxa"/>
                    <w:bottom w:w="0" w:type="dxa"/>
                    <w:right w:w="0" w:type="dxa"/>
                  </w:tcMar>
                  <w:vAlign w:val="center"/>
                </w:tcPr>
                <w:p w14:paraId="1F512BA7">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DA00</w:t>
                  </w:r>
                  <w:r>
                    <w:rPr>
                      <w:rFonts w:hint="default" w:ascii="Times New Roman" w:hAnsi="Times New Roman" w:cs="Times New Roman"/>
                      <w:color w:val="auto"/>
                      <w:sz w:val="21"/>
                      <w:szCs w:val="21"/>
                      <w:lang w:val="en-US" w:eastAsia="zh-CN"/>
                    </w:rPr>
                    <w:t>1</w:t>
                  </w:r>
                </w:p>
              </w:tc>
              <w:tc>
                <w:tcPr>
                  <w:tcW w:w="244" w:type="pct"/>
                  <w:tcBorders>
                    <w:tl2br w:val="nil"/>
                    <w:tr2bl w:val="nil"/>
                  </w:tcBorders>
                  <w:noWrap w:val="0"/>
                  <w:tcMar>
                    <w:top w:w="0" w:type="dxa"/>
                    <w:left w:w="0" w:type="dxa"/>
                    <w:bottom w:w="0" w:type="dxa"/>
                    <w:right w:w="0" w:type="dxa"/>
                  </w:tcMar>
                  <w:vAlign w:val="center"/>
                </w:tcPr>
                <w:p w14:paraId="7ED2A3BE">
                  <w:pPr>
                    <w:adjustRightInd w:val="0"/>
                    <w:snapToGrid w:val="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0.584</w:t>
                  </w:r>
                </w:p>
              </w:tc>
              <w:tc>
                <w:tcPr>
                  <w:tcW w:w="349" w:type="pct"/>
                  <w:tcBorders>
                    <w:tl2br w:val="nil"/>
                    <w:tr2bl w:val="nil"/>
                  </w:tcBorders>
                  <w:noWrap w:val="0"/>
                  <w:tcMar>
                    <w:top w:w="0" w:type="dxa"/>
                    <w:left w:w="0" w:type="dxa"/>
                    <w:bottom w:w="0" w:type="dxa"/>
                    <w:right w:w="0" w:type="dxa"/>
                  </w:tcMar>
                  <w:vAlign w:val="center"/>
                </w:tcPr>
                <w:p w14:paraId="32B17E3F">
                  <w:pPr>
                    <w:adjustRightInd w:val="0"/>
                    <w:snapToGrid w:val="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0.243</w:t>
                  </w:r>
                </w:p>
              </w:tc>
              <w:tc>
                <w:tcPr>
                  <w:tcW w:w="322" w:type="pct"/>
                  <w:tcBorders>
                    <w:tl2br w:val="nil"/>
                    <w:tr2bl w:val="nil"/>
                  </w:tcBorders>
                  <w:noWrap w:val="0"/>
                  <w:tcMar>
                    <w:top w:w="0" w:type="dxa"/>
                    <w:left w:w="0" w:type="dxa"/>
                    <w:bottom w:w="0" w:type="dxa"/>
                    <w:right w:w="0" w:type="dxa"/>
                  </w:tcMar>
                  <w:vAlign w:val="center"/>
                </w:tcPr>
                <w:p w14:paraId="1B40B317">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8.1</w:t>
                  </w:r>
                </w:p>
              </w:tc>
              <w:tc>
                <w:tcPr>
                  <w:tcW w:w="221" w:type="pct"/>
                  <w:vMerge w:val="restart"/>
                  <w:tcBorders>
                    <w:tl2br w:val="nil"/>
                    <w:tr2bl w:val="nil"/>
                  </w:tcBorders>
                  <w:noWrap w:val="0"/>
                  <w:tcMar>
                    <w:top w:w="0" w:type="dxa"/>
                    <w:left w:w="0" w:type="dxa"/>
                    <w:bottom w:w="0" w:type="dxa"/>
                    <w:right w:w="0" w:type="dxa"/>
                  </w:tcMar>
                  <w:vAlign w:val="center"/>
                </w:tcPr>
                <w:p w14:paraId="705B0380">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2400</w:t>
                  </w:r>
                </w:p>
              </w:tc>
            </w:tr>
            <w:tr w14:paraId="39A66F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vMerge w:val="continue"/>
                  <w:tcBorders>
                    <w:tl2br w:val="nil"/>
                    <w:tr2bl w:val="nil"/>
                  </w:tcBorders>
                  <w:noWrap w:val="0"/>
                  <w:tcMar>
                    <w:top w:w="0" w:type="dxa"/>
                    <w:left w:w="0" w:type="dxa"/>
                    <w:bottom w:w="0" w:type="dxa"/>
                    <w:right w:w="0" w:type="dxa"/>
                  </w:tcMar>
                  <w:vAlign w:val="center"/>
                </w:tcPr>
                <w:p w14:paraId="5DD37DD8">
                  <w:pPr>
                    <w:widowControl/>
                    <w:jc w:val="center"/>
                    <w:textAlignment w:val="center"/>
                    <w:rPr>
                      <w:rFonts w:hint="default" w:ascii="Times New Roman" w:hAnsi="Times New Roman" w:cs="Times New Roman"/>
                      <w:color w:val="auto"/>
                      <w:sz w:val="21"/>
                      <w:szCs w:val="21"/>
                      <w:lang w:val="en-US" w:eastAsia="zh-CN"/>
                    </w:rPr>
                  </w:pPr>
                </w:p>
              </w:tc>
              <w:tc>
                <w:tcPr>
                  <w:tcW w:w="322" w:type="pct"/>
                  <w:tcBorders>
                    <w:tl2br w:val="nil"/>
                    <w:tr2bl w:val="nil"/>
                  </w:tcBorders>
                  <w:noWrap w:val="0"/>
                  <w:tcMar>
                    <w:top w:w="0" w:type="dxa"/>
                    <w:left w:w="0" w:type="dxa"/>
                    <w:bottom w:w="0" w:type="dxa"/>
                    <w:right w:w="0" w:type="dxa"/>
                  </w:tcMar>
                  <w:vAlign w:val="center"/>
                </w:tcPr>
                <w:p w14:paraId="0825D94C">
                  <w:pPr>
                    <w:widowControl/>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无组织</w:t>
                  </w:r>
                </w:p>
              </w:tc>
              <w:tc>
                <w:tcPr>
                  <w:tcW w:w="247" w:type="pct"/>
                  <w:tcBorders>
                    <w:tl2br w:val="nil"/>
                    <w:tr2bl w:val="nil"/>
                  </w:tcBorders>
                  <w:noWrap w:val="0"/>
                  <w:tcMar>
                    <w:top w:w="0" w:type="dxa"/>
                    <w:left w:w="0" w:type="dxa"/>
                    <w:bottom w:w="0" w:type="dxa"/>
                    <w:right w:w="0" w:type="dxa"/>
                  </w:tcMar>
                  <w:vAlign w:val="center"/>
                </w:tcPr>
                <w:p w14:paraId="7CA9FADD">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颗粒物</w:t>
                  </w:r>
                </w:p>
              </w:tc>
              <w:tc>
                <w:tcPr>
                  <w:tcW w:w="268" w:type="pct"/>
                  <w:tcBorders>
                    <w:tl2br w:val="nil"/>
                    <w:tr2bl w:val="nil"/>
                  </w:tcBorders>
                  <w:noWrap w:val="0"/>
                  <w:tcMar>
                    <w:top w:w="0" w:type="dxa"/>
                    <w:left w:w="0" w:type="dxa"/>
                    <w:bottom w:w="0" w:type="dxa"/>
                    <w:right w:w="0" w:type="dxa"/>
                  </w:tcMar>
                  <w:vAlign w:val="center"/>
                </w:tcPr>
                <w:p w14:paraId="11FE7208">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0.649</w:t>
                  </w:r>
                </w:p>
              </w:tc>
              <w:tc>
                <w:tcPr>
                  <w:tcW w:w="297" w:type="pct"/>
                  <w:tcBorders>
                    <w:tl2br w:val="nil"/>
                    <w:tr2bl w:val="nil"/>
                  </w:tcBorders>
                  <w:noWrap w:val="0"/>
                  <w:tcMar>
                    <w:top w:w="0" w:type="dxa"/>
                    <w:left w:w="0" w:type="dxa"/>
                    <w:bottom w:w="0" w:type="dxa"/>
                    <w:right w:w="0" w:type="dxa"/>
                  </w:tcMar>
                  <w:vAlign w:val="center"/>
                </w:tcPr>
                <w:p w14:paraId="3D0E8C30">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0.270</w:t>
                  </w:r>
                </w:p>
              </w:tc>
              <w:tc>
                <w:tcPr>
                  <w:tcW w:w="339" w:type="pct"/>
                  <w:tcBorders>
                    <w:tl2br w:val="nil"/>
                    <w:tr2bl w:val="nil"/>
                  </w:tcBorders>
                  <w:noWrap w:val="0"/>
                  <w:tcMar>
                    <w:top w:w="0" w:type="dxa"/>
                    <w:left w:w="0" w:type="dxa"/>
                    <w:bottom w:w="0" w:type="dxa"/>
                    <w:right w:w="0" w:type="dxa"/>
                  </w:tcMar>
                  <w:vAlign w:val="center"/>
                </w:tcPr>
                <w:p w14:paraId="1C06E324">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525" w:type="pct"/>
                  <w:tcBorders>
                    <w:tl2br w:val="nil"/>
                    <w:tr2bl w:val="nil"/>
                  </w:tcBorders>
                  <w:noWrap w:val="0"/>
                  <w:tcMar>
                    <w:top w:w="0" w:type="dxa"/>
                    <w:left w:w="0" w:type="dxa"/>
                    <w:bottom w:w="0" w:type="dxa"/>
                    <w:right w:w="0" w:type="dxa"/>
                  </w:tcMar>
                  <w:vAlign w:val="center"/>
                </w:tcPr>
                <w:p w14:paraId="3CCEA714">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密闭车间、加强管理，洒水降尘</w:t>
                  </w:r>
                </w:p>
              </w:tc>
              <w:tc>
                <w:tcPr>
                  <w:tcW w:w="244" w:type="pct"/>
                  <w:tcBorders>
                    <w:tl2br w:val="nil"/>
                    <w:tr2bl w:val="nil"/>
                  </w:tcBorders>
                  <w:noWrap w:val="0"/>
                  <w:tcMar>
                    <w:top w:w="0" w:type="dxa"/>
                    <w:left w:w="0" w:type="dxa"/>
                    <w:bottom w:w="0" w:type="dxa"/>
                    <w:right w:w="0" w:type="dxa"/>
                  </w:tcMar>
                  <w:vAlign w:val="center"/>
                </w:tcPr>
                <w:p w14:paraId="4C751E28">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14" w:type="pct"/>
                  <w:tcBorders>
                    <w:tl2br w:val="nil"/>
                    <w:tr2bl w:val="nil"/>
                  </w:tcBorders>
                  <w:noWrap w:val="0"/>
                  <w:tcMar>
                    <w:top w:w="0" w:type="dxa"/>
                    <w:left w:w="0" w:type="dxa"/>
                    <w:bottom w:w="0" w:type="dxa"/>
                    <w:right w:w="0" w:type="dxa"/>
                  </w:tcMar>
                  <w:vAlign w:val="center"/>
                </w:tcPr>
                <w:p w14:paraId="66A8573E">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64092667">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60</w:t>
                  </w:r>
                </w:p>
              </w:tc>
              <w:tc>
                <w:tcPr>
                  <w:tcW w:w="341" w:type="pct"/>
                  <w:tcBorders>
                    <w:tl2br w:val="nil"/>
                    <w:tr2bl w:val="nil"/>
                  </w:tcBorders>
                  <w:noWrap w:val="0"/>
                  <w:tcMar>
                    <w:top w:w="0" w:type="dxa"/>
                    <w:left w:w="0" w:type="dxa"/>
                    <w:bottom w:w="0" w:type="dxa"/>
                    <w:right w:w="0" w:type="dxa"/>
                  </w:tcMar>
                  <w:vAlign w:val="center"/>
                </w:tcPr>
                <w:p w14:paraId="0418FF51">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92" w:type="pct"/>
                  <w:tcBorders>
                    <w:tl2br w:val="nil"/>
                    <w:tr2bl w:val="nil"/>
                  </w:tcBorders>
                  <w:noWrap w:val="0"/>
                  <w:tcMar>
                    <w:top w:w="0" w:type="dxa"/>
                    <w:left w:w="0" w:type="dxa"/>
                    <w:bottom w:w="0" w:type="dxa"/>
                    <w:right w:w="0" w:type="dxa"/>
                  </w:tcMar>
                  <w:vAlign w:val="center"/>
                </w:tcPr>
                <w:p w14:paraId="77DD33DC">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429D4C55">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0.26</w:t>
                  </w:r>
                </w:p>
              </w:tc>
              <w:tc>
                <w:tcPr>
                  <w:tcW w:w="349" w:type="pct"/>
                  <w:tcBorders>
                    <w:tl2br w:val="nil"/>
                    <w:tr2bl w:val="nil"/>
                  </w:tcBorders>
                  <w:noWrap w:val="0"/>
                  <w:tcMar>
                    <w:top w:w="0" w:type="dxa"/>
                    <w:left w:w="0" w:type="dxa"/>
                    <w:bottom w:w="0" w:type="dxa"/>
                    <w:right w:w="0" w:type="dxa"/>
                  </w:tcMar>
                  <w:vAlign w:val="center"/>
                </w:tcPr>
                <w:p w14:paraId="22B9AB8A">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0.108</w:t>
                  </w:r>
                </w:p>
              </w:tc>
              <w:tc>
                <w:tcPr>
                  <w:tcW w:w="322" w:type="pct"/>
                  <w:tcBorders>
                    <w:tl2br w:val="nil"/>
                    <w:tr2bl w:val="nil"/>
                  </w:tcBorders>
                  <w:noWrap w:val="0"/>
                  <w:tcMar>
                    <w:top w:w="0" w:type="dxa"/>
                    <w:left w:w="0" w:type="dxa"/>
                    <w:bottom w:w="0" w:type="dxa"/>
                    <w:right w:w="0" w:type="dxa"/>
                  </w:tcMar>
                  <w:vAlign w:val="center"/>
                </w:tcPr>
                <w:p w14:paraId="2B4A0448">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221" w:type="pct"/>
                  <w:vMerge w:val="continue"/>
                  <w:tcBorders>
                    <w:tl2br w:val="nil"/>
                    <w:tr2bl w:val="nil"/>
                  </w:tcBorders>
                  <w:noWrap w:val="0"/>
                  <w:tcMar>
                    <w:top w:w="0" w:type="dxa"/>
                    <w:left w:w="0" w:type="dxa"/>
                    <w:bottom w:w="0" w:type="dxa"/>
                    <w:right w:w="0" w:type="dxa"/>
                  </w:tcMar>
                  <w:vAlign w:val="center"/>
                </w:tcPr>
                <w:p w14:paraId="583F41E3">
                  <w:pPr>
                    <w:widowControl/>
                    <w:jc w:val="center"/>
                    <w:textAlignment w:val="center"/>
                    <w:rPr>
                      <w:rFonts w:hint="default" w:ascii="Times New Roman" w:hAnsi="Times New Roman" w:cs="Times New Roman"/>
                      <w:color w:val="auto"/>
                      <w:sz w:val="21"/>
                      <w:szCs w:val="21"/>
                      <w:lang w:val="en-US" w:eastAsia="zh-CN"/>
                    </w:rPr>
                  </w:pPr>
                </w:p>
              </w:tc>
            </w:tr>
            <w:tr w14:paraId="34361C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4" w:hRule="atLeast"/>
                <w:jc w:val="center"/>
              </w:trPr>
              <w:tc>
                <w:tcPr>
                  <w:tcW w:w="524" w:type="pct"/>
                  <w:vMerge w:val="restart"/>
                  <w:tcBorders>
                    <w:tl2br w:val="nil"/>
                    <w:tr2bl w:val="nil"/>
                  </w:tcBorders>
                  <w:noWrap w:val="0"/>
                  <w:tcMar>
                    <w:top w:w="0" w:type="dxa"/>
                    <w:left w:w="0" w:type="dxa"/>
                    <w:bottom w:w="0" w:type="dxa"/>
                    <w:right w:w="0" w:type="dxa"/>
                  </w:tcMar>
                  <w:vAlign w:val="center"/>
                </w:tcPr>
                <w:p w14:paraId="54B0DF36">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eastAsia="zh-CN"/>
                    </w:rPr>
                    <w:t>三车间投料、破碎、粉碎、筛分、球磨工序</w:t>
                  </w:r>
                </w:p>
              </w:tc>
              <w:tc>
                <w:tcPr>
                  <w:tcW w:w="322" w:type="pct"/>
                  <w:tcBorders>
                    <w:tl2br w:val="nil"/>
                    <w:tr2bl w:val="nil"/>
                  </w:tcBorders>
                  <w:noWrap w:val="0"/>
                  <w:tcMar>
                    <w:top w:w="0" w:type="dxa"/>
                    <w:left w:w="0" w:type="dxa"/>
                    <w:bottom w:w="0" w:type="dxa"/>
                    <w:right w:w="0" w:type="dxa"/>
                  </w:tcMar>
                  <w:vAlign w:val="center"/>
                </w:tcPr>
                <w:p w14:paraId="10153C6E">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有组织</w:t>
                  </w:r>
                </w:p>
              </w:tc>
              <w:tc>
                <w:tcPr>
                  <w:tcW w:w="247" w:type="pct"/>
                  <w:tcBorders>
                    <w:tl2br w:val="nil"/>
                    <w:tr2bl w:val="nil"/>
                  </w:tcBorders>
                  <w:noWrap w:val="0"/>
                  <w:tcMar>
                    <w:top w:w="0" w:type="dxa"/>
                    <w:left w:w="0" w:type="dxa"/>
                    <w:bottom w:w="0" w:type="dxa"/>
                    <w:right w:w="0" w:type="dxa"/>
                  </w:tcMar>
                  <w:vAlign w:val="center"/>
                </w:tcPr>
                <w:p w14:paraId="7873F797">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颗粒物</w:t>
                  </w:r>
                </w:p>
              </w:tc>
              <w:tc>
                <w:tcPr>
                  <w:tcW w:w="268" w:type="pct"/>
                  <w:tcBorders>
                    <w:tl2br w:val="nil"/>
                    <w:tr2bl w:val="nil"/>
                  </w:tcBorders>
                  <w:noWrap w:val="0"/>
                  <w:tcMar>
                    <w:top w:w="0" w:type="dxa"/>
                    <w:left w:w="0" w:type="dxa"/>
                    <w:bottom w:w="0" w:type="dxa"/>
                    <w:right w:w="0" w:type="dxa"/>
                  </w:tcMar>
                  <w:vAlign w:val="center"/>
                </w:tcPr>
                <w:p w14:paraId="7ED8416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2.75</w:t>
                  </w:r>
                </w:p>
              </w:tc>
              <w:tc>
                <w:tcPr>
                  <w:tcW w:w="297" w:type="pct"/>
                  <w:tcBorders>
                    <w:tl2br w:val="nil"/>
                    <w:tr2bl w:val="nil"/>
                  </w:tcBorders>
                  <w:noWrap w:val="0"/>
                  <w:tcMar>
                    <w:top w:w="0" w:type="dxa"/>
                    <w:left w:w="0" w:type="dxa"/>
                    <w:bottom w:w="0" w:type="dxa"/>
                    <w:right w:w="0" w:type="dxa"/>
                  </w:tcMar>
                  <w:vAlign w:val="center"/>
                </w:tcPr>
                <w:p w14:paraId="755A22C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1.146</w:t>
                  </w:r>
                </w:p>
              </w:tc>
              <w:tc>
                <w:tcPr>
                  <w:tcW w:w="339" w:type="pct"/>
                  <w:tcBorders>
                    <w:tl2br w:val="nil"/>
                    <w:tr2bl w:val="nil"/>
                  </w:tcBorders>
                  <w:noWrap w:val="0"/>
                  <w:tcMar>
                    <w:top w:w="0" w:type="dxa"/>
                    <w:left w:w="0" w:type="dxa"/>
                    <w:bottom w:w="0" w:type="dxa"/>
                    <w:right w:w="0" w:type="dxa"/>
                  </w:tcMar>
                  <w:vAlign w:val="center"/>
                </w:tcPr>
                <w:p w14:paraId="4569041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114.6</w:t>
                  </w:r>
                </w:p>
              </w:tc>
              <w:tc>
                <w:tcPr>
                  <w:tcW w:w="525" w:type="pct"/>
                  <w:tcBorders>
                    <w:tl2br w:val="nil"/>
                    <w:tr2bl w:val="nil"/>
                  </w:tcBorders>
                  <w:noWrap w:val="0"/>
                  <w:tcMar>
                    <w:top w:w="0" w:type="dxa"/>
                    <w:left w:w="0" w:type="dxa"/>
                    <w:bottom w:w="0" w:type="dxa"/>
                    <w:right w:w="0" w:type="dxa"/>
                  </w:tcMar>
                  <w:vAlign w:val="center"/>
                </w:tcPr>
                <w:p w14:paraId="2E3F6503">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布袋除尘器</w:t>
                  </w:r>
                </w:p>
              </w:tc>
              <w:tc>
                <w:tcPr>
                  <w:tcW w:w="244" w:type="pct"/>
                  <w:tcBorders>
                    <w:tl2br w:val="nil"/>
                    <w:tr2bl w:val="nil"/>
                  </w:tcBorders>
                  <w:noWrap w:val="0"/>
                  <w:tcMar>
                    <w:top w:w="0" w:type="dxa"/>
                    <w:left w:w="0" w:type="dxa"/>
                    <w:bottom w:w="0" w:type="dxa"/>
                    <w:right w:w="0" w:type="dxa"/>
                  </w:tcMar>
                  <w:vAlign w:val="center"/>
                </w:tcPr>
                <w:p w14:paraId="5892E768">
                  <w:pPr>
                    <w:widowControl/>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10000</w:t>
                  </w:r>
                </w:p>
              </w:tc>
              <w:tc>
                <w:tcPr>
                  <w:tcW w:w="214" w:type="pct"/>
                  <w:tcBorders>
                    <w:tl2br w:val="nil"/>
                    <w:tr2bl w:val="nil"/>
                  </w:tcBorders>
                  <w:noWrap w:val="0"/>
                  <w:tcMar>
                    <w:top w:w="0" w:type="dxa"/>
                    <w:left w:w="0" w:type="dxa"/>
                    <w:bottom w:w="0" w:type="dxa"/>
                    <w:right w:w="0" w:type="dxa"/>
                  </w:tcMar>
                  <w:vAlign w:val="center"/>
                </w:tcPr>
                <w:p w14:paraId="3A69B76D">
                  <w:pPr>
                    <w:widowControl/>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90</w:t>
                  </w:r>
                </w:p>
              </w:tc>
              <w:tc>
                <w:tcPr>
                  <w:tcW w:w="244" w:type="pct"/>
                  <w:tcBorders>
                    <w:tl2br w:val="nil"/>
                    <w:tr2bl w:val="nil"/>
                  </w:tcBorders>
                  <w:noWrap w:val="0"/>
                  <w:tcMar>
                    <w:top w:w="0" w:type="dxa"/>
                    <w:left w:w="0" w:type="dxa"/>
                    <w:bottom w:w="0" w:type="dxa"/>
                    <w:right w:w="0" w:type="dxa"/>
                  </w:tcMar>
                  <w:vAlign w:val="center"/>
                </w:tcPr>
                <w:p w14:paraId="5342CE9E">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95</w:t>
                  </w:r>
                </w:p>
              </w:tc>
              <w:tc>
                <w:tcPr>
                  <w:tcW w:w="341" w:type="pct"/>
                  <w:tcBorders>
                    <w:tl2br w:val="nil"/>
                    <w:tr2bl w:val="nil"/>
                  </w:tcBorders>
                  <w:noWrap w:val="0"/>
                  <w:tcMar>
                    <w:top w:w="0" w:type="dxa"/>
                    <w:left w:w="0" w:type="dxa"/>
                    <w:bottom w:w="0" w:type="dxa"/>
                    <w:right w:w="0" w:type="dxa"/>
                  </w:tcMar>
                  <w:vAlign w:val="center"/>
                </w:tcPr>
                <w:p w14:paraId="0764853F">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rPr>
                    <w:t>是</w:t>
                  </w:r>
                </w:p>
              </w:tc>
              <w:tc>
                <w:tcPr>
                  <w:tcW w:w="292" w:type="pct"/>
                  <w:tcBorders>
                    <w:tl2br w:val="nil"/>
                    <w:tr2bl w:val="nil"/>
                  </w:tcBorders>
                  <w:noWrap w:val="0"/>
                  <w:tcMar>
                    <w:top w:w="0" w:type="dxa"/>
                    <w:left w:w="0" w:type="dxa"/>
                    <w:bottom w:w="0" w:type="dxa"/>
                    <w:right w:w="0" w:type="dxa"/>
                  </w:tcMar>
                  <w:vAlign w:val="center"/>
                </w:tcPr>
                <w:p w14:paraId="10CAF360">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DA00</w:t>
                  </w:r>
                  <w:r>
                    <w:rPr>
                      <w:rFonts w:hint="eastAsia" w:ascii="Times New Roman" w:hAnsi="Times New Roman" w:cs="Times New Roman"/>
                      <w:color w:val="auto"/>
                      <w:sz w:val="21"/>
                      <w:szCs w:val="21"/>
                      <w:lang w:val="en-US" w:eastAsia="zh-CN"/>
                    </w:rPr>
                    <w:t>2</w:t>
                  </w:r>
                </w:p>
              </w:tc>
              <w:tc>
                <w:tcPr>
                  <w:tcW w:w="244" w:type="pct"/>
                  <w:tcBorders>
                    <w:tl2br w:val="nil"/>
                    <w:tr2bl w:val="nil"/>
                  </w:tcBorders>
                  <w:noWrap w:val="0"/>
                  <w:tcMar>
                    <w:top w:w="0" w:type="dxa"/>
                    <w:left w:w="0" w:type="dxa"/>
                    <w:bottom w:w="0" w:type="dxa"/>
                    <w:right w:w="0" w:type="dxa"/>
                  </w:tcMar>
                  <w:vAlign w:val="center"/>
                </w:tcPr>
                <w:p w14:paraId="4BE564E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0.138</w:t>
                  </w:r>
                </w:p>
              </w:tc>
              <w:tc>
                <w:tcPr>
                  <w:tcW w:w="349" w:type="pct"/>
                  <w:tcBorders>
                    <w:tl2br w:val="nil"/>
                    <w:tr2bl w:val="nil"/>
                  </w:tcBorders>
                  <w:noWrap w:val="0"/>
                  <w:tcMar>
                    <w:top w:w="0" w:type="dxa"/>
                    <w:left w:w="0" w:type="dxa"/>
                    <w:bottom w:w="0" w:type="dxa"/>
                    <w:right w:w="0" w:type="dxa"/>
                  </w:tcMar>
                  <w:vAlign w:val="center"/>
                </w:tcPr>
                <w:p w14:paraId="73C08CE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0.058</w:t>
                  </w:r>
                </w:p>
              </w:tc>
              <w:tc>
                <w:tcPr>
                  <w:tcW w:w="322" w:type="pct"/>
                  <w:tcBorders>
                    <w:tl2br w:val="nil"/>
                    <w:tr2bl w:val="nil"/>
                  </w:tcBorders>
                  <w:noWrap w:val="0"/>
                  <w:tcMar>
                    <w:top w:w="0" w:type="dxa"/>
                    <w:left w:w="0" w:type="dxa"/>
                    <w:bottom w:w="0" w:type="dxa"/>
                    <w:right w:w="0" w:type="dxa"/>
                  </w:tcMar>
                  <w:vAlign w:val="center"/>
                </w:tcPr>
                <w:p w14:paraId="5503D4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5.8</w:t>
                  </w:r>
                </w:p>
              </w:tc>
              <w:tc>
                <w:tcPr>
                  <w:tcW w:w="221" w:type="pct"/>
                  <w:vMerge w:val="restart"/>
                  <w:tcBorders>
                    <w:tl2br w:val="nil"/>
                    <w:tr2bl w:val="nil"/>
                  </w:tcBorders>
                  <w:noWrap w:val="0"/>
                  <w:tcMar>
                    <w:top w:w="0" w:type="dxa"/>
                    <w:left w:w="0" w:type="dxa"/>
                    <w:bottom w:w="0" w:type="dxa"/>
                    <w:right w:w="0" w:type="dxa"/>
                  </w:tcMar>
                  <w:vAlign w:val="center"/>
                </w:tcPr>
                <w:p w14:paraId="274AA2D4">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1800</w:t>
                  </w:r>
                </w:p>
              </w:tc>
            </w:tr>
            <w:tr w14:paraId="14C062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vMerge w:val="continue"/>
                  <w:tcBorders>
                    <w:tl2br w:val="nil"/>
                    <w:tr2bl w:val="nil"/>
                  </w:tcBorders>
                  <w:noWrap w:val="0"/>
                  <w:tcMar>
                    <w:top w:w="0" w:type="dxa"/>
                    <w:left w:w="0" w:type="dxa"/>
                    <w:bottom w:w="0" w:type="dxa"/>
                    <w:right w:w="0" w:type="dxa"/>
                  </w:tcMar>
                  <w:vAlign w:val="center"/>
                </w:tcPr>
                <w:p w14:paraId="6F92C982">
                  <w:pPr>
                    <w:widowControl/>
                    <w:jc w:val="center"/>
                    <w:textAlignment w:val="center"/>
                    <w:rPr>
                      <w:rFonts w:hint="default" w:ascii="Times New Roman" w:hAnsi="Times New Roman" w:cs="Times New Roman"/>
                      <w:color w:val="auto"/>
                      <w:sz w:val="21"/>
                      <w:szCs w:val="21"/>
                      <w:lang w:val="en-US" w:eastAsia="zh-CN"/>
                    </w:rPr>
                  </w:pPr>
                </w:p>
              </w:tc>
              <w:tc>
                <w:tcPr>
                  <w:tcW w:w="322" w:type="pct"/>
                  <w:tcBorders>
                    <w:tl2br w:val="nil"/>
                    <w:tr2bl w:val="nil"/>
                  </w:tcBorders>
                  <w:noWrap w:val="0"/>
                  <w:tcMar>
                    <w:top w:w="0" w:type="dxa"/>
                    <w:left w:w="0" w:type="dxa"/>
                    <w:bottom w:w="0" w:type="dxa"/>
                    <w:right w:w="0" w:type="dxa"/>
                  </w:tcMar>
                  <w:vAlign w:val="center"/>
                </w:tcPr>
                <w:p w14:paraId="6CE616E4">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无组织</w:t>
                  </w:r>
                </w:p>
              </w:tc>
              <w:tc>
                <w:tcPr>
                  <w:tcW w:w="247" w:type="pct"/>
                  <w:tcBorders>
                    <w:tl2br w:val="nil"/>
                    <w:tr2bl w:val="nil"/>
                  </w:tcBorders>
                  <w:noWrap w:val="0"/>
                  <w:tcMar>
                    <w:top w:w="0" w:type="dxa"/>
                    <w:left w:w="0" w:type="dxa"/>
                    <w:bottom w:w="0" w:type="dxa"/>
                    <w:right w:w="0" w:type="dxa"/>
                  </w:tcMar>
                  <w:vAlign w:val="center"/>
                </w:tcPr>
                <w:p w14:paraId="7574FA50">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颗粒物</w:t>
                  </w:r>
                </w:p>
              </w:tc>
              <w:tc>
                <w:tcPr>
                  <w:tcW w:w="268" w:type="pct"/>
                  <w:tcBorders>
                    <w:tl2br w:val="nil"/>
                    <w:tr2bl w:val="nil"/>
                  </w:tcBorders>
                  <w:noWrap w:val="0"/>
                  <w:tcMar>
                    <w:top w:w="0" w:type="dxa"/>
                    <w:left w:w="0" w:type="dxa"/>
                    <w:bottom w:w="0" w:type="dxa"/>
                    <w:right w:w="0" w:type="dxa"/>
                  </w:tcMar>
                  <w:vAlign w:val="center"/>
                </w:tcPr>
                <w:p w14:paraId="2CC47FAD">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0.153</w:t>
                  </w:r>
                </w:p>
              </w:tc>
              <w:tc>
                <w:tcPr>
                  <w:tcW w:w="297" w:type="pct"/>
                  <w:tcBorders>
                    <w:tl2br w:val="nil"/>
                    <w:tr2bl w:val="nil"/>
                  </w:tcBorders>
                  <w:noWrap w:val="0"/>
                  <w:tcMar>
                    <w:top w:w="0" w:type="dxa"/>
                    <w:left w:w="0" w:type="dxa"/>
                    <w:bottom w:w="0" w:type="dxa"/>
                    <w:right w:w="0" w:type="dxa"/>
                  </w:tcMar>
                  <w:vAlign w:val="center"/>
                </w:tcPr>
                <w:p w14:paraId="271FF8F7">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0.085</w:t>
                  </w:r>
                </w:p>
              </w:tc>
              <w:tc>
                <w:tcPr>
                  <w:tcW w:w="339" w:type="pct"/>
                  <w:tcBorders>
                    <w:tl2br w:val="nil"/>
                    <w:tr2bl w:val="nil"/>
                  </w:tcBorders>
                  <w:noWrap w:val="0"/>
                  <w:tcMar>
                    <w:top w:w="0" w:type="dxa"/>
                    <w:left w:w="0" w:type="dxa"/>
                    <w:bottom w:w="0" w:type="dxa"/>
                    <w:right w:w="0" w:type="dxa"/>
                  </w:tcMar>
                  <w:vAlign w:val="center"/>
                </w:tcPr>
                <w:p w14:paraId="0EAC9E70">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525" w:type="pct"/>
                  <w:tcBorders>
                    <w:tl2br w:val="nil"/>
                    <w:tr2bl w:val="nil"/>
                  </w:tcBorders>
                  <w:noWrap w:val="0"/>
                  <w:tcMar>
                    <w:top w:w="0" w:type="dxa"/>
                    <w:left w:w="0" w:type="dxa"/>
                    <w:bottom w:w="0" w:type="dxa"/>
                    <w:right w:w="0" w:type="dxa"/>
                  </w:tcMar>
                  <w:vAlign w:val="center"/>
                </w:tcPr>
                <w:p w14:paraId="3DFBAE70">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密闭车间、加强管理，洒水降尘</w:t>
                  </w:r>
                </w:p>
              </w:tc>
              <w:tc>
                <w:tcPr>
                  <w:tcW w:w="244" w:type="pct"/>
                  <w:tcBorders>
                    <w:tl2br w:val="nil"/>
                    <w:tr2bl w:val="nil"/>
                  </w:tcBorders>
                  <w:noWrap w:val="0"/>
                  <w:tcMar>
                    <w:top w:w="0" w:type="dxa"/>
                    <w:left w:w="0" w:type="dxa"/>
                    <w:bottom w:w="0" w:type="dxa"/>
                    <w:right w:w="0" w:type="dxa"/>
                  </w:tcMar>
                  <w:vAlign w:val="center"/>
                </w:tcPr>
                <w:p w14:paraId="00FBBB26">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14" w:type="pct"/>
                  <w:tcBorders>
                    <w:tl2br w:val="nil"/>
                    <w:tr2bl w:val="nil"/>
                  </w:tcBorders>
                  <w:noWrap w:val="0"/>
                  <w:tcMar>
                    <w:top w:w="0" w:type="dxa"/>
                    <w:left w:w="0" w:type="dxa"/>
                    <w:bottom w:w="0" w:type="dxa"/>
                    <w:right w:w="0" w:type="dxa"/>
                  </w:tcMar>
                  <w:vAlign w:val="center"/>
                </w:tcPr>
                <w:p w14:paraId="7F4F8EEF">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7AEE2223">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60</w:t>
                  </w:r>
                </w:p>
              </w:tc>
              <w:tc>
                <w:tcPr>
                  <w:tcW w:w="341" w:type="pct"/>
                  <w:tcBorders>
                    <w:tl2br w:val="nil"/>
                    <w:tr2bl w:val="nil"/>
                  </w:tcBorders>
                  <w:noWrap w:val="0"/>
                  <w:tcMar>
                    <w:top w:w="0" w:type="dxa"/>
                    <w:left w:w="0" w:type="dxa"/>
                    <w:bottom w:w="0" w:type="dxa"/>
                    <w:right w:w="0" w:type="dxa"/>
                  </w:tcMar>
                  <w:vAlign w:val="center"/>
                </w:tcPr>
                <w:p w14:paraId="202E00BE">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292" w:type="pct"/>
                  <w:tcBorders>
                    <w:tl2br w:val="nil"/>
                    <w:tr2bl w:val="nil"/>
                  </w:tcBorders>
                  <w:noWrap w:val="0"/>
                  <w:tcMar>
                    <w:top w:w="0" w:type="dxa"/>
                    <w:left w:w="0" w:type="dxa"/>
                    <w:bottom w:w="0" w:type="dxa"/>
                    <w:right w:w="0" w:type="dxa"/>
                  </w:tcMar>
                  <w:vAlign w:val="center"/>
                </w:tcPr>
                <w:p w14:paraId="13B9AA55">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76175D50">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0.061</w:t>
                  </w:r>
                </w:p>
              </w:tc>
              <w:tc>
                <w:tcPr>
                  <w:tcW w:w="349" w:type="pct"/>
                  <w:tcBorders>
                    <w:tl2br w:val="nil"/>
                    <w:tr2bl w:val="nil"/>
                  </w:tcBorders>
                  <w:noWrap w:val="0"/>
                  <w:tcMar>
                    <w:top w:w="0" w:type="dxa"/>
                    <w:left w:w="0" w:type="dxa"/>
                    <w:bottom w:w="0" w:type="dxa"/>
                    <w:right w:w="0" w:type="dxa"/>
                  </w:tcMar>
                  <w:vAlign w:val="center"/>
                </w:tcPr>
                <w:p w14:paraId="4B64D222">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0.034</w:t>
                  </w:r>
                </w:p>
              </w:tc>
              <w:tc>
                <w:tcPr>
                  <w:tcW w:w="322" w:type="pct"/>
                  <w:tcBorders>
                    <w:tl2br w:val="nil"/>
                    <w:tr2bl w:val="nil"/>
                  </w:tcBorders>
                  <w:noWrap w:val="0"/>
                  <w:tcMar>
                    <w:top w:w="0" w:type="dxa"/>
                    <w:left w:w="0" w:type="dxa"/>
                    <w:bottom w:w="0" w:type="dxa"/>
                    <w:right w:w="0" w:type="dxa"/>
                  </w:tcMar>
                  <w:vAlign w:val="center"/>
                </w:tcPr>
                <w:p w14:paraId="6937D962">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221" w:type="pct"/>
                  <w:vMerge w:val="continue"/>
                  <w:tcBorders>
                    <w:tl2br w:val="nil"/>
                    <w:tr2bl w:val="nil"/>
                  </w:tcBorders>
                  <w:noWrap w:val="0"/>
                  <w:tcMar>
                    <w:top w:w="0" w:type="dxa"/>
                    <w:left w:w="0" w:type="dxa"/>
                    <w:bottom w:w="0" w:type="dxa"/>
                    <w:right w:w="0" w:type="dxa"/>
                  </w:tcMar>
                  <w:vAlign w:val="center"/>
                </w:tcPr>
                <w:p w14:paraId="273D6D31">
                  <w:pPr>
                    <w:widowControl/>
                    <w:jc w:val="center"/>
                    <w:textAlignment w:val="center"/>
                    <w:rPr>
                      <w:rFonts w:hint="default" w:ascii="Times New Roman" w:hAnsi="Times New Roman" w:cs="Times New Roman"/>
                      <w:color w:val="auto"/>
                      <w:sz w:val="21"/>
                      <w:szCs w:val="21"/>
                      <w:lang w:val="en-US" w:eastAsia="zh-CN"/>
                    </w:rPr>
                  </w:pPr>
                </w:p>
              </w:tc>
            </w:tr>
            <w:tr w14:paraId="7716A2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vMerge w:val="restart"/>
                  <w:tcBorders>
                    <w:tl2br w:val="nil"/>
                    <w:tr2bl w:val="nil"/>
                  </w:tcBorders>
                  <w:noWrap w:val="0"/>
                  <w:tcMar>
                    <w:top w:w="0" w:type="dxa"/>
                    <w:left w:w="0" w:type="dxa"/>
                    <w:bottom w:w="0" w:type="dxa"/>
                    <w:right w:w="0" w:type="dxa"/>
                  </w:tcMar>
                  <w:vAlign w:val="center"/>
                </w:tcPr>
                <w:p w14:paraId="0A9BF412">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highlight w:val="none"/>
                      <w:lang w:eastAsia="zh-CN"/>
                    </w:rPr>
                    <w:t>四</w:t>
                  </w:r>
                  <w:r>
                    <w:rPr>
                      <w:rFonts w:hint="eastAsia" w:ascii="Times New Roman" w:hAnsi="Times New Roman" w:eastAsia="宋体" w:cs="Times New Roman"/>
                      <w:color w:val="auto"/>
                      <w:sz w:val="21"/>
                      <w:szCs w:val="21"/>
                      <w:highlight w:val="none"/>
                      <w:lang w:eastAsia="zh-CN"/>
                    </w:rPr>
                    <w:t>车间投料、破碎、粉碎、筛分、球磨工序</w:t>
                  </w:r>
                </w:p>
              </w:tc>
              <w:tc>
                <w:tcPr>
                  <w:tcW w:w="322" w:type="pct"/>
                  <w:tcBorders>
                    <w:tl2br w:val="nil"/>
                    <w:tr2bl w:val="nil"/>
                  </w:tcBorders>
                  <w:noWrap w:val="0"/>
                  <w:tcMar>
                    <w:top w:w="0" w:type="dxa"/>
                    <w:left w:w="0" w:type="dxa"/>
                    <w:bottom w:w="0" w:type="dxa"/>
                    <w:right w:w="0" w:type="dxa"/>
                  </w:tcMar>
                  <w:vAlign w:val="center"/>
                </w:tcPr>
                <w:p w14:paraId="2C2B76CB">
                  <w:pPr>
                    <w:widowControl/>
                    <w:jc w:val="center"/>
                    <w:textAlignment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有组织</w:t>
                  </w:r>
                </w:p>
              </w:tc>
              <w:tc>
                <w:tcPr>
                  <w:tcW w:w="247" w:type="pct"/>
                  <w:tcBorders>
                    <w:tl2br w:val="nil"/>
                    <w:tr2bl w:val="nil"/>
                  </w:tcBorders>
                  <w:noWrap w:val="0"/>
                  <w:tcMar>
                    <w:top w:w="0" w:type="dxa"/>
                    <w:left w:w="0" w:type="dxa"/>
                    <w:bottom w:w="0" w:type="dxa"/>
                    <w:right w:w="0" w:type="dxa"/>
                  </w:tcMar>
                  <w:vAlign w:val="center"/>
                </w:tcPr>
                <w:p w14:paraId="67579CED">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颗粒物</w:t>
                  </w:r>
                </w:p>
              </w:tc>
              <w:tc>
                <w:tcPr>
                  <w:tcW w:w="268" w:type="pct"/>
                  <w:tcBorders>
                    <w:tl2br w:val="nil"/>
                    <w:tr2bl w:val="nil"/>
                  </w:tcBorders>
                  <w:noWrap w:val="0"/>
                  <w:tcMar>
                    <w:top w:w="0" w:type="dxa"/>
                    <w:left w:w="0" w:type="dxa"/>
                    <w:bottom w:w="0" w:type="dxa"/>
                    <w:right w:w="0" w:type="dxa"/>
                  </w:tcMar>
                  <w:vAlign w:val="center"/>
                </w:tcPr>
                <w:p w14:paraId="3267642E">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2.75</w:t>
                  </w:r>
                </w:p>
              </w:tc>
              <w:tc>
                <w:tcPr>
                  <w:tcW w:w="297" w:type="pct"/>
                  <w:tcBorders>
                    <w:tl2br w:val="nil"/>
                    <w:tr2bl w:val="nil"/>
                  </w:tcBorders>
                  <w:noWrap w:val="0"/>
                  <w:tcMar>
                    <w:top w:w="0" w:type="dxa"/>
                    <w:left w:w="0" w:type="dxa"/>
                    <w:bottom w:w="0" w:type="dxa"/>
                    <w:right w:w="0" w:type="dxa"/>
                  </w:tcMar>
                  <w:vAlign w:val="center"/>
                </w:tcPr>
                <w:p w14:paraId="086BCFA1">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1.146</w:t>
                  </w:r>
                </w:p>
              </w:tc>
              <w:tc>
                <w:tcPr>
                  <w:tcW w:w="339" w:type="pct"/>
                  <w:tcBorders>
                    <w:tl2br w:val="nil"/>
                    <w:tr2bl w:val="nil"/>
                  </w:tcBorders>
                  <w:noWrap w:val="0"/>
                  <w:tcMar>
                    <w:top w:w="0" w:type="dxa"/>
                    <w:left w:w="0" w:type="dxa"/>
                    <w:bottom w:w="0" w:type="dxa"/>
                    <w:right w:w="0" w:type="dxa"/>
                  </w:tcMar>
                  <w:vAlign w:val="center"/>
                </w:tcPr>
                <w:p w14:paraId="2D77DCBB">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114.6</w:t>
                  </w:r>
                </w:p>
              </w:tc>
              <w:tc>
                <w:tcPr>
                  <w:tcW w:w="525" w:type="pct"/>
                  <w:tcBorders>
                    <w:tl2br w:val="nil"/>
                    <w:tr2bl w:val="nil"/>
                  </w:tcBorders>
                  <w:noWrap w:val="0"/>
                  <w:tcMar>
                    <w:top w:w="0" w:type="dxa"/>
                    <w:left w:w="0" w:type="dxa"/>
                    <w:bottom w:w="0" w:type="dxa"/>
                    <w:right w:w="0" w:type="dxa"/>
                  </w:tcMar>
                  <w:vAlign w:val="center"/>
                </w:tcPr>
                <w:p w14:paraId="0495724D">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布袋除尘器</w:t>
                  </w:r>
                </w:p>
              </w:tc>
              <w:tc>
                <w:tcPr>
                  <w:tcW w:w="244" w:type="pct"/>
                  <w:tcBorders>
                    <w:tl2br w:val="nil"/>
                    <w:tr2bl w:val="nil"/>
                  </w:tcBorders>
                  <w:noWrap w:val="0"/>
                  <w:tcMar>
                    <w:top w:w="0" w:type="dxa"/>
                    <w:left w:w="0" w:type="dxa"/>
                    <w:bottom w:w="0" w:type="dxa"/>
                    <w:right w:w="0" w:type="dxa"/>
                  </w:tcMar>
                  <w:vAlign w:val="center"/>
                </w:tcPr>
                <w:p w14:paraId="1F8C83A3">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10000</w:t>
                  </w:r>
                </w:p>
              </w:tc>
              <w:tc>
                <w:tcPr>
                  <w:tcW w:w="214" w:type="pct"/>
                  <w:tcBorders>
                    <w:tl2br w:val="nil"/>
                    <w:tr2bl w:val="nil"/>
                  </w:tcBorders>
                  <w:noWrap w:val="0"/>
                  <w:tcMar>
                    <w:top w:w="0" w:type="dxa"/>
                    <w:left w:w="0" w:type="dxa"/>
                    <w:bottom w:w="0" w:type="dxa"/>
                    <w:right w:w="0" w:type="dxa"/>
                  </w:tcMar>
                  <w:vAlign w:val="center"/>
                </w:tcPr>
                <w:p w14:paraId="176C8FE8">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90</w:t>
                  </w:r>
                </w:p>
              </w:tc>
              <w:tc>
                <w:tcPr>
                  <w:tcW w:w="244" w:type="pct"/>
                  <w:tcBorders>
                    <w:tl2br w:val="nil"/>
                    <w:tr2bl w:val="nil"/>
                  </w:tcBorders>
                  <w:noWrap w:val="0"/>
                  <w:tcMar>
                    <w:top w:w="0" w:type="dxa"/>
                    <w:left w:w="0" w:type="dxa"/>
                    <w:bottom w:w="0" w:type="dxa"/>
                    <w:right w:w="0" w:type="dxa"/>
                  </w:tcMar>
                  <w:vAlign w:val="center"/>
                </w:tcPr>
                <w:p w14:paraId="45EAA887">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95</w:t>
                  </w:r>
                </w:p>
              </w:tc>
              <w:tc>
                <w:tcPr>
                  <w:tcW w:w="341" w:type="pct"/>
                  <w:tcBorders>
                    <w:tl2br w:val="nil"/>
                    <w:tr2bl w:val="nil"/>
                  </w:tcBorders>
                  <w:noWrap w:val="0"/>
                  <w:tcMar>
                    <w:top w:w="0" w:type="dxa"/>
                    <w:left w:w="0" w:type="dxa"/>
                    <w:bottom w:w="0" w:type="dxa"/>
                    <w:right w:w="0" w:type="dxa"/>
                  </w:tcMar>
                  <w:vAlign w:val="center"/>
                </w:tcPr>
                <w:p w14:paraId="48A88E5D">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是</w:t>
                  </w:r>
                </w:p>
              </w:tc>
              <w:tc>
                <w:tcPr>
                  <w:tcW w:w="292" w:type="pct"/>
                  <w:tcBorders>
                    <w:tl2br w:val="nil"/>
                    <w:tr2bl w:val="nil"/>
                  </w:tcBorders>
                  <w:noWrap w:val="0"/>
                  <w:tcMar>
                    <w:top w:w="0" w:type="dxa"/>
                    <w:left w:w="0" w:type="dxa"/>
                    <w:bottom w:w="0" w:type="dxa"/>
                    <w:right w:w="0" w:type="dxa"/>
                  </w:tcMar>
                  <w:vAlign w:val="center"/>
                </w:tcPr>
                <w:p w14:paraId="0544ABCE">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DA003</w:t>
                  </w:r>
                </w:p>
              </w:tc>
              <w:tc>
                <w:tcPr>
                  <w:tcW w:w="244" w:type="pct"/>
                  <w:tcBorders>
                    <w:tl2br w:val="nil"/>
                    <w:tr2bl w:val="nil"/>
                  </w:tcBorders>
                  <w:noWrap w:val="0"/>
                  <w:tcMar>
                    <w:top w:w="0" w:type="dxa"/>
                    <w:left w:w="0" w:type="dxa"/>
                    <w:bottom w:w="0" w:type="dxa"/>
                    <w:right w:w="0" w:type="dxa"/>
                  </w:tcMar>
                  <w:vAlign w:val="center"/>
                </w:tcPr>
                <w:p w14:paraId="2A74C121">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0.138</w:t>
                  </w:r>
                </w:p>
              </w:tc>
              <w:tc>
                <w:tcPr>
                  <w:tcW w:w="349" w:type="pct"/>
                  <w:tcBorders>
                    <w:tl2br w:val="nil"/>
                    <w:tr2bl w:val="nil"/>
                  </w:tcBorders>
                  <w:noWrap w:val="0"/>
                  <w:tcMar>
                    <w:top w:w="0" w:type="dxa"/>
                    <w:left w:w="0" w:type="dxa"/>
                    <w:bottom w:w="0" w:type="dxa"/>
                    <w:right w:w="0" w:type="dxa"/>
                  </w:tcMar>
                  <w:vAlign w:val="center"/>
                </w:tcPr>
                <w:p w14:paraId="4BDD91CA">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0.058</w:t>
                  </w:r>
                </w:p>
              </w:tc>
              <w:tc>
                <w:tcPr>
                  <w:tcW w:w="322" w:type="pct"/>
                  <w:tcBorders>
                    <w:tl2br w:val="nil"/>
                    <w:tr2bl w:val="nil"/>
                  </w:tcBorders>
                  <w:noWrap w:val="0"/>
                  <w:tcMar>
                    <w:top w:w="0" w:type="dxa"/>
                    <w:left w:w="0" w:type="dxa"/>
                    <w:bottom w:w="0" w:type="dxa"/>
                    <w:right w:w="0" w:type="dxa"/>
                  </w:tcMar>
                  <w:vAlign w:val="center"/>
                </w:tcPr>
                <w:p w14:paraId="3DDE0538">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5.8</w:t>
                  </w:r>
                </w:p>
              </w:tc>
              <w:tc>
                <w:tcPr>
                  <w:tcW w:w="221" w:type="pct"/>
                  <w:vMerge w:val="restart"/>
                  <w:tcBorders>
                    <w:tl2br w:val="nil"/>
                    <w:tr2bl w:val="nil"/>
                  </w:tcBorders>
                  <w:noWrap w:val="0"/>
                  <w:tcMar>
                    <w:top w:w="0" w:type="dxa"/>
                    <w:left w:w="0" w:type="dxa"/>
                    <w:bottom w:w="0" w:type="dxa"/>
                    <w:right w:w="0" w:type="dxa"/>
                  </w:tcMar>
                  <w:vAlign w:val="center"/>
                </w:tcPr>
                <w:p w14:paraId="558E3E24">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1800</w:t>
                  </w:r>
                </w:p>
              </w:tc>
            </w:tr>
            <w:tr w14:paraId="7B4918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vMerge w:val="continue"/>
                  <w:tcBorders>
                    <w:tl2br w:val="nil"/>
                    <w:tr2bl w:val="nil"/>
                  </w:tcBorders>
                  <w:noWrap w:val="0"/>
                  <w:tcMar>
                    <w:top w:w="0" w:type="dxa"/>
                    <w:left w:w="0" w:type="dxa"/>
                    <w:bottom w:w="0" w:type="dxa"/>
                    <w:right w:w="0" w:type="dxa"/>
                  </w:tcMar>
                  <w:vAlign w:val="center"/>
                </w:tcPr>
                <w:p w14:paraId="35F3E3E2">
                  <w:pPr>
                    <w:widowControl/>
                    <w:jc w:val="center"/>
                    <w:textAlignment w:val="center"/>
                    <w:rPr>
                      <w:rFonts w:hint="default" w:ascii="Times New Roman" w:hAnsi="Times New Roman" w:cs="Times New Roman"/>
                      <w:color w:val="auto"/>
                      <w:sz w:val="21"/>
                      <w:szCs w:val="21"/>
                      <w:lang w:val="en-US" w:eastAsia="zh-CN"/>
                    </w:rPr>
                  </w:pPr>
                </w:p>
              </w:tc>
              <w:tc>
                <w:tcPr>
                  <w:tcW w:w="322" w:type="pct"/>
                  <w:tcBorders>
                    <w:tl2br w:val="nil"/>
                    <w:tr2bl w:val="nil"/>
                  </w:tcBorders>
                  <w:noWrap w:val="0"/>
                  <w:tcMar>
                    <w:top w:w="0" w:type="dxa"/>
                    <w:left w:w="0" w:type="dxa"/>
                    <w:bottom w:w="0" w:type="dxa"/>
                    <w:right w:w="0" w:type="dxa"/>
                  </w:tcMar>
                  <w:vAlign w:val="center"/>
                </w:tcPr>
                <w:p w14:paraId="6E418692">
                  <w:pPr>
                    <w:widowControl/>
                    <w:jc w:val="center"/>
                    <w:textAlignment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无组织</w:t>
                  </w:r>
                </w:p>
              </w:tc>
              <w:tc>
                <w:tcPr>
                  <w:tcW w:w="247" w:type="pct"/>
                  <w:tcBorders>
                    <w:tl2br w:val="nil"/>
                    <w:tr2bl w:val="nil"/>
                  </w:tcBorders>
                  <w:noWrap w:val="0"/>
                  <w:tcMar>
                    <w:top w:w="0" w:type="dxa"/>
                    <w:left w:w="0" w:type="dxa"/>
                    <w:bottom w:w="0" w:type="dxa"/>
                    <w:right w:w="0" w:type="dxa"/>
                  </w:tcMar>
                  <w:vAlign w:val="center"/>
                </w:tcPr>
                <w:p w14:paraId="2E1A60CA">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颗粒物</w:t>
                  </w:r>
                </w:p>
              </w:tc>
              <w:tc>
                <w:tcPr>
                  <w:tcW w:w="268" w:type="pct"/>
                  <w:tcBorders>
                    <w:tl2br w:val="nil"/>
                    <w:tr2bl w:val="nil"/>
                  </w:tcBorders>
                  <w:shd w:val="clear" w:color="auto" w:fill="auto"/>
                  <w:noWrap w:val="0"/>
                  <w:tcMar>
                    <w:top w:w="0" w:type="dxa"/>
                    <w:left w:w="0" w:type="dxa"/>
                    <w:bottom w:w="0" w:type="dxa"/>
                    <w:right w:w="0" w:type="dxa"/>
                  </w:tcMar>
                  <w:vAlign w:val="center"/>
                </w:tcPr>
                <w:p w14:paraId="737A87E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0.153</w:t>
                  </w:r>
                </w:p>
              </w:tc>
              <w:tc>
                <w:tcPr>
                  <w:tcW w:w="297" w:type="pct"/>
                  <w:tcBorders>
                    <w:tl2br w:val="nil"/>
                    <w:tr2bl w:val="nil"/>
                  </w:tcBorders>
                  <w:shd w:val="clear" w:color="auto" w:fill="auto"/>
                  <w:noWrap w:val="0"/>
                  <w:tcMar>
                    <w:top w:w="0" w:type="dxa"/>
                    <w:left w:w="0" w:type="dxa"/>
                    <w:bottom w:w="0" w:type="dxa"/>
                    <w:right w:w="0" w:type="dxa"/>
                  </w:tcMar>
                  <w:vAlign w:val="center"/>
                </w:tcPr>
                <w:p w14:paraId="6E29954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0.085</w:t>
                  </w:r>
                </w:p>
              </w:tc>
              <w:tc>
                <w:tcPr>
                  <w:tcW w:w="339" w:type="pct"/>
                  <w:tcBorders>
                    <w:tl2br w:val="nil"/>
                    <w:tr2bl w:val="nil"/>
                  </w:tcBorders>
                  <w:shd w:val="clear" w:color="auto" w:fill="auto"/>
                  <w:noWrap w:val="0"/>
                  <w:tcMar>
                    <w:top w:w="0" w:type="dxa"/>
                    <w:left w:w="0" w:type="dxa"/>
                    <w:bottom w:w="0" w:type="dxa"/>
                    <w:right w:w="0" w:type="dxa"/>
                  </w:tcMar>
                  <w:vAlign w:val="center"/>
                </w:tcPr>
                <w:p w14:paraId="6EFE15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c>
                <w:tcPr>
                  <w:tcW w:w="525" w:type="pct"/>
                  <w:tcBorders>
                    <w:tl2br w:val="nil"/>
                    <w:tr2bl w:val="nil"/>
                  </w:tcBorders>
                  <w:noWrap w:val="0"/>
                  <w:tcMar>
                    <w:top w:w="0" w:type="dxa"/>
                    <w:left w:w="0" w:type="dxa"/>
                    <w:bottom w:w="0" w:type="dxa"/>
                    <w:right w:w="0" w:type="dxa"/>
                  </w:tcMar>
                  <w:vAlign w:val="center"/>
                </w:tcPr>
                <w:p w14:paraId="5260128F">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密闭车间、加强管理，洒水降尘</w:t>
                  </w:r>
                </w:p>
              </w:tc>
              <w:tc>
                <w:tcPr>
                  <w:tcW w:w="244" w:type="pct"/>
                  <w:tcBorders>
                    <w:tl2br w:val="nil"/>
                    <w:tr2bl w:val="nil"/>
                  </w:tcBorders>
                  <w:noWrap w:val="0"/>
                  <w:tcMar>
                    <w:top w:w="0" w:type="dxa"/>
                    <w:left w:w="0" w:type="dxa"/>
                    <w:bottom w:w="0" w:type="dxa"/>
                    <w:right w:w="0" w:type="dxa"/>
                  </w:tcMar>
                  <w:vAlign w:val="center"/>
                </w:tcPr>
                <w:p w14:paraId="4EFFA2F8">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14" w:type="pct"/>
                  <w:tcBorders>
                    <w:tl2br w:val="nil"/>
                    <w:tr2bl w:val="nil"/>
                  </w:tcBorders>
                  <w:noWrap w:val="0"/>
                  <w:tcMar>
                    <w:top w:w="0" w:type="dxa"/>
                    <w:left w:w="0" w:type="dxa"/>
                    <w:bottom w:w="0" w:type="dxa"/>
                    <w:right w:w="0" w:type="dxa"/>
                  </w:tcMar>
                  <w:vAlign w:val="center"/>
                </w:tcPr>
                <w:p w14:paraId="51C281B3">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3D4C6DAE">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60</w:t>
                  </w:r>
                </w:p>
              </w:tc>
              <w:tc>
                <w:tcPr>
                  <w:tcW w:w="341" w:type="pct"/>
                  <w:tcBorders>
                    <w:tl2br w:val="nil"/>
                    <w:tr2bl w:val="nil"/>
                  </w:tcBorders>
                  <w:noWrap w:val="0"/>
                  <w:tcMar>
                    <w:top w:w="0" w:type="dxa"/>
                    <w:left w:w="0" w:type="dxa"/>
                    <w:bottom w:w="0" w:type="dxa"/>
                    <w:right w:w="0" w:type="dxa"/>
                  </w:tcMar>
                  <w:vAlign w:val="center"/>
                </w:tcPr>
                <w:p w14:paraId="118EDE68">
                  <w:pPr>
                    <w:widowControl/>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92" w:type="pct"/>
                  <w:tcBorders>
                    <w:tl2br w:val="nil"/>
                    <w:tr2bl w:val="nil"/>
                  </w:tcBorders>
                  <w:noWrap w:val="0"/>
                  <w:tcMar>
                    <w:top w:w="0" w:type="dxa"/>
                    <w:left w:w="0" w:type="dxa"/>
                    <w:bottom w:w="0" w:type="dxa"/>
                    <w:right w:w="0" w:type="dxa"/>
                  </w:tcMar>
                  <w:vAlign w:val="center"/>
                </w:tcPr>
                <w:p w14:paraId="4F1FE0A7">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44" w:type="pct"/>
                  <w:tcBorders>
                    <w:tl2br w:val="nil"/>
                    <w:tr2bl w:val="nil"/>
                  </w:tcBorders>
                  <w:shd w:val="clear" w:color="auto" w:fill="auto"/>
                  <w:noWrap w:val="0"/>
                  <w:tcMar>
                    <w:top w:w="0" w:type="dxa"/>
                    <w:left w:w="0" w:type="dxa"/>
                    <w:bottom w:w="0" w:type="dxa"/>
                    <w:right w:w="0" w:type="dxa"/>
                  </w:tcMar>
                  <w:vAlign w:val="center"/>
                </w:tcPr>
                <w:p w14:paraId="5F162CD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0.061</w:t>
                  </w:r>
                </w:p>
              </w:tc>
              <w:tc>
                <w:tcPr>
                  <w:tcW w:w="349" w:type="pct"/>
                  <w:tcBorders>
                    <w:tl2br w:val="nil"/>
                    <w:tr2bl w:val="nil"/>
                  </w:tcBorders>
                  <w:shd w:val="clear" w:color="auto" w:fill="auto"/>
                  <w:noWrap w:val="0"/>
                  <w:tcMar>
                    <w:top w:w="0" w:type="dxa"/>
                    <w:left w:w="0" w:type="dxa"/>
                    <w:bottom w:w="0" w:type="dxa"/>
                    <w:right w:w="0" w:type="dxa"/>
                  </w:tcMar>
                  <w:vAlign w:val="center"/>
                </w:tcPr>
                <w:p w14:paraId="239FDAC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0.034</w:t>
                  </w:r>
                </w:p>
              </w:tc>
              <w:tc>
                <w:tcPr>
                  <w:tcW w:w="322" w:type="pct"/>
                  <w:tcBorders>
                    <w:tl2br w:val="nil"/>
                    <w:tr2bl w:val="nil"/>
                  </w:tcBorders>
                  <w:shd w:val="clear" w:color="auto" w:fill="auto"/>
                  <w:noWrap w:val="0"/>
                  <w:tcMar>
                    <w:top w:w="0" w:type="dxa"/>
                    <w:left w:w="0" w:type="dxa"/>
                    <w:bottom w:w="0" w:type="dxa"/>
                    <w:right w:w="0" w:type="dxa"/>
                  </w:tcMar>
                  <w:vAlign w:val="center"/>
                </w:tcPr>
                <w:p w14:paraId="58EB788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221" w:type="pct"/>
                  <w:vMerge w:val="continue"/>
                  <w:tcBorders>
                    <w:tl2br w:val="nil"/>
                    <w:tr2bl w:val="nil"/>
                  </w:tcBorders>
                  <w:noWrap w:val="0"/>
                  <w:tcMar>
                    <w:top w:w="0" w:type="dxa"/>
                    <w:left w:w="0" w:type="dxa"/>
                    <w:bottom w:w="0" w:type="dxa"/>
                    <w:right w:w="0" w:type="dxa"/>
                  </w:tcMar>
                  <w:vAlign w:val="center"/>
                </w:tcPr>
                <w:p w14:paraId="6EAD9EB3">
                  <w:pPr>
                    <w:widowControl/>
                    <w:jc w:val="center"/>
                    <w:textAlignment w:val="center"/>
                    <w:rPr>
                      <w:rFonts w:hint="default" w:ascii="Times New Roman" w:hAnsi="Times New Roman" w:cs="Times New Roman"/>
                      <w:color w:val="auto"/>
                      <w:sz w:val="21"/>
                      <w:szCs w:val="21"/>
                      <w:lang w:val="en-US" w:eastAsia="zh-CN"/>
                    </w:rPr>
                  </w:pPr>
                </w:p>
              </w:tc>
            </w:tr>
            <w:tr w14:paraId="3D379F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tcMar>
                    <w:top w:w="0" w:type="dxa"/>
                    <w:left w:w="0" w:type="dxa"/>
                    <w:bottom w:w="0" w:type="dxa"/>
                    <w:right w:w="0" w:type="dxa"/>
                  </w:tcMar>
                  <w:vAlign w:val="center"/>
                </w:tcPr>
                <w:p w14:paraId="18E4E20C">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包装工序</w:t>
                  </w:r>
                </w:p>
              </w:tc>
              <w:tc>
                <w:tcPr>
                  <w:tcW w:w="322" w:type="pct"/>
                  <w:tcBorders>
                    <w:tl2br w:val="nil"/>
                    <w:tr2bl w:val="nil"/>
                  </w:tcBorders>
                  <w:noWrap w:val="0"/>
                  <w:tcMar>
                    <w:top w:w="0" w:type="dxa"/>
                    <w:left w:w="0" w:type="dxa"/>
                    <w:bottom w:w="0" w:type="dxa"/>
                    <w:right w:w="0" w:type="dxa"/>
                  </w:tcMar>
                  <w:vAlign w:val="center"/>
                </w:tcPr>
                <w:p w14:paraId="773E4B9E">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无组织</w:t>
                  </w:r>
                </w:p>
              </w:tc>
              <w:tc>
                <w:tcPr>
                  <w:tcW w:w="247" w:type="pct"/>
                  <w:tcBorders>
                    <w:tl2br w:val="nil"/>
                    <w:tr2bl w:val="nil"/>
                  </w:tcBorders>
                  <w:noWrap w:val="0"/>
                  <w:tcMar>
                    <w:top w:w="0" w:type="dxa"/>
                    <w:left w:w="0" w:type="dxa"/>
                    <w:bottom w:w="0" w:type="dxa"/>
                    <w:right w:w="0" w:type="dxa"/>
                  </w:tcMar>
                  <w:vAlign w:val="center"/>
                </w:tcPr>
                <w:p w14:paraId="1EB55D4C">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268" w:type="pct"/>
                  <w:tcBorders>
                    <w:tl2br w:val="nil"/>
                    <w:tr2bl w:val="nil"/>
                  </w:tcBorders>
                  <w:noWrap w:val="0"/>
                  <w:tcMar>
                    <w:top w:w="0" w:type="dxa"/>
                    <w:left w:w="0" w:type="dxa"/>
                    <w:bottom w:w="0" w:type="dxa"/>
                    <w:right w:w="0" w:type="dxa"/>
                  </w:tcMar>
                  <w:vAlign w:val="center"/>
                </w:tcPr>
                <w:p w14:paraId="207426A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0.05</w:t>
                  </w:r>
                </w:p>
              </w:tc>
              <w:tc>
                <w:tcPr>
                  <w:tcW w:w="297" w:type="pct"/>
                  <w:tcBorders>
                    <w:tl2br w:val="nil"/>
                    <w:tr2bl w:val="nil"/>
                  </w:tcBorders>
                  <w:noWrap w:val="0"/>
                  <w:tcMar>
                    <w:top w:w="0" w:type="dxa"/>
                    <w:left w:w="0" w:type="dxa"/>
                    <w:bottom w:w="0" w:type="dxa"/>
                    <w:right w:w="0" w:type="dxa"/>
                  </w:tcMar>
                  <w:vAlign w:val="center"/>
                </w:tcPr>
                <w:p w14:paraId="5F5D493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0.021</w:t>
                  </w:r>
                </w:p>
              </w:tc>
              <w:tc>
                <w:tcPr>
                  <w:tcW w:w="339" w:type="pct"/>
                  <w:tcBorders>
                    <w:tl2br w:val="nil"/>
                    <w:tr2bl w:val="nil"/>
                  </w:tcBorders>
                  <w:noWrap w:val="0"/>
                  <w:tcMar>
                    <w:top w:w="0" w:type="dxa"/>
                    <w:left w:w="0" w:type="dxa"/>
                    <w:bottom w:w="0" w:type="dxa"/>
                    <w:right w:w="0" w:type="dxa"/>
                  </w:tcMar>
                  <w:vAlign w:val="center"/>
                </w:tcPr>
                <w:p w14:paraId="4DED32D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525" w:type="pct"/>
                  <w:tcBorders>
                    <w:tl2br w:val="nil"/>
                    <w:tr2bl w:val="nil"/>
                  </w:tcBorders>
                  <w:noWrap w:val="0"/>
                  <w:tcMar>
                    <w:top w:w="0" w:type="dxa"/>
                    <w:left w:w="0" w:type="dxa"/>
                    <w:bottom w:w="0" w:type="dxa"/>
                    <w:right w:w="0" w:type="dxa"/>
                  </w:tcMar>
                  <w:vAlign w:val="center"/>
                </w:tcPr>
                <w:p w14:paraId="3E751FC3">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密闭车间、加强管理，洒水降尘</w:t>
                  </w:r>
                </w:p>
              </w:tc>
              <w:tc>
                <w:tcPr>
                  <w:tcW w:w="244" w:type="pct"/>
                  <w:tcBorders>
                    <w:tl2br w:val="nil"/>
                    <w:tr2bl w:val="nil"/>
                  </w:tcBorders>
                  <w:noWrap w:val="0"/>
                  <w:tcMar>
                    <w:top w:w="0" w:type="dxa"/>
                    <w:left w:w="0" w:type="dxa"/>
                    <w:bottom w:w="0" w:type="dxa"/>
                    <w:right w:w="0" w:type="dxa"/>
                  </w:tcMar>
                  <w:vAlign w:val="center"/>
                </w:tcPr>
                <w:p w14:paraId="60068E58">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14" w:type="pct"/>
                  <w:tcBorders>
                    <w:tl2br w:val="nil"/>
                    <w:tr2bl w:val="nil"/>
                  </w:tcBorders>
                  <w:noWrap w:val="0"/>
                  <w:tcMar>
                    <w:top w:w="0" w:type="dxa"/>
                    <w:left w:w="0" w:type="dxa"/>
                    <w:bottom w:w="0" w:type="dxa"/>
                    <w:right w:w="0" w:type="dxa"/>
                  </w:tcMar>
                  <w:vAlign w:val="center"/>
                </w:tcPr>
                <w:p w14:paraId="7BC917A5">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70428622">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60</w:t>
                  </w:r>
                </w:p>
              </w:tc>
              <w:tc>
                <w:tcPr>
                  <w:tcW w:w="341" w:type="pct"/>
                  <w:tcBorders>
                    <w:tl2br w:val="nil"/>
                    <w:tr2bl w:val="nil"/>
                  </w:tcBorders>
                  <w:noWrap w:val="0"/>
                  <w:tcMar>
                    <w:top w:w="0" w:type="dxa"/>
                    <w:left w:w="0" w:type="dxa"/>
                    <w:bottom w:w="0" w:type="dxa"/>
                    <w:right w:w="0" w:type="dxa"/>
                  </w:tcMar>
                  <w:vAlign w:val="center"/>
                </w:tcPr>
                <w:p w14:paraId="2E84B26A">
                  <w:pPr>
                    <w:widowControl/>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292" w:type="pct"/>
                  <w:tcBorders>
                    <w:tl2br w:val="nil"/>
                    <w:tr2bl w:val="nil"/>
                  </w:tcBorders>
                  <w:noWrap w:val="0"/>
                  <w:tcMar>
                    <w:top w:w="0" w:type="dxa"/>
                    <w:left w:w="0" w:type="dxa"/>
                    <w:bottom w:w="0" w:type="dxa"/>
                    <w:right w:w="0" w:type="dxa"/>
                  </w:tcMar>
                  <w:vAlign w:val="center"/>
                </w:tcPr>
                <w:p w14:paraId="54D4AC31">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20D74F7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0.02</w:t>
                  </w:r>
                </w:p>
              </w:tc>
              <w:tc>
                <w:tcPr>
                  <w:tcW w:w="349" w:type="pct"/>
                  <w:tcBorders>
                    <w:tl2br w:val="nil"/>
                    <w:tr2bl w:val="nil"/>
                  </w:tcBorders>
                  <w:noWrap w:val="0"/>
                  <w:tcMar>
                    <w:top w:w="0" w:type="dxa"/>
                    <w:left w:w="0" w:type="dxa"/>
                    <w:bottom w:w="0" w:type="dxa"/>
                    <w:right w:w="0" w:type="dxa"/>
                  </w:tcMar>
                  <w:vAlign w:val="center"/>
                </w:tcPr>
                <w:p w14:paraId="731440E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0.008</w:t>
                  </w:r>
                </w:p>
              </w:tc>
              <w:tc>
                <w:tcPr>
                  <w:tcW w:w="322" w:type="pct"/>
                  <w:tcBorders>
                    <w:tl2br w:val="nil"/>
                    <w:tr2bl w:val="nil"/>
                  </w:tcBorders>
                  <w:noWrap w:val="0"/>
                  <w:tcMar>
                    <w:top w:w="0" w:type="dxa"/>
                    <w:left w:w="0" w:type="dxa"/>
                    <w:bottom w:w="0" w:type="dxa"/>
                    <w:right w:w="0" w:type="dxa"/>
                  </w:tcMar>
                  <w:vAlign w:val="center"/>
                </w:tcPr>
                <w:p w14:paraId="64CAB50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21" w:type="pct"/>
                  <w:tcBorders>
                    <w:tl2br w:val="nil"/>
                    <w:tr2bl w:val="nil"/>
                  </w:tcBorders>
                  <w:noWrap w:val="0"/>
                  <w:tcMar>
                    <w:top w:w="0" w:type="dxa"/>
                    <w:left w:w="0" w:type="dxa"/>
                    <w:bottom w:w="0" w:type="dxa"/>
                    <w:right w:w="0" w:type="dxa"/>
                  </w:tcMar>
                  <w:vAlign w:val="center"/>
                </w:tcPr>
                <w:p w14:paraId="085FC5DF">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2400</w:t>
                  </w:r>
                </w:p>
              </w:tc>
            </w:tr>
            <w:tr w14:paraId="40C6BA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tcMar>
                    <w:top w:w="0" w:type="dxa"/>
                    <w:left w:w="0" w:type="dxa"/>
                    <w:bottom w:w="0" w:type="dxa"/>
                    <w:right w:w="0" w:type="dxa"/>
                  </w:tcMar>
                  <w:vAlign w:val="center"/>
                </w:tcPr>
                <w:p w14:paraId="0683348D">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装卸工序</w:t>
                  </w:r>
                </w:p>
              </w:tc>
              <w:tc>
                <w:tcPr>
                  <w:tcW w:w="322" w:type="pct"/>
                  <w:tcBorders>
                    <w:tl2br w:val="nil"/>
                    <w:tr2bl w:val="nil"/>
                  </w:tcBorders>
                  <w:noWrap w:val="0"/>
                  <w:tcMar>
                    <w:top w:w="0" w:type="dxa"/>
                    <w:left w:w="0" w:type="dxa"/>
                    <w:bottom w:w="0" w:type="dxa"/>
                    <w:right w:w="0" w:type="dxa"/>
                  </w:tcMar>
                  <w:vAlign w:val="center"/>
                </w:tcPr>
                <w:p w14:paraId="029DFB99">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无组织</w:t>
                  </w:r>
                </w:p>
              </w:tc>
              <w:tc>
                <w:tcPr>
                  <w:tcW w:w="247" w:type="pct"/>
                  <w:tcBorders>
                    <w:tl2br w:val="nil"/>
                    <w:tr2bl w:val="nil"/>
                  </w:tcBorders>
                  <w:noWrap w:val="0"/>
                  <w:tcMar>
                    <w:top w:w="0" w:type="dxa"/>
                    <w:left w:w="0" w:type="dxa"/>
                    <w:bottom w:w="0" w:type="dxa"/>
                    <w:right w:w="0" w:type="dxa"/>
                  </w:tcMar>
                  <w:vAlign w:val="center"/>
                </w:tcPr>
                <w:p w14:paraId="493F720E">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268" w:type="pct"/>
                  <w:tcBorders>
                    <w:tl2br w:val="nil"/>
                    <w:tr2bl w:val="nil"/>
                  </w:tcBorders>
                  <w:noWrap w:val="0"/>
                  <w:tcMar>
                    <w:top w:w="0" w:type="dxa"/>
                    <w:left w:w="0" w:type="dxa"/>
                    <w:bottom w:w="0" w:type="dxa"/>
                    <w:right w:w="0" w:type="dxa"/>
                  </w:tcMar>
                  <w:vAlign w:val="center"/>
                </w:tcPr>
                <w:p w14:paraId="5DE619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0.2</w:t>
                  </w:r>
                </w:p>
              </w:tc>
              <w:tc>
                <w:tcPr>
                  <w:tcW w:w="297" w:type="pct"/>
                  <w:tcBorders>
                    <w:tl2br w:val="nil"/>
                    <w:tr2bl w:val="nil"/>
                  </w:tcBorders>
                  <w:noWrap w:val="0"/>
                  <w:tcMar>
                    <w:top w:w="0" w:type="dxa"/>
                    <w:left w:w="0" w:type="dxa"/>
                    <w:bottom w:w="0" w:type="dxa"/>
                    <w:right w:w="0" w:type="dxa"/>
                  </w:tcMar>
                  <w:vAlign w:val="center"/>
                </w:tcPr>
                <w:p w14:paraId="4370A821">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0.222</w:t>
                  </w:r>
                </w:p>
              </w:tc>
              <w:tc>
                <w:tcPr>
                  <w:tcW w:w="339" w:type="pct"/>
                  <w:tcBorders>
                    <w:tl2br w:val="nil"/>
                    <w:tr2bl w:val="nil"/>
                  </w:tcBorders>
                  <w:noWrap w:val="0"/>
                  <w:tcMar>
                    <w:top w:w="0" w:type="dxa"/>
                    <w:left w:w="0" w:type="dxa"/>
                    <w:bottom w:w="0" w:type="dxa"/>
                    <w:right w:w="0" w:type="dxa"/>
                  </w:tcMar>
                  <w:vAlign w:val="center"/>
                </w:tcPr>
                <w:p w14:paraId="23C7AED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525" w:type="pct"/>
                  <w:tcBorders>
                    <w:tl2br w:val="nil"/>
                    <w:tr2bl w:val="nil"/>
                  </w:tcBorders>
                  <w:noWrap w:val="0"/>
                  <w:tcMar>
                    <w:top w:w="0" w:type="dxa"/>
                    <w:left w:w="0" w:type="dxa"/>
                    <w:bottom w:w="0" w:type="dxa"/>
                    <w:right w:w="0" w:type="dxa"/>
                  </w:tcMar>
                  <w:vAlign w:val="center"/>
                </w:tcPr>
                <w:p w14:paraId="6E94A42C">
                  <w:pPr>
                    <w:widowControl/>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密闭车间、加强管理，洒水降尘</w:t>
                  </w:r>
                </w:p>
              </w:tc>
              <w:tc>
                <w:tcPr>
                  <w:tcW w:w="244" w:type="pct"/>
                  <w:tcBorders>
                    <w:tl2br w:val="nil"/>
                    <w:tr2bl w:val="nil"/>
                  </w:tcBorders>
                  <w:noWrap w:val="0"/>
                  <w:tcMar>
                    <w:top w:w="0" w:type="dxa"/>
                    <w:left w:w="0" w:type="dxa"/>
                    <w:bottom w:w="0" w:type="dxa"/>
                    <w:right w:w="0" w:type="dxa"/>
                  </w:tcMar>
                  <w:vAlign w:val="center"/>
                </w:tcPr>
                <w:p w14:paraId="46D9D865">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14" w:type="pct"/>
                  <w:tcBorders>
                    <w:tl2br w:val="nil"/>
                    <w:tr2bl w:val="nil"/>
                  </w:tcBorders>
                  <w:noWrap w:val="0"/>
                  <w:tcMar>
                    <w:top w:w="0" w:type="dxa"/>
                    <w:left w:w="0" w:type="dxa"/>
                    <w:bottom w:w="0" w:type="dxa"/>
                    <w:right w:w="0" w:type="dxa"/>
                  </w:tcMar>
                  <w:vAlign w:val="center"/>
                </w:tcPr>
                <w:p w14:paraId="693C6A8E">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55FDB62D">
                  <w:pPr>
                    <w:widowControl/>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60</w:t>
                  </w:r>
                </w:p>
              </w:tc>
              <w:tc>
                <w:tcPr>
                  <w:tcW w:w="341" w:type="pct"/>
                  <w:tcBorders>
                    <w:tl2br w:val="nil"/>
                    <w:tr2bl w:val="nil"/>
                  </w:tcBorders>
                  <w:noWrap w:val="0"/>
                  <w:tcMar>
                    <w:top w:w="0" w:type="dxa"/>
                    <w:left w:w="0" w:type="dxa"/>
                    <w:bottom w:w="0" w:type="dxa"/>
                    <w:right w:w="0" w:type="dxa"/>
                  </w:tcMar>
                  <w:vAlign w:val="center"/>
                </w:tcPr>
                <w:p w14:paraId="6AF86F27">
                  <w:pPr>
                    <w:widowControl/>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w:t>
                  </w:r>
                </w:p>
              </w:tc>
              <w:tc>
                <w:tcPr>
                  <w:tcW w:w="292" w:type="pct"/>
                  <w:tcBorders>
                    <w:tl2br w:val="nil"/>
                    <w:tr2bl w:val="nil"/>
                  </w:tcBorders>
                  <w:noWrap w:val="0"/>
                  <w:tcMar>
                    <w:top w:w="0" w:type="dxa"/>
                    <w:left w:w="0" w:type="dxa"/>
                    <w:bottom w:w="0" w:type="dxa"/>
                    <w:right w:w="0" w:type="dxa"/>
                  </w:tcMar>
                  <w:vAlign w:val="center"/>
                </w:tcPr>
                <w:p w14:paraId="70247681">
                  <w:pPr>
                    <w:widowControl/>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44" w:type="pct"/>
                  <w:tcBorders>
                    <w:tl2br w:val="nil"/>
                    <w:tr2bl w:val="nil"/>
                  </w:tcBorders>
                  <w:noWrap w:val="0"/>
                  <w:tcMar>
                    <w:top w:w="0" w:type="dxa"/>
                    <w:left w:w="0" w:type="dxa"/>
                    <w:bottom w:w="0" w:type="dxa"/>
                    <w:right w:w="0" w:type="dxa"/>
                  </w:tcMar>
                  <w:vAlign w:val="center"/>
                </w:tcPr>
                <w:p w14:paraId="636D4B6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0.08</w:t>
                  </w:r>
                </w:p>
              </w:tc>
              <w:tc>
                <w:tcPr>
                  <w:tcW w:w="349" w:type="pct"/>
                  <w:tcBorders>
                    <w:tl2br w:val="nil"/>
                    <w:tr2bl w:val="nil"/>
                  </w:tcBorders>
                  <w:noWrap w:val="0"/>
                  <w:tcMar>
                    <w:top w:w="0" w:type="dxa"/>
                    <w:left w:w="0" w:type="dxa"/>
                    <w:bottom w:w="0" w:type="dxa"/>
                    <w:right w:w="0" w:type="dxa"/>
                  </w:tcMar>
                  <w:vAlign w:val="center"/>
                </w:tcPr>
                <w:p w14:paraId="2FF0544F">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0.089</w:t>
                  </w:r>
                </w:p>
              </w:tc>
              <w:tc>
                <w:tcPr>
                  <w:tcW w:w="322" w:type="pct"/>
                  <w:tcBorders>
                    <w:tl2br w:val="nil"/>
                    <w:tr2bl w:val="nil"/>
                  </w:tcBorders>
                  <w:noWrap w:val="0"/>
                  <w:tcMar>
                    <w:top w:w="0" w:type="dxa"/>
                    <w:left w:w="0" w:type="dxa"/>
                    <w:bottom w:w="0" w:type="dxa"/>
                    <w:right w:w="0" w:type="dxa"/>
                  </w:tcMar>
                  <w:vAlign w:val="center"/>
                </w:tcPr>
                <w:p w14:paraId="403206F2">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21" w:type="pct"/>
                  <w:tcBorders>
                    <w:tl2br w:val="nil"/>
                    <w:tr2bl w:val="nil"/>
                  </w:tcBorders>
                  <w:noWrap w:val="0"/>
                  <w:tcMar>
                    <w:top w:w="0" w:type="dxa"/>
                    <w:left w:w="0" w:type="dxa"/>
                    <w:bottom w:w="0" w:type="dxa"/>
                    <w:right w:w="0" w:type="dxa"/>
                  </w:tcMar>
                  <w:vAlign w:val="center"/>
                </w:tcPr>
                <w:p w14:paraId="52DB430E">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2400</w:t>
                  </w:r>
                </w:p>
              </w:tc>
            </w:tr>
          </w:tbl>
          <w:p w14:paraId="6DA41977">
            <w:pPr>
              <w:autoSpaceDE w:val="0"/>
              <w:autoSpaceDN w:val="0"/>
              <w:adjustRightInd w:val="0"/>
              <w:spacing w:before="120" w:beforeLines="50" w:line="360" w:lineRule="auto"/>
              <w:ind w:firstLine="482"/>
              <w:rPr>
                <w:rFonts w:hint="default" w:eastAsia="宋体"/>
                <w:color w:val="auto"/>
                <w:lang w:val="en-US" w:eastAsia="zh-CN"/>
              </w:rPr>
            </w:pPr>
            <w:r>
              <w:rPr>
                <w:rFonts w:hint="eastAsia"/>
                <w:color w:val="auto"/>
                <w:lang w:val="en-US" w:eastAsia="zh-CN"/>
              </w:rPr>
              <w:t>项目</w:t>
            </w:r>
            <w:r>
              <w:rPr>
                <w:color w:val="auto"/>
              </w:rPr>
              <w:t>排放口</w:t>
            </w:r>
            <w:r>
              <w:rPr>
                <w:rFonts w:hint="eastAsia"/>
                <w:color w:val="auto"/>
                <w:lang w:val="en-US" w:eastAsia="zh-CN"/>
              </w:rPr>
              <w:t>基本情况见下表。</w:t>
            </w:r>
          </w:p>
          <w:p w14:paraId="0AC0C2DE">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b/>
                <w:bCs/>
                <w:color w:val="auto"/>
                <w:szCs w:val="21"/>
              </w:rPr>
            </w:pPr>
            <w:r>
              <w:rPr>
                <w:rFonts w:hint="eastAsia"/>
                <w:b/>
                <w:bCs/>
                <w:color w:val="auto"/>
                <w:szCs w:val="21"/>
                <w:lang w:val="en-US" w:eastAsia="zh-CN"/>
              </w:rPr>
              <w:t xml:space="preserve">表4-3 </w:t>
            </w:r>
            <w:r>
              <w:rPr>
                <w:rFonts w:hint="eastAsia"/>
                <w:b/>
                <w:bCs/>
                <w:color w:val="auto"/>
                <w:szCs w:val="21"/>
              </w:rPr>
              <w:t>大气</w:t>
            </w:r>
            <w:r>
              <w:rPr>
                <w:rFonts w:hint="eastAsia" w:ascii="Times New Roman" w:hAnsi="Times New Roman" w:eastAsia="宋体" w:cs="Times New Roman"/>
                <w:b/>
                <w:color w:val="auto"/>
                <w:szCs w:val="21"/>
              </w:rPr>
              <w:t>污染物</w:t>
            </w:r>
            <w:r>
              <w:rPr>
                <w:rFonts w:hint="eastAsia"/>
                <w:b/>
                <w:bCs/>
                <w:color w:val="auto"/>
                <w:szCs w:val="21"/>
              </w:rPr>
              <w:t>排放口基本情况表</w:t>
            </w:r>
          </w:p>
          <w:tbl>
            <w:tblPr>
              <w:tblStyle w:val="35"/>
              <w:tblW w:w="499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80"/>
              <w:gridCol w:w="873"/>
              <w:gridCol w:w="756"/>
              <w:gridCol w:w="1970"/>
              <w:gridCol w:w="618"/>
              <w:gridCol w:w="700"/>
              <w:gridCol w:w="772"/>
              <w:gridCol w:w="756"/>
              <w:gridCol w:w="1994"/>
              <w:gridCol w:w="4082"/>
            </w:tblGrid>
            <w:tr w14:paraId="1B62DF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293" w:type="pct"/>
                  <w:vMerge w:val="restart"/>
                  <w:tcBorders>
                    <w:tl2br w:val="nil"/>
                    <w:tr2bl w:val="nil"/>
                  </w:tcBorders>
                  <w:noWrap w:val="0"/>
                  <w:tcMar>
                    <w:top w:w="0" w:type="dxa"/>
                    <w:left w:w="0" w:type="dxa"/>
                    <w:bottom w:w="0" w:type="dxa"/>
                    <w:right w:w="0" w:type="dxa"/>
                  </w:tcMar>
                  <w:vAlign w:val="center"/>
                </w:tcPr>
                <w:p w14:paraId="3D9B06E3">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排放口编号</w:t>
                  </w:r>
                </w:p>
              </w:tc>
              <w:tc>
                <w:tcPr>
                  <w:tcW w:w="327" w:type="pct"/>
                  <w:vMerge w:val="restart"/>
                  <w:tcBorders>
                    <w:tl2br w:val="nil"/>
                    <w:tr2bl w:val="nil"/>
                  </w:tcBorders>
                  <w:noWrap w:val="0"/>
                  <w:tcMar>
                    <w:top w:w="0" w:type="dxa"/>
                    <w:left w:w="0" w:type="dxa"/>
                    <w:bottom w:w="0" w:type="dxa"/>
                    <w:right w:w="0" w:type="dxa"/>
                  </w:tcMar>
                  <w:vAlign w:val="center"/>
                </w:tcPr>
                <w:p w14:paraId="6F45CE67">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排放口名称</w:t>
                  </w:r>
                </w:p>
              </w:tc>
              <w:tc>
                <w:tcPr>
                  <w:tcW w:w="284" w:type="pct"/>
                  <w:vMerge w:val="restart"/>
                  <w:tcBorders>
                    <w:tl2br w:val="nil"/>
                    <w:tr2bl w:val="nil"/>
                  </w:tcBorders>
                  <w:noWrap w:val="0"/>
                  <w:tcMar>
                    <w:top w:w="0" w:type="dxa"/>
                    <w:left w:w="0" w:type="dxa"/>
                    <w:bottom w:w="0" w:type="dxa"/>
                    <w:right w:w="0" w:type="dxa"/>
                  </w:tcMar>
                  <w:vAlign w:val="center"/>
                </w:tcPr>
                <w:p w14:paraId="06AF75D6">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排放口类型</w:t>
                  </w:r>
                </w:p>
              </w:tc>
              <w:tc>
                <w:tcPr>
                  <w:tcW w:w="740" w:type="pct"/>
                  <w:vMerge w:val="restart"/>
                  <w:tcBorders>
                    <w:tl2br w:val="nil"/>
                    <w:tr2bl w:val="nil"/>
                  </w:tcBorders>
                  <w:noWrap w:val="0"/>
                  <w:tcMar>
                    <w:top w:w="0" w:type="dxa"/>
                    <w:left w:w="0" w:type="dxa"/>
                    <w:bottom w:w="0" w:type="dxa"/>
                    <w:right w:w="0" w:type="dxa"/>
                  </w:tcMar>
                  <w:vAlign w:val="center"/>
                </w:tcPr>
                <w:p w14:paraId="33626425">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排放口地理坐标/经度/纬度</w:t>
                  </w:r>
                </w:p>
              </w:tc>
              <w:tc>
                <w:tcPr>
                  <w:tcW w:w="785" w:type="pct"/>
                  <w:gridSpan w:val="3"/>
                  <w:tcBorders>
                    <w:tl2br w:val="nil"/>
                    <w:tr2bl w:val="nil"/>
                  </w:tcBorders>
                  <w:noWrap w:val="0"/>
                  <w:tcMar>
                    <w:top w:w="0" w:type="dxa"/>
                    <w:left w:w="0" w:type="dxa"/>
                    <w:bottom w:w="0" w:type="dxa"/>
                    <w:right w:w="0" w:type="dxa"/>
                  </w:tcMar>
                  <w:vAlign w:val="center"/>
                </w:tcPr>
                <w:p w14:paraId="0F8709FD">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排气筒参数</w:t>
                  </w:r>
                </w:p>
              </w:tc>
              <w:tc>
                <w:tcPr>
                  <w:tcW w:w="284" w:type="pct"/>
                  <w:vMerge w:val="restart"/>
                  <w:tcBorders>
                    <w:tl2br w:val="nil"/>
                    <w:tr2bl w:val="nil"/>
                  </w:tcBorders>
                  <w:noWrap w:val="0"/>
                  <w:tcMar>
                    <w:top w:w="0" w:type="dxa"/>
                    <w:left w:w="0" w:type="dxa"/>
                    <w:bottom w:w="0" w:type="dxa"/>
                    <w:right w:w="0" w:type="dxa"/>
                  </w:tcMar>
                  <w:vAlign w:val="center"/>
                </w:tcPr>
                <w:p w14:paraId="43FFCDC5">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污染物种类</w:t>
                  </w:r>
                </w:p>
              </w:tc>
              <w:tc>
                <w:tcPr>
                  <w:tcW w:w="2282" w:type="pct"/>
                  <w:gridSpan w:val="2"/>
                  <w:tcBorders>
                    <w:tl2br w:val="nil"/>
                    <w:tr2bl w:val="nil"/>
                  </w:tcBorders>
                  <w:noWrap w:val="0"/>
                  <w:tcMar>
                    <w:top w:w="0" w:type="dxa"/>
                    <w:left w:w="0" w:type="dxa"/>
                    <w:bottom w:w="0" w:type="dxa"/>
                    <w:right w:w="0" w:type="dxa"/>
                  </w:tcMar>
                  <w:vAlign w:val="center"/>
                </w:tcPr>
                <w:p w14:paraId="321F6F20">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排放标准</w:t>
                  </w:r>
                </w:p>
              </w:tc>
            </w:tr>
            <w:tr w14:paraId="105672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293" w:type="pct"/>
                  <w:vMerge w:val="continue"/>
                  <w:tcBorders>
                    <w:tl2br w:val="nil"/>
                    <w:tr2bl w:val="nil"/>
                  </w:tcBorders>
                  <w:noWrap w:val="0"/>
                  <w:tcMar>
                    <w:top w:w="0" w:type="dxa"/>
                    <w:left w:w="0" w:type="dxa"/>
                    <w:bottom w:w="0" w:type="dxa"/>
                    <w:right w:w="0" w:type="dxa"/>
                  </w:tcMar>
                  <w:vAlign w:val="center"/>
                </w:tcPr>
                <w:p w14:paraId="43B992F6">
                  <w:pPr>
                    <w:adjustRightInd w:val="0"/>
                    <w:snapToGrid w:val="0"/>
                    <w:jc w:val="center"/>
                    <w:rPr>
                      <w:rFonts w:hint="default" w:ascii="Times New Roman" w:hAnsi="Times New Roman" w:cs="Times New Roman"/>
                      <w:b/>
                      <w:bCs/>
                      <w:color w:val="auto"/>
                      <w:sz w:val="21"/>
                      <w:szCs w:val="21"/>
                    </w:rPr>
                  </w:pPr>
                </w:p>
              </w:tc>
              <w:tc>
                <w:tcPr>
                  <w:tcW w:w="327" w:type="pct"/>
                  <w:vMerge w:val="continue"/>
                  <w:tcBorders>
                    <w:tl2br w:val="nil"/>
                    <w:tr2bl w:val="nil"/>
                  </w:tcBorders>
                  <w:noWrap w:val="0"/>
                  <w:tcMar>
                    <w:top w:w="0" w:type="dxa"/>
                    <w:left w:w="0" w:type="dxa"/>
                    <w:bottom w:w="0" w:type="dxa"/>
                    <w:right w:w="0" w:type="dxa"/>
                  </w:tcMar>
                  <w:vAlign w:val="center"/>
                </w:tcPr>
                <w:p w14:paraId="060894B7">
                  <w:pPr>
                    <w:adjustRightInd w:val="0"/>
                    <w:snapToGrid w:val="0"/>
                    <w:jc w:val="center"/>
                    <w:rPr>
                      <w:rFonts w:hint="default" w:ascii="Times New Roman" w:hAnsi="Times New Roman" w:cs="Times New Roman"/>
                      <w:b/>
                      <w:bCs/>
                      <w:color w:val="auto"/>
                      <w:sz w:val="21"/>
                      <w:szCs w:val="21"/>
                    </w:rPr>
                  </w:pPr>
                </w:p>
              </w:tc>
              <w:tc>
                <w:tcPr>
                  <w:tcW w:w="284" w:type="pct"/>
                  <w:vMerge w:val="continue"/>
                  <w:tcBorders>
                    <w:tl2br w:val="nil"/>
                    <w:tr2bl w:val="nil"/>
                  </w:tcBorders>
                  <w:noWrap w:val="0"/>
                  <w:tcMar>
                    <w:top w:w="0" w:type="dxa"/>
                    <w:left w:w="0" w:type="dxa"/>
                    <w:bottom w:w="0" w:type="dxa"/>
                    <w:right w:w="0" w:type="dxa"/>
                  </w:tcMar>
                  <w:vAlign w:val="center"/>
                </w:tcPr>
                <w:p w14:paraId="322314D9">
                  <w:pPr>
                    <w:adjustRightInd w:val="0"/>
                    <w:snapToGrid w:val="0"/>
                    <w:jc w:val="center"/>
                    <w:rPr>
                      <w:rFonts w:hint="default" w:ascii="Times New Roman" w:hAnsi="Times New Roman" w:cs="Times New Roman"/>
                      <w:b/>
                      <w:bCs/>
                      <w:color w:val="auto"/>
                      <w:sz w:val="21"/>
                      <w:szCs w:val="21"/>
                    </w:rPr>
                  </w:pPr>
                </w:p>
              </w:tc>
              <w:tc>
                <w:tcPr>
                  <w:tcW w:w="740" w:type="pct"/>
                  <w:vMerge w:val="continue"/>
                  <w:tcBorders>
                    <w:tl2br w:val="nil"/>
                    <w:tr2bl w:val="nil"/>
                  </w:tcBorders>
                  <w:noWrap w:val="0"/>
                  <w:tcMar>
                    <w:top w:w="0" w:type="dxa"/>
                    <w:left w:w="0" w:type="dxa"/>
                    <w:bottom w:w="0" w:type="dxa"/>
                    <w:right w:w="0" w:type="dxa"/>
                  </w:tcMar>
                  <w:vAlign w:val="center"/>
                </w:tcPr>
                <w:p w14:paraId="52C33CA0">
                  <w:pPr>
                    <w:adjustRightInd w:val="0"/>
                    <w:snapToGrid w:val="0"/>
                    <w:jc w:val="center"/>
                    <w:rPr>
                      <w:rFonts w:hint="default" w:ascii="Times New Roman" w:hAnsi="Times New Roman" w:cs="Times New Roman"/>
                      <w:b/>
                      <w:bCs/>
                      <w:color w:val="auto"/>
                      <w:sz w:val="21"/>
                      <w:szCs w:val="21"/>
                    </w:rPr>
                  </w:pPr>
                </w:p>
              </w:tc>
              <w:tc>
                <w:tcPr>
                  <w:tcW w:w="232" w:type="pct"/>
                  <w:tcBorders>
                    <w:tl2br w:val="nil"/>
                    <w:tr2bl w:val="nil"/>
                  </w:tcBorders>
                  <w:noWrap w:val="0"/>
                  <w:tcMar>
                    <w:top w:w="0" w:type="dxa"/>
                    <w:left w:w="0" w:type="dxa"/>
                    <w:bottom w:w="0" w:type="dxa"/>
                    <w:right w:w="0" w:type="dxa"/>
                  </w:tcMar>
                  <w:vAlign w:val="center"/>
                </w:tcPr>
                <w:p w14:paraId="5D5B8860">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高度</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lang w:val="en-US" w:eastAsia="zh-CN"/>
                    </w:rPr>
                    <w:t>)</w:t>
                  </w:r>
                </w:p>
              </w:tc>
              <w:tc>
                <w:tcPr>
                  <w:tcW w:w="263" w:type="pct"/>
                  <w:tcBorders>
                    <w:tl2br w:val="nil"/>
                    <w:tr2bl w:val="nil"/>
                  </w:tcBorders>
                  <w:noWrap w:val="0"/>
                  <w:tcMar>
                    <w:top w:w="0" w:type="dxa"/>
                    <w:left w:w="0" w:type="dxa"/>
                    <w:bottom w:w="0" w:type="dxa"/>
                    <w:right w:w="0" w:type="dxa"/>
                  </w:tcMar>
                  <w:vAlign w:val="center"/>
                </w:tcPr>
                <w:p w14:paraId="49931648">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出口内径</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lang w:val="en-US" w:eastAsia="zh-CN"/>
                    </w:rPr>
                    <w:t>)</w:t>
                  </w:r>
                </w:p>
              </w:tc>
              <w:tc>
                <w:tcPr>
                  <w:tcW w:w="289" w:type="pct"/>
                  <w:tcBorders>
                    <w:tl2br w:val="nil"/>
                    <w:tr2bl w:val="nil"/>
                  </w:tcBorders>
                  <w:noWrap w:val="0"/>
                  <w:tcMar>
                    <w:top w:w="0" w:type="dxa"/>
                    <w:left w:w="0" w:type="dxa"/>
                    <w:bottom w:w="0" w:type="dxa"/>
                    <w:right w:w="0" w:type="dxa"/>
                  </w:tcMar>
                  <w:vAlign w:val="center"/>
                </w:tcPr>
                <w:p w14:paraId="4A6984EC">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排气温度</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w:t>
                  </w:r>
                  <w:r>
                    <w:rPr>
                      <w:rFonts w:hint="default" w:ascii="Times New Roman" w:hAnsi="Times New Roman" w:cs="Times New Roman"/>
                      <w:b/>
                      <w:bCs/>
                      <w:color w:val="auto"/>
                      <w:sz w:val="21"/>
                      <w:szCs w:val="21"/>
                      <w:lang w:val="en-US" w:eastAsia="zh-CN"/>
                    </w:rPr>
                    <w:t>)</w:t>
                  </w:r>
                </w:p>
              </w:tc>
              <w:tc>
                <w:tcPr>
                  <w:tcW w:w="284" w:type="pct"/>
                  <w:vMerge w:val="continue"/>
                  <w:tcBorders>
                    <w:tl2br w:val="nil"/>
                    <w:tr2bl w:val="nil"/>
                  </w:tcBorders>
                  <w:noWrap w:val="0"/>
                  <w:tcMar>
                    <w:top w:w="0" w:type="dxa"/>
                    <w:left w:w="0" w:type="dxa"/>
                    <w:bottom w:w="0" w:type="dxa"/>
                    <w:right w:w="0" w:type="dxa"/>
                  </w:tcMar>
                  <w:vAlign w:val="center"/>
                </w:tcPr>
                <w:p w14:paraId="16AB6BD8">
                  <w:pPr>
                    <w:adjustRightInd w:val="0"/>
                    <w:snapToGrid w:val="0"/>
                    <w:jc w:val="center"/>
                    <w:rPr>
                      <w:rFonts w:hint="default" w:ascii="Times New Roman" w:hAnsi="Times New Roman" w:cs="Times New Roman"/>
                      <w:b/>
                      <w:bCs/>
                      <w:color w:val="auto"/>
                      <w:sz w:val="21"/>
                      <w:szCs w:val="21"/>
                    </w:rPr>
                  </w:pPr>
                </w:p>
              </w:tc>
              <w:tc>
                <w:tcPr>
                  <w:tcW w:w="749" w:type="pct"/>
                  <w:tcBorders>
                    <w:tl2br w:val="nil"/>
                    <w:tr2bl w:val="nil"/>
                  </w:tcBorders>
                  <w:noWrap w:val="0"/>
                  <w:tcMar>
                    <w:top w:w="0" w:type="dxa"/>
                    <w:left w:w="0" w:type="dxa"/>
                    <w:bottom w:w="0" w:type="dxa"/>
                    <w:right w:w="0" w:type="dxa"/>
                  </w:tcMar>
                  <w:vAlign w:val="center"/>
                </w:tcPr>
                <w:p w14:paraId="7E033ABF">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限值</w:t>
                  </w:r>
                </w:p>
              </w:tc>
              <w:tc>
                <w:tcPr>
                  <w:tcW w:w="1533" w:type="pct"/>
                  <w:tcBorders>
                    <w:tl2br w:val="nil"/>
                    <w:tr2bl w:val="nil"/>
                  </w:tcBorders>
                  <w:noWrap w:val="0"/>
                  <w:tcMar>
                    <w:top w:w="0" w:type="dxa"/>
                    <w:left w:w="0" w:type="dxa"/>
                    <w:bottom w:w="0" w:type="dxa"/>
                    <w:right w:w="0" w:type="dxa"/>
                  </w:tcMar>
                  <w:vAlign w:val="center"/>
                </w:tcPr>
                <w:p w14:paraId="2877657D">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r>
            <w:tr w14:paraId="339BAD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293" w:type="pct"/>
                  <w:tcBorders>
                    <w:tl2br w:val="nil"/>
                    <w:tr2bl w:val="nil"/>
                  </w:tcBorders>
                  <w:noWrap w:val="0"/>
                  <w:tcMar>
                    <w:top w:w="0" w:type="dxa"/>
                    <w:left w:w="0" w:type="dxa"/>
                    <w:bottom w:w="0" w:type="dxa"/>
                    <w:right w:w="0" w:type="dxa"/>
                  </w:tcMar>
                  <w:vAlign w:val="center"/>
                </w:tcPr>
                <w:p w14:paraId="108202CF">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DA00</w:t>
                  </w:r>
                  <w:r>
                    <w:rPr>
                      <w:rFonts w:hint="default" w:ascii="Times New Roman" w:hAnsi="Times New Roman" w:cs="Times New Roman"/>
                      <w:color w:val="auto"/>
                      <w:sz w:val="21"/>
                      <w:szCs w:val="21"/>
                      <w:highlight w:val="none"/>
                      <w:lang w:val="en-US" w:eastAsia="zh-CN"/>
                    </w:rPr>
                    <w:t>1</w:t>
                  </w:r>
                </w:p>
              </w:tc>
              <w:tc>
                <w:tcPr>
                  <w:tcW w:w="327" w:type="pct"/>
                  <w:tcBorders>
                    <w:tl2br w:val="nil"/>
                    <w:tr2bl w:val="nil"/>
                  </w:tcBorders>
                  <w:noWrap w:val="0"/>
                  <w:tcMar>
                    <w:top w:w="0" w:type="dxa"/>
                    <w:left w:w="0" w:type="dxa"/>
                    <w:bottom w:w="0" w:type="dxa"/>
                    <w:right w:w="0" w:type="dxa"/>
                  </w:tcMar>
                  <w:vAlign w:val="center"/>
                </w:tcPr>
                <w:p w14:paraId="55F8DA5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一车间、二车间废气排放口</w:t>
                  </w:r>
                </w:p>
              </w:tc>
              <w:tc>
                <w:tcPr>
                  <w:tcW w:w="284" w:type="pct"/>
                  <w:tcBorders>
                    <w:tl2br w:val="nil"/>
                    <w:tr2bl w:val="nil"/>
                  </w:tcBorders>
                  <w:noWrap w:val="0"/>
                  <w:tcMar>
                    <w:top w:w="0" w:type="dxa"/>
                    <w:left w:w="0" w:type="dxa"/>
                    <w:bottom w:w="0" w:type="dxa"/>
                    <w:right w:w="0" w:type="dxa"/>
                  </w:tcMar>
                  <w:vAlign w:val="center"/>
                </w:tcPr>
                <w:p w14:paraId="15AF61E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740" w:type="pct"/>
                  <w:tcBorders>
                    <w:tl2br w:val="nil"/>
                    <w:tr2bl w:val="nil"/>
                  </w:tcBorders>
                  <w:noWrap w:val="0"/>
                  <w:tcMar>
                    <w:top w:w="0" w:type="dxa"/>
                    <w:left w:w="0" w:type="dxa"/>
                    <w:bottom w:w="0" w:type="dxa"/>
                    <w:right w:w="0" w:type="dxa"/>
                  </w:tcMar>
                  <w:vAlign w:val="center"/>
                </w:tcPr>
                <w:p w14:paraId="2B3BEB22">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经度：</w:t>
                  </w:r>
                  <w:r>
                    <w:rPr>
                      <w:rFonts w:hint="default" w:ascii="Times New Roman" w:hAnsi="Times New Roman" w:cs="Times New Roman"/>
                      <w:color w:val="auto"/>
                      <w:sz w:val="21"/>
                      <w:szCs w:val="21"/>
                      <w:highlight w:val="none"/>
                      <w:lang w:val="en-US"/>
                    </w:rPr>
                    <w:t>117.903982</w:t>
                  </w:r>
                  <w:r>
                    <w:rPr>
                      <w:rFonts w:hint="eastAsia" w:ascii="Times New Roman" w:hAnsi="Times New Roman" w:cs="Times New Roman"/>
                      <w:color w:val="auto"/>
                      <w:sz w:val="21"/>
                      <w:szCs w:val="21"/>
                      <w:highlight w:val="none"/>
                      <w:lang w:val="en-US" w:eastAsia="zh-CN"/>
                    </w:rPr>
                    <w:t>°</w:t>
                  </w:r>
                </w:p>
                <w:p w14:paraId="734496A8">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纬度：</w:t>
                  </w:r>
                  <w:r>
                    <w:rPr>
                      <w:rFonts w:hint="default" w:ascii="Times New Roman" w:hAnsi="Times New Roman" w:cs="Times New Roman"/>
                      <w:color w:val="auto"/>
                      <w:sz w:val="21"/>
                      <w:szCs w:val="21"/>
                      <w:highlight w:val="none"/>
                      <w:lang w:val="en-US"/>
                    </w:rPr>
                    <w:t>36.703382</w:t>
                  </w:r>
                  <w:r>
                    <w:rPr>
                      <w:rFonts w:hint="eastAsia" w:ascii="Times New Roman" w:hAnsi="Times New Roman" w:cs="Times New Roman"/>
                      <w:color w:val="auto"/>
                      <w:sz w:val="21"/>
                      <w:szCs w:val="21"/>
                      <w:highlight w:val="none"/>
                      <w:lang w:val="en-US" w:eastAsia="zh-CN"/>
                    </w:rPr>
                    <w:t>°</w:t>
                  </w:r>
                </w:p>
              </w:tc>
              <w:tc>
                <w:tcPr>
                  <w:tcW w:w="232" w:type="pct"/>
                  <w:tcBorders>
                    <w:tl2br w:val="nil"/>
                    <w:tr2bl w:val="nil"/>
                  </w:tcBorders>
                  <w:noWrap w:val="0"/>
                  <w:tcMar>
                    <w:top w:w="0" w:type="dxa"/>
                    <w:left w:w="0" w:type="dxa"/>
                    <w:bottom w:w="0" w:type="dxa"/>
                    <w:right w:w="0" w:type="dxa"/>
                  </w:tcMar>
                  <w:vAlign w:val="center"/>
                </w:tcPr>
                <w:p w14:paraId="1CBE6E8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263" w:type="pct"/>
                  <w:tcBorders>
                    <w:tl2br w:val="nil"/>
                    <w:tr2bl w:val="nil"/>
                  </w:tcBorders>
                  <w:noWrap w:val="0"/>
                  <w:tcMar>
                    <w:top w:w="0" w:type="dxa"/>
                    <w:left w:w="0" w:type="dxa"/>
                    <w:bottom w:w="0" w:type="dxa"/>
                    <w:right w:w="0" w:type="dxa"/>
                  </w:tcMar>
                  <w:vAlign w:val="center"/>
                </w:tcPr>
                <w:p w14:paraId="724ED70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289" w:type="pct"/>
                  <w:tcBorders>
                    <w:tl2br w:val="nil"/>
                    <w:tr2bl w:val="nil"/>
                  </w:tcBorders>
                  <w:noWrap w:val="0"/>
                  <w:tcMar>
                    <w:top w:w="0" w:type="dxa"/>
                    <w:left w:w="0" w:type="dxa"/>
                    <w:bottom w:w="0" w:type="dxa"/>
                    <w:right w:w="0" w:type="dxa"/>
                  </w:tcMar>
                  <w:vAlign w:val="center"/>
                </w:tcPr>
                <w:p w14:paraId="6BF8E33A">
                  <w:pPr>
                    <w:adjustRightInd w:val="0"/>
                    <w:snapToGrid w:val="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常温</w:t>
                  </w:r>
                </w:p>
              </w:tc>
              <w:tc>
                <w:tcPr>
                  <w:tcW w:w="284" w:type="pct"/>
                  <w:tcBorders>
                    <w:tl2br w:val="nil"/>
                    <w:tr2bl w:val="nil"/>
                  </w:tcBorders>
                  <w:noWrap w:val="0"/>
                  <w:tcMar>
                    <w:top w:w="0" w:type="dxa"/>
                    <w:left w:w="0" w:type="dxa"/>
                    <w:bottom w:w="0" w:type="dxa"/>
                    <w:right w:w="0" w:type="dxa"/>
                  </w:tcMar>
                  <w:vAlign w:val="center"/>
                </w:tcPr>
                <w:p w14:paraId="2276D21D">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颗粒物</w:t>
                  </w:r>
                </w:p>
              </w:tc>
              <w:tc>
                <w:tcPr>
                  <w:tcW w:w="749" w:type="pct"/>
                  <w:tcBorders>
                    <w:tl2br w:val="nil"/>
                    <w:tr2bl w:val="nil"/>
                  </w:tcBorders>
                  <w:noWrap w:val="0"/>
                  <w:tcMar>
                    <w:top w:w="0" w:type="dxa"/>
                    <w:left w:w="0" w:type="dxa"/>
                    <w:bottom w:w="0" w:type="dxa"/>
                    <w:right w:w="0" w:type="dxa"/>
                  </w:tcMar>
                  <w:vAlign w:val="center"/>
                </w:tcPr>
                <w:p w14:paraId="7983174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kern w:val="0"/>
                      <w:sz w:val="21"/>
                      <w:szCs w:val="21"/>
                      <w:highlight w:val="none"/>
                    </w:rPr>
                    <w:t>mg/m</w:t>
                  </w:r>
                  <w:r>
                    <w:rPr>
                      <w:rFonts w:hint="default" w:ascii="Times New Roman" w:hAnsi="Times New Roman" w:cs="Times New Roman"/>
                      <w:color w:val="auto"/>
                      <w:kern w:val="0"/>
                      <w:sz w:val="21"/>
                      <w:szCs w:val="21"/>
                      <w:highlight w:val="none"/>
                      <w:vertAlign w:val="superscript"/>
                    </w:rPr>
                    <w:t>3</w:t>
                  </w:r>
                </w:p>
              </w:tc>
              <w:tc>
                <w:tcPr>
                  <w:tcW w:w="1533" w:type="pct"/>
                  <w:tcBorders>
                    <w:tl2br w:val="nil"/>
                    <w:tr2bl w:val="nil"/>
                  </w:tcBorders>
                  <w:noWrap w:val="0"/>
                  <w:tcMar>
                    <w:top w:w="0" w:type="dxa"/>
                    <w:left w:w="0" w:type="dxa"/>
                    <w:bottom w:w="0" w:type="dxa"/>
                    <w:right w:w="0" w:type="dxa"/>
                  </w:tcMar>
                  <w:vAlign w:val="center"/>
                </w:tcPr>
                <w:p w14:paraId="37EEB65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sz w:val="21"/>
                      <w:szCs w:val="21"/>
                      <w:lang w:val="en-US" w:eastAsia="zh-CN"/>
                    </w:rPr>
                    <w:t>《区域性大气污染物综合排放标准》（DB37/2376-2019）表1重点控制区排放限值要求</w:t>
                  </w:r>
                </w:p>
              </w:tc>
            </w:tr>
            <w:tr w14:paraId="65579C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293" w:type="pct"/>
                  <w:tcBorders>
                    <w:tl2br w:val="nil"/>
                    <w:tr2bl w:val="nil"/>
                  </w:tcBorders>
                  <w:noWrap w:val="0"/>
                  <w:tcMar>
                    <w:top w:w="0" w:type="dxa"/>
                    <w:left w:w="0" w:type="dxa"/>
                    <w:bottom w:w="0" w:type="dxa"/>
                    <w:right w:w="0" w:type="dxa"/>
                  </w:tcMar>
                  <w:vAlign w:val="center"/>
                </w:tcPr>
                <w:p w14:paraId="2E26EC9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DA002</w:t>
                  </w:r>
                </w:p>
              </w:tc>
              <w:tc>
                <w:tcPr>
                  <w:tcW w:w="327" w:type="pct"/>
                  <w:tcBorders>
                    <w:tl2br w:val="nil"/>
                    <w:tr2bl w:val="nil"/>
                  </w:tcBorders>
                  <w:noWrap w:val="0"/>
                  <w:tcMar>
                    <w:top w:w="0" w:type="dxa"/>
                    <w:left w:w="0" w:type="dxa"/>
                    <w:bottom w:w="0" w:type="dxa"/>
                    <w:right w:w="0" w:type="dxa"/>
                  </w:tcMar>
                  <w:vAlign w:val="center"/>
                </w:tcPr>
                <w:p w14:paraId="30066CA9">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三车间废气排放口</w:t>
                  </w:r>
                </w:p>
              </w:tc>
              <w:tc>
                <w:tcPr>
                  <w:tcW w:w="284" w:type="pct"/>
                  <w:tcBorders>
                    <w:tl2br w:val="nil"/>
                    <w:tr2bl w:val="nil"/>
                  </w:tcBorders>
                  <w:noWrap w:val="0"/>
                  <w:tcMar>
                    <w:top w:w="0" w:type="dxa"/>
                    <w:left w:w="0" w:type="dxa"/>
                    <w:bottom w:w="0" w:type="dxa"/>
                    <w:right w:w="0" w:type="dxa"/>
                  </w:tcMar>
                  <w:vAlign w:val="center"/>
                </w:tcPr>
                <w:p w14:paraId="14FE711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740" w:type="pct"/>
                  <w:tcBorders>
                    <w:tl2br w:val="nil"/>
                    <w:tr2bl w:val="nil"/>
                  </w:tcBorders>
                  <w:noWrap w:val="0"/>
                  <w:tcMar>
                    <w:top w:w="0" w:type="dxa"/>
                    <w:left w:w="0" w:type="dxa"/>
                    <w:bottom w:w="0" w:type="dxa"/>
                    <w:right w:w="0" w:type="dxa"/>
                  </w:tcMar>
                  <w:vAlign w:val="center"/>
                </w:tcPr>
                <w:p w14:paraId="54748C3D">
                  <w:pPr>
                    <w:adjustRightInd w:val="0"/>
                    <w:snapToGrid w:val="0"/>
                    <w:jc w:val="center"/>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经度：</w:t>
                  </w:r>
                  <w:r>
                    <w:rPr>
                      <w:rFonts w:hint="default" w:ascii="Times New Roman" w:hAnsi="Times New Roman" w:cs="Times New Roman"/>
                      <w:color w:val="auto"/>
                      <w:kern w:val="0"/>
                      <w:sz w:val="21"/>
                      <w:szCs w:val="21"/>
                      <w:highlight w:val="none"/>
                      <w:lang w:val="en-US" w:eastAsia="zh-CN" w:bidi="ar-SA"/>
                    </w:rPr>
                    <w:t>117.903800</w:t>
                  </w:r>
                  <w:r>
                    <w:rPr>
                      <w:rFonts w:hint="eastAsia" w:ascii="Times New Roman" w:hAnsi="Times New Roman" w:cs="Times New Roman"/>
                      <w:color w:val="auto"/>
                      <w:kern w:val="0"/>
                      <w:sz w:val="21"/>
                      <w:szCs w:val="21"/>
                      <w:highlight w:val="none"/>
                      <w:lang w:val="en-US" w:eastAsia="zh-CN" w:bidi="ar-SA"/>
                    </w:rPr>
                    <w:t>°</w:t>
                  </w:r>
                </w:p>
                <w:p w14:paraId="0B560EFD">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纬度：</w:t>
                  </w:r>
                  <w:r>
                    <w:rPr>
                      <w:rFonts w:hint="default" w:ascii="Times New Roman" w:hAnsi="Times New Roman" w:cs="Times New Roman"/>
                      <w:color w:val="auto"/>
                      <w:kern w:val="0"/>
                      <w:sz w:val="21"/>
                      <w:szCs w:val="21"/>
                      <w:highlight w:val="none"/>
                      <w:lang w:val="en-US" w:eastAsia="zh-CN" w:bidi="ar-SA"/>
                    </w:rPr>
                    <w:t>36.703157</w:t>
                  </w:r>
                  <w:r>
                    <w:rPr>
                      <w:rFonts w:hint="eastAsia" w:ascii="Times New Roman" w:hAnsi="Times New Roman" w:cs="Times New Roman"/>
                      <w:color w:val="auto"/>
                      <w:kern w:val="0"/>
                      <w:sz w:val="21"/>
                      <w:szCs w:val="21"/>
                      <w:highlight w:val="none"/>
                      <w:lang w:val="en-US" w:eastAsia="zh-CN" w:bidi="ar-SA"/>
                    </w:rPr>
                    <w:t>°</w:t>
                  </w:r>
                </w:p>
              </w:tc>
              <w:tc>
                <w:tcPr>
                  <w:tcW w:w="232" w:type="pct"/>
                  <w:tcBorders>
                    <w:tl2br w:val="nil"/>
                    <w:tr2bl w:val="nil"/>
                  </w:tcBorders>
                  <w:noWrap w:val="0"/>
                  <w:tcMar>
                    <w:top w:w="0" w:type="dxa"/>
                    <w:left w:w="0" w:type="dxa"/>
                    <w:bottom w:w="0" w:type="dxa"/>
                    <w:right w:w="0" w:type="dxa"/>
                  </w:tcMar>
                  <w:vAlign w:val="center"/>
                </w:tcPr>
                <w:p w14:paraId="10ED4BA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701" w:type="dxa"/>
                  <w:tcBorders>
                    <w:tl2br w:val="nil"/>
                    <w:tr2bl w:val="nil"/>
                  </w:tcBorders>
                  <w:noWrap w:val="0"/>
                  <w:tcMar>
                    <w:top w:w="0" w:type="dxa"/>
                    <w:left w:w="0" w:type="dxa"/>
                    <w:bottom w:w="0" w:type="dxa"/>
                    <w:right w:w="0" w:type="dxa"/>
                  </w:tcMar>
                  <w:vAlign w:val="center"/>
                </w:tcPr>
                <w:p w14:paraId="6C71B7E8">
                  <w:pPr>
                    <w:adjustRightInd w:val="0"/>
                    <w:snapToGrid w:val="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0.35</w:t>
                  </w:r>
                </w:p>
              </w:tc>
              <w:tc>
                <w:tcPr>
                  <w:tcW w:w="771" w:type="dxa"/>
                  <w:tcBorders>
                    <w:tl2br w:val="nil"/>
                    <w:tr2bl w:val="nil"/>
                  </w:tcBorders>
                  <w:noWrap w:val="0"/>
                  <w:tcMar>
                    <w:top w:w="0" w:type="dxa"/>
                    <w:left w:w="0" w:type="dxa"/>
                    <w:bottom w:w="0" w:type="dxa"/>
                    <w:right w:w="0" w:type="dxa"/>
                  </w:tcMar>
                  <w:vAlign w:val="center"/>
                </w:tcPr>
                <w:p w14:paraId="66C4020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常温</w:t>
                  </w:r>
                </w:p>
              </w:tc>
              <w:tc>
                <w:tcPr>
                  <w:tcW w:w="757" w:type="dxa"/>
                  <w:tcBorders>
                    <w:tl2br w:val="nil"/>
                    <w:tr2bl w:val="nil"/>
                  </w:tcBorders>
                  <w:noWrap w:val="0"/>
                  <w:tcMar>
                    <w:top w:w="0" w:type="dxa"/>
                    <w:left w:w="0" w:type="dxa"/>
                    <w:bottom w:w="0" w:type="dxa"/>
                    <w:right w:w="0" w:type="dxa"/>
                  </w:tcMar>
                  <w:vAlign w:val="center"/>
                </w:tcPr>
                <w:p w14:paraId="130ADD10">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颗粒物</w:t>
                  </w:r>
                </w:p>
              </w:tc>
              <w:tc>
                <w:tcPr>
                  <w:tcW w:w="749" w:type="pct"/>
                  <w:tcBorders>
                    <w:tl2br w:val="nil"/>
                    <w:tr2bl w:val="nil"/>
                  </w:tcBorders>
                  <w:noWrap w:val="0"/>
                  <w:tcMar>
                    <w:top w:w="0" w:type="dxa"/>
                    <w:left w:w="0" w:type="dxa"/>
                    <w:bottom w:w="0" w:type="dxa"/>
                    <w:right w:w="0" w:type="dxa"/>
                  </w:tcMar>
                  <w:vAlign w:val="center"/>
                </w:tcPr>
                <w:p w14:paraId="7F93C5C4">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kern w:val="0"/>
                      <w:sz w:val="21"/>
                      <w:szCs w:val="21"/>
                      <w:highlight w:val="none"/>
                    </w:rPr>
                    <w:t>mg/m</w:t>
                  </w:r>
                  <w:r>
                    <w:rPr>
                      <w:rFonts w:hint="default" w:ascii="Times New Roman" w:hAnsi="Times New Roman" w:cs="Times New Roman"/>
                      <w:color w:val="auto"/>
                      <w:kern w:val="0"/>
                      <w:sz w:val="21"/>
                      <w:szCs w:val="21"/>
                      <w:highlight w:val="none"/>
                      <w:vertAlign w:val="superscript"/>
                    </w:rPr>
                    <w:t>3</w:t>
                  </w:r>
                </w:p>
              </w:tc>
              <w:tc>
                <w:tcPr>
                  <w:tcW w:w="1533" w:type="pct"/>
                  <w:tcBorders>
                    <w:tl2br w:val="nil"/>
                    <w:tr2bl w:val="nil"/>
                  </w:tcBorders>
                  <w:noWrap w:val="0"/>
                  <w:tcMar>
                    <w:top w:w="0" w:type="dxa"/>
                    <w:left w:w="0" w:type="dxa"/>
                    <w:bottom w:w="0" w:type="dxa"/>
                    <w:right w:w="0" w:type="dxa"/>
                  </w:tcMar>
                  <w:vAlign w:val="center"/>
                </w:tcPr>
                <w:p w14:paraId="5D1A2B0C">
                  <w:pPr>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《区域性大气污染物综合排放标准》（DB37/2376-2019）表1重点控制区排放限值要求</w:t>
                  </w:r>
                </w:p>
              </w:tc>
            </w:tr>
            <w:tr w14:paraId="4666E5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293" w:type="pct"/>
                  <w:tcBorders>
                    <w:tl2br w:val="nil"/>
                    <w:tr2bl w:val="nil"/>
                  </w:tcBorders>
                  <w:noWrap w:val="0"/>
                  <w:tcMar>
                    <w:top w:w="0" w:type="dxa"/>
                    <w:left w:w="0" w:type="dxa"/>
                    <w:bottom w:w="0" w:type="dxa"/>
                    <w:right w:w="0" w:type="dxa"/>
                  </w:tcMar>
                  <w:vAlign w:val="center"/>
                </w:tcPr>
                <w:p w14:paraId="7DB9735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DA003</w:t>
                  </w:r>
                </w:p>
              </w:tc>
              <w:tc>
                <w:tcPr>
                  <w:tcW w:w="327" w:type="pct"/>
                  <w:tcBorders>
                    <w:tl2br w:val="nil"/>
                    <w:tr2bl w:val="nil"/>
                  </w:tcBorders>
                  <w:noWrap w:val="0"/>
                  <w:tcMar>
                    <w:top w:w="0" w:type="dxa"/>
                    <w:left w:w="0" w:type="dxa"/>
                    <w:bottom w:w="0" w:type="dxa"/>
                    <w:right w:w="0" w:type="dxa"/>
                  </w:tcMar>
                  <w:vAlign w:val="center"/>
                </w:tcPr>
                <w:p w14:paraId="6C3356DE">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四车间废气排放口</w:t>
                  </w:r>
                </w:p>
              </w:tc>
              <w:tc>
                <w:tcPr>
                  <w:tcW w:w="284" w:type="pct"/>
                  <w:tcBorders>
                    <w:tl2br w:val="nil"/>
                    <w:tr2bl w:val="nil"/>
                  </w:tcBorders>
                  <w:noWrap w:val="0"/>
                  <w:tcMar>
                    <w:top w:w="0" w:type="dxa"/>
                    <w:left w:w="0" w:type="dxa"/>
                    <w:bottom w:w="0" w:type="dxa"/>
                    <w:right w:w="0" w:type="dxa"/>
                  </w:tcMar>
                  <w:vAlign w:val="center"/>
                </w:tcPr>
                <w:p w14:paraId="172EE4A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740" w:type="pct"/>
                  <w:tcBorders>
                    <w:tl2br w:val="nil"/>
                    <w:tr2bl w:val="nil"/>
                  </w:tcBorders>
                  <w:noWrap w:val="0"/>
                  <w:tcMar>
                    <w:top w:w="0" w:type="dxa"/>
                    <w:left w:w="0" w:type="dxa"/>
                    <w:bottom w:w="0" w:type="dxa"/>
                    <w:right w:w="0" w:type="dxa"/>
                  </w:tcMar>
                  <w:vAlign w:val="center"/>
                </w:tcPr>
                <w:p w14:paraId="2124BDD8">
                  <w:pPr>
                    <w:adjustRightInd w:val="0"/>
                    <w:snapToGrid w:val="0"/>
                    <w:jc w:val="center"/>
                    <w:rPr>
                      <w:rFonts w:hint="eastAsia"/>
                      <w:lang w:val="en-US" w:eastAsia="zh-CN"/>
                    </w:rPr>
                  </w:pPr>
                  <w:r>
                    <w:rPr>
                      <w:rFonts w:hint="eastAsia"/>
                      <w:lang w:eastAsia="zh-CN"/>
                    </w:rPr>
                    <w:t>经度：</w:t>
                  </w:r>
                  <w:r>
                    <w:rPr>
                      <w:rFonts w:hint="eastAsia"/>
                    </w:rPr>
                    <w:t>117.904433</w:t>
                  </w:r>
                  <w:r>
                    <w:rPr>
                      <w:rFonts w:hint="eastAsia"/>
                      <w:lang w:val="en-US" w:eastAsia="zh-CN"/>
                    </w:rPr>
                    <w:t>°</w:t>
                  </w:r>
                </w:p>
                <w:p w14:paraId="4DC051B2">
                  <w:pPr>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lang w:val="en-US" w:eastAsia="zh-CN"/>
                    </w:rPr>
                    <w:t>纬度：</w:t>
                  </w:r>
                  <w:r>
                    <w:rPr>
                      <w:rFonts w:hint="eastAsia"/>
                    </w:rPr>
                    <w:t>36.703135</w:t>
                  </w:r>
                  <w:r>
                    <w:rPr>
                      <w:rFonts w:hint="eastAsia"/>
                      <w:lang w:val="en-US" w:eastAsia="zh-CN"/>
                    </w:rPr>
                    <w:t>°</w:t>
                  </w:r>
                </w:p>
              </w:tc>
              <w:tc>
                <w:tcPr>
                  <w:tcW w:w="232" w:type="pct"/>
                  <w:tcBorders>
                    <w:tl2br w:val="nil"/>
                    <w:tr2bl w:val="nil"/>
                  </w:tcBorders>
                  <w:noWrap w:val="0"/>
                  <w:tcMar>
                    <w:top w:w="0" w:type="dxa"/>
                    <w:left w:w="0" w:type="dxa"/>
                    <w:bottom w:w="0" w:type="dxa"/>
                    <w:right w:w="0" w:type="dxa"/>
                  </w:tcMar>
                  <w:vAlign w:val="center"/>
                </w:tcPr>
                <w:p w14:paraId="15E8B96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701" w:type="dxa"/>
                  <w:tcBorders>
                    <w:tl2br w:val="nil"/>
                    <w:tr2bl w:val="nil"/>
                  </w:tcBorders>
                  <w:noWrap w:val="0"/>
                  <w:tcMar>
                    <w:top w:w="0" w:type="dxa"/>
                    <w:left w:w="0" w:type="dxa"/>
                    <w:bottom w:w="0" w:type="dxa"/>
                    <w:right w:w="0" w:type="dxa"/>
                  </w:tcMar>
                  <w:vAlign w:val="center"/>
                </w:tcPr>
                <w:p w14:paraId="619460F2">
                  <w:pPr>
                    <w:adjustRightInd w:val="0"/>
                    <w:snapToGrid w:val="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0.35</w:t>
                  </w:r>
                </w:p>
              </w:tc>
              <w:tc>
                <w:tcPr>
                  <w:tcW w:w="771" w:type="dxa"/>
                  <w:tcBorders>
                    <w:tl2br w:val="nil"/>
                    <w:tr2bl w:val="nil"/>
                  </w:tcBorders>
                  <w:noWrap w:val="0"/>
                  <w:tcMar>
                    <w:top w:w="0" w:type="dxa"/>
                    <w:left w:w="0" w:type="dxa"/>
                    <w:bottom w:w="0" w:type="dxa"/>
                    <w:right w:w="0" w:type="dxa"/>
                  </w:tcMar>
                  <w:vAlign w:val="center"/>
                </w:tcPr>
                <w:p w14:paraId="538C745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常温</w:t>
                  </w:r>
                </w:p>
              </w:tc>
              <w:tc>
                <w:tcPr>
                  <w:tcW w:w="757" w:type="dxa"/>
                  <w:tcBorders>
                    <w:tl2br w:val="nil"/>
                    <w:tr2bl w:val="nil"/>
                  </w:tcBorders>
                  <w:noWrap w:val="0"/>
                  <w:tcMar>
                    <w:top w:w="0" w:type="dxa"/>
                    <w:left w:w="0" w:type="dxa"/>
                    <w:bottom w:w="0" w:type="dxa"/>
                    <w:right w:w="0" w:type="dxa"/>
                  </w:tcMar>
                  <w:vAlign w:val="center"/>
                </w:tcPr>
                <w:p w14:paraId="69B61213">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颗粒物</w:t>
                  </w:r>
                </w:p>
              </w:tc>
              <w:tc>
                <w:tcPr>
                  <w:tcW w:w="749" w:type="pct"/>
                  <w:tcBorders>
                    <w:tl2br w:val="nil"/>
                    <w:tr2bl w:val="nil"/>
                  </w:tcBorders>
                  <w:noWrap w:val="0"/>
                  <w:tcMar>
                    <w:top w:w="0" w:type="dxa"/>
                    <w:left w:w="0" w:type="dxa"/>
                    <w:bottom w:w="0" w:type="dxa"/>
                    <w:right w:w="0" w:type="dxa"/>
                  </w:tcMar>
                  <w:vAlign w:val="center"/>
                </w:tcPr>
                <w:p w14:paraId="1A48521E">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kern w:val="0"/>
                      <w:sz w:val="21"/>
                      <w:szCs w:val="21"/>
                      <w:highlight w:val="none"/>
                    </w:rPr>
                    <w:t>mg/m</w:t>
                  </w:r>
                  <w:r>
                    <w:rPr>
                      <w:rFonts w:hint="default" w:ascii="Times New Roman" w:hAnsi="Times New Roman" w:cs="Times New Roman"/>
                      <w:color w:val="auto"/>
                      <w:kern w:val="0"/>
                      <w:sz w:val="21"/>
                      <w:szCs w:val="21"/>
                      <w:highlight w:val="none"/>
                      <w:vertAlign w:val="superscript"/>
                    </w:rPr>
                    <w:t>3</w:t>
                  </w:r>
                </w:p>
              </w:tc>
              <w:tc>
                <w:tcPr>
                  <w:tcW w:w="1533" w:type="pct"/>
                  <w:tcBorders>
                    <w:tl2br w:val="nil"/>
                    <w:tr2bl w:val="nil"/>
                  </w:tcBorders>
                  <w:noWrap w:val="0"/>
                  <w:tcMar>
                    <w:top w:w="0" w:type="dxa"/>
                    <w:left w:w="0" w:type="dxa"/>
                    <w:bottom w:w="0" w:type="dxa"/>
                    <w:right w:w="0" w:type="dxa"/>
                  </w:tcMar>
                  <w:vAlign w:val="center"/>
                </w:tcPr>
                <w:p w14:paraId="5237BED8">
                  <w:pPr>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《区域性大气污染物综合排放标准》（DB37/2376-2019）表1重点控制区排放限值要求</w:t>
                  </w:r>
                </w:p>
              </w:tc>
            </w:tr>
            <w:tr w14:paraId="652C9D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 w:hRule="atLeast"/>
              </w:trPr>
              <w:tc>
                <w:tcPr>
                  <w:tcW w:w="621" w:type="pct"/>
                  <w:gridSpan w:val="2"/>
                  <w:tcBorders>
                    <w:tl2br w:val="nil"/>
                    <w:tr2bl w:val="nil"/>
                  </w:tcBorders>
                  <w:noWrap w:val="0"/>
                  <w:tcMar>
                    <w:top w:w="0" w:type="dxa"/>
                    <w:left w:w="0" w:type="dxa"/>
                    <w:bottom w:w="0" w:type="dxa"/>
                    <w:right w:w="0" w:type="dxa"/>
                  </w:tcMar>
                  <w:vAlign w:val="center"/>
                </w:tcPr>
                <w:p w14:paraId="7C5BE71D">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厂界</w:t>
                  </w:r>
                  <w:r>
                    <w:rPr>
                      <w:rFonts w:hint="eastAsia" w:ascii="Times New Roman" w:hAnsi="Times New Roman" w:cs="Times New Roman"/>
                      <w:color w:val="auto"/>
                      <w:sz w:val="21"/>
                      <w:szCs w:val="21"/>
                      <w:lang w:val="en-US" w:eastAsia="zh-CN"/>
                    </w:rPr>
                    <w:t>无组织</w:t>
                  </w:r>
                </w:p>
              </w:tc>
              <w:tc>
                <w:tcPr>
                  <w:tcW w:w="284" w:type="pct"/>
                  <w:tcBorders>
                    <w:tl2br w:val="nil"/>
                    <w:tr2bl w:val="nil"/>
                  </w:tcBorders>
                  <w:shd w:val="clear" w:color="auto" w:fill="auto"/>
                  <w:noWrap w:val="0"/>
                  <w:tcMar>
                    <w:top w:w="0" w:type="dxa"/>
                    <w:left w:w="0" w:type="dxa"/>
                    <w:bottom w:w="0" w:type="dxa"/>
                    <w:right w:w="0" w:type="dxa"/>
                  </w:tcMar>
                  <w:vAlign w:val="center"/>
                </w:tcPr>
                <w:p w14:paraId="6563B3CA">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740" w:type="pct"/>
                  <w:tcBorders>
                    <w:tl2br w:val="nil"/>
                    <w:tr2bl w:val="nil"/>
                  </w:tcBorders>
                  <w:shd w:val="clear" w:color="auto" w:fill="auto"/>
                  <w:noWrap w:val="0"/>
                  <w:tcMar>
                    <w:top w:w="0" w:type="dxa"/>
                    <w:left w:w="0" w:type="dxa"/>
                    <w:bottom w:w="0" w:type="dxa"/>
                    <w:right w:w="0" w:type="dxa"/>
                  </w:tcMar>
                  <w:vAlign w:val="center"/>
                </w:tcPr>
                <w:p w14:paraId="49508F0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32" w:type="pct"/>
                  <w:tcBorders>
                    <w:tl2br w:val="nil"/>
                    <w:tr2bl w:val="nil"/>
                  </w:tcBorders>
                  <w:shd w:val="clear" w:color="auto" w:fill="auto"/>
                  <w:noWrap w:val="0"/>
                  <w:tcMar>
                    <w:top w:w="0" w:type="dxa"/>
                    <w:left w:w="0" w:type="dxa"/>
                    <w:bottom w:w="0" w:type="dxa"/>
                    <w:right w:w="0" w:type="dxa"/>
                  </w:tcMar>
                  <w:vAlign w:val="center"/>
                </w:tcPr>
                <w:p w14:paraId="071CAAC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63" w:type="pct"/>
                  <w:tcBorders>
                    <w:tl2br w:val="nil"/>
                    <w:tr2bl w:val="nil"/>
                  </w:tcBorders>
                  <w:shd w:val="clear" w:color="auto" w:fill="auto"/>
                  <w:noWrap w:val="0"/>
                  <w:tcMar>
                    <w:top w:w="0" w:type="dxa"/>
                    <w:left w:w="0" w:type="dxa"/>
                    <w:bottom w:w="0" w:type="dxa"/>
                    <w:right w:w="0" w:type="dxa"/>
                  </w:tcMar>
                  <w:vAlign w:val="center"/>
                </w:tcPr>
                <w:p w14:paraId="1813644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89" w:type="pct"/>
                  <w:tcBorders>
                    <w:tl2br w:val="nil"/>
                    <w:tr2bl w:val="nil"/>
                  </w:tcBorders>
                  <w:shd w:val="clear" w:color="auto" w:fill="auto"/>
                  <w:noWrap w:val="0"/>
                  <w:tcMar>
                    <w:top w:w="0" w:type="dxa"/>
                    <w:left w:w="0" w:type="dxa"/>
                    <w:bottom w:w="0" w:type="dxa"/>
                    <w:right w:w="0" w:type="dxa"/>
                  </w:tcMar>
                  <w:vAlign w:val="center"/>
                </w:tcPr>
                <w:p w14:paraId="7C49242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284" w:type="pct"/>
                  <w:tcBorders>
                    <w:tl2br w:val="nil"/>
                    <w:tr2bl w:val="nil"/>
                  </w:tcBorders>
                  <w:shd w:val="clear" w:color="auto" w:fill="auto"/>
                  <w:noWrap w:val="0"/>
                  <w:tcMar>
                    <w:top w:w="0" w:type="dxa"/>
                    <w:left w:w="0" w:type="dxa"/>
                    <w:bottom w:w="0" w:type="dxa"/>
                    <w:right w:w="0" w:type="dxa"/>
                  </w:tcMar>
                  <w:vAlign w:val="center"/>
                </w:tcPr>
                <w:p w14:paraId="279BB4F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颗粒物</w:t>
                  </w:r>
                </w:p>
              </w:tc>
              <w:tc>
                <w:tcPr>
                  <w:tcW w:w="749" w:type="pct"/>
                  <w:tcBorders>
                    <w:tl2br w:val="nil"/>
                    <w:tr2bl w:val="nil"/>
                  </w:tcBorders>
                  <w:shd w:val="clear" w:color="auto" w:fill="auto"/>
                  <w:noWrap w:val="0"/>
                  <w:tcMar>
                    <w:top w:w="0" w:type="dxa"/>
                    <w:left w:w="0" w:type="dxa"/>
                    <w:bottom w:w="0" w:type="dxa"/>
                    <w:right w:w="0" w:type="dxa"/>
                  </w:tcMar>
                  <w:vAlign w:val="center"/>
                </w:tcPr>
                <w:p w14:paraId="74559525">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rPr>
                    <w:t>1.0</w:t>
                  </w: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c>
                <w:tcPr>
                  <w:tcW w:w="1533" w:type="pct"/>
                  <w:tcBorders>
                    <w:tl2br w:val="nil"/>
                    <w:tr2bl w:val="nil"/>
                  </w:tcBorders>
                  <w:shd w:val="clear" w:color="auto" w:fill="auto"/>
                  <w:noWrap w:val="0"/>
                  <w:tcMar>
                    <w:top w:w="0" w:type="dxa"/>
                    <w:left w:w="0" w:type="dxa"/>
                    <w:bottom w:w="0" w:type="dxa"/>
                    <w:right w:w="0" w:type="dxa"/>
                  </w:tcMar>
                  <w:vAlign w:val="center"/>
                </w:tcPr>
                <w:p w14:paraId="51368114">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lang w:val="en-US" w:eastAsia="zh-CN"/>
                    </w:rPr>
                    <w:t>《大气污染物综合排放标</w:t>
                  </w:r>
                  <w:r>
                    <w:rPr>
                      <w:rFonts w:hint="default" w:ascii="Times New Roman" w:hAnsi="Times New Roman" w:cs="Times New Roman"/>
                      <w:color w:val="auto"/>
                      <w:sz w:val="21"/>
                      <w:szCs w:val="21"/>
                      <w:highlight w:val="none"/>
                      <w:lang w:val="en-US" w:eastAsia="zh-CN"/>
                    </w:rPr>
                    <w:t>准》（GB16297-1996）表2中无组织排放标准</w:t>
                  </w:r>
                </w:p>
              </w:tc>
            </w:tr>
          </w:tbl>
          <w:p w14:paraId="25A72404">
            <w:pPr>
              <w:autoSpaceDE w:val="0"/>
              <w:autoSpaceDN w:val="0"/>
              <w:adjustRightInd w:val="0"/>
              <w:spacing w:before="120" w:beforeLines="50" w:line="360" w:lineRule="auto"/>
              <w:ind w:firstLine="482"/>
              <w:rPr>
                <w:color w:val="auto"/>
              </w:rPr>
            </w:pPr>
            <w:r>
              <w:rPr>
                <w:rFonts w:hint="eastAsia"/>
                <w:color w:val="auto"/>
                <w:lang w:val="en-US" w:eastAsia="zh-CN"/>
              </w:rPr>
              <w:t>（3）</w:t>
            </w:r>
            <w:r>
              <w:rPr>
                <w:color w:val="auto"/>
              </w:rPr>
              <w:t>非正常工况分析</w:t>
            </w:r>
          </w:p>
          <w:p w14:paraId="0C4162D3">
            <w:pPr>
              <w:autoSpaceDE w:val="0"/>
              <w:autoSpaceDN w:val="0"/>
              <w:adjustRightInd w:val="0"/>
              <w:spacing w:line="360" w:lineRule="auto"/>
              <w:ind w:firstLine="480"/>
              <w:rPr>
                <w:color w:val="auto"/>
              </w:rPr>
            </w:pPr>
            <w:r>
              <w:rPr>
                <w:rFonts w:hint="eastAsia"/>
                <w:color w:val="auto"/>
                <w:lang w:val="en-US" w:eastAsia="zh-CN"/>
              </w:rPr>
              <w:t>1</w:t>
            </w:r>
            <w:r>
              <w:rPr>
                <w:rFonts w:hint="eastAsia"/>
                <w:color w:val="auto"/>
                <w:lang w:eastAsia="zh-CN"/>
              </w:rPr>
              <w:t>）</w:t>
            </w:r>
            <w:r>
              <w:rPr>
                <w:color w:val="auto"/>
              </w:rPr>
              <w:t>非正常工况污染物产排分析</w:t>
            </w:r>
          </w:p>
          <w:p w14:paraId="34E64A6A">
            <w:pPr>
              <w:autoSpaceDE w:val="0"/>
              <w:autoSpaceDN w:val="0"/>
              <w:adjustRightInd w:val="0"/>
              <w:spacing w:line="360" w:lineRule="auto"/>
              <w:ind w:firstLine="480"/>
              <w:rPr>
                <w:rFonts w:hint="eastAsia"/>
                <w:color w:val="auto"/>
                <w:lang w:val="zh-CN"/>
              </w:rPr>
            </w:pPr>
            <w:r>
              <w:rPr>
                <w:rFonts w:hint="eastAsia"/>
                <w:color w:val="auto"/>
                <w:lang w:val="zh-CN"/>
              </w:rPr>
              <w:t>非正常工况指生产设施非正常工况或污染防治（控制）设施非正常状况，其中生产设施非正常工况指开停炉（机）、设备检修、工艺设备运转异常等工况，污染防治（控制）设施非正常状况指达不到应有治理效率或同步运转率等情况。</w:t>
            </w:r>
          </w:p>
          <w:p w14:paraId="60AB30D9">
            <w:pPr>
              <w:autoSpaceDE w:val="0"/>
              <w:autoSpaceDN w:val="0"/>
              <w:adjustRightInd w:val="0"/>
              <w:spacing w:line="360" w:lineRule="auto"/>
              <w:ind w:firstLine="480"/>
              <w:rPr>
                <w:color w:val="auto"/>
                <w:highlight w:val="none"/>
              </w:rPr>
            </w:pPr>
            <w:r>
              <w:rPr>
                <w:rFonts w:hint="eastAsia"/>
                <w:color w:val="auto"/>
                <w:lang w:val="zh-CN"/>
              </w:rPr>
              <w:t>环保设施出现故障时，会使污染物处理效率下降或者根本得不到处理而排入环境中。本项目主要为废气治理措施出现故障而不能满足设计要求的情况，主要考虑尾气</w:t>
            </w:r>
            <w:r>
              <w:rPr>
                <w:rFonts w:hint="eastAsia"/>
                <w:color w:val="auto"/>
                <w:lang w:val="en-US" w:eastAsia="zh-CN"/>
              </w:rPr>
              <w:t>处理</w:t>
            </w:r>
            <w:r>
              <w:rPr>
                <w:rFonts w:hint="eastAsia"/>
                <w:color w:val="auto"/>
                <w:lang w:val="zh-CN"/>
              </w:rPr>
              <w:t>系统发生故障导致尾气不经处理直接排入外环境的情况。以最不利情况下废气处理系统净化效率为零考虑，</w:t>
            </w:r>
            <w:r>
              <w:rPr>
                <w:rFonts w:hint="eastAsia"/>
                <w:color w:val="auto"/>
                <w:highlight w:val="none"/>
                <w:lang w:val="zh-CN"/>
              </w:rPr>
              <w:t>源强最大的时段废气排放1h对周围环境的影响。</w:t>
            </w:r>
            <w:r>
              <w:rPr>
                <w:color w:val="auto"/>
                <w:highlight w:val="none"/>
                <w:lang w:val="zh-CN"/>
              </w:rPr>
              <w:t>项目废气治理设施出现故障状况下污染物排放情况见下表。</w:t>
            </w:r>
          </w:p>
          <w:p w14:paraId="51A719D6">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b/>
                <w:bCs/>
                <w:color w:val="auto"/>
                <w:szCs w:val="21"/>
                <w:highlight w:val="none"/>
              </w:rPr>
            </w:pPr>
            <w:r>
              <w:rPr>
                <w:rFonts w:hint="eastAsia"/>
                <w:b/>
                <w:bCs/>
                <w:color w:val="auto"/>
                <w:szCs w:val="21"/>
                <w:highlight w:val="none"/>
                <w:lang w:val="en-US" w:eastAsia="zh-CN"/>
              </w:rPr>
              <w:t xml:space="preserve">表4-4 </w:t>
            </w:r>
            <w:r>
              <w:rPr>
                <w:rFonts w:hint="eastAsia"/>
                <w:b/>
                <w:bCs/>
                <w:color w:val="auto"/>
                <w:szCs w:val="21"/>
                <w:highlight w:val="none"/>
              </w:rPr>
              <w:t>项目废气</w:t>
            </w:r>
            <w:r>
              <w:rPr>
                <w:rFonts w:hint="eastAsia"/>
                <w:b/>
                <w:color w:val="auto"/>
                <w:szCs w:val="21"/>
                <w:highlight w:val="none"/>
              </w:rPr>
              <w:t>治理</w:t>
            </w:r>
            <w:r>
              <w:rPr>
                <w:rFonts w:hint="eastAsia"/>
                <w:b/>
                <w:bCs/>
                <w:color w:val="auto"/>
                <w:szCs w:val="21"/>
                <w:highlight w:val="none"/>
              </w:rPr>
              <w:t>设施</w:t>
            </w:r>
            <w:r>
              <w:rPr>
                <w:rFonts w:hint="eastAsia"/>
                <w:b/>
                <w:color w:val="auto"/>
                <w:kern w:val="0"/>
                <w:szCs w:val="21"/>
                <w:highlight w:val="none"/>
              </w:rPr>
              <w:t>出现</w:t>
            </w:r>
            <w:r>
              <w:rPr>
                <w:rFonts w:hint="eastAsia"/>
                <w:b/>
                <w:bCs/>
                <w:color w:val="auto"/>
                <w:szCs w:val="21"/>
                <w:highlight w:val="none"/>
              </w:rPr>
              <w:t>故障状况下污染物排放情况</w:t>
            </w:r>
            <w:r>
              <w:rPr>
                <w:rFonts w:hint="eastAsia"/>
                <w:b/>
                <w:bCs/>
                <w:color w:val="auto"/>
                <w:szCs w:val="21"/>
                <w:highlight w:val="none"/>
                <w:lang w:val="en-US" w:eastAsia="zh-CN"/>
              </w:rPr>
              <w:t>一览</w:t>
            </w:r>
            <w:r>
              <w:rPr>
                <w:rFonts w:hint="eastAsia"/>
                <w:b/>
                <w:bCs/>
                <w:color w:val="auto"/>
                <w:szCs w:val="21"/>
                <w:highlight w:val="none"/>
              </w:rPr>
              <w:t>表</w:t>
            </w:r>
          </w:p>
          <w:tbl>
            <w:tblPr>
              <w:tblStyle w:val="35"/>
              <w:tblW w:w="4992" w:type="pct"/>
              <w:tblInd w:w="13"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566"/>
              <w:gridCol w:w="1761"/>
              <w:gridCol w:w="1793"/>
              <w:gridCol w:w="1990"/>
              <w:gridCol w:w="1782"/>
              <w:gridCol w:w="1500"/>
              <w:gridCol w:w="1462"/>
            </w:tblGrid>
            <w:tr w14:paraId="4E6561D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6206186E">
                  <w:pPr>
                    <w:adjustRightInd w:val="0"/>
                    <w:snapToGrid w:val="0"/>
                    <w:jc w:val="center"/>
                    <w:rPr>
                      <w:color w:val="auto"/>
                      <w:kern w:val="2"/>
                      <w:sz w:val="21"/>
                      <w:szCs w:val="21"/>
                      <w:highlight w:val="none"/>
                      <w:lang w:val="en-US" w:eastAsia="zh-CN" w:bidi="ar-SA"/>
                    </w:rPr>
                  </w:pPr>
                  <w:r>
                    <w:rPr>
                      <w:color w:val="auto"/>
                      <w:szCs w:val="21"/>
                      <w:highlight w:val="none"/>
                    </w:rPr>
                    <w:t>排气筒编号</w:t>
                  </w:r>
                </w:p>
              </w:tc>
              <w:tc>
                <w:tcPr>
                  <w:tcW w:w="588" w:type="pct"/>
                  <w:tcBorders>
                    <w:tl2br w:val="nil"/>
                    <w:tr2bl w:val="nil"/>
                  </w:tcBorders>
                  <w:noWrap w:val="0"/>
                  <w:vAlign w:val="center"/>
                </w:tcPr>
                <w:p w14:paraId="25261784">
                  <w:pPr>
                    <w:adjustRightInd w:val="0"/>
                    <w:snapToGrid w:val="0"/>
                    <w:jc w:val="center"/>
                    <w:rPr>
                      <w:color w:val="auto"/>
                      <w:kern w:val="2"/>
                      <w:sz w:val="21"/>
                      <w:szCs w:val="21"/>
                      <w:highlight w:val="none"/>
                      <w:lang w:val="en-US" w:eastAsia="zh-CN" w:bidi="ar-SA"/>
                    </w:rPr>
                  </w:pPr>
                  <w:r>
                    <w:rPr>
                      <w:color w:val="auto"/>
                      <w:szCs w:val="21"/>
                      <w:highlight w:val="none"/>
                    </w:rPr>
                    <w:t>污染物种类</w:t>
                  </w:r>
                </w:p>
              </w:tc>
              <w:tc>
                <w:tcPr>
                  <w:tcW w:w="661" w:type="pct"/>
                  <w:tcBorders>
                    <w:tl2br w:val="nil"/>
                    <w:tr2bl w:val="nil"/>
                  </w:tcBorders>
                  <w:noWrap w:val="0"/>
                  <w:vAlign w:val="center"/>
                </w:tcPr>
                <w:p w14:paraId="18893C14">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排放</w:t>
                  </w:r>
                  <w:r>
                    <w:rPr>
                      <w:color w:val="auto"/>
                      <w:szCs w:val="21"/>
                      <w:highlight w:val="none"/>
                    </w:rPr>
                    <w:t>速率</w:t>
                  </w:r>
                  <w:r>
                    <w:rPr>
                      <w:rFonts w:hint="eastAsia"/>
                      <w:color w:val="auto"/>
                      <w:szCs w:val="21"/>
                      <w:highlight w:val="none"/>
                      <w:lang w:val="en-US" w:eastAsia="zh-CN"/>
                    </w:rPr>
                    <w:t>(</w:t>
                  </w:r>
                  <w:r>
                    <w:rPr>
                      <w:color w:val="auto"/>
                      <w:szCs w:val="21"/>
                      <w:highlight w:val="none"/>
                    </w:rPr>
                    <w:t>kg/h</w:t>
                  </w:r>
                  <w:r>
                    <w:rPr>
                      <w:rFonts w:hint="eastAsia"/>
                      <w:color w:val="auto"/>
                      <w:szCs w:val="21"/>
                      <w:highlight w:val="none"/>
                      <w:lang w:val="en-US" w:eastAsia="zh-CN"/>
                    </w:rPr>
                    <w:t>)</w:t>
                  </w:r>
                </w:p>
              </w:tc>
              <w:tc>
                <w:tcPr>
                  <w:tcW w:w="673" w:type="pct"/>
                  <w:tcBorders>
                    <w:tl2br w:val="nil"/>
                    <w:tr2bl w:val="nil"/>
                  </w:tcBorders>
                  <w:noWrap w:val="0"/>
                  <w:vAlign w:val="center"/>
                </w:tcPr>
                <w:p w14:paraId="1E664351">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排放</w:t>
                  </w:r>
                  <w:r>
                    <w:rPr>
                      <w:color w:val="auto"/>
                      <w:szCs w:val="21"/>
                      <w:highlight w:val="none"/>
                    </w:rPr>
                    <w:t>浓度</w:t>
                  </w:r>
                  <w:r>
                    <w:rPr>
                      <w:rFonts w:hint="eastAsia"/>
                      <w:color w:val="auto"/>
                      <w:szCs w:val="21"/>
                      <w:highlight w:val="none"/>
                      <w:lang w:val="en-US" w:eastAsia="zh-CN"/>
                    </w:rPr>
                    <w:t>(</w:t>
                  </w:r>
                  <w:r>
                    <w:rPr>
                      <w:color w:val="auto"/>
                      <w:szCs w:val="21"/>
                      <w:highlight w:val="none"/>
                    </w:rPr>
                    <w:t>mg/m</w:t>
                  </w:r>
                  <w:r>
                    <w:rPr>
                      <w:color w:val="auto"/>
                      <w:szCs w:val="21"/>
                      <w:highlight w:val="none"/>
                      <w:vertAlign w:val="superscript"/>
                    </w:rPr>
                    <w:t>3</w:t>
                  </w:r>
                  <w:r>
                    <w:rPr>
                      <w:rFonts w:hint="eastAsia"/>
                      <w:color w:val="auto"/>
                      <w:szCs w:val="21"/>
                      <w:highlight w:val="none"/>
                      <w:lang w:val="en-US" w:eastAsia="zh-CN"/>
                    </w:rPr>
                    <w:t>)</w:t>
                  </w:r>
                </w:p>
              </w:tc>
              <w:tc>
                <w:tcPr>
                  <w:tcW w:w="747" w:type="pct"/>
                  <w:tcBorders>
                    <w:tl2br w:val="nil"/>
                    <w:tr2bl w:val="nil"/>
                  </w:tcBorders>
                  <w:noWrap w:val="0"/>
                  <w:vAlign w:val="center"/>
                </w:tcPr>
                <w:p w14:paraId="53F5D403">
                  <w:pPr>
                    <w:adjustRightInd w:val="0"/>
                    <w:snapToGrid w:val="0"/>
                    <w:jc w:val="center"/>
                    <w:rPr>
                      <w:color w:val="auto"/>
                      <w:szCs w:val="21"/>
                      <w:highlight w:val="none"/>
                    </w:rPr>
                  </w:pPr>
                  <w:r>
                    <w:rPr>
                      <w:color w:val="auto"/>
                      <w:szCs w:val="21"/>
                      <w:highlight w:val="none"/>
                    </w:rPr>
                    <w:t>单次</w:t>
                  </w:r>
                  <w:r>
                    <w:rPr>
                      <w:rFonts w:hint="eastAsia"/>
                      <w:color w:val="auto"/>
                      <w:szCs w:val="21"/>
                      <w:highlight w:val="none"/>
                      <w:lang w:val="en-US" w:eastAsia="zh-CN"/>
                    </w:rPr>
                    <w:t>持续</w:t>
                  </w:r>
                  <w:r>
                    <w:rPr>
                      <w:color w:val="auto"/>
                      <w:szCs w:val="21"/>
                      <w:highlight w:val="none"/>
                    </w:rPr>
                    <w:t>时间（</w:t>
                  </w:r>
                  <w:r>
                    <w:rPr>
                      <w:rFonts w:hint="eastAsia"/>
                      <w:color w:val="auto"/>
                      <w:szCs w:val="21"/>
                      <w:highlight w:val="none"/>
                      <w:lang w:val="en-US" w:eastAsia="zh-CN"/>
                    </w:rPr>
                    <w:t>h</w:t>
                  </w:r>
                  <w:r>
                    <w:rPr>
                      <w:color w:val="auto"/>
                      <w:szCs w:val="21"/>
                      <w:highlight w:val="none"/>
                    </w:rPr>
                    <w:t>）</w:t>
                  </w:r>
                </w:p>
              </w:tc>
              <w:tc>
                <w:tcPr>
                  <w:tcW w:w="669" w:type="pct"/>
                  <w:tcBorders>
                    <w:tl2br w:val="nil"/>
                    <w:tr2bl w:val="nil"/>
                  </w:tcBorders>
                  <w:noWrap w:val="0"/>
                  <w:vAlign w:val="center"/>
                </w:tcPr>
                <w:p w14:paraId="04D7B313">
                  <w:pPr>
                    <w:adjustRightInd w:val="0"/>
                    <w:snapToGrid w:val="0"/>
                    <w:jc w:val="center"/>
                    <w:rPr>
                      <w:rFonts w:hint="eastAsia" w:eastAsia="宋体"/>
                      <w:color w:val="auto"/>
                      <w:szCs w:val="21"/>
                      <w:highlight w:val="none"/>
                      <w:lang w:eastAsia="zh-CN"/>
                    </w:rPr>
                  </w:pPr>
                  <w:r>
                    <w:rPr>
                      <w:color w:val="auto"/>
                      <w:szCs w:val="21"/>
                      <w:highlight w:val="none"/>
                    </w:rPr>
                    <w:t>事故频次</w:t>
                  </w:r>
                  <w:r>
                    <w:rPr>
                      <w:rFonts w:hint="eastAsia"/>
                      <w:color w:val="auto"/>
                      <w:szCs w:val="21"/>
                      <w:highlight w:val="none"/>
                      <w:lang w:val="en-US" w:eastAsia="zh-CN"/>
                    </w:rPr>
                    <w:t>(</w:t>
                  </w:r>
                  <w:r>
                    <w:rPr>
                      <w:color w:val="auto"/>
                      <w:szCs w:val="21"/>
                      <w:highlight w:val="none"/>
                    </w:rPr>
                    <w:t>次/a</w:t>
                  </w:r>
                  <w:r>
                    <w:rPr>
                      <w:rFonts w:hint="eastAsia"/>
                      <w:color w:val="auto"/>
                      <w:szCs w:val="21"/>
                      <w:highlight w:val="none"/>
                      <w:lang w:val="en-US" w:eastAsia="zh-CN"/>
                    </w:rPr>
                    <w:t>)</w:t>
                  </w:r>
                </w:p>
              </w:tc>
              <w:tc>
                <w:tcPr>
                  <w:tcW w:w="563" w:type="pct"/>
                  <w:tcBorders>
                    <w:tl2br w:val="nil"/>
                    <w:tr2bl w:val="nil"/>
                  </w:tcBorders>
                  <w:noWrap w:val="0"/>
                  <w:vAlign w:val="center"/>
                </w:tcPr>
                <w:p w14:paraId="034D2701">
                  <w:pPr>
                    <w:adjustRightInd w:val="0"/>
                    <w:snapToGrid w:val="0"/>
                    <w:jc w:val="center"/>
                    <w:rPr>
                      <w:color w:val="auto"/>
                      <w:szCs w:val="21"/>
                      <w:highlight w:val="none"/>
                    </w:rPr>
                  </w:pPr>
                  <w:r>
                    <w:rPr>
                      <w:color w:val="auto"/>
                      <w:szCs w:val="21"/>
                      <w:highlight w:val="none"/>
                    </w:rPr>
                    <w:t>标准限值</w:t>
                  </w:r>
                </w:p>
              </w:tc>
              <w:tc>
                <w:tcPr>
                  <w:tcW w:w="549" w:type="pct"/>
                  <w:tcBorders>
                    <w:tl2br w:val="nil"/>
                    <w:tr2bl w:val="nil"/>
                  </w:tcBorders>
                  <w:noWrap w:val="0"/>
                  <w:vAlign w:val="center"/>
                </w:tcPr>
                <w:p w14:paraId="07DB673B">
                  <w:pPr>
                    <w:adjustRightInd w:val="0"/>
                    <w:snapToGrid w:val="0"/>
                    <w:jc w:val="center"/>
                    <w:rPr>
                      <w:color w:val="auto"/>
                      <w:szCs w:val="21"/>
                      <w:highlight w:val="none"/>
                    </w:rPr>
                  </w:pPr>
                  <w:r>
                    <w:rPr>
                      <w:color w:val="auto"/>
                      <w:szCs w:val="21"/>
                      <w:highlight w:val="none"/>
                    </w:rPr>
                    <w:t>达标情况</w:t>
                  </w:r>
                </w:p>
              </w:tc>
            </w:tr>
            <w:tr w14:paraId="4928C3F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73FB8BB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DA001</w:t>
                  </w:r>
                </w:p>
              </w:tc>
              <w:tc>
                <w:tcPr>
                  <w:tcW w:w="588" w:type="pct"/>
                  <w:tcBorders>
                    <w:tl2br w:val="nil"/>
                    <w:tr2bl w:val="nil"/>
                  </w:tcBorders>
                  <w:shd w:val="clear" w:color="auto" w:fill="auto"/>
                  <w:noWrap w:val="0"/>
                  <w:vAlign w:val="center"/>
                </w:tcPr>
                <w:p w14:paraId="738F97C8">
                  <w:pPr>
                    <w:widowControl/>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颗粒物</w:t>
                  </w:r>
                </w:p>
              </w:tc>
              <w:tc>
                <w:tcPr>
                  <w:tcW w:w="661" w:type="pct"/>
                  <w:tcBorders>
                    <w:tl2br w:val="nil"/>
                    <w:tr2bl w:val="nil"/>
                  </w:tcBorders>
                  <w:shd w:val="clear" w:color="auto" w:fill="auto"/>
                  <w:noWrap w:val="0"/>
                  <w:vAlign w:val="center"/>
                </w:tcPr>
                <w:p w14:paraId="304F5C4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4.866</w:t>
                  </w:r>
                </w:p>
              </w:tc>
              <w:tc>
                <w:tcPr>
                  <w:tcW w:w="673" w:type="pct"/>
                  <w:tcBorders>
                    <w:tl2br w:val="nil"/>
                    <w:tr2bl w:val="nil"/>
                  </w:tcBorders>
                  <w:shd w:val="clear" w:color="auto" w:fill="auto"/>
                  <w:noWrap w:val="0"/>
                  <w:vAlign w:val="center"/>
                </w:tcPr>
                <w:p w14:paraId="5D8394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162.2</w:t>
                  </w:r>
                </w:p>
              </w:tc>
              <w:tc>
                <w:tcPr>
                  <w:tcW w:w="747" w:type="pct"/>
                  <w:tcBorders>
                    <w:tl2br w:val="nil"/>
                    <w:tr2bl w:val="nil"/>
                  </w:tcBorders>
                  <w:shd w:val="clear" w:color="auto" w:fill="auto"/>
                  <w:noWrap w:val="0"/>
                  <w:vAlign w:val="center"/>
                </w:tcPr>
                <w:p w14:paraId="06D61637">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val="en-US" w:eastAsia="zh-CN" w:bidi="ar"/>
                    </w:rPr>
                    <w:t>1</w:t>
                  </w:r>
                </w:p>
              </w:tc>
              <w:tc>
                <w:tcPr>
                  <w:tcW w:w="669" w:type="pct"/>
                  <w:tcBorders>
                    <w:tl2br w:val="nil"/>
                    <w:tr2bl w:val="nil"/>
                  </w:tcBorders>
                  <w:shd w:val="clear" w:color="auto" w:fill="auto"/>
                  <w:noWrap w:val="0"/>
                  <w:vAlign w:val="center"/>
                </w:tcPr>
                <w:p w14:paraId="1049B89D">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val="en-US" w:eastAsia="zh-CN" w:bidi="ar"/>
                    </w:rPr>
                    <w:t>1</w:t>
                  </w:r>
                </w:p>
              </w:tc>
              <w:tc>
                <w:tcPr>
                  <w:tcW w:w="563" w:type="pct"/>
                  <w:tcBorders>
                    <w:tl2br w:val="nil"/>
                    <w:tr2bl w:val="nil"/>
                  </w:tcBorders>
                  <w:shd w:val="clear" w:color="auto" w:fill="auto"/>
                  <w:noWrap w:val="0"/>
                  <w:vAlign w:val="center"/>
                </w:tcPr>
                <w:p w14:paraId="3CE48E8D">
                  <w:pPr>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10</w:t>
                  </w:r>
                  <w:r>
                    <w:rPr>
                      <w:color w:val="auto"/>
                      <w:kern w:val="0"/>
                      <w:szCs w:val="21"/>
                      <w:highlight w:val="none"/>
                    </w:rPr>
                    <w:t>mg/m</w:t>
                  </w:r>
                  <w:r>
                    <w:rPr>
                      <w:color w:val="auto"/>
                      <w:kern w:val="0"/>
                      <w:szCs w:val="21"/>
                      <w:highlight w:val="none"/>
                      <w:vertAlign w:val="superscript"/>
                    </w:rPr>
                    <w:t>3</w:t>
                  </w:r>
                </w:p>
              </w:tc>
              <w:tc>
                <w:tcPr>
                  <w:tcW w:w="549" w:type="pct"/>
                  <w:tcBorders>
                    <w:tl2br w:val="nil"/>
                    <w:tr2bl w:val="nil"/>
                  </w:tcBorders>
                  <w:noWrap w:val="0"/>
                  <w:vAlign w:val="center"/>
                </w:tcPr>
                <w:p w14:paraId="4E11C888">
                  <w:pPr>
                    <w:adjustRightInd w:val="0"/>
                    <w:snapToGrid w:val="0"/>
                    <w:jc w:val="center"/>
                    <w:rPr>
                      <w:color w:val="auto"/>
                      <w:szCs w:val="21"/>
                      <w:highlight w:val="none"/>
                    </w:rPr>
                  </w:pPr>
                  <w:r>
                    <w:rPr>
                      <w:rFonts w:hint="eastAsia"/>
                      <w:color w:val="auto"/>
                      <w:szCs w:val="21"/>
                      <w:highlight w:val="none"/>
                      <w:lang w:eastAsia="zh-CN"/>
                    </w:rPr>
                    <w:t>不达标</w:t>
                  </w:r>
                </w:p>
              </w:tc>
            </w:tr>
            <w:tr w14:paraId="02ED7E1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4EA0485E">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DA002</w:t>
                  </w:r>
                </w:p>
              </w:tc>
              <w:tc>
                <w:tcPr>
                  <w:tcW w:w="588" w:type="pct"/>
                  <w:tcBorders>
                    <w:tl2br w:val="nil"/>
                    <w:tr2bl w:val="nil"/>
                  </w:tcBorders>
                  <w:noWrap w:val="0"/>
                  <w:vAlign w:val="center"/>
                </w:tcPr>
                <w:p w14:paraId="50DB2883">
                  <w:pPr>
                    <w:widowControl/>
                    <w:jc w:val="center"/>
                    <w:textAlignment w:val="center"/>
                    <w:rPr>
                      <w:rFonts w:hint="eastAsia" w:eastAsia="宋体"/>
                      <w:color w:val="auto"/>
                      <w:szCs w:val="21"/>
                      <w:highlight w:val="none"/>
                      <w:lang w:eastAsia="zh-CN"/>
                    </w:rPr>
                  </w:pPr>
                  <w:r>
                    <w:rPr>
                      <w:rFonts w:hint="eastAsia"/>
                      <w:color w:val="auto"/>
                      <w:szCs w:val="21"/>
                      <w:highlight w:val="none"/>
                      <w:lang w:eastAsia="zh-CN"/>
                    </w:rPr>
                    <w:t>颗粒物</w:t>
                  </w:r>
                </w:p>
              </w:tc>
              <w:tc>
                <w:tcPr>
                  <w:tcW w:w="661" w:type="pct"/>
                  <w:tcBorders>
                    <w:tl2br w:val="nil"/>
                    <w:tr2bl w:val="nil"/>
                  </w:tcBorders>
                  <w:noWrap w:val="0"/>
                  <w:vAlign w:val="center"/>
                </w:tcPr>
                <w:p w14:paraId="224878E4">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lang w:val="en-US" w:eastAsia="zh-CN" w:bidi="ar"/>
                    </w:rPr>
                    <w:t>1.146</w:t>
                  </w:r>
                </w:p>
              </w:tc>
              <w:tc>
                <w:tcPr>
                  <w:tcW w:w="673" w:type="pct"/>
                  <w:tcBorders>
                    <w:tl2br w:val="nil"/>
                    <w:tr2bl w:val="nil"/>
                  </w:tcBorders>
                  <w:noWrap w:val="0"/>
                  <w:vAlign w:val="center"/>
                </w:tcPr>
                <w:p w14:paraId="4DDEF2F7">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lang w:val="en-US" w:eastAsia="zh-CN"/>
                    </w:rPr>
                    <w:t>114.6</w:t>
                  </w:r>
                </w:p>
              </w:tc>
              <w:tc>
                <w:tcPr>
                  <w:tcW w:w="747" w:type="pct"/>
                  <w:tcBorders>
                    <w:tl2br w:val="nil"/>
                    <w:tr2bl w:val="nil"/>
                  </w:tcBorders>
                  <w:noWrap w:val="0"/>
                  <w:vAlign w:val="center"/>
                </w:tcPr>
                <w:p w14:paraId="07CA02EC">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w:t>
                  </w:r>
                </w:p>
              </w:tc>
              <w:tc>
                <w:tcPr>
                  <w:tcW w:w="669" w:type="pct"/>
                  <w:tcBorders>
                    <w:tl2br w:val="nil"/>
                    <w:tr2bl w:val="nil"/>
                  </w:tcBorders>
                  <w:noWrap w:val="0"/>
                  <w:vAlign w:val="center"/>
                </w:tcPr>
                <w:p w14:paraId="50A77D8B">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w:t>
                  </w:r>
                </w:p>
              </w:tc>
              <w:tc>
                <w:tcPr>
                  <w:tcW w:w="563" w:type="pct"/>
                  <w:tcBorders>
                    <w:tl2br w:val="nil"/>
                    <w:tr2bl w:val="nil"/>
                  </w:tcBorders>
                  <w:noWrap w:val="0"/>
                  <w:vAlign w:val="center"/>
                </w:tcPr>
                <w:p w14:paraId="42942FD8">
                  <w:pPr>
                    <w:adjustRightInd w:val="0"/>
                    <w:snapToGrid w:val="0"/>
                    <w:jc w:val="center"/>
                    <w:rPr>
                      <w:rFonts w:hint="eastAsia"/>
                      <w:color w:val="auto"/>
                      <w:kern w:val="0"/>
                      <w:szCs w:val="21"/>
                      <w:highlight w:val="none"/>
                      <w:lang w:val="en-US" w:eastAsia="zh-CN"/>
                    </w:rPr>
                  </w:pPr>
                  <w:r>
                    <w:rPr>
                      <w:rFonts w:hint="eastAsia"/>
                      <w:color w:val="auto"/>
                      <w:kern w:val="0"/>
                      <w:szCs w:val="21"/>
                      <w:highlight w:val="none"/>
                      <w:lang w:val="en-US" w:eastAsia="zh-CN"/>
                    </w:rPr>
                    <w:t>10</w:t>
                  </w:r>
                  <w:r>
                    <w:rPr>
                      <w:color w:val="auto"/>
                      <w:kern w:val="0"/>
                      <w:szCs w:val="21"/>
                      <w:highlight w:val="none"/>
                    </w:rPr>
                    <w:t>mg/m</w:t>
                  </w:r>
                  <w:r>
                    <w:rPr>
                      <w:color w:val="auto"/>
                      <w:kern w:val="0"/>
                      <w:szCs w:val="21"/>
                      <w:highlight w:val="none"/>
                      <w:vertAlign w:val="superscript"/>
                    </w:rPr>
                    <w:t>3</w:t>
                  </w:r>
                </w:p>
              </w:tc>
              <w:tc>
                <w:tcPr>
                  <w:tcW w:w="549" w:type="pct"/>
                  <w:tcBorders>
                    <w:tl2br w:val="nil"/>
                    <w:tr2bl w:val="nil"/>
                  </w:tcBorders>
                  <w:noWrap w:val="0"/>
                  <w:vAlign w:val="center"/>
                </w:tcPr>
                <w:p w14:paraId="02F1D600">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不达标</w:t>
                  </w:r>
                </w:p>
              </w:tc>
            </w:tr>
            <w:tr w14:paraId="37A6542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tcBorders>
                    <w:tl2br w:val="nil"/>
                    <w:tr2bl w:val="nil"/>
                  </w:tcBorders>
                  <w:noWrap w:val="0"/>
                  <w:vAlign w:val="center"/>
                </w:tcPr>
                <w:p w14:paraId="08DA1046">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DA003</w:t>
                  </w:r>
                </w:p>
              </w:tc>
              <w:tc>
                <w:tcPr>
                  <w:tcW w:w="588" w:type="pct"/>
                  <w:tcBorders>
                    <w:tl2br w:val="nil"/>
                    <w:tr2bl w:val="nil"/>
                  </w:tcBorders>
                  <w:noWrap w:val="0"/>
                  <w:vAlign w:val="center"/>
                </w:tcPr>
                <w:p w14:paraId="4696D82B">
                  <w:pPr>
                    <w:widowControl/>
                    <w:jc w:val="center"/>
                    <w:textAlignment w:val="center"/>
                    <w:rPr>
                      <w:rFonts w:hint="eastAsia"/>
                      <w:color w:val="auto"/>
                      <w:szCs w:val="21"/>
                      <w:highlight w:val="none"/>
                      <w:lang w:eastAsia="zh-CN"/>
                    </w:rPr>
                  </w:pPr>
                  <w:r>
                    <w:rPr>
                      <w:rFonts w:hint="eastAsia"/>
                      <w:color w:val="auto"/>
                      <w:szCs w:val="21"/>
                      <w:highlight w:val="none"/>
                      <w:lang w:eastAsia="zh-CN"/>
                    </w:rPr>
                    <w:t>颗粒物</w:t>
                  </w:r>
                </w:p>
              </w:tc>
              <w:tc>
                <w:tcPr>
                  <w:tcW w:w="661" w:type="pct"/>
                  <w:tcBorders>
                    <w:tl2br w:val="nil"/>
                    <w:tr2bl w:val="nil"/>
                  </w:tcBorders>
                  <w:noWrap w:val="0"/>
                  <w:vAlign w:val="center"/>
                </w:tcPr>
                <w:p w14:paraId="312CD8F0">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lang w:val="en-US" w:eastAsia="zh-CN" w:bidi="ar"/>
                    </w:rPr>
                    <w:t>1.146</w:t>
                  </w:r>
                </w:p>
              </w:tc>
              <w:tc>
                <w:tcPr>
                  <w:tcW w:w="673" w:type="pct"/>
                  <w:tcBorders>
                    <w:tl2br w:val="nil"/>
                    <w:tr2bl w:val="nil"/>
                  </w:tcBorders>
                  <w:noWrap w:val="0"/>
                  <w:vAlign w:val="center"/>
                </w:tcPr>
                <w:p w14:paraId="244AD16E">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lang w:val="en-US" w:eastAsia="zh-CN"/>
                    </w:rPr>
                    <w:t>114.6</w:t>
                  </w:r>
                </w:p>
              </w:tc>
              <w:tc>
                <w:tcPr>
                  <w:tcW w:w="747" w:type="pct"/>
                  <w:tcBorders>
                    <w:tl2br w:val="nil"/>
                    <w:tr2bl w:val="nil"/>
                  </w:tcBorders>
                  <w:noWrap w:val="0"/>
                  <w:vAlign w:val="center"/>
                </w:tcPr>
                <w:p w14:paraId="1E88F29B">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w:t>
                  </w:r>
                </w:p>
              </w:tc>
              <w:tc>
                <w:tcPr>
                  <w:tcW w:w="669" w:type="pct"/>
                  <w:tcBorders>
                    <w:tl2br w:val="nil"/>
                    <w:tr2bl w:val="nil"/>
                  </w:tcBorders>
                  <w:noWrap w:val="0"/>
                  <w:vAlign w:val="center"/>
                </w:tcPr>
                <w:p w14:paraId="7CC78B8E">
                  <w:pPr>
                    <w:widowControl/>
                    <w:jc w:val="center"/>
                    <w:textAlignment w:val="center"/>
                    <w:rPr>
                      <w:rFonts w:hint="default"/>
                      <w:color w:val="auto"/>
                      <w:kern w:val="0"/>
                      <w:szCs w:val="21"/>
                      <w:highlight w:val="none"/>
                      <w:lang w:val="en-US" w:eastAsia="zh-CN" w:bidi="ar"/>
                    </w:rPr>
                  </w:pPr>
                  <w:r>
                    <w:rPr>
                      <w:rFonts w:hint="eastAsia"/>
                      <w:color w:val="auto"/>
                      <w:kern w:val="0"/>
                      <w:szCs w:val="21"/>
                      <w:highlight w:val="none"/>
                      <w:lang w:val="en-US" w:eastAsia="zh-CN" w:bidi="ar"/>
                    </w:rPr>
                    <w:t>1</w:t>
                  </w:r>
                </w:p>
              </w:tc>
              <w:tc>
                <w:tcPr>
                  <w:tcW w:w="563" w:type="pct"/>
                  <w:tcBorders>
                    <w:tl2br w:val="nil"/>
                    <w:tr2bl w:val="nil"/>
                  </w:tcBorders>
                  <w:noWrap w:val="0"/>
                  <w:vAlign w:val="center"/>
                </w:tcPr>
                <w:p w14:paraId="45280171">
                  <w:pPr>
                    <w:adjustRightInd w:val="0"/>
                    <w:snapToGrid w:val="0"/>
                    <w:jc w:val="center"/>
                    <w:rPr>
                      <w:rFonts w:hint="eastAsia"/>
                      <w:color w:val="auto"/>
                      <w:kern w:val="0"/>
                      <w:szCs w:val="21"/>
                      <w:highlight w:val="none"/>
                      <w:lang w:val="en-US" w:eastAsia="zh-CN"/>
                    </w:rPr>
                  </w:pPr>
                  <w:r>
                    <w:rPr>
                      <w:rFonts w:hint="eastAsia"/>
                      <w:color w:val="auto"/>
                      <w:kern w:val="0"/>
                      <w:szCs w:val="21"/>
                      <w:highlight w:val="none"/>
                      <w:lang w:val="en-US" w:eastAsia="zh-CN"/>
                    </w:rPr>
                    <w:t>10</w:t>
                  </w:r>
                  <w:r>
                    <w:rPr>
                      <w:color w:val="auto"/>
                      <w:kern w:val="0"/>
                      <w:szCs w:val="21"/>
                      <w:highlight w:val="none"/>
                    </w:rPr>
                    <w:t>mg/m</w:t>
                  </w:r>
                  <w:r>
                    <w:rPr>
                      <w:color w:val="auto"/>
                      <w:kern w:val="0"/>
                      <w:szCs w:val="21"/>
                      <w:highlight w:val="none"/>
                      <w:vertAlign w:val="superscript"/>
                    </w:rPr>
                    <w:t>3</w:t>
                  </w:r>
                </w:p>
              </w:tc>
              <w:tc>
                <w:tcPr>
                  <w:tcW w:w="549" w:type="pct"/>
                  <w:tcBorders>
                    <w:tl2br w:val="nil"/>
                    <w:tr2bl w:val="nil"/>
                  </w:tcBorders>
                  <w:noWrap w:val="0"/>
                  <w:vAlign w:val="center"/>
                </w:tcPr>
                <w:p w14:paraId="71B663BE">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不达标</w:t>
                  </w:r>
                </w:p>
              </w:tc>
            </w:tr>
          </w:tbl>
          <w:p w14:paraId="5DBA592F">
            <w:pPr>
              <w:adjustRightInd w:val="0"/>
              <w:snapToGrid w:val="0"/>
              <w:spacing w:before="120" w:beforeLines="50" w:line="360" w:lineRule="auto"/>
              <w:ind w:firstLine="420" w:firstLineChars="200"/>
              <w:rPr>
                <w:color w:val="auto"/>
                <w:highlight w:val="none"/>
              </w:rPr>
            </w:pPr>
            <w:r>
              <w:rPr>
                <w:rFonts w:hint="eastAsia"/>
                <w:color w:val="auto"/>
                <w:lang w:val="en-US" w:eastAsia="zh-CN"/>
              </w:rPr>
              <w:t>2</w:t>
            </w:r>
            <w:r>
              <w:rPr>
                <w:rFonts w:hint="eastAsia"/>
                <w:color w:val="auto"/>
                <w:highlight w:val="none"/>
                <w:lang w:eastAsia="zh-CN"/>
              </w:rPr>
              <w:t>）</w:t>
            </w:r>
            <w:r>
              <w:rPr>
                <w:color w:val="auto"/>
                <w:highlight w:val="none"/>
              </w:rPr>
              <w:t>非正常工况环境影响分析及预防措施</w:t>
            </w:r>
          </w:p>
          <w:p w14:paraId="5F1B7A3B">
            <w:pPr>
              <w:autoSpaceDE w:val="0"/>
              <w:autoSpaceDN w:val="0"/>
              <w:adjustRightInd w:val="0"/>
              <w:spacing w:line="360" w:lineRule="auto"/>
              <w:ind w:firstLine="480"/>
              <w:rPr>
                <w:color w:val="auto"/>
                <w:highlight w:val="none"/>
                <w:lang w:val="zh-CN"/>
              </w:rPr>
            </w:pPr>
            <w:r>
              <w:rPr>
                <w:color w:val="auto"/>
                <w:highlight w:val="none"/>
                <w:lang w:val="zh-CN"/>
              </w:rPr>
              <w:t>根据以上分析，</w:t>
            </w:r>
            <w:r>
              <w:rPr>
                <w:rFonts w:hint="eastAsia"/>
                <w:color w:val="auto"/>
                <w:highlight w:val="none"/>
                <w:lang w:val="zh-CN"/>
              </w:rPr>
              <w:t>当布袋除尘器</w:t>
            </w:r>
            <w:r>
              <w:rPr>
                <w:color w:val="auto"/>
                <w:highlight w:val="none"/>
                <w:lang w:val="zh-CN"/>
              </w:rPr>
              <w:t>发生故障，去除率降为正常情况下</w:t>
            </w:r>
            <w:r>
              <w:rPr>
                <w:rFonts w:hint="eastAsia"/>
                <w:color w:val="auto"/>
                <w:highlight w:val="none"/>
                <w:lang w:val="zh-CN"/>
              </w:rPr>
              <w:t>0</w:t>
            </w:r>
            <w:r>
              <w:rPr>
                <w:color w:val="auto"/>
                <w:highlight w:val="none"/>
                <w:lang w:val="zh-CN"/>
              </w:rPr>
              <w:t>时，</w:t>
            </w:r>
            <w:r>
              <w:rPr>
                <w:rFonts w:hint="eastAsia"/>
                <w:color w:val="auto"/>
                <w:highlight w:val="none"/>
              </w:rPr>
              <w:t>排气筒DA00</w:t>
            </w:r>
            <w:r>
              <w:rPr>
                <w:rFonts w:hint="eastAsia"/>
                <w:color w:val="auto"/>
                <w:highlight w:val="none"/>
                <w:lang w:val="en-US" w:eastAsia="zh-CN"/>
              </w:rPr>
              <w:t>1、DA002、DA003、</w:t>
            </w:r>
            <w:r>
              <w:rPr>
                <w:color w:val="auto"/>
                <w:highlight w:val="none"/>
                <w:lang w:val="zh-CN"/>
              </w:rPr>
              <w:t>排放的</w:t>
            </w:r>
            <w:r>
              <w:rPr>
                <w:rFonts w:hint="eastAsia"/>
                <w:color w:val="auto"/>
                <w:highlight w:val="none"/>
                <w:lang w:val="zh-CN" w:eastAsia="zh-CN"/>
              </w:rPr>
              <w:t>颗粒物均不达标</w:t>
            </w:r>
            <w:r>
              <w:rPr>
                <w:color w:val="auto"/>
                <w:highlight w:val="none"/>
                <w:lang w:val="zh-CN"/>
              </w:rPr>
              <w:t>。由此可见，项目废气治理设施出现故障等非正常工况下，污染物排放对环境影响较大。</w:t>
            </w:r>
          </w:p>
          <w:p w14:paraId="752A84A9">
            <w:pPr>
              <w:adjustRightInd w:val="0"/>
              <w:snapToGrid w:val="0"/>
              <w:spacing w:line="360" w:lineRule="auto"/>
              <w:ind w:firstLine="420" w:firstLineChars="200"/>
              <w:rPr>
                <w:b/>
                <w:bCs/>
                <w:color w:val="auto"/>
                <w:szCs w:val="21"/>
              </w:rPr>
            </w:pPr>
            <w:r>
              <w:rPr>
                <w:color w:val="auto"/>
                <w:lang w:val="zh-CN"/>
              </w:rPr>
              <w:t>针对非正常工况，企业应定期对废气净化设施进行检查，确保其正常工作状态</w:t>
            </w:r>
            <w:r>
              <w:rPr>
                <w:rFonts w:hint="eastAsia"/>
                <w:color w:val="auto"/>
                <w:lang w:val="zh-CN"/>
              </w:rPr>
              <w:t>，</w:t>
            </w:r>
            <w:r>
              <w:rPr>
                <w:color w:val="auto"/>
                <w:lang w:val="zh-CN"/>
              </w:rPr>
              <w:t>设置专人负责，保证正常去除效率。检查、核查等工作做好记录，一旦发现问题，应及时降低生产负荷，必要时</w:t>
            </w:r>
            <w:r>
              <w:rPr>
                <w:rFonts w:hint="eastAsia"/>
                <w:color w:val="auto"/>
                <w:lang w:val="en-US" w:eastAsia="zh-CN"/>
              </w:rPr>
              <w:t>停止生产</w:t>
            </w:r>
            <w:r>
              <w:rPr>
                <w:color w:val="auto"/>
                <w:lang w:val="zh-CN"/>
              </w:rPr>
              <w:t>，待净化设施等恢复正常工作并具有稳定废气去除效率后，开工生产，杜绝废气超标排放事故发生。加强企业的运行管理，设立专门人员负责厂内环保设施管理、监测等工作</w:t>
            </w:r>
            <w:r>
              <w:rPr>
                <w:rFonts w:hint="eastAsia"/>
                <w:color w:val="auto"/>
                <w:lang w:val="zh-CN"/>
              </w:rPr>
              <w:t>。</w:t>
            </w:r>
          </w:p>
          <w:p w14:paraId="1F76B81D">
            <w:pPr>
              <w:autoSpaceDE w:val="0"/>
              <w:autoSpaceDN w:val="0"/>
              <w:adjustRightInd w:val="0"/>
              <w:spacing w:line="360" w:lineRule="auto"/>
              <w:ind w:firstLine="48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环境影响分析</w:t>
            </w:r>
          </w:p>
          <w:p w14:paraId="13C21A43">
            <w:pPr>
              <w:spacing w:line="360" w:lineRule="auto"/>
              <w:ind w:firstLine="420" w:firstLineChars="200"/>
              <w:rPr>
                <w:color w:val="auto"/>
                <w:kern w:val="36"/>
                <w:szCs w:val="21"/>
                <w:highlight w:val="none"/>
              </w:rPr>
            </w:pPr>
            <w:r>
              <w:rPr>
                <w:rFonts w:hint="default" w:ascii="Times New Roman" w:hAnsi="Times New Roman" w:cs="Times New Roman"/>
                <w:color w:val="auto"/>
                <w:sz w:val="21"/>
                <w:szCs w:val="21"/>
                <w:highlight w:val="none"/>
              </w:rPr>
              <w:t>根据淄博市生态环境局</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日发布的《202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年12月份环境空气质量情况通报》，</w:t>
            </w:r>
            <w:r>
              <w:rPr>
                <w:rFonts w:hint="default" w:ascii="Times New Roman" w:hAnsi="Times New Roman" w:cs="Times New Roman"/>
                <w:color w:val="auto"/>
                <w:sz w:val="21"/>
                <w:szCs w:val="21"/>
                <w:highlight w:val="none"/>
                <w:lang w:val="en-US" w:eastAsia="zh-CN"/>
              </w:rPr>
              <w:t>2025年1</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12月份，</w:t>
            </w:r>
            <w:r>
              <w:rPr>
                <w:rFonts w:hint="eastAsia" w:cs="Times New Roman"/>
                <w:color w:val="auto"/>
                <w:sz w:val="21"/>
                <w:szCs w:val="21"/>
                <w:highlight w:val="none"/>
                <w:lang w:val="en-US" w:eastAsia="zh-CN"/>
              </w:rPr>
              <w:t>淄博市区域</w:t>
            </w:r>
            <w:r>
              <w:rPr>
                <w:rFonts w:hint="default" w:ascii="Times New Roman" w:hAnsi="Times New Roman" w:cs="Times New Roman"/>
                <w:color w:val="auto"/>
                <w:sz w:val="21"/>
                <w:szCs w:val="21"/>
                <w:highlight w:val="none"/>
                <w:lang w:val="en-US" w:eastAsia="zh-CN"/>
              </w:rPr>
              <w:t>二氧化硫(SO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)11微克/立方米，二氧化氮(NO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)27微克/立方米，可吸入颗粒物(PM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)59微克/立方米，细颗粒物(PM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)35微克/立方米，一氧化碳(CO)1.1毫克/立方米，臭氧(O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)169微克/立方米</w:t>
            </w:r>
            <w:r>
              <w:rPr>
                <w:rFonts w:hint="default" w:ascii="Times New Roman" w:hAnsi="Times New Roman" w:cs="Times New Roman"/>
                <w:color w:val="auto"/>
                <w:kern w:val="0"/>
                <w:sz w:val="21"/>
                <w:szCs w:val="21"/>
                <w:highlight w:val="none"/>
                <w:lang w:bidi="ar"/>
              </w:rPr>
              <w:t>，</w:t>
            </w:r>
            <w:r>
              <w:rPr>
                <w:rFonts w:hint="eastAsia"/>
                <w:color w:val="auto"/>
                <w:szCs w:val="21"/>
                <w:highlight w:val="none"/>
                <w:lang w:eastAsia="zh-CN"/>
              </w:rPr>
              <w:t>不满足国家《环境空气质量标准》（GB3095-2012）的二级标准，为</w:t>
            </w:r>
            <w:r>
              <w:rPr>
                <w:rFonts w:hint="eastAsia"/>
                <w:color w:val="auto"/>
                <w:szCs w:val="21"/>
                <w:highlight w:val="none"/>
                <w:lang w:val="en-US" w:eastAsia="zh-CN"/>
              </w:rPr>
              <w:t>不</w:t>
            </w:r>
            <w:r>
              <w:rPr>
                <w:rFonts w:hint="eastAsia"/>
                <w:color w:val="auto"/>
                <w:szCs w:val="21"/>
                <w:highlight w:val="none"/>
                <w:lang w:eastAsia="zh-CN"/>
              </w:rPr>
              <w:t>达标区。</w:t>
            </w:r>
          </w:p>
          <w:p w14:paraId="4562D16D">
            <w:pPr>
              <w:autoSpaceDE w:val="0"/>
              <w:autoSpaceDN w:val="0"/>
              <w:adjustRightInd w:val="0"/>
              <w:spacing w:line="360" w:lineRule="auto"/>
              <w:ind w:firstLine="480"/>
              <w:rPr>
                <w:rFonts w:hint="eastAsia" w:ascii="Times New Roman" w:hAnsi="Times New Roman" w:eastAsia="宋体" w:cs="Times New Roman"/>
                <w:color w:val="auto"/>
                <w:sz w:val="21"/>
                <w:szCs w:val="21"/>
                <w:highlight w:val="none"/>
                <w:lang w:val="en-US" w:eastAsia="zh-CN"/>
              </w:rPr>
            </w:pPr>
            <w:r>
              <w:rPr>
                <w:rFonts w:hint="eastAsia"/>
                <w:color w:val="auto"/>
                <w:szCs w:val="21"/>
                <w:lang w:val="en-US" w:eastAsia="zh-CN"/>
              </w:rPr>
              <w:t>根据前文核算，</w:t>
            </w:r>
            <w:r>
              <w:rPr>
                <w:rFonts w:hint="eastAsia" w:ascii="Times New Roman" w:hAnsi="Times New Roman" w:eastAsia="宋体" w:cs="Times New Roman"/>
                <w:color w:val="auto"/>
                <w:sz w:val="21"/>
                <w:szCs w:val="21"/>
                <w:highlight w:val="none"/>
                <w:lang w:eastAsia="zh-CN"/>
              </w:rPr>
              <w:t>项目一车间、二车间投料、破碎、粉碎、筛分、球磨工序颗粒物产生量为</w:t>
            </w:r>
            <w:r>
              <w:rPr>
                <w:rFonts w:hint="eastAsia" w:ascii="Times New Roman" w:hAnsi="Times New Roman" w:eastAsia="宋体" w:cs="Times New Roman"/>
                <w:color w:val="auto"/>
                <w:sz w:val="21"/>
                <w:szCs w:val="21"/>
                <w:highlight w:val="none"/>
                <w:lang w:val="en-US" w:eastAsia="zh-CN"/>
              </w:rPr>
              <w:t>12.975t/a，</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一车间、二车间白刚玉投料、破碎、粉碎、筛分、球磨工序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15米高排气筒DA001排放；</w:t>
            </w:r>
            <w:r>
              <w:rPr>
                <w:rFonts w:hint="eastAsia" w:ascii="Times New Roman" w:hAnsi="Times New Roman" w:eastAsia="宋体" w:cs="Times New Roman"/>
                <w:color w:val="auto"/>
                <w:sz w:val="21"/>
                <w:szCs w:val="21"/>
                <w:highlight w:val="none"/>
                <w:lang w:eastAsia="zh-CN"/>
              </w:rPr>
              <w:t>三车间投料、破碎、粉碎、筛分、球磨工序颗粒物产生量为</w:t>
            </w:r>
            <w:r>
              <w:rPr>
                <w:rFonts w:hint="eastAsia" w:ascii="Times New Roman" w:hAnsi="Times New Roman" w:eastAsia="宋体" w:cs="Times New Roman"/>
                <w:color w:val="auto"/>
                <w:sz w:val="21"/>
                <w:szCs w:val="21"/>
                <w:highlight w:val="none"/>
                <w:lang w:val="en-US" w:eastAsia="zh-CN"/>
              </w:rPr>
              <w:t>3.055t/a，</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三车间棕刚玉、铬刚玉投料、破碎、粉碎、筛分、球磨工序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15米高排气筒DA002排放；</w:t>
            </w:r>
            <w:r>
              <w:rPr>
                <w:rFonts w:hint="eastAsia" w:ascii="Times New Roman" w:cs="Times New Roman"/>
                <w:color w:val="auto"/>
                <w:sz w:val="21"/>
                <w:szCs w:val="21"/>
                <w:highlight w:val="none"/>
                <w:lang w:eastAsia="zh-CN"/>
              </w:rPr>
              <w:t>四车间</w:t>
            </w:r>
            <w:r>
              <w:rPr>
                <w:rFonts w:hint="eastAsia" w:ascii="Times New Roman" w:hAnsi="Times New Roman" w:eastAsia="宋体" w:cs="Times New Roman"/>
                <w:color w:val="auto"/>
                <w:sz w:val="21"/>
                <w:szCs w:val="21"/>
                <w:highlight w:val="none"/>
                <w:lang w:eastAsia="zh-CN"/>
              </w:rPr>
              <w:t>投料、破碎、粉碎、筛分、球磨工序颗粒物产生量为</w:t>
            </w:r>
            <w:r>
              <w:rPr>
                <w:rFonts w:hint="eastAsia" w:ascii="Times New Roman" w:hAnsi="Times New Roman" w:eastAsia="宋体" w:cs="Times New Roman"/>
                <w:color w:val="auto"/>
                <w:sz w:val="21"/>
                <w:szCs w:val="21"/>
                <w:highlight w:val="none"/>
                <w:lang w:val="en-US" w:eastAsia="zh-CN"/>
              </w:rPr>
              <w:t>3.055t/a，</w:t>
            </w:r>
            <w:r>
              <w:rPr>
                <w:rFonts w:hint="eastAsia" w:ascii="Times New Roman" w:hAnsi="Times New Roman" w:eastAsia="宋体" w:cs="Times New Roman"/>
                <w:color w:val="auto"/>
                <w:sz w:val="21"/>
                <w:szCs w:val="21"/>
                <w:highlight w:val="none"/>
                <w:lang w:eastAsia="zh-CN"/>
              </w:rPr>
              <w:t>本项目</w:t>
            </w:r>
            <w:r>
              <w:rPr>
                <w:rFonts w:hint="eastAsia" w:ascii="Times New Roman" w:cs="Times New Roman"/>
                <w:color w:val="auto"/>
                <w:sz w:val="21"/>
                <w:szCs w:val="21"/>
                <w:highlight w:val="none"/>
                <w:lang w:val="en-US" w:eastAsia="zh-CN"/>
              </w:rPr>
              <w:t>四车间</w:t>
            </w:r>
            <w:r>
              <w:rPr>
                <w:rFonts w:hint="eastAsia" w:ascii="Times New Roman" w:hAnsi="Times New Roman" w:eastAsia="宋体" w:cs="Times New Roman"/>
                <w:color w:val="auto"/>
                <w:sz w:val="21"/>
                <w:szCs w:val="21"/>
                <w:highlight w:val="none"/>
                <w:lang w:val="en-US" w:eastAsia="zh-CN"/>
              </w:rPr>
              <w:t>棕刚玉、铬刚玉投料、破碎、粉碎、筛分、球磨工序</w:t>
            </w:r>
            <w:r>
              <w:rPr>
                <w:rFonts w:hint="eastAsia" w:ascii="Times New Roman" w:cs="Times New Roman"/>
                <w:color w:val="auto"/>
                <w:sz w:val="21"/>
                <w:szCs w:val="21"/>
                <w:highlight w:val="none"/>
                <w:lang w:eastAsia="zh-CN"/>
              </w:rPr>
              <w:t>产生的颗粒物分别经配套集气罩收集（收集效率为</w:t>
            </w:r>
            <w:r>
              <w:rPr>
                <w:rFonts w:hint="eastAsia" w:ascii="Times New Roman" w:cs="Times New Roman"/>
                <w:color w:val="auto"/>
                <w:sz w:val="21"/>
                <w:szCs w:val="21"/>
                <w:highlight w:val="none"/>
                <w:lang w:val="en-US" w:eastAsia="zh-CN"/>
              </w:rPr>
              <w:t>90%</w:t>
            </w:r>
            <w:r>
              <w:rPr>
                <w:rFonts w:hint="eastAsia" w:ascii="Times New Roman" w:cs="Times New Roman"/>
                <w:color w:val="auto"/>
                <w:sz w:val="21"/>
                <w:szCs w:val="21"/>
                <w:highlight w:val="none"/>
                <w:lang w:eastAsia="zh-CN"/>
              </w:rPr>
              <w:t>）配套布袋除尘器（处理效率</w:t>
            </w:r>
            <w:r>
              <w:rPr>
                <w:rFonts w:hint="eastAsia" w:ascii="Times New Roman" w:cs="Times New Roman"/>
                <w:color w:val="auto"/>
                <w:sz w:val="21"/>
                <w:szCs w:val="21"/>
                <w:highlight w:val="none"/>
                <w:lang w:val="en-US" w:eastAsia="zh-CN"/>
              </w:rPr>
              <w:t>95%</w:t>
            </w:r>
            <w:r>
              <w:rPr>
                <w:rFonts w:hint="eastAsia" w:ascii="Times New Roman" w:cs="Times New Roman"/>
                <w:color w:val="auto"/>
                <w:sz w:val="21"/>
                <w:szCs w:val="21"/>
                <w:highlight w:val="none"/>
                <w:lang w:eastAsia="zh-CN"/>
              </w:rPr>
              <w:t>）处理后，通过一根</w:t>
            </w:r>
            <w:r>
              <w:rPr>
                <w:rFonts w:hint="eastAsia" w:ascii="Times New Roman" w:cs="Times New Roman"/>
                <w:color w:val="auto"/>
                <w:sz w:val="21"/>
                <w:szCs w:val="21"/>
                <w:highlight w:val="none"/>
                <w:lang w:val="en-US" w:eastAsia="zh-CN"/>
              </w:rPr>
              <w:t>15米高排气筒DA003排放</w:t>
            </w:r>
            <w:r>
              <w:rPr>
                <w:rFonts w:hint="eastAsia"/>
                <w:color w:val="auto"/>
                <w:szCs w:val="21"/>
                <w:lang w:eastAsia="zh-CN"/>
              </w:rPr>
              <w:t>，排气</w:t>
            </w:r>
            <w:r>
              <w:rPr>
                <w:rFonts w:hint="eastAsia"/>
                <w:color w:val="auto"/>
                <w:szCs w:val="21"/>
                <w:lang w:val="en-US" w:eastAsia="zh-CN"/>
              </w:rPr>
              <w:t>DA001、DA002、DA003</w:t>
            </w:r>
            <w:r>
              <w:rPr>
                <w:rFonts w:hint="eastAsia"/>
                <w:color w:val="auto"/>
                <w:szCs w:val="21"/>
                <w:lang w:eastAsia="zh-CN"/>
              </w:rPr>
              <w:t>颗粒物排放浓度排放均满足</w:t>
            </w:r>
            <w:r>
              <w:rPr>
                <w:rFonts w:hint="default" w:ascii="Times New Roman" w:hAnsi="Times New Roman" w:cs="Times New Roman"/>
                <w:color w:val="auto"/>
                <w:sz w:val="21"/>
                <w:szCs w:val="21"/>
                <w:lang w:val="en-US" w:eastAsia="zh-CN"/>
              </w:rPr>
              <w:t>《区域性大气污染物综合排放标准》（DB37/2376-2019）表1重点控制区排放限值要求</w:t>
            </w:r>
            <w:r>
              <w:rPr>
                <w:rFonts w:hint="eastAsia" w:ascii="Times New Roman" w:hAnsi="Times New Roman" w:cs="Times New Roman"/>
                <w:color w:val="auto"/>
                <w:sz w:val="21"/>
                <w:szCs w:val="21"/>
                <w:lang w:val="en-US" w:eastAsia="zh-CN"/>
              </w:rPr>
              <w:t>；</w:t>
            </w:r>
            <w:r>
              <w:rPr>
                <w:rFonts w:hint="eastAsia"/>
                <w:color w:val="auto"/>
                <w:szCs w:val="21"/>
                <w:lang w:eastAsia="zh-CN"/>
              </w:rPr>
              <w:t>。无组织颗粒物排放浓度满足</w:t>
            </w:r>
            <w:r>
              <w:rPr>
                <w:rFonts w:hint="default" w:ascii="Times New Roman" w:hAnsi="Times New Roman" w:cs="Times New Roman"/>
                <w:color w:val="auto"/>
                <w:sz w:val="21"/>
                <w:szCs w:val="21"/>
                <w:lang w:val="en-US" w:eastAsia="zh-CN"/>
              </w:rPr>
              <w:t>《大气污染</w:t>
            </w:r>
            <w:r>
              <w:rPr>
                <w:rFonts w:hint="default" w:ascii="Times New Roman" w:hAnsi="Times New Roman" w:eastAsia="宋体" w:cs="Times New Roman"/>
                <w:color w:val="auto"/>
                <w:sz w:val="21"/>
                <w:szCs w:val="21"/>
                <w:highlight w:val="none"/>
                <w:lang w:val="en-US" w:eastAsia="zh-CN"/>
              </w:rPr>
              <w:t>物综合排放标准》（GB16297-1996）表2中无组织排放标准</w:t>
            </w:r>
            <w:r>
              <w:rPr>
                <w:rFonts w:hint="eastAsia" w:ascii="Times New Roman" w:hAnsi="Times New Roman" w:eastAsia="宋体" w:cs="Times New Roman"/>
                <w:color w:val="auto"/>
                <w:sz w:val="21"/>
                <w:szCs w:val="21"/>
                <w:highlight w:val="none"/>
                <w:lang w:eastAsia="zh-CN"/>
              </w:rPr>
              <w:t>。本项目投产后，在严格执行本报告中提出的污染防治措施的前提下，对环境空气质量影响较小，不会改变区域整体环境空气质量改善趋势。</w:t>
            </w:r>
          </w:p>
          <w:p w14:paraId="47A06221">
            <w:pPr>
              <w:autoSpaceDE w:val="0"/>
              <w:autoSpaceDN w:val="0"/>
              <w:adjustRightInd w:val="0"/>
              <w:spacing w:line="360" w:lineRule="auto"/>
              <w:ind w:firstLine="48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（5）废气环保治理措施可行性分析</w:t>
            </w:r>
          </w:p>
          <w:p w14:paraId="60F8C61E">
            <w:pPr>
              <w:autoSpaceDE w:val="0"/>
              <w:autoSpaceDN w:val="0"/>
              <w:adjustRightInd w:val="0"/>
              <w:spacing w:line="360" w:lineRule="auto"/>
              <w:ind w:firstLine="48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eastAsia="zh-CN"/>
              </w:rPr>
              <w:t>生产过程产生的颗粒物经布袋除尘器处理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项目污染治理设施布袋除尘器</w:t>
            </w:r>
            <w:r>
              <w:rPr>
                <w:rFonts w:hint="default" w:ascii="Times New Roman" w:hAnsi="Times New Roman" w:eastAsia="宋体" w:cs="Times New Roman"/>
                <w:color w:val="auto"/>
                <w:sz w:val="21"/>
                <w:szCs w:val="21"/>
                <w:highlight w:val="none"/>
                <w:lang w:eastAsia="zh-CN"/>
              </w:rPr>
              <w:t>属于《排污许可核发与技术规范</w:t>
            </w:r>
            <w:r>
              <w:rPr>
                <w:rFonts w:hint="default" w:ascii="Times New Roman" w:hAnsi="Times New Roman" w:eastAsia="宋体" w:cs="Times New Roman"/>
                <w:color w:val="auto"/>
                <w:sz w:val="21"/>
                <w:szCs w:val="21"/>
                <w:highlight w:val="none"/>
                <w:lang w:val="en-US" w:eastAsia="zh-CN"/>
              </w:rPr>
              <w:t xml:space="preserve">  总则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HJ942-2018</w:t>
            </w:r>
            <w:r>
              <w:rPr>
                <w:rFonts w:hint="default" w:ascii="Times New Roman" w:hAnsi="Times New Roman" w:eastAsia="宋体" w:cs="Times New Roman"/>
                <w:color w:val="auto"/>
                <w:sz w:val="21"/>
                <w:szCs w:val="21"/>
                <w:highlight w:val="none"/>
                <w:lang w:eastAsia="zh-CN"/>
              </w:rPr>
              <w:t>）中“</w:t>
            </w:r>
            <w:r>
              <w:rPr>
                <w:rFonts w:hint="default" w:ascii="Times New Roman" w:hAnsi="Times New Roman" w:eastAsia="宋体" w:cs="Times New Roman"/>
                <w:color w:val="auto"/>
                <w:sz w:val="21"/>
                <w:szCs w:val="21"/>
                <w:highlight w:val="none"/>
                <w:lang w:val="en-US" w:eastAsia="zh-CN"/>
              </w:rPr>
              <w:t>4.5.2.1 废气产排污环节、污染物种类、排放形式及污染治理设施”可行性技术。</w:t>
            </w:r>
          </w:p>
          <w:p w14:paraId="3202046F">
            <w:pPr>
              <w:autoSpaceDE w:val="0"/>
              <w:autoSpaceDN w:val="0"/>
              <w:adjustRightInd w:val="0"/>
              <w:spacing w:line="360" w:lineRule="auto"/>
              <w:ind w:firstLine="48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监测计划</w:t>
            </w:r>
          </w:p>
          <w:p w14:paraId="47E3B396">
            <w:pPr>
              <w:autoSpaceDE w:val="0"/>
              <w:autoSpaceDN w:val="0"/>
              <w:adjustRightInd w:val="0"/>
              <w:spacing w:line="360" w:lineRule="auto"/>
              <w:ind w:firstLine="48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w:t>
            </w:r>
            <w:r>
              <w:rPr>
                <w:rFonts w:hint="eastAsia" w:ascii="Times New Roman" w:hAnsi="Times New Roman" w:eastAsia="宋体" w:cs="Times New Roman"/>
                <w:color w:val="auto"/>
                <w:sz w:val="21"/>
                <w:szCs w:val="21"/>
                <w:highlight w:val="none"/>
                <w:lang w:val="en-US" w:eastAsia="zh-CN"/>
              </w:rPr>
              <w:t>其他非金属矿物制品制造项目</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lang w:val="en-US" w:eastAsia="zh-CN"/>
              </w:rPr>
              <w:t>《排污单位自行监测技术指南 总则》（HJ819-2017）规定的要求，对废气污染物（以有组织或无组织形式排入环境）进行监测。废气监测方案见下表。</w:t>
            </w:r>
          </w:p>
          <w:p w14:paraId="39A99EA5">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b/>
                <w:color w:val="auto"/>
                <w:kern w:val="0"/>
                <w:szCs w:val="21"/>
                <w:lang w:val="en-US" w:eastAsia="zh-CN"/>
              </w:rPr>
            </w:pPr>
            <w:r>
              <w:rPr>
                <w:rFonts w:hint="default"/>
                <w:b/>
                <w:color w:val="auto"/>
                <w:kern w:val="0"/>
                <w:szCs w:val="21"/>
                <w:lang w:val="en-US" w:eastAsia="zh-CN"/>
              </w:rPr>
              <w:t>表</w:t>
            </w:r>
            <w:r>
              <w:rPr>
                <w:rFonts w:hint="eastAsia"/>
                <w:b/>
                <w:color w:val="auto"/>
                <w:kern w:val="0"/>
                <w:szCs w:val="21"/>
                <w:lang w:val="en-US" w:eastAsia="zh-CN"/>
              </w:rPr>
              <w:t xml:space="preserve">4-5  </w:t>
            </w:r>
            <w:r>
              <w:rPr>
                <w:rFonts w:hint="default"/>
                <w:b/>
                <w:color w:val="auto"/>
                <w:kern w:val="0"/>
                <w:szCs w:val="21"/>
                <w:lang w:val="en-US" w:eastAsia="zh-CN"/>
              </w:rPr>
              <w:t>项目废气监测方案</w:t>
            </w:r>
          </w:p>
          <w:tbl>
            <w:tblPr>
              <w:tblStyle w:val="36"/>
              <w:tblW w:w="4995" w:type="pct"/>
              <w:tblInd w:w="6"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2208"/>
              <w:gridCol w:w="3106"/>
              <w:gridCol w:w="5336"/>
              <w:gridCol w:w="2665"/>
            </w:tblGrid>
            <w:tr w14:paraId="746716F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9" w:type="pct"/>
                  <w:tcBorders>
                    <w:tl2br w:val="nil"/>
                    <w:tr2bl w:val="nil"/>
                  </w:tcBorders>
                  <w:noWrap w:val="0"/>
                  <w:vAlign w:val="center"/>
                </w:tcPr>
                <w:p w14:paraId="7F883A78">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环境要素</w:t>
                  </w:r>
                </w:p>
              </w:tc>
              <w:tc>
                <w:tcPr>
                  <w:tcW w:w="1166" w:type="pct"/>
                  <w:tcBorders>
                    <w:tl2br w:val="nil"/>
                    <w:tr2bl w:val="nil"/>
                  </w:tcBorders>
                  <w:noWrap w:val="0"/>
                  <w:vAlign w:val="center"/>
                </w:tcPr>
                <w:p w14:paraId="17A9E32D">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监测位置</w:t>
                  </w:r>
                </w:p>
              </w:tc>
              <w:tc>
                <w:tcPr>
                  <w:tcW w:w="2003" w:type="pct"/>
                  <w:tcBorders>
                    <w:tl2br w:val="nil"/>
                    <w:tr2bl w:val="nil"/>
                  </w:tcBorders>
                  <w:noWrap w:val="0"/>
                  <w:vAlign w:val="center"/>
                </w:tcPr>
                <w:p w14:paraId="52F49F28">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rPr>
                  </w:pPr>
                  <w:r>
                    <w:rPr>
                      <w:rFonts w:hint="default" w:ascii="Times New Roman" w:hAnsi="Times New Roman" w:eastAsia="宋体" w:cs="Times New Roman"/>
                      <w:b w:val="0"/>
                      <w:bCs w:val="0"/>
                      <w:sz w:val="21"/>
                      <w:szCs w:val="21"/>
                      <w:vertAlign w:val="baseline"/>
                      <w:lang w:eastAsia="zh-CN"/>
                    </w:rPr>
                    <w:t>监测项目</w:t>
                  </w:r>
                </w:p>
              </w:tc>
              <w:tc>
                <w:tcPr>
                  <w:tcW w:w="1000" w:type="pct"/>
                  <w:tcBorders>
                    <w:tl2br w:val="nil"/>
                    <w:tr2bl w:val="nil"/>
                  </w:tcBorders>
                  <w:noWrap w:val="0"/>
                  <w:vAlign w:val="center"/>
                </w:tcPr>
                <w:p w14:paraId="35FD07F2">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监测频次</w:t>
                  </w:r>
                </w:p>
              </w:tc>
            </w:tr>
            <w:tr w14:paraId="4AFC413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9" w:type="pct"/>
                  <w:vMerge w:val="restart"/>
                  <w:tcBorders>
                    <w:tl2br w:val="nil"/>
                    <w:tr2bl w:val="nil"/>
                  </w:tcBorders>
                  <w:noWrap w:val="0"/>
                  <w:vAlign w:val="center"/>
                </w:tcPr>
                <w:p w14:paraId="727A4039">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废气</w:t>
                  </w:r>
                </w:p>
              </w:tc>
              <w:tc>
                <w:tcPr>
                  <w:tcW w:w="1166" w:type="pct"/>
                  <w:tcBorders>
                    <w:tl2br w:val="nil"/>
                    <w:tr2bl w:val="nil"/>
                  </w:tcBorders>
                  <w:noWrap w:val="0"/>
                  <w:vAlign w:val="center"/>
                </w:tcPr>
                <w:p w14:paraId="26E7018D">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排气筒DA001</w:t>
                  </w:r>
                </w:p>
              </w:tc>
              <w:tc>
                <w:tcPr>
                  <w:tcW w:w="2003" w:type="pct"/>
                  <w:tcBorders>
                    <w:tl2br w:val="nil"/>
                    <w:tr2bl w:val="nil"/>
                  </w:tcBorders>
                  <w:noWrap w:val="0"/>
                  <w:vAlign w:val="center"/>
                </w:tcPr>
                <w:p w14:paraId="7037DB05">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颗粒物</w:t>
                  </w:r>
                </w:p>
              </w:tc>
              <w:tc>
                <w:tcPr>
                  <w:tcW w:w="1000" w:type="pct"/>
                  <w:tcBorders>
                    <w:tl2br w:val="nil"/>
                    <w:tr2bl w:val="nil"/>
                  </w:tcBorders>
                  <w:noWrap w:val="0"/>
                  <w:vAlign w:val="center"/>
                </w:tcPr>
                <w:p w14:paraId="2549FDC9">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eastAsia"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w:t>
                  </w:r>
                  <w:r>
                    <w:rPr>
                      <w:rFonts w:hint="eastAsia" w:ascii="Times New Roman" w:hAnsi="Times New Roman" w:eastAsia="宋体" w:cs="Times New Roman"/>
                      <w:b w:val="0"/>
                      <w:bCs w:val="0"/>
                      <w:sz w:val="21"/>
                      <w:szCs w:val="21"/>
                      <w:vertAlign w:val="baseline"/>
                      <w:lang w:val="en-US" w:eastAsia="zh-CN"/>
                    </w:rPr>
                    <w:t>年</w:t>
                  </w:r>
                </w:p>
              </w:tc>
            </w:tr>
            <w:tr w14:paraId="5020FB0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9" w:type="pct"/>
                  <w:vMerge w:val="continue"/>
                  <w:tcBorders>
                    <w:tl2br w:val="nil"/>
                    <w:tr2bl w:val="nil"/>
                  </w:tcBorders>
                  <w:noWrap w:val="0"/>
                  <w:vAlign w:val="center"/>
                </w:tcPr>
                <w:p w14:paraId="4576F901">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p>
              </w:tc>
              <w:tc>
                <w:tcPr>
                  <w:tcW w:w="1166" w:type="pct"/>
                  <w:tcBorders>
                    <w:tl2br w:val="nil"/>
                    <w:tr2bl w:val="nil"/>
                  </w:tcBorders>
                  <w:noWrap w:val="0"/>
                  <w:vAlign w:val="center"/>
                </w:tcPr>
                <w:p w14:paraId="410669EE">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排气筒DA00</w:t>
                  </w:r>
                  <w:r>
                    <w:rPr>
                      <w:rFonts w:hint="eastAsia" w:ascii="Times New Roman" w:hAnsi="Times New Roman" w:eastAsia="宋体" w:cs="Times New Roman"/>
                      <w:b w:val="0"/>
                      <w:bCs w:val="0"/>
                      <w:sz w:val="21"/>
                      <w:szCs w:val="21"/>
                      <w:vertAlign w:val="baseline"/>
                      <w:lang w:val="en-US" w:eastAsia="zh-CN"/>
                    </w:rPr>
                    <w:t>2</w:t>
                  </w:r>
                </w:p>
              </w:tc>
              <w:tc>
                <w:tcPr>
                  <w:tcW w:w="5335" w:type="dxa"/>
                  <w:tcBorders>
                    <w:tl2br w:val="nil"/>
                    <w:tr2bl w:val="nil"/>
                  </w:tcBorders>
                  <w:noWrap w:val="0"/>
                  <w:vAlign w:val="center"/>
                </w:tcPr>
                <w:p w14:paraId="580E9A4C">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颗粒物</w:t>
                  </w:r>
                </w:p>
              </w:tc>
              <w:tc>
                <w:tcPr>
                  <w:tcW w:w="2663" w:type="dxa"/>
                  <w:tcBorders>
                    <w:tl2br w:val="nil"/>
                    <w:tr2bl w:val="nil"/>
                  </w:tcBorders>
                  <w:noWrap w:val="0"/>
                  <w:vAlign w:val="center"/>
                </w:tcPr>
                <w:p w14:paraId="23AEDC95">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w:t>
                  </w:r>
                  <w:r>
                    <w:rPr>
                      <w:rFonts w:hint="eastAsia" w:ascii="Times New Roman" w:hAnsi="Times New Roman" w:eastAsia="宋体" w:cs="Times New Roman"/>
                      <w:b w:val="0"/>
                      <w:bCs w:val="0"/>
                      <w:sz w:val="21"/>
                      <w:szCs w:val="21"/>
                      <w:vertAlign w:val="baseline"/>
                      <w:lang w:val="en-US" w:eastAsia="zh-CN"/>
                    </w:rPr>
                    <w:t>年</w:t>
                  </w:r>
                </w:p>
              </w:tc>
            </w:tr>
            <w:tr w14:paraId="3AAA7A3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9" w:type="pct"/>
                  <w:vMerge w:val="continue"/>
                  <w:tcBorders>
                    <w:tl2br w:val="nil"/>
                    <w:tr2bl w:val="nil"/>
                  </w:tcBorders>
                  <w:noWrap w:val="0"/>
                  <w:vAlign w:val="center"/>
                </w:tcPr>
                <w:p w14:paraId="000BFFEB">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eastAsia="zh-CN"/>
                    </w:rPr>
                  </w:pPr>
                </w:p>
              </w:tc>
              <w:tc>
                <w:tcPr>
                  <w:tcW w:w="1166" w:type="pct"/>
                  <w:tcBorders>
                    <w:tl2br w:val="nil"/>
                    <w:tr2bl w:val="nil"/>
                  </w:tcBorders>
                  <w:noWrap w:val="0"/>
                  <w:vAlign w:val="center"/>
                </w:tcPr>
                <w:p w14:paraId="51A62B01">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排气筒DA00</w:t>
                  </w:r>
                  <w:r>
                    <w:rPr>
                      <w:rFonts w:hint="eastAsia" w:ascii="Times New Roman" w:hAnsi="Times New Roman" w:eastAsia="宋体" w:cs="Times New Roman"/>
                      <w:b w:val="0"/>
                      <w:bCs w:val="0"/>
                      <w:sz w:val="21"/>
                      <w:szCs w:val="21"/>
                      <w:vertAlign w:val="baseline"/>
                      <w:lang w:val="en-US" w:eastAsia="zh-CN"/>
                    </w:rPr>
                    <w:t>3</w:t>
                  </w:r>
                </w:p>
              </w:tc>
              <w:tc>
                <w:tcPr>
                  <w:tcW w:w="5335" w:type="dxa"/>
                  <w:tcBorders>
                    <w:tl2br w:val="nil"/>
                    <w:tr2bl w:val="nil"/>
                  </w:tcBorders>
                  <w:noWrap w:val="0"/>
                  <w:vAlign w:val="center"/>
                </w:tcPr>
                <w:p w14:paraId="607BEDDD">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颗粒物</w:t>
                  </w:r>
                </w:p>
              </w:tc>
              <w:tc>
                <w:tcPr>
                  <w:tcW w:w="2663" w:type="dxa"/>
                  <w:tcBorders>
                    <w:tl2br w:val="nil"/>
                    <w:tr2bl w:val="nil"/>
                  </w:tcBorders>
                  <w:noWrap w:val="0"/>
                  <w:vAlign w:val="center"/>
                </w:tcPr>
                <w:p w14:paraId="5E0FB114">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1次/</w:t>
                  </w:r>
                  <w:r>
                    <w:rPr>
                      <w:rFonts w:hint="eastAsia" w:ascii="Times New Roman" w:hAnsi="Times New Roman" w:eastAsia="宋体" w:cs="Times New Roman"/>
                      <w:b w:val="0"/>
                      <w:bCs w:val="0"/>
                      <w:sz w:val="21"/>
                      <w:szCs w:val="21"/>
                      <w:vertAlign w:val="baseline"/>
                      <w:lang w:val="en-US" w:eastAsia="zh-CN"/>
                    </w:rPr>
                    <w:t>年</w:t>
                  </w:r>
                </w:p>
              </w:tc>
            </w:tr>
            <w:tr w14:paraId="54E867B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9" w:type="pct"/>
                  <w:vMerge w:val="continue"/>
                  <w:tcBorders>
                    <w:tl2br w:val="nil"/>
                    <w:tr2bl w:val="nil"/>
                  </w:tcBorders>
                  <w:noWrap w:val="0"/>
                  <w:vAlign w:val="center"/>
                </w:tcPr>
                <w:p w14:paraId="0D4D40E8">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cs="Times New Roman"/>
                      <w:b w:val="0"/>
                      <w:bCs w:val="0"/>
                      <w:sz w:val="21"/>
                      <w:szCs w:val="21"/>
                    </w:rPr>
                  </w:pPr>
                </w:p>
              </w:tc>
              <w:tc>
                <w:tcPr>
                  <w:tcW w:w="1166" w:type="pct"/>
                  <w:tcBorders>
                    <w:tl2br w:val="nil"/>
                    <w:tr2bl w:val="nil"/>
                  </w:tcBorders>
                  <w:noWrap w:val="0"/>
                  <w:vAlign w:val="center"/>
                </w:tcPr>
                <w:p w14:paraId="089E1BFF">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厂界</w:t>
                  </w:r>
                </w:p>
              </w:tc>
              <w:tc>
                <w:tcPr>
                  <w:tcW w:w="2003" w:type="pct"/>
                  <w:tcBorders>
                    <w:tl2br w:val="nil"/>
                    <w:tr2bl w:val="nil"/>
                  </w:tcBorders>
                  <w:shd w:val="clear" w:color="auto" w:fill="auto"/>
                  <w:noWrap w:val="0"/>
                  <w:vAlign w:val="center"/>
                </w:tcPr>
                <w:p w14:paraId="19591438">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eastAsia="宋体" w:cs="Times New Roman"/>
                      <w:b w:val="0"/>
                      <w:bCs w:val="0"/>
                      <w:color w:val="000000"/>
                      <w:kern w:val="2"/>
                      <w:sz w:val="21"/>
                      <w:szCs w:val="21"/>
                      <w:vertAlign w:val="baseline"/>
                      <w:lang w:val="en-US" w:eastAsia="zh-CN" w:bidi="ar-SA"/>
                    </w:rPr>
                  </w:pPr>
                  <w:r>
                    <w:rPr>
                      <w:rFonts w:hint="default" w:ascii="Times New Roman" w:hAnsi="Times New Roman" w:eastAsia="宋体" w:cs="Times New Roman"/>
                      <w:b w:val="0"/>
                      <w:bCs w:val="0"/>
                      <w:sz w:val="21"/>
                      <w:szCs w:val="21"/>
                      <w:vertAlign w:val="baseline"/>
                      <w:lang w:val="en-US" w:eastAsia="zh-CN"/>
                    </w:rPr>
                    <w:t>颗粒物</w:t>
                  </w:r>
                </w:p>
              </w:tc>
              <w:tc>
                <w:tcPr>
                  <w:tcW w:w="1000" w:type="pct"/>
                  <w:tcBorders>
                    <w:tl2br w:val="nil"/>
                    <w:tr2bl w:val="nil"/>
                  </w:tcBorders>
                  <w:shd w:val="clear" w:color="auto" w:fill="auto"/>
                  <w:noWrap w:val="0"/>
                  <w:vAlign w:val="center"/>
                </w:tcPr>
                <w:p w14:paraId="5D7E53C3">
                  <w:pPr>
                    <w:pStyle w:val="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auto"/>
                    <w:rPr>
                      <w:rFonts w:hint="default" w:ascii="Times New Roman" w:hAnsi="Times New Roman" w:eastAsia="宋体" w:cs="Times New Roman"/>
                      <w:b w:val="0"/>
                      <w:bCs w:val="0"/>
                      <w:color w:val="000000"/>
                      <w:kern w:val="2"/>
                      <w:sz w:val="21"/>
                      <w:szCs w:val="21"/>
                      <w:vertAlign w:val="baseline"/>
                      <w:lang w:val="en-US" w:eastAsia="zh-CN" w:bidi="ar-SA"/>
                    </w:rPr>
                  </w:pPr>
                  <w:r>
                    <w:rPr>
                      <w:rFonts w:hint="default" w:ascii="Times New Roman" w:hAnsi="Times New Roman" w:eastAsia="宋体" w:cs="Times New Roman"/>
                      <w:b w:val="0"/>
                      <w:bCs w:val="0"/>
                      <w:sz w:val="21"/>
                      <w:szCs w:val="21"/>
                      <w:vertAlign w:val="baseline"/>
                      <w:lang w:val="en-US" w:eastAsia="zh-CN"/>
                    </w:rPr>
                    <w:t>1次/</w:t>
                  </w:r>
                  <w:r>
                    <w:rPr>
                      <w:rFonts w:hint="eastAsia" w:ascii="Times New Roman" w:hAnsi="Times New Roman" w:cs="Times New Roman"/>
                      <w:b w:val="0"/>
                      <w:bCs w:val="0"/>
                      <w:sz w:val="21"/>
                      <w:szCs w:val="21"/>
                      <w:vertAlign w:val="baseline"/>
                      <w:lang w:val="en-US" w:eastAsia="zh-CN"/>
                    </w:rPr>
                    <w:t>年</w:t>
                  </w:r>
                </w:p>
              </w:tc>
            </w:tr>
          </w:tbl>
          <w:p w14:paraId="7D795943">
            <w:pPr>
              <w:widowControl/>
              <w:adjustRightInd w:val="0"/>
              <w:snapToGrid w:val="0"/>
              <w:spacing w:line="360" w:lineRule="auto"/>
              <w:ind w:left="479" w:leftChars="228"/>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二、废水</w:t>
            </w:r>
          </w:p>
          <w:p w14:paraId="6CD2F973">
            <w:pPr>
              <w:autoSpaceDE w:val="0"/>
              <w:autoSpaceDN w:val="0"/>
              <w:adjustRightInd w:val="0"/>
              <w:spacing w:line="360" w:lineRule="auto"/>
              <w:ind w:firstLine="48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项目抑尘用水全部损耗，不外排</w:t>
            </w:r>
            <w:r>
              <w:rPr>
                <w:rFonts w:hint="eastAsia" w:cs="Times New Roman"/>
                <w:color w:val="auto"/>
                <w:sz w:val="21"/>
                <w:szCs w:val="21"/>
                <w:highlight w:val="none"/>
                <w:lang w:val="en-US" w:eastAsia="zh-CN"/>
              </w:rPr>
              <w:t>；清洗用水（含脱水）经沉淀罐沉淀后，循环使用，定期补充损耗，不外排；</w:t>
            </w:r>
            <w:r>
              <w:rPr>
                <w:rFonts w:hint="eastAsia" w:ascii="Times New Roman" w:hAnsi="Times New Roman" w:eastAsia="宋体" w:cs="Times New Roman"/>
                <w:color w:val="auto"/>
                <w:sz w:val="21"/>
                <w:szCs w:val="21"/>
                <w:highlight w:val="none"/>
                <w:lang w:val="en-US" w:eastAsia="zh-CN"/>
              </w:rPr>
              <w:t>项目废水主要为生活污水，生活污水经化粪池暂存后，由环卫部门定期清运，不外排。</w:t>
            </w:r>
            <w:r>
              <w:rPr>
                <w:rFonts w:hint="default" w:ascii="Times New Roman" w:hAnsi="Times New Roman" w:eastAsia="宋体" w:cs="Times New Roman"/>
                <w:color w:val="auto"/>
                <w:sz w:val="21"/>
                <w:szCs w:val="21"/>
                <w:highlight w:val="none"/>
                <w:lang w:val="en-US" w:eastAsia="zh-CN"/>
              </w:rPr>
              <w:t xml:space="preserve">综上所述，本项目对周围地表水无影响。  </w:t>
            </w:r>
          </w:p>
          <w:p w14:paraId="563B8C89">
            <w:pPr>
              <w:spacing w:line="360" w:lineRule="auto"/>
              <w:ind w:firstLine="422" w:firstLineChars="200"/>
              <w:rPr>
                <w:rFonts w:hint="default" w:ascii="Times New Roman" w:hAnsi="Times New Roman" w:cs="Times New Roman"/>
                <w:b/>
                <w:bCs/>
                <w:sz w:val="21"/>
                <w:szCs w:val="21"/>
              </w:rPr>
            </w:pPr>
            <w:r>
              <w:rPr>
                <w:rFonts w:hint="default" w:ascii="Times New Roman" w:hAnsi="Times New Roman" w:cs="Times New Roman"/>
                <w:b/>
                <w:bCs/>
                <w:sz w:val="21"/>
                <w:szCs w:val="21"/>
              </w:rPr>
              <w:t xml:space="preserve"> 三、噪声环境影响分析</w:t>
            </w:r>
          </w:p>
          <w:p w14:paraId="3D72068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源强分析</w:t>
            </w:r>
          </w:p>
          <w:p w14:paraId="2BD184B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运营期噪声源主要为</w:t>
            </w:r>
            <w:r>
              <w:rPr>
                <w:rFonts w:hint="default" w:ascii="Times New Roman" w:hAnsi="Times New Roman" w:eastAsia="宋体" w:cs="Times New Roman"/>
                <w:color w:val="auto"/>
                <w:sz w:val="21"/>
                <w:szCs w:val="21"/>
                <w:highlight w:val="none"/>
              </w:rPr>
              <w:t>生产设备</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风机</w:t>
            </w:r>
            <w:r>
              <w:rPr>
                <w:rFonts w:hint="default" w:ascii="Times New Roman" w:hAnsi="Times New Roman" w:eastAsia="宋体" w:cs="Times New Roman"/>
                <w:color w:val="auto"/>
                <w:sz w:val="21"/>
                <w:szCs w:val="21"/>
                <w:highlight w:val="none"/>
              </w:rPr>
              <w:t>声压级约在</w:t>
            </w:r>
            <w:r>
              <w:rPr>
                <w:rFonts w:hint="eastAsia" w:cs="Times New Roman"/>
                <w:color w:val="auto"/>
                <w:sz w:val="21"/>
                <w:szCs w:val="21"/>
                <w:highlight w:val="none"/>
                <w:lang w:val="en-US" w:eastAsia="zh-CN"/>
              </w:rPr>
              <w:t>70</w:t>
            </w:r>
            <w:r>
              <w:rPr>
                <w:rFonts w:hint="eastAsia" w:ascii="Times New Roman" w:hAnsi="Times New Roman" w:eastAsia="宋体" w:cs="Times New Roman"/>
                <w:color w:val="auto"/>
                <w:sz w:val="21"/>
                <w:szCs w:val="21"/>
                <w:highlight w:val="none"/>
                <w:lang w:val="en-US" w:eastAsia="zh-CN"/>
              </w:rPr>
              <w:t>~90d</w:t>
            </w:r>
            <w:r>
              <w:rPr>
                <w:rFonts w:hint="default" w:ascii="Times New Roman" w:hAnsi="Times New Roman" w:eastAsia="宋体" w:cs="Times New Roman"/>
                <w:color w:val="auto"/>
                <w:sz w:val="21"/>
                <w:szCs w:val="21"/>
                <w:highlight w:val="none"/>
              </w:rPr>
              <w:t>B（A）</w:t>
            </w:r>
            <w:r>
              <w:rPr>
                <w:rFonts w:hint="default" w:ascii="Times New Roman" w:hAnsi="Times New Roman" w:eastAsia="宋体" w:cs="Times New Roman"/>
                <w:color w:val="auto"/>
                <w:sz w:val="21"/>
                <w:szCs w:val="21"/>
                <w:highlight w:val="none"/>
                <w:lang w:eastAsia="zh-CN"/>
              </w:rPr>
              <w:t>左右</w:t>
            </w:r>
            <w:r>
              <w:rPr>
                <w:rFonts w:hint="default" w:ascii="Times New Roman" w:hAnsi="Times New Roman" w:eastAsia="宋体" w:cs="Times New Roman"/>
                <w:color w:val="auto"/>
                <w:sz w:val="21"/>
                <w:szCs w:val="21"/>
                <w:highlight w:val="none"/>
              </w:rPr>
              <w:t>。</w:t>
            </w:r>
          </w:p>
          <w:p w14:paraId="400F120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采取的噪声治理措施为：</w:t>
            </w:r>
          </w:p>
          <w:p w14:paraId="31466C2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1）在保证工艺生产的同时注意选用低噪声的设备。</w:t>
            </w:r>
          </w:p>
          <w:p w14:paraId="6933CEE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2）对振动较大的设备考虑设备基础的隔振、减振。</w:t>
            </w:r>
          </w:p>
          <w:p w14:paraId="3C5A05F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3）利用建（构）筑物隔声降噪。</w:t>
            </w:r>
          </w:p>
          <w:p w14:paraId="4761D06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另外，为保证项目建成后噪声达标排放，应增加以下防治措施：</w:t>
            </w:r>
          </w:p>
          <w:p w14:paraId="62D3A69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）厂房内装隔声门窗；</w:t>
            </w:r>
          </w:p>
          <w:p w14:paraId="6D8BABC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）合理布局：要求将噪声较</w:t>
            </w:r>
            <w:r>
              <w:rPr>
                <w:rFonts w:hint="default" w:ascii="Times New Roman" w:hAnsi="Times New Roman" w:eastAsia="宋体" w:cs="Times New Roman"/>
                <w:color w:val="auto"/>
                <w:sz w:val="21"/>
                <w:szCs w:val="21"/>
                <w:highlight w:val="none"/>
                <w:lang w:eastAsia="zh-CN"/>
              </w:rPr>
              <w:t>高的</w:t>
            </w:r>
            <w:r>
              <w:rPr>
                <w:rFonts w:hint="default" w:ascii="Times New Roman" w:hAnsi="Times New Roman" w:eastAsia="宋体" w:cs="Times New Roman"/>
                <w:color w:val="auto"/>
                <w:sz w:val="21"/>
                <w:szCs w:val="21"/>
                <w:highlight w:val="none"/>
              </w:rPr>
              <w:t>设备布设在生产车间中部；</w:t>
            </w:r>
          </w:p>
          <w:p w14:paraId="75B340D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采用设备基础的减振、厂房墙、窗隔声可减少</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dB(A)的噪声级，本项目新增设备设置了基础的减振措施，设备均设置在厂房内采用厂房隔声，噪声治理措施及效果如下</w:t>
            </w:r>
            <w:r>
              <w:rPr>
                <w:rFonts w:hint="default" w:ascii="Times New Roman" w:hAnsi="Times New Roman" w:eastAsia="宋体" w:cs="Times New Roman"/>
                <w:b w:val="0"/>
                <w:bCs/>
                <w:color w:val="auto"/>
                <w:sz w:val="21"/>
                <w:szCs w:val="21"/>
                <w:highlight w:val="none"/>
                <w:lang w:val="en-US" w:eastAsia="zh-CN"/>
              </w:rPr>
              <w:t>。</w:t>
            </w:r>
          </w:p>
          <w:p w14:paraId="00E95814">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4-</w:t>
            </w:r>
            <w:r>
              <w:rPr>
                <w:rFonts w:hint="eastAsia" w:cs="Times New Roman"/>
                <w:b/>
                <w:bCs/>
                <w:color w:val="000000"/>
                <w:kern w:val="0"/>
                <w:sz w:val="21"/>
                <w:szCs w:val="21"/>
                <w:lang w:val="en-US" w:eastAsia="zh-CN" w:bidi="ar"/>
              </w:rPr>
              <w:t xml:space="preserve">6 </w:t>
            </w:r>
            <w:r>
              <w:rPr>
                <w:rFonts w:hint="eastAsia" w:ascii="宋体" w:hAnsi="宋体" w:eastAsia="宋体" w:cs="宋体"/>
                <w:b/>
                <w:bCs/>
                <w:color w:val="000000"/>
                <w:kern w:val="0"/>
                <w:sz w:val="21"/>
                <w:szCs w:val="21"/>
                <w:lang w:val="en-US" w:eastAsia="zh-CN" w:bidi="ar"/>
              </w:rPr>
              <w:t>工业企业噪声源强调查清单（室内声源）</w:t>
            </w:r>
          </w:p>
          <w:tbl>
            <w:tblPr>
              <w:tblStyle w:val="35"/>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29"/>
              <w:gridCol w:w="474"/>
              <w:gridCol w:w="868"/>
              <w:gridCol w:w="442"/>
              <w:gridCol w:w="916"/>
              <w:gridCol w:w="583"/>
              <w:gridCol w:w="535"/>
              <w:gridCol w:w="583"/>
              <w:gridCol w:w="469"/>
              <w:gridCol w:w="522"/>
              <w:gridCol w:w="498"/>
              <w:gridCol w:w="546"/>
              <w:gridCol w:w="573"/>
              <w:gridCol w:w="511"/>
              <w:gridCol w:w="511"/>
              <w:gridCol w:w="546"/>
              <w:gridCol w:w="557"/>
              <w:gridCol w:w="607"/>
              <w:gridCol w:w="575"/>
              <w:gridCol w:w="445"/>
              <w:gridCol w:w="535"/>
              <w:gridCol w:w="514"/>
              <w:gridCol w:w="519"/>
              <w:gridCol w:w="544"/>
            </w:tblGrid>
            <w:tr w14:paraId="56EA69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vMerge w:val="restart"/>
                  <w:tcBorders>
                    <w:tl2br w:val="nil"/>
                    <w:tr2bl w:val="nil"/>
                  </w:tcBorders>
                  <w:noWrap w:val="0"/>
                  <w:tcMar>
                    <w:left w:w="0" w:type="dxa"/>
                    <w:right w:w="0" w:type="dxa"/>
                  </w:tcMar>
                  <w:vAlign w:val="center"/>
                </w:tcPr>
                <w:p w14:paraId="14D159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序号</w:t>
                  </w:r>
                </w:p>
              </w:tc>
              <w:tc>
                <w:tcPr>
                  <w:tcW w:w="178" w:type="pct"/>
                  <w:vMerge w:val="restart"/>
                  <w:tcBorders>
                    <w:tl2br w:val="nil"/>
                    <w:tr2bl w:val="nil"/>
                  </w:tcBorders>
                  <w:noWrap w:val="0"/>
                  <w:tcMar>
                    <w:top w:w="0" w:type="dxa"/>
                    <w:left w:w="0" w:type="dxa"/>
                    <w:bottom w:w="0" w:type="dxa"/>
                    <w:right w:w="0" w:type="dxa"/>
                  </w:tcMar>
                  <w:vAlign w:val="center"/>
                </w:tcPr>
                <w:p w14:paraId="282C7C1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建筑物名称</w:t>
                  </w:r>
                </w:p>
              </w:tc>
              <w:tc>
                <w:tcPr>
                  <w:tcW w:w="326" w:type="pct"/>
                  <w:vMerge w:val="restart"/>
                  <w:tcBorders>
                    <w:tl2br w:val="nil"/>
                    <w:tr2bl w:val="nil"/>
                  </w:tcBorders>
                  <w:noWrap w:val="0"/>
                  <w:tcMar>
                    <w:left w:w="0" w:type="dxa"/>
                    <w:right w:w="0" w:type="dxa"/>
                  </w:tcMar>
                  <w:vAlign w:val="center"/>
                </w:tcPr>
                <w:p w14:paraId="6ADB1BC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声源</w:t>
                  </w:r>
                </w:p>
                <w:p w14:paraId="61E017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名称</w:t>
                  </w:r>
                </w:p>
              </w:tc>
              <w:tc>
                <w:tcPr>
                  <w:tcW w:w="166" w:type="pct"/>
                  <w:vMerge w:val="restart"/>
                  <w:tcBorders>
                    <w:tl2br w:val="nil"/>
                    <w:tr2bl w:val="nil"/>
                  </w:tcBorders>
                  <w:noWrap w:val="0"/>
                  <w:tcMar>
                    <w:left w:w="0" w:type="dxa"/>
                    <w:right w:w="0" w:type="dxa"/>
                  </w:tcMar>
                  <w:vAlign w:val="center"/>
                </w:tcPr>
                <w:p w14:paraId="56AFE5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数量</w:t>
                  </w:r>
                </w:p>
              </w:tc>
              <w:tc>
                <w:tcPr>
                  <w:tcW w:w="344" w:type="pct"/>
                  <w:tcBorders>
                    <w:tl2br w:val="nil"/>
                    <w:tr2bl w:val="nil"/>
                  </w:tcBorders>
                  <w:noWrap w:val="0"/>
                  <w:tcMar>
                    <w:left w:w="0" w:type="dxa"/>
                    <w:right w:w="0" w:type="dxa"/>
                  </w:tcMar>
                  <w:vAlign w:val="center"/>
                </w:tcPr>
                <w:p w14:paraId="184FDBB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声源强</w:t>
                  </w:r>
                </w:p>
              </w:tc>
              <w:tc>
                <w:tcPr>
                  <w:tcW w:w="219" w:type="pct"/>
                  <w:vMerge w:val="restart"/>
                  <w:tcBorders>
                    <w:tl2br w:val="nil"/>
                    <w:tr2bl w:val="nil"/>
                  </w:tcBorders>
                  <w:noWrap w:val="0"/>
                  <w:tcMar>
                    <w:top w:w="0" w:type="dxa"/>
                    <w:left w:w="0" w:type="dxa"/>
                    <w:bottom w:w="0" w:type="dxa"/>
                    <w:right w:w="0" w:type="dxa"/>
                  </w:tcMar>
                  <w:vAlign w:val="center"/>
                </w:tcPr>
                <w:p w14:paraId="0E7021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声源控制措施</w:t>
                  </w:r>
                </w:p>
              </w:tc>
              <w:tc>
                <w:tcPr>
                  <w:tcW w:w="596" w:type="pct"/>
                  <w:gridSpan w:val="3"/>
                  <w:tcBorders>
                    <w:tl2br w:val="nil"/>
                    <w:tr2bl w:val="nil"/>
                  </w:tcBorders>
                  <w:noWrap w:val="0"/>
                  <w:tcMar>
                    <w:left w:w="0" w:type="dxa"/>
                    <w:right w:w="0" w:type="dxa"/>
                  </w:tcMar>
                  <w:vAlign w:val="center"/>
                </w:tcPr>
                <w:p w14:paraId="64C0A6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空间相对位置/m</w:t>
                  </w:r>
                </w:p>
              </w:tc>
              <w:tc>
                <w:tcPr>
                  <w:tcW w:w="803" w:type="pct"/>
                  <w:gridSpan w:val="4"/>
                  <w:tcBorders>
                    <w:tl2br w:val="nil"/>
                    <w:tr2bl w:val="nil"/>
                  </w:tcBorders>
                  <w:noWrap w:val="0"/>
                  <w:tcMar>
                    <w:left w:w="0" w:type="dxa"/>
                    <w:right w:w="0" w:type="dxa"/>
                  </w:tcMar>
                  <w:vAlign w:val="center"/>
                </w:tcPr>
                <w:p w14:paraId="07E75BB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距室内边界距离/m</w:t>
                  </w:r>
                </w:p>
              </w:tc>
              <w:tc>
                <w:tcPr>
                  <w:tcW w:w="798" w:type="pct"/>
                  <w:gridSpan w:val="4"/>
                  <w:tcBorders>
                    <w:tl2br w:val="nil"/>
                    <w:tr2bl w:val="nil"/>
                  </w:tcBorders>
                  <w:noWrap w:val="0"/>
                  <w:tcMar>
                    <w:left w:w="0" w:type="dxa"/>
                    <w:right w:w="0" w:type="dxa"/>
                  </w:tcMar>
                  <w:vAlign w:val="center"/>
                </w:tcPr>
                <w:p w14:paraId="47B8FE2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室内边界声级/dB(A)</w:t>
                  </w:r>
                </w:p>
              </w:tc>
              <w:tc>
                <w:tcPr>
                  <w:tcW w:w="228" w:type="pct"/>
                  <w:vMerge w:val="restart"/>
                  <w:tcBorders>
                    <w:tl2br w:val="nil"/>
                    <w:tr2bl w:val="nil"/>
                  </w:tcBorders>
                  <w:noWrap w:val="0"/>
                  <w:tcMar>
                    <w:left w:w="0" w:type="dxa"/>
                    <w:right w:w="0" w:type="dxa"/>
                  </w:tcMar>
                  <w:vAlign w:val="center"/>
                </w:tcPr>
                <w:p w14:paraId="60EDBD0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运行时段</w:t>
                  </w:r>
                </w:p>
              </w:tc>
              <w:tc>
                <w:tcPr>
                  <w:tcW w:w="216" w:type="pct"/>
                  <w:vMerge w:val="restart"/>
                  <w:tcBorders>
                    <w:tl2br w:val="nil"/>
                    <w:tr2bl w:val="nil"/>
                  </w:tcBorders>
                  <w:noWrap w:val="0"/>
                  <w:tcMar>
                    <w:top w:w="0" w:type="dxa"/>
                    <w:left w:w="0" w:type="dxa"/>
                    <w:bottom w:w="0" w:type="dxa"/>
                    <w:right w:w="0" w:type="dxa"/>
                  </w:tcMar>
                  <w:vAlign w:val="center"/>
                </w:tcPr>
                <w:p w14:paraId="08D5BC1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建筑物插入损失/dB(A)</w:t>
                  </w:r>
                </w:p>
              </w:tc>
              <w:tc>
                <w:tcPr>
                  <w:tcW w:w="960" w:type="pct"/>
                  <w:gridSpan w:val="5"/>
                  <w:tcBorders>
                    <w:tl2br w:val="nil"/>
                    <w:tr2bl w:val="nil"/>
                  </w:tcBorders>
                  <w:noWrap w:val="0"/>
                  <w:tcMar>
                    <w:left w:w="0" w:type="dxa"/>
                    <w:right w:w="0" w:type="dxa"/>
                  </w:tcMar>
                  <w:vAlign w:val="center"/>
                </w:tcPr>
                <w:p w14:paraId="554652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建筑物外噪声声压级/dB(A)</w:t>
                  </w:r>
                </w:p>
              </w:tc>
            </w:tr>
            <w:tr w14:paraId="3BE17B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vMerge w:val="continue"/>
                  <w:tcBorders>
                    <w:tl2br w:val="nil"/>
                    <w:tr2bl w:val="nil"/>
                  </w:tcBorders>
                  <w:noWrap w:val="0"/>
                  <w:tcMar>
                    <w:top w:w="0" w:type="dxa"/>
                    <w:left w:w="0" w:type="dxa"/>
                    <w:bottom w:w="0" w:type="dxa"/>
                    <w:right w:w="0" w:type="dxa"/>
                  </w:tcMar>
                  <w:vAlign w:val="center"/>
                </w:tcPr>
                <w:p w14:paraId="2F5F40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178" w:type="pct"/>
                  <w:vMerge w:val="continue"/>
                  <w:tcBorders>
                    <w:tl2br w:val="nil"/>
                    <w:tr2bl w:val="nil"/>
                  </w:tcBorders>
                  <w:noWrap w:val="0"/>
                  <w:tcMar>
                    <w:top w:w="0" w:type="dxa"/>
                    <w:left w:w="0" w:type="dxa"/>
                    <w:bottom w:w="0" w:type="dxa"/>
                    <w:right w:w="0" w:type="dxa"/>
                  </w:tcMar>
                  <w:vAlign w:val="center"/>
                </w:tcPr>
                <w:p w14:paraId="4049A8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vMerge w:val="continue"/>
                  <w:tcBorders>
                    <w:tl2br w:val="nil"/>
                    <w:tr2bl w:val="nil"/>
                  </w:tcBorders>
                  <w:noWrap w:val="0"/>
                  <w:tcMar>
                    <w:top w:w="0" w:type="dxa"/>
                    <w:left w:w="0" w:type="dxa"/>
                    <w:bottom w:w="0" w:type="dxa"/>
                    <w:right w:w="0" w:type="dxa"/>
                  </w:tcMar>
                  <w:vAlign w:val="center"/>
                </w:tcPr>
                <w:p w14:paraId="66D65A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166" w:type="pct"/>
                  <w:vMerge w:val="continue"/>
                  <w:tcBorders>
                    <w:tl2br w:val="nil"/>
                    <w:tr2bl w:val="nil"/>
                  </w:tcBorders>
                  <w:noWrap w:val="0"/>
                  <w:tcMar>
                    <w:top w:w="0" w:type="dxa"/>
                    <w:left w:w="0" w:type="dxa"/>
                    <w:bottom w:w="0" w:type="dxa"/>
                    <w:right w:w="0" w:type="dxa"/>
                  </w:tcMar>
                  <w:vAlign w:val="center"/>
                </w:tcPr>
                <w:p w14:paraId="08D197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44" w:type="pct"/>
                  <w:tcBorders>
                    <w:tl2br w:val="nil"/>
                    <w:tr2bl w:val="nil"/>
                  </w:tcBorders>
                  <w:noWrap w:val="0"/>
                  <w:tcMar>
                    <w:top w:w="0" w:type="dxa"/>
                    <w:left w:w="0" w:type="dxa"/>
                    <w:bottom w:w="0" w:type="dxa"/>
                    <w:right w:w="0" w:type="dxa"/>
                  </w:tcMar>
                  <w:vAlign w:val="center"/>
                </w:tcPr>
                <w:p w14:paraId="5C9161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声功率级/dB(A)</w:t>
                  </w:r>
                </w:p>
              </w:tc>
              <w:tc>
                <w:tcPr>
                  <w:tcW w:w="219" w:type="pct"/>
                  <w:vMerge w:val="continue"/>
                  <w:tcBorders>
                    <w:tl2br w:val="nil"/>
                    <w:tr2bl w:val="nil"/>
                  </w:tcBorders>
                  <w:noWrap w:val="0"/>
                  <w:tcMar>
                    <w:top w:w="0" w:type="dxa"/>
                    <w:left w:w="0" w:type="dxa"/>
                    <w:bottom w:w="0" w:type="dxa"/>
                    <w:right w:w="0" w:type="dxa"/>
                  </w:tcMar>
                  <w:vAlign w:val="center"/>
                </w:tcPr>
                <w:p w14:paraId="3EA24C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E17FC2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X</w:t>
                  </w:r>
                </w:p>
              </w:tc>
              <w:tc>
                <w:tcPr>
                  <w:tcW w:w="219" w:type="pct"/>
                  <w:tcBorders>
                    <w:tl2br w:val="nil"/>
                    <w:tr2bl w:val="nil"/>
                  </w:tcBorders>
                  <w:noWrap w:val="0"/>
                  <w:tcMar>
                    <w:top w:w="0" w:type="dxa"/>
                    <w:left w:w="0" w:type="dxa"/>
                    <w:bottom w:w="0" w:type="dxa"/>
                    <w:right w:w="0" w:type="dxa"/>
                  </w:tcMar>
                  <w:vAlign w:val="center"/>
                </w:tcPr>
                <w:p w14:paraId="741C4B5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Y</w:t>
                  </w:r>
                </w:p>
              </w:tc>
              <w:tc>
                <w:tcPr>
                  <w:tcW w:w="176" w:type="pct"/>
                  <w:tcBorders>
                    <w:tl2br w:val="nil"/>
                    <w:tr2bl w:val="nil"/>
                  </w:tcBorders>
                  <w:noWrap w:val="0"/>
                  <w:tcMar>
                    <w:top w:w="0" w:type="dxa"/>
                    <w:left w:w="0" w:type="dxa"/>
                    <w:bottom w:w="0" w:type="dxa"/>
                    <w:right w:w="0" w:type="dxa"/>
                  </w:tcMar>
                  <w:vAlign w:val="center"/>
                </w:tcPr>
                <w:p w14:paraId="4B14D37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Z</w:t>
                  </w:r>
                </w:p>
              </w:tc>
              <w:tc>
                <w:tcPr>
                  <w:tcW w:w="196" w:type="pct"/>
                  <w:tcBorders>
                    <w:tl2br w:val="nil"/>
                    <w:tr2bl w:val="nil"/>
                  </w:tcBorders>
                  <w:noWrap w:val="0"/>
                  <w:tcMar>
                    <w:top w:w="0" w:type="dxa"/>
                    <w:left w:w="0" w:type="dxa"/>
                    <w:bottom w:w="0" w:type="dxa"/>
                    <w:right w:w="0" w:type="dxa"/>
                  </w:tcMar>
                  <w:vAlign w:val="center"/>
                </w:tcPr>
                <w:p w14:paraId="5A19E63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东</w:t>
                  </w:r>
                </w:p>
              </w:tc>
              <w:tc>
                <w:tcPr>
                  <w:tcW w:w="187" w:type="pct"/>
                  <w:tcBorders>
                    <w:tl2br w:val="nil"/>
                    <w:tr2bl w:val="nil"/>
                  </w:tcBorders>
                  <w:noWrap w:val="0"/>
                  <w:tcMar>
                    <w:top w:w="0" w:type="dxa"/>
                    <w:left w:w="0" w:type="dxa"/>
                    <w:bottom w:w="0" w:type="dxa"/>
                    <w:right w:w="0" w:type="dxa"/>
                  </w:tcMar>
                  <w:vAlign w:val="center"/>
                </w:tcPr>
                <w:p w14:paraId="2B2BDF4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南</w:t>
                  </w:r>
                </w:p>
              </w:tc>
              <w:tc>
                <w:tcPr>
                  <w:tcW w:w="205" w:type="pct"/>
                  <w:tcBorders>
                    <w:tl2br w:val="nil"/>
                    <w:tr2bl w:val="nil"/>
                  </w:tcBorders>
                  <w:noWrap w:val="0"/>
                  <w:tcMar>
                    <w:top w:w="0" w:type="dxa"/>
                    <w:left w:w="0" w:type="dxa"/>
                    <w:bottom w:w="0" w:type="dxa"/>
                    <w:right w:w="0" w:type="dxa"/>
                  </w:tcMar>
                  <w:vAlign w:val="center"/>
                </w:tcPr>
                <w:p w14:paraId="588B62F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西</w:t>
                  </w:r>
                </w:p>
              </w:tc>
              <w:tc>
                <w:tcPr>
                  <w:tcW w:w="213" w:type="pct"/>
                  <w:tcBorders>
                    <w:tl2br w:val="nil"/>
                    <w:tr2bl w:val="nil"/>
                  </w:tcBorders>
                  <w:noWrap w:val="0"/>
                  <w:tcMar>
                    <w:top w:w="0" w:type="dxa"/>
                    <w:left w:w="0" w:type="dxa"/>
                    <w:bottom w:w="0" w:type="dxa"/>
                    <w:right w:w="0" w:type="dxa"/>
                  </w:tcMar>
                  <w:vAlign w:val="center"/>
                </w:tcPr>
                <w:p w14:paraId="3F1851D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北</w:t>
                  </w:r>
                </w:p>
              </w:tc>
              <w:tc>
                <w:tcPr>
                  <w:tcW w:w="192" w:type="pct"/>
                  <w:tcBorders>
                    <w:tl2br w:val="nil"/>
                    <w:tr2bl w:val="nil"/>
                  </w:tcBorders>
                  <w:noWrap w:val="0"/>
                  <w:tcMar>
                    <w:top w:w="0" w:type="dxa"/>
                    <w:left w:w="0" w:type="dxa"/>
                    <w:bottom w:w="0" w:type="dxa"/>
                    <w:right w:w="0" w:type="dxa"/>
                  </w:tcMar>
                  <w:vAlign w:val="center"/>
                </w:tcPr>
                <w:p w14:paraId="6C5F002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东</w:t>
                  </w:r>
                </w:p>
              </w:tc>
              <w:tc>
                <w:tcPr>
                  <w:tcW w:w="192" w:type="pct"/>
                  <w:tcBorders>
                    <w:tl2br w:val="nil"/>
                    <w:tr2bl w:val="nil"/>
                  </w:tcBorders>
                  <w:noWrap w:val="0"/>
                  <w:tcMar>
                    <w:top w:w="0" w:type="dxa"/>
                    <w:left w:w="0" w:type="dxa"/>
                    <w:bottom w:w="0" w:type="dxa"/>
                    <w:right w:w="0" w:type="dxa"/>
                  </w:tcMar>
                  <w:vAlign w:val="center"/>
                </w:tcPr>
                <w:p w14:paraId="039DDD2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南</w:t>
                  </w:r>
                </w:p>
              </w:tc>
              <w:tc>
                <w:tcPr>
                  <w:tcW w:w="205" w:type="pct"/>
                  <w:tcBorders>
                    <w:tl2br w:val="nil"/>
                    <w:tr2bl w:val="nil"/>
                  </w:tcBorders>
                  <w:noWrap w:val="0"/>
                  <w:tcMar>
                    <w:top w:w="0" w:type="dxa"/>
                    <w:left w:w="0" w:type="dxa"/>
                    <w:bottom w:w="0" w:type="dxa"/>
                    <w:right w:w="0" w:type="dxa"/>
                  </w:tcMar>
                  <w:vAlign w:val="center"/>
                </w:tcPr>
                <w:p w14:paraId="4BC96B8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西</w:t>
                  </w:r>
                </w:p>
              </w:tc>
              <w:tc>
                <w:tcPr>
                  <w:tcW w:w="208" w:type="pct"/>
                  <w:tcBorders>
                    <w:tl2br w:val="nil"/>
                    <w:tr2bl w:val="nil"/>
                  </w:tcBorders>
                  <w:noWrap w:val="0"/>
                  <w:tcMar>
                    <w:top w:w="0" w:type="dxa"/>
                    <w:left w:w="0" w:type="dxa"/>
                    <w:bottom w:w="0" w:type="dxa"/>
                    <w:right w:w="0" w:type="dxa"/>
                  </w:tcMar>
                  <w:vAlign w:val="center"/>
                </w:tcPr>
                <w:p w14:paraId="295301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北</w:t>
                  </w:r>
                </w:p>
              </w:tc>
              <w:tc>
                <w:tcPr>
                  <w:tcW w:w="228" w:type="pct"/>
                  <w:vMerge w:val="continue"/>
                  <w:tcBorders>
                    <w:tl2br w:val="nil"/>
                    <w:tr2bl w:val="nil"/>
                  </w:tcBorders>
                  <w:noWrap w:val="0"/>
                  <w:tcMar>
                    <w:top w:w="0" w:type="dxa"/>
                    <w:left w:w="0" w:type="dxa"/>
                    <w:bottom w:w="0" w:type="dxa"/>
                    <w:right w:w="0" w:type="dxa"/>
                  </w:tcMar>
                  <w:vAlign w:val="center"/>
                </w:tcPr>
                <w:p w14:paraId="43030B1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5DED609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7FC646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东</w:t>
                  </w:r>
                </w:p>
              </w:tc>
              <w:tc>
                <w:tcPr>
                  <w:tcW w:w="201" w:type="pct"/>
                  <w:tcBorders>
                    <w:tl2br w:val="nil"/>
                    <w:tr2bl w:val="nil"/>
                  </w:tcBorders>
                  <w:noWrap w:val="0"/>
                  <w:tcMar>
                    <w:top w:w="0" w:type="dxa"/>
                    <w:left w:w="0" w:type="dxa"/>
                    <w:bottom w:w="0" w:type="dxa"/>
                    <w:right w:w="0" w:type="dxa"/>
                  </w:tcMar>
                  <w:vAlign w:val="center"/>
                </w:tcPr>
                <w:p w14:paraId="3D07F03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南</w:t>
                  </w:r>
                </w:p>
              </w:tc>
              <w:tc>
                <w:tcPr>
                  <w:tcW w:w="193" w:type="pct"/>
                  <w:tcBorders>
                    <w:tl2br w:val="nil"/>
                    <w:tr2bl w:val="nil"/>
                  </w:tcBorders>
                  <w:noWrap w:val="0"/>
                  <w:tcMar>
                    <w:top w:w="0" w:type="dxa"/>
                    <w:left w:w="0" w:type="dxa"/>
                    <w:bottom w:w="0" w:type="dxa"/>
                    <w:right w:w="0" w:type="dxa"/>
                  </w:tcMar>
                  <w:vAlign w:val="center"/>
                </w:tcPr>
                <w:p w14:paraId="4A2A02F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西</w:t>
                  </w:r>
                </w:p>
              </w:tc>
              <w:tc>
                <w:tcPr>
                  <w:tcW w:w="195" w:type="pct"/>
                  <w:tcBorders>
                    <w:tl2br w:val="nil"/>
                    <w:tr2bl w:val="nil"/>
                  </w:tcBorders>
                  <w:noWrap w:val="0"/>
                  <w:tcMar>
                    <w:top w:w="0" w:type="dxa"/>
                    <w:left w:w="0" w:type="dxa"/>
                    <w:bottom w:w="0" w:type="dxa"/>
                    <w:right w:w="0" w:type="dxa"/>
                  </w:tcMar>
                  <w:vAlign w:val="center"/>
                </w:tcPr>
                <w:p w14:paraId="676395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北</w:t>
                  </w:r>
                </w:p>
              </w:tc>
              <w:tc>
                <w:tcPr>
                  <w:tcW w:w="202" w:type="pct"/>
                  <w:tcBorders>
                    <w:tl2br w:val="nil"/>
                    <w:tr2bl w:val="nil"/>
                  </w:tcBorders>
                  <w:noWrap w:val="0"/>
                  <w:tcMar>
                    <w:top w:w="0" w:type="dxa"/>
                    <w:left w:w="0" w:type="dxa"/>
                    <w:bottom w:w="0" w:type="dxa"/>
                    <w:right w:w="0" w:type="dxa"/>
                  </w:tcMar>
                  <w:vAlign w:val="center"/>
                </w:tcPr>
                <w:p w14:paraId="16862F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建筑物外距离</w:t>
                  </w:r>
                </w:p>
              </w:tc>
            </w:tr>
            <w:tr w14:paraId="45C161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482B24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178" w:type="pct"/>
                  <w:vMerge w:val="restart"/>
                  <w:tcBorders>
                    <w:tl2br w:val="nil"/>
                    <w:tr2bl w:val="nil"/>
                  </w:tcBorders>
                  <w:noWrap w:val="0"/>
                  <w:tcMar>
                    <w:top w:w="0" w:type="dxa"/>
                    <w:left w:w="0" w:type="dxa"/>
                    <w:bottom w:w="0" w:type="dxa"/>
                    <w:right w:w="0" w:type="dxa"/>
                  </w:tcMar>
                  <w:vAlign w:val="center"/>
                </w:tcPr>
                <w:p w14:paraId="74A598AA">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一</w:t>
                  </w:r>
                </w:p>
                <w:p w14:paraId="24BE3CA6">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车</w:t>
                  </w:r>
                </w:p>
                <w:p w14:paraId="3E8BBB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间</w:t>
                  </w:r>
                </w:p>
              </w:tc>
              <w:tc>
                <w:tcPr>
                  <w:tcW w:w="326" w:type="pct"/>
                  <w:tcBorders>
                    <w:tl2br w:val="nil"/>
                    <w:tr2bl w:val="nil"/>
                  </w:tcBorders>
                  <w:noWrap w:val="0"/>
                  <w:tcMar>
                    <w:top w:w="0" w:type="dxa"/>
                    <w:left w:w="0" w:type="dxa"/>
                    <w:bottom w:w="0" w:type="dxa"/>
                    <w:right w:w="0" w:type="dxa"/>
                  </w:tcMar>
                  <w:vAlign w:val="center"/>
                </w:tcPr>
                <w:p w14:paraId="1591B58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颚式破碎机（3台，按点声源组计算）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790740B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59E9A6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kern w:val="2"/>
                      <w:sz w:val="18"/>
                      <w:szCs w:val="18"/>
                      <w:highlight w:val="none"/>
                      <w:lang w:val="en-US" w:eastAsia="zh-CN" w:bidi="ar-SA"/>
                    </w:rPr>
                    <w:t>90（等效后94.8）</w:t>
                  </w:r>
                </w:p>
              </w:tc>
              <w:tc>
                <w:tcPr>
                  <w:tcW w:w="219" w:type="pct"/>
                  <w:vMerge w:val="restart"/>
                  <w:tcBorders>
                    <w:tl2br w:val="nil"/>
                    <w:tr2bl w:val="nil"/>
                  </w:tcBorders>
                  <w:noWrap w:val="0"/>
                  <w:tcMar>
                    <w:top w:w="0" w:type="dxa"/>
                    <w:left w:w="0" w:type="dxa"/>
                    <w:bottom w:w="0" w:type="dxa"/>
                    <w:right w:w="0" w:type="dxa"/>
                  </w:tcMar>
                  <w:vAlign w:val="center"/>
                </w:tcPr>
                <w:p w14:paraId="53584A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设备减振、厂房隔声</w:t>
                  </w:r>
                </w:p>
              </w:tc>
              <w:tc>
                <w:tcPr>
                  <w:tcW w:w="201" w:type="pct"/>
                  <w:tcBorders>
                    <w:tl2br w:val="nil"/>
                    <w:tr2bl w:val="nil"/>
                  </w:tcBorders>
                  <w:noWrap w:val="0"/>
                  <w:tcMar>
                    <w:top w:w="0" w:type="dxa"/>
                    <w:left w:w="0" w:type="dxa"/>
                    <w:bottom w:w="0" w:type="dxa"/>
                    <w:right w:w="0" w:type="dxa"/>
                  </w:tcMar>
                  <w:vAlign w:val="center"/>
                </w:tcPr>
                <w:p w14:paraId="2963F2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12.5</w:t>
                  </w:r>
                </w:p>
              </w:tc>
              <w:tc>
                <w:tcPr>
                  <w:tcW w:w="219" w:type="pct"/>
                  <w:tcBorders>
                    <w:tl2br w:val="nil"/>
                    <w:tr2bl w:val="nil"/>
                  </w:tcBorders>
                  <w:noWrap w:val="0"/>
                  <w:tcMar>
                    <w:top w:w="0" w:type="dxa"/>
                    <w:left w:w="0" w:type="dxa"/>
                    <w:bottom w:w="0" w:type="dxa"/>
                    <w:right w:w="0" w:type="dxa"/>
                  </w:tcMar>
                  <w:vAlign w:val="center"/>
                </w:tcPr>
                <w:p w14:paraId="10B54E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74.3</w:t>
                  </w:r>
                </w:p>
              </w:tc>
              <w:tc>
                <w:tcPr>
                  <w:tcW w:w="176" w:type="pct"/>
                  <w:tcBorders>
                    <w:tl2br w:val="nil"/>
                    <w:tr2bl w:val="nil"/>
                  </w:tcBorders>
                  <w:noWrap w:val="0"/>
                  <w:tcMar>
                    <w:top w:w="0" w:type="dxa"/>
                    <w:left w:w="0" w:type="dxa"/>
                    <w:bottom w:w="0" w:type="dxa"/>
                    <w:right w:w="0" w:type="dxa"/>
                  </w:tcMar>
                  <w:vAlign w:val="center"/>
                </w:tcPr>
                <w:p w14:paraId="223A06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E53A6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8.1</w:t>
                  </w:r>
                </w:p>
              </w:tc>
              <w:tc>
                <w:tcPr>
                  <w:tcW w:w="187" w:type="pct"/>
                  <w:tcBorders>
                    <w:tl2br w:val="nil"/>
                    <w:tr2bl w:val="nil"/>
                  </w:tcBorders>
                  <w:noWrap w:val="0"/>
                  <w:tcMar>
                    <w:top w:w="0" w:type="dxa"/>
                    <w:left w:w="0" w:type="dxa"/>
                    <w:bottom w:w="0" w:type="dxa"/>
                    <w:right w:w="0" w:type="dxa"/>
                  </w:tcMar>
                  <w:vAlign w:val="center"/>
                </w:tcPr>
                <w:p w14:paraId="62C758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21.5</w:t>
                  </w:r>
                </w:p>
              </w:tc>
              <w:tc>
                <w:tcPr>
                  <w:tcW w:w="205" w:type="pct"/>
                  <w:tcBorders>
                    <w:tl2br w:val="nil"/>
                    <w:tr2bl w:val="nil"/>
                  </w:tcBorders>
                  <w:shd w:val="clear" w:color="auto" w:fill="auto"/>
                  <w:noWrap w:val="0"/>
                  <w:tcMar>
                    <w:top w:w="0" w:type="dxa"/>
                    <w:left w:w="0" w:type="dxa"/>
                    <w:bottom w:w="0" w:type="dxa"/>
                    <w:right w:w="0" w:type="dxa"/>
                  </w:tcMar>
                  <w:vAlign w:val="center"/>
                </w:tcPr>
                <w:p w14:paraId="07A3D00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12.5</w:t>
                  </w:r>
                </w:p>
              </w:tc>
              <w:tc>
                <w:tcPr>
                  <w:tcW w:w="213" w:type="pct"/>
                  <w:tcBorders>
                    <w:tl2br w:val="nil"/>
                    <w:tr2bl w:val="nil"/>
                  </w:tcBorders>
                  <w:noWrap w:val="0"/>
                  <w:tcMar>
                    <w:top w:w="0" w:type="dxa"/>
                    <w:left w:w="0" w:type="dxa"/>
                    <w:bottom w:w="0" w:type="dxa"/>
                    <w:right w:w="0" w:type="dxa"/>
                  </w:tcMar>
                  <w:vAlign w:val="center"/>
                </w:tcPr>
                <w:p w14:paraId="2E4245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18.2</w:t>
                  </w:r>
                </w:p>
              </w:tc>
              <w:tc>
                <w:tcPr>
                  <w:tcW w:w="192" w:type="pct"/>
                  <w:tcBorders>
                    <w:tl2br w:val="nil"/>
                    <w:tr2bl w:val="nil"/>
                  </w:tcBorders>
                  <w:noWrap w:val="0"/>
                  <w:tcMar>
                    <w:top w:w="0" w:type="dxa"/>
                    <w:left w:w="0" w:type="dxa"/>
                    <w:bottom w:w="0" w:type="dxa"/>
                    <w:right w:w="0" w:type="dxa"/>
                  </w:tcMar>
                  <w:vAlign w:val="center"/>
                </w:tcPr>
                <w:p w14:paraId="1F12D4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71.8 </w:t>
                  </w:r>
                </w:p>
              </w:tc>
              <w:tc>
                <w:tcPr>
                  <w:tcW w:w="192" w:type="pct"/>
                  <w:tcBorders>
                    <w:tl2br w:val="nil"/>
                    <w:tr2bl w:val="nil"/>
                  </w:tcBorders>
                  <w:noWrap w:val="0"/>
                  <w:tcMar>
                    <w:top w:w="0" w:type="dxa"/>
                    <w:left w:w="0" w:type="dxa"/>
                    <w:bottom w:w="0" w:type="dxa"/>
                    <w:right w:w="0" w:type="dxa"/>
                  </w:tcMar>
                  <w:vAlign w:val="center"/>
                </w:tcPr>
                <w:p w14:paraId="7220EC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63.4 </w:t>
                  </w:r>
                </w:p>
              </w:tc>
              <w:tc>
                <w:tcPr>
                  <w:tcW w:w="205" w:type="pct"/>
                  <w:tcBorders>
                    <w:tl2br w:val="nil"/>
                    <w:tr2bl w:val="nil"/>
                  </w:tcBorders>
                  <w:noWrap w:val="0"/>
                  <w:tcMar>
                    <w:top w:w="0" w:type="dxa"/>
                    <w:left w:w="0" w:type="dxa"/>
                    <w:bottom w:w="0" w:type="dxa"/>
                    <w:right w:w="0" w:type="dxa"/>
                  </w:tcMar>
                  <w:vAlign w:val="center"/>
                </w:tcPr>
                <w:p w14:paraId="003A04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68.1 </w:t>
                  </w:r>
                </w:p>
              </w:tc>
              <w:tc>
                <w:tcPr>
                  <w:tcW w:w="208" w:type="pct"/>
                  <w:tcBorders>
                    <w:tl2br w:val="nil"/>
                    <w:tr2bl w:val="nil"/>
                  </w:tcBorders>
                  <w:noWrap w:val="0"/>
                  <w:tcMar>
                    <w:top w:w="0" w:type="dxa"/>
                    <w:left w:w="0" w:type="dxa"/>
                    <w:bottom w:w="0" w:type="dxa"/>
                    <w:right w:w="0" w:type="dxa"/>
                  </w:tcMar>
                  <w:vAlign w:val="center"/>
                </w:tcPr>
                <w:p w14:paraId="3B9B93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64.8 </w:t>
                  </w:r>
                </w:p>
              </w:tc>
              <w:tc>
                <w:tcPr>
                  <w:tcW w:w="228" w:type="pct"/>
                  <w:vMerge w:val="restart"/>
                  <w:tcBorders>
                    <w:tl2br w:val="nil"/>
                    <w:tr2bl w:val="nil"/>
                  </w:tcBorders>
                  <w:noWrap w:val="0"/>
                  <w:tcMar>
                    <w:top w:w="0" w:type="dxa"/>
                    <w:left w:w="0" w:type="dxa"/>
                    <w:bottom w:w="0" w:type="dxa"/>
                    <w:right w:w="0" w:type="dxa"/>
                  </w:tcMar>
                  <w:vAlign w:val="center"/>
                </w:tcPr>
                <w:p w14:paraId="306D0E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8h</w:t>
                  </w:r>
                </w:p>
              </w:tc>
              <w:tc>
                <w:tcPr>
                  <w:tcW w:w="216" w:type="pct"/>
                  <w:vMerge w:val="restart"/>
                  <w:tcBorders>
                    <w:tl2br w:val="nil"/>
                    <w:tr2bl w:val="nil"/>
                  </w:tcBorders>
                  <w:noWrap w:val="0"/>
                  <w:tcMar>
                    <w:top w:w="0" w:type="dxa"/>
                    <w:left w:w="0" w:type="dxa"/>
                    <w:bottom w:w="0" w:type="dxa"/>
                    <w:right w:w="0" w:type="dxa"/>
                  </w:tcMar>
                  <w:vAlign w:val="center"/>
                </w:tcPr>
                <w:p w14:paraId="0FBF1D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25</w:t>
                  </w:r>
                </w:p>
              </w:tc>
              <w:tc>
                <w:tcPr>
                  <w:tcW w:w="167" w:type="pct"/>
                  <w:tcBorders>
                    <w:tl2br w:val="nil"/>
                    <w:tr2bl w:val="nil"/>
                  </w:tcBorders>
                  <w:noWrap w:val="0"/>
                  <w:tcMar>
                    <w:top w:w="0" w:type="dxa"/>
                    <w:left w:w="0" w:type="dxa"/>
                    <w:bottom w:w="0" w:type="dxa"/>
                    <w:right w:w="0" w:type="dxa"/>
                  </w:tcMar>
                  <w:vAlign w:val="center"/>
                </w:tcPr>
                <w:p w14:paraId="08A532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46.8</w:t>
                  </w:r>
                </w:p>
              </w:tc>
              <w:tc>
                <w:tcPr>
                  <w:tcW w:w="201" w:type="pct"/>
                  <w:tcBorders>
                    <w:tl2br w:val="nil"/>
                    <w:tr2bl w:val="nil"/>
                  </w:tcBorders>
                  <w:noWrap w:val="0"/>
                  <w:tcMar>
                    <w:top w:w="0" w:type="dxa"/>
                    <w:left w:w="0" w:type="dxa"/>
                    <w:bottom w:w="0" w:type="dxa"/>
                    <w:right w:w="0" w:type="dxa"/>
                  </w:tcMar>
                  <w:vAlign w:val="center"/>
                </w:tcPr>
                <w:p w14:paraId="33126E8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38.4</w:t>
                  </w:r>
                </w:p>
              </w:tc>
              <w:tc>
                <w:tcPr>
                  <w:tcW w:w="193" w:type="pct"/>
                  <w:tcBorders>
                    <w:tl2br w:val="nil"/>
                    <w:tr2bl w:val="nil"/>
                  </w:tcBorders>
                  <w:noWrap w:val="0"/>
                  <w:tcMar>
                    <w:top w:w="0" w:type="dxa"/>
                    <w:left w:w="0" w:type="dxa"/>
                    <w:bottom w:w="0" w:type="dxa"/>
                    <w:right w:w="0" w:type="dxa"/>
                  </w:tcMar>
                  <w:vAlign w:val="center"/>
                </w:tcPr>
                <w:p w14:paraId="3B9641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43.1</w:t>
                  </w:r>
                </w:p>
              </w:tc>
              <w:tc>
                <w:tcPr>
                  <w:tcW w:w="195" w:type="pct"/>
                  <w:tcBorders>
                    <w:tl2br w:val="nil"/>
                    <w:tr2bl w:val="nil"/>
                  </w:tcBorders>
                  <w:noWrap w:val="0"/>
                  <w:tcMar>
                    <w:top w:w="0" w:type="dxa"/>
                    <w:left w:w="0" w:type="dxa"/>
                    <w:bottom w:w="0" w:type="dxa"/>
                    <w:right w:w="0" w:type="dxa"/>
                  </w:tcMar>
                  <w:vAlign w:val="center"/>
                </w:tcPr>
                <w:p w14:paraId="328D28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39.8</w:t>
                  </w:r>
                </w:p>
              </w:tc>
              <w:tc>
                <w:tcPr>
                  <w:tcW w:w="202" w:type="pct"/>
                  <w:tcBorders>
                    <w:tl2br w:val="nil"/>
                    <w:tr2bl w:val="nil"/>
                  </w:tcBorders>
                  <w:noWrap w:val="0"/>
                  <w:tcMar>
                    <w:top w:w="0" w:type="dxa"/>
                    <w:left w:w="0" w:type="dxa"/>
                    <w:bottom w:w="0" w:type="dxa"/>
                    <w:right w:w="0" w:type="dxa"/>
                  </w:tcMar>
                  <w:vAlign w:val="center"/>
                </w:tcPr>
                <w:p w14:paraId="0FE2C3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6E8DC8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7D4215B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178" w:type="pct"/>
                  <w:vMerge w:val="continue"/>
                  <w:tcBorders>
                    <w:tl2br w:val="nil"/>
                    <w:tr2bl w:val="nil"/>
                  </w:tcBorders>
                  <w:noWrap w:val="0"/>
                  <w:tcMar>
                    <w:top w:w="0" w:type="dxa"/>
                    <w:left w:w="0" w:type="dxa"/>
                    <w:bottom w:w="0" w:type="dxa"/>
                    <w:right w:w="0" w:type="dxa"/>
                  </w:tcMar>
                  <w:vAlign w:val="center"/>
                </w:tcPr>
                <w:p w14:paraId="10DFEB4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437054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冲击制砂机（2台，按点声源组计算）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0EE83A1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1BF742C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83.0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2E3043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00BAF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12.0</w:t>
                  </w:r>
                </w:p>
              </w:tc>
              <w:tc>
                <w:tcPr>
                  <w:tcW w:w="219" w:type="pct"/>
                  <w:tcBorders>
                    <w:tl2br w:val="nil"/>
                    <w:tr2bl w:val="nil"/>
                  </w:tcBorders>
                  <w:noWrap w:val="0"/>
                  <w:tcMar>
                    <w:top w:w="0" w:type="dxa"/>
                    <w:left w:w="0" w:type="dxa"/>
                    <w:bottom w:w="0" w:type="dxa"/>
                    <w:right w:w="0" w:type="dxa"/>
                  </w:tcMar>
                  <w:vAlign w:val="center"/>
                </w:tcPr>
                <w:p w14:paraId="60BB19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71.5</w:t>
                  </w:r>
                </w:p>
              </w:tc>
              <w:tc>
                <w:tcPr>
                  <w:tcW w:w="176" w:type="pct"/>
                  <w:tcBorders>
                    <w:tl2br w:val="nil"/>
                    <w:tr2bl w:val="nil"/>
                  </w:tcBorders>
                  <w:noWrap w:val="0"/>
                  <w:tcMar>
                    <w:top w:w="0" w:type="dxa"/>
                    <w:left w:w="0" w:type="dxa"/>
                    <w:bottom w:w="0" w:type="dxa"/>
                    <w:right w:w="0" w:type="dxa"/>
                  </w:tcMar>
                  <w:vAlign w:val="center"/>
                </w:tcPr>
                <w:p w14:paraId="75C3057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6FC2A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7.6</w:t>
                  </w:r>
                </w:p>
              </w:tc>
              <w:tc>
                <w:tcPr>
                  <w:tcW w:w="187" w:type="pct"/>
                  <w:tcBorders>
                    <w:tl2br w:val="nil"/>
                    <w:tr2bl w:val="nil"/>
                  </w:tcBorders>
                  <w:noWrap w:val="0"/>
                  <w:tcMar>
                    <w:top w:w="0" w:type="dxa"/>
                    <w:left w:w="0" w:type="dxa"/>
                    <w:bottom w:w="0" w:type="dxa"/>
                    <w:right w:w="0" w:type="dxa"/>
                  </w:tcMar>
                  <w:vAlign w:val="center"/>
                </w:tcPr>
                <w:p w14:paraId="68F8FCE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25.6</w:t>
                  </w:r>
                </w:p>
              </w:tc>
              <w:tc>
                <w:tcPr>
                  <w:tcW w:w="205" w:type="pct"/>
                  <w:tcBorders>
                    <w:tl2br w:val="nil"/>
                    <w:tr2bl w:val="nil"/>
                  </w:tcBorders>
                  <w:shd w:val="clear" w:color="auto" w:fill="auto"/>
                  <w:noWrap w:val="0"/>
                  <w:tcMar>
                    <w:top w:w="0" w:type="dxa"/>
                    <w:left w:w="0" w:type="dxa"/>
                    <w:bottom w:w="0" w:type="dxa"/>
                    <w:right w:w="0" w:type="dxa"/>
                  </w:tcMar>
                  <w:vAlign w:val="center"/>
                </w:tcPr>
                <w:p w14:paraId="122F9A5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12.0</w:t>
                  </w:r>
                </w:p>
              </w:tc>
              <w:tc>
                <w:tcPr>
                  <w:tcW w:w="213" w:type="pct"/>
                  <w:tcBorders>
                    <w:tl2br w:val="nil"/>
                    <w:tr2bl w:val="nil"/>
                  </w:tcBorders>
                  <w:noWrap w:val="0"/>
                  <w:tcMar>
                    <w:top w:w="0" w:type="dxa"/>
                    <w:left w:w="0" w:type="dxa"/>
                    <w:bottom w:w="0" w:type="dxa"/>
                    <w:right w:w="0" w:type="dxa"/>
                  </w:tcMar>
                  <w:vAlign w:val="center"/>
                </w:tcPr>
                <w:p w14:paraId="3A90D4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15.6</w:t>
                  </w:r>
                </w:p>
              </w:tc>
              <w:tc>
                <w:tcPr>
                  <w:tcW w:w="192" w:type="pct"/>
                  <w:tcBorders>
                    <w:tl2br w:val="nil"/>
                    <w:tr2bl w:val="nil"/>
                  </w:tcBorders>
                  <w:noWrap w:val="0"/>
                  <w:tcMar>
                    <w:top w:w="0" w:type="dxa"/>
                    <w:left w:w="0" w:type="dxa"/>
                    <w:bottom w:w="0" w:type="dxa"/>
                    <w:right w:w="0" w:type="dxa"/>
                  </w:tcMar>
                  <w:vAlign w:val="center"/>
                </w:tcPr>
                <w:p w14:paraId="17323C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62.4</w:t>
                  </w:r>
                </w:p>
              </w:tc>
              <w:tc>
                <w:tcPr>
                  <w:tcW w:w="192" w:type="pct"/>
                  <w:tcBorders>
                    <w:tl2br w:val="nil"/>
                    <w:tr2bl w:val="nil"/>
                  </w:tcBorders>
                  <w:noWrap w:val="0"/>
                  <w:tcMar>
                    <w:top w:w="0" w:type="dxa"/>
                    <w:left w:w="0" w:type="dxa"/>
                    <w:bottom w:w="0" w:type="dxa"/>
                    <w:right w:w="0" w:type="dxa"/>
                  </w:tcMar>
                  <w:vAlign w:val="center"/>
                </w:tcPr>
                <w:p w14:paraId="3D86813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51.8</w:t>
                  </w:r>
                </w:p>
              </w:tc>
              <w:tc>
                <w:tcPr>
                  <w:tcW w:w="205" w:type="pct"/>
                  <w:tcBorders>
                    <w:tl2br w:val="nil"/>
                    <w:tr2bl w:val="nil"/>
                  </w:tcBorders>
                  <w:noWrap w:val="0"/>
                  <w:tcMar>
                    <w:top w:w="0" w:type="dxa"/>
                    <w:left w:w="0" w:type="dxa"/>
                    <w:bottom w:w="0" w:type="dxa"/>
                    <w:right w:w="0" w:type="dxa"/>
                  </w:tcMar>
                  <w:vAlign w:val="center"/>
                </w:tcPr>
                <w:p w14:paraId="627B3F2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58.4</w:t>
                  </w:r>
                </w:p>
              </w:tc>
              <w:tc>
                <w:tcPr>
                  <w:tcW w:w="208" w:type="pct"/>
                  <w:tcBorders>
                    <w:tl2br w:val="nil"/>
                    <w:tr2bl w:val="nil"/>
                  </w:tcBorders>
                  <w:noWrap w:val="0"/>
                  <w:tcMar>
                    <w:top w:w="0" w:type="dxa"/>
                    <w:left w:w="0" w:type="dxa"/>
                    <w:bottom w:w="0" w:type="dxa"/>
                    <w:right w:w="0" w:type="dxa"/>
                  </w:tcMar>
                  <w:vAlign w:val="center"/>
                </w:tcPr>
                <w:p w14:paraId="3B89B8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56.1</w:t>
                  </w:r>
                </w:p>
              </w:tc>
              <w:tc>
                <w:tcPr>
                  <w:tcW w:w="228" w:type="pct"/>
                  <w:vMerge w:val="continue"/>
                  <w:tcBorders>
                    <w:tl2br w:val="nil"/>
                    <w:tr2bl w:val="nil"/>
                  </w:tcBorders>
                  <w:noWrap w:val="0"/>
                  <w:tcMar>
                    <w:top w:w="0" w:type="dxa"/>
                    <w:left w:w="0" w:type="dxa"/>
                    <w:bottom w:w="0" w:type="dxa"/>
                    <w:right w:w="0" w:type="dxa"/>
                  </w:tcMar>
                  <w:vAlign w:val="center"/>
                </w:tcPr>
                <w:p w14:paraId="402BC24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6E751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2955AD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37.4</w:t>
                  </w:r>
                </w:p>
              </w:tc>
              <w:tc>
                <w:tcPr>
                  <w:tcW w:w="201" w:type="pct"/>
                  <w:tcBorders>
                    <w:tl2br w:val="nil"/>
                    <w:tr2bl w:val="nil"/>
                  </w:tcBorders>
                  <w:noWrap w:val="0"/>
                  <w:tcMar>
                    <w:top w:w="0" w:type="dxa"/>
                    <w:left w:w="0" w:type="dxa"/>
                    <w:bottom w:w="0" w:type="dxa"/>
                    <w:right w:w="0" w:type="dxa"/>
                  </w:tcMar>
                  <w:vAlign w:val="center"/>
                </w:tcPr>
                <w:p w14:paraId="09230B3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26.8</w:t>
                  </w:r>
                </w:p>
              </w:tc>
              <w:tc>
                <w:tcPr>
                  <w:tcW w:w="193" w:type="pct"/>
                  <w:tcBorders>
                    <w:tl2br w:val="nil"/>
                    <w:tr2bl w:val="nil"/>
                  </w:tcBorders>
                  <w:noWrap w:val="0"/>
                  <w:tcMar>
                    <w:top w:w="0" w:type="dxa"/>
                    <w:left w:w="0" w:type="dxa"/>
                    <w:bottom w:w="0" w:type="dxa"/>
                    <w:right w:w="0" w:type="dxa"/>
                  </w:tcMar>
                  <w:vAlign w:val="center"/>
                </w:tcPr>
                <w:p w14:paraId="2670C98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33.4</w:t>
                  </w:r>
                </w:p>
              </w:tc>
              <w:tc>
                <w:tcPr>
                  <w:tcW w:w="195" w:type="pct"/>
                  <w:tcBorders>
                    <w:tl2br w:val="nil"/>
                    <w:tr2bl w:val="nil"/>
                  </w:tcBorders>
                  <w:noWrap w:val="0"/>
                  <w:tcMar>
                    <w:top w:w="0" w:type="dxa"/>
                    <w:left w:w="0" w:type="dxa"/>
                    <w:bottom w:w="0" w:type="dxa"/>
                    <w:right w:w="0" w:type="dxa"/>
                  </w:tcMar>
                  <w:vAlign w:val="center"/>
                </w:tcPr>
                <w:p w14:paraId="6AF8D61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31.1</w:t>
                  </w:r>
                </w:p>
              </w:tc>
              <w:tc>
                <w:tcPr>
                  <w:tcW w:w="202" w:type="pct"/>
                  <w:tcBorders>
                    <w:tl2br w:val="nil"/>
                    <w:tr2bl w:val="nil"/>
                  </w:tcBorders>
                  <w:noWrap w:val="0"/>
                  <w:tcMar>
                    <w:top w:w="0" w:type="dxa"/>
                    <w:left w:w="0" w:type="dxa"/>
                    <w:bottom w:w="0" w:type="dxa"/>
                    <w:right w:w="0" w:type="dxa"/>
                  </w:tcMar>
                  <w:vAlign w:val="center"/>
                </w:tcPr>
                <w:p w14:paraId="23CCB1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377B4A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053B95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p>
              </w:tc>
              <w:tc>
                <w:tcPr>
                  <w:tcW w:w="178" w:type="pct"/>
                  <w:vMerge w:val="continue"/>
                  <w:tcBorders>
                    <w:tl2br w:val="nil"/>
                    <w:tr2bl w:val="nil"/>
                  </w:tcBorders>
                  <w:noWrap w:val="0"/>
                  <w:tcMar>
                    <w:top w:w="0" w:type="dxa"/>
                    <w:left w:w="0" w:type="dxa"/>
                    <w:bottom w:w="0" w:type="dxa"/>
                    <w:right w:w="0" w:type="dxa"/>
                  </w:tcMar>
                  <w:vAlign w:val="center"/>
                </w:tcPr>
                <w:p w14:paraId="1AAF30F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4746091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对辊机（2台，按点声源组计算）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C78E3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6C5000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83.0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248D2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E56B6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11.8</w:t>
                  </w:r>
                </w:p>
              </w:tc>
              <w:tc>
                <w:tcPr>
                  <w:tcW w:w="219" w:type="pct"/>
                  <w:tcBorders>
                    <w:tl2br w:val="nil"/>
                    <w:tr2bl w:val="nil"/>
                  </w:tcBorders>
                  <w:noWrap w:val="0"/>
                  <w:tcMar>
                    <w:top w:w="0" w:type="dxa"/>
                    <w:left w:w="0" w:type="dxa"/>
                    <w:bottom w:w="0" w:type="dxa"/>
                    <w:right w:w="0" w:type="dxa"/>
                  </w:tcMar>
                  <w:vAlign w:val="center"/>
                </w:tcPr>
                <w:p w14:paraId="1680ACD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72.6</w:t>
                  </w:r>
                </w:p>
              </w:tc>
              <w:tc>
                <w:tcPr>
                  <w:tcW w:w="176" w:type="pct"/>
                  <w:tcBorders>
                    <w:tl2br w:val="nil"/>
                    <w:tr2bl w:val="nil"/>
                  </w:tcBorders>
                  <w:noWrap w:val="0"/>
                  <w:tcMar>
                    <w:top w:w="0" w:type="dxa"/>
                    <w:left w:w="0" w:type="dxa"/>
                    <w:bottom w:w="0" w:type="dxa"/>
                    <w:right w:w="0" w:type="dxa"/>
                  </w:tcMar>
                  <w:vAlign w:val="center"/>
                </w:tcPr>
                <w:p w14:paraId="0A5F611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86AF9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7.8</w:t>
                  </w:r>
                </w:p>
              </w:tc>
              <w:tc>
                <w:tcPr>
                  <w:tcW w:w="187" w:type="pct"/>
                  <w:tcBorders>
                    <w:tl2br w:val="nil"/>
                    <w:tr2bl w:val="nil"/>
                  </w:tcBorders>
                  <w:noWrap w:val="0"/>
                  <w:tcMar>
                    <w:top w:w="0" w:type="dxa"/>
                    <w:left w:w="0" w:type="dxa"/>
                    <w:bottom w:w="0" w:type="dxa"/>
                    <w:right w:w="0" w:type="dxa"/>
                  </w:tcMar>
                  <w:vAlign w:val="center"/>
                </w:tcPr>
                <w:p w14:paraId="2BECC5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24.3</w:t>
                  </w:r>
                </w:p>
              </w:tc>
              <w:tc>
                <w:tcPr>
                  <w:tcW w:w="205" w:type="pct"/>
                  <w:tcBorders>
                    <w:tl2br w:val="nil"/>
                    <w:tr2bl w:val="nil"/>
                  </w:tcBorders>
                  <w:shd w:val="clear" w:color="auto" w:fill="auto"/>
                  <w:noWrap w:val="0"/>
                  <w:tcMar>
                    <w:top w:w="0" w:type="dxa"/>
                    <w:left w:w="0" w:type="dxa"/>
                    <w:bottom w:w="0" w:type="dxa"/>
                    <w:right w:w="0" w:type="dxa"/>
                  </w:tcMar>
                  <w:vAlign w:val="center"/>
                </w:tcPr>
                <w:p w14:paraId="7CD62AB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11.8</w:t>
                  </w:r>
                </w:p>
              </w:tc>
              <w:tc>
                <w:tcPr>
                  <w:tcW w:w="213" w:type="pct"/>
                  <w:tcBorders>
                    <w:tl2br w:val="nil"/>
                    <w:tr2bl w:val="nil"/>
                  </w:tcBorders>
                  <w:noWrap w:val="0"/>
                  <w:tcMar>
                    <w:top w:w="0" w:type="dxa"/>
                    <w:left w:w="0" w:type="dxa"/>
                    <w:bottom w:w="0" w:type="dxa"/>
                    <w:right w:w="0" w:type="dxa"/>
                  </w:tcMar>
                  <w:vAlign w:val="center"/>
                </w:tcPr>
                <w:p w14:paraId="2F364E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17.1</w:t>
                  </w:r>
                </w:p>
              </w:tc>
              <w:tc>
                <w:tcPr>
                  <w:tcW w:w="192" w:type="pct"/>
                  <w:tcBorders>
                    <w:tl2br w:val="nil"/>
                    <w:tr2bl w:val="nil"/>
                  </w:tcBorders>
                  <w:noWrap w:val="0"/>
                  <w:tcMar>
                    <w:top w:w="0" w:type="dxa"/>
                    <w:left w:w="0" w:type="dxa"/>
                    <w:bottom w:w="0" w:type="dxa"/>
                    <w:right w:w="0" w:type="dxa"/>
                  </w:tcMar>
                  <w:vAlign w:val="center"/>
                </w:tcPr>
                <w:p w14:paraId="0DB52C6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62.2</w:t>
                  </w:r>
                </w:p>
              </w:tc>
              <w:tc>
                <w:tcPr>
                  <w:tcW w:w="192" w:type="pct"/>
                  <w:tcBorders>
                    <w:tl2br w:val="nil"/>
                    <w:tr2bl w:val="nil"/>
                  </w:tcBorders>
                  <w:noWrap w:val="0"/>
                  <w:tcMar>
                    <w:top w:w="0" w:type="dxa"/>
                    <w:left w:w="0" w:type="dxa"/>
                    <w:bottom w:w="0" w:type="dxa"/>
                    <w:right w:w="0" w:type="dxa"/>
                  </w:tcMar>
                  <w:vAlign w:val="center"/>
                </w:tcPr>
                <w:p w14:paraId="5637A1C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52.3</w:t>
                  </w:r>
                </w:p>
              </w:tc>
              <w:tc>
                <w:tcPr>
                  <w:tcW w:w="205" w:type="pct"/>
                  <w:tcBorders>
                    <w:tl2br w:val="nil"/>
                    <w:tr2bl w:val="nil"/>
                  </w:tcBorders>
                  <w:noWrap w:val="0"/>
                  <w:tcMar>
                    <w:top w:w="0" w:type="dxa"/>
                    <w:left w:w="0" w:type="dxa"/>
                    <w:bottom w:w="0" w:type="dxa"/>
                    <w:right w:w="0" w:type="dxa"/>
                  </w:tcMar>
                  <w:vAlign w:val="center"/>
                </w:tcPr>
                <w:p w14:paraId="27D9D0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58.6</w:t>
                  </w:r>
                </w:p>
              </w:tc>
              <w:tc>
                <w:tcPr>
                  <w:tcW w:w="208" w:type="pct"/>
                  <w:tcBorders>
                    <w:tl2br w:val="nil"/>
                    <w:tr2bl w:val="nil"/>
                  </w:tcBorders>
                  <w:noWrap w:val="0"/>
                  <w:tcMar>
                    <w:top w:w="0" w:type="dxa"/>
                    <w:left w:w="0" w:type="dxa"/>
                    <w:bottom w:w="0" w:type="dxa"/>
                    <w:right w:w="0" w:type="dxa"/>
                  </w:tcMar>
                  <w:vAlign w:val="center"/>
                </w:tcPr>
                <w:p w14:paraId="74DE88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55.3</w:t>
                  </w:r>
                </w:p>
              </w:tc>
              <w:tc>
                <w:tcPr>
                  <w:tcW w:w="228" w:type="pct"/>
                  <w:vMerge w:val="continue"/>
                  <w:tcBorders>
                    <w:tl2br w:val="nil"/>
                    <w:tr2bl w:val="nil"/>
                  </w:tcBorders>
                  <w:noWrap w:val="0"/>
                  <w:tcMar>
                    <w:top w:w="0" w:type="dxa"/>
                    <w:left w:w="0" w:type="dxa"/>
                    <w:bottom w:w="0" w:type="dxa"/>
                    <w:right w:w="0" w:type="dxa"/>
                  </w:tcMar>
                  <w:vAlign w:val="center"/>
                </w:tcPr>
                <w:p w14:paraId="33890BE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13B61A2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11867F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37.2</w:t>
                  </w:r>
                </w:p>
              </w:tc>
              <w:tc>
                <w:tcPr>
                  <w:tcW w:w="201" w:type="pct"/>
                  <w:tcBorders>
                    <w:tl2br w:val="nil"/>
                    <w:tr2bl w:val="nil"/>
                  </w:tcBorders>
                  <w:noWrap w:val="0"/>
                  <w:tcMar>
                    <w:top w:w="0" w:type="dxa"/>
                    <w:left w:w="0" w:type="dxa"/>
                    <w:bottom w:w="0" w:type="dxa"/>
                    <w:right w:w="0" w:type="dxa"/>
                  </w:tcMar>
                  <w:vAlign w:val="center"/>
                </w:tcPr>
                <w:p w14:paraId="7C009E1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27.3</w:t>
                  </w:r>
                </w:p>
              </w:tc>
              <w:tc>
                <w:tcPr>
                  <w:tcW w:w="193" w:type="pct"/>
                  <w:tcBorders>
                    <w:tl2br w:val="nil"/>
                    <w:tr2bl w:val="nil"/>
                  </w:tcBorders>
                  <w:noWrap w:val="0"/>
                  <w:tcMar>
                    <w:top w:w="0" w:type="dxa"/>
                    <w:left w:w="0" w:type="dxa"/>
                    <w:bottom w:w="0" w:type="dxa"/>
                    <w:right w:w="0" w:type="dxa"/>
                  </w:tcMar>
                  <w:vAlign w:val="center"/>
                </w:tcPr>
                <w:p w14:paraId="67E5CE5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33.6</w:t>
                  </w:r>
                </w:p>
              </w:tc>
              <w:tc>
                <w:tcPr>
                  <w:tcW w:w="195" w:type="pct"/>
                  <w:tcBorders>
                    <w:tl2br w:val="nil"/>
                    <w:tr2bl w:val="nil"/>
                  </w:tcBorders>
                  <w:noWrap w:val="0"/>
                  <w:tcMar>
                    <w:top w:w="0" w:type="dxa"/>
                    <w:left w:w="0" w:type="dxa"/>
                    <w:bottom w:w="0" w:type="dxa"/>
                    <w:right w:w="0" w:type="dxa"/>
                  </w:tcMar>
                  <w:vAlign w:val="center"/>
                </w:tcPr>
                <w:p w14:paraId="76F5026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30.3</w:t>
                  </w:r>
                </w:p>
              </w:tc>
              <w:tc>
                <w:tcPr>
                  <w:tcW w:w="202" w:type="pct"/>
                  <w:tcBorders>
                    <w:tl2br w:val="nil"/>
                    <w:tr2bl w:val="nil"/>
                  </w:tcBorders>
                  <w:noWrap w:val="0"/>
                  <w:tcMar>
                    <w:top w:w="0" w:type="dxa"/>
                    <w:left w:w="0" w:type="dxa"/>
                    <w:bottom w:w="0" w:type="dxa"/>
                    <w:right w:w="0" w:type="dxa"/>
                  </w:tcMar>
                  <w:vAlign w:val="center"/>
                </w:tcPr>
                <w:p w14:paraId="203B40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3026F1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7D01A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w:t>
                  </w:r>
                </w:p>
              </w:tc>
              <w:tc>
                <w:tcPr>
                  <w:tcW w:w="178" w:type="pct"/>
                  <w:vMerge w:val="continue"/>
                  <w:tcBorders>
                    <w:tl2br w:val="nil"/>
                    <w:tr2bl w:val="nil"/>
                  </w:tcBorders>
                  <w:noWrap w:val="0"/>
                  <w:tcMar>
                    <w:top w:w="0" w:type="dxa"/>
                    <w:left w:w="0" w:type="dxa"/>
                    <w:bottom w:w="0" w:type="dxa"/>
                    <w:right w:w="0" w:type="dxa"/>
                  </w:tcMar>
                  <w:vAlign w:val="center"/>
                </w:tcPr>
                <w:p w14:paraId="225113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4BD2089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带筛球磨机</w:t>
                  </w:r>
                </w:p>
              </w:tc>
              <w:tc>
                <w:tcPr>
                  <w:tcW w:w="166" w:type="pct"/>
                  <w:tcBorders>
                    <w:tl2br w:val="nil"/>
                    <w:tr2bl w:val="nil"/>
                  </w:tcBorders>
                  <w:noWrap w:val="0"/>
                  <w:tcMar>
                    <w:top w:w="0" w:type="dxa"/>
                    <w:left w:w="0" w:type="dxa"/>
                    <w:bottom w:w="0" w:type="dxa"/>
                    <w:right w:w="0" w:type="dxa"/>
                  </w:tcMar>
                  <w:vAlign w:val="center"/>
                </w:tcPr>
                <w:p w14:paraId="2818C4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5753D5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sz w:val="18"/>
                      <w:szCs w:val="18"/>
                      <w:highlight w:val="none"/>
                      <w:lang w:val="en-US" w:eastAsia="zh-CN"/>
                    </w:rPr>
                    <w:t>90</w:t>
                  </w:r>
                </w:p>
              </w:tc>
              <w:tc>
                <w:tcPr>
                  <w:tcW w:w="219" w:type="pct"/>
                  <w:vMerge w:val="continue"/>
                  <w:tcBorders>
                    <w:tl2br w:val="nil"/>
                    <w:tr2bl w:val="nil"/>
                  </w:tcBorders>
                  <w:noWrap w:val="0"/>
                  <w:tcMar>
                    <w:top w:w="0" w:type="dxa"/>
                    <w:left w:w="0" w:type="dxa"/>
                    <w:bottom w:w="0" w:type="dxa"/>
                    <w:right w:w="0" w:type="dxa"/>
                  </w:tcMar>
                  <w:vAlign w:val="center"/>
                </w:tcPr>
                <w:p w14:paraId="271170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2994CE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12.3</w:t>
                  </w:r>
                </w:p>
              </w:tc>
              <w:tc>
                <w:tcPr>
                  <w:tcW w:w="219" w:type="pct"/>
                  <w:tcBorders>
                    <w:tl2br w:val="nil"/>
                    <w:tr2bl w:val="nil"/>
                  </w:tcBorders>
                  <w:noWrap w:val="0"/>
                  <w:tcMar>
                    <w:top w:w="0" w:type="dxa"/>
                    <w:left w:w="0" w:type="dxa"/>
                    <w:bottom w:w="0" w:type="dxa"/>
                    <w:right w:w="0" w:type="dxa"/>
                  </w:tcMar>
                  <w:vAlign w:val="center"/>
                </w:tcPr>
                <w:p w14:paraId="13B1A8D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73.5</w:t>
                  </w:r>
                </w:p>
              </w:tc>
              <w:tc>
                <w:tcPr>
                  <w:tcW w:w="176" w:type="pct"/>
                  <w:tcBorders>
                    <w:tl2br w:val="nil"/>
                    <w:tr2bl w:val="nil"/>
                  </w:tcBorders>
                  <w:noWrap w:val="0"/>
                  <w:tcMar>
                    <w:top w:w="0" w:type="dxa"/>
                    <w:left w:w="0" w:type="dxa"/>
                    <w:bottom w:w="0" w:type="dxa"/>
                    <w:right w:w="0" w:type="dxa"/>
                  </w:tcMar>
                  <w:vAlign w:val="center"/>
                </w:tcPr>
                <w:p w14:paraId="466EB56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43473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w:t>
                  </w:r>
                </w:p>
              </w:tc>
              <w:tc>
                <w:tcPr>
                  <w:tcW w:w="187" w:type="pct"/>
                  <w:tcBorders>
                    <w:tl2br w:val="nil"/>
                    <w:tr2bl w:val="nil"/>
                  </w:tcBorders>
                  <w:noWrap w:val="0"/>
                  <w:tcMar>
                    <w:top w:w="0" w:type="dxa"/>
                    <w:left w:w="0" w:type="dxa"/>
                    <w:bottom w:w="0" w:type="dxa"/>
                    <w:right w:w="0" w:type="dxa"/>
                  </w:tcMar>
                  <w:vAlign w:val="center"/>
                </w:tcPr>
                <w:p w14:paraId="75636C7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22.8</w:t>
                  </w:r>
                </w:p>
              </w:tc>
              <w:tc>
                <w:tcPr>
                  <w:tcW w:w="205" w:type="pct"/>
                  <w:tcBorders>
                    <w:tl2br w:val="nil"/>
                    <w:tr2bl w:val="nil"/>
                  </w:tcBorders>
                  <w:shd w:val="clear" w:color="auto" w:fill="auto"/>
                  <w:noWrap w:val="0"/>
                  <w:tcMar>
                    <w:top w:w="0" w:type="dxa"/>
                    <w:left w:w="0" w:type="dxa"/>
                    <w:bottom w:w="0" w:type="dxa"/>
                    <w:right w:w="0" w:type="dxa"/>
                  </w:tcMar>
                  <w:vAlign w:val="center"/>
                </w:tcPr>
                <w:p w14:paraId="10DD42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12.3</w:t>
                  </w:r>
                </w:p>
              </w:tc>
              <w:tc>
                <w:tcPr>
                  <w:tcW w:w="213" w:type="pct"/>
                  <w:tcBorders>
                    <w:tl2br w:val="nil"/>
                    <w:tr2bl w:val="nil"/>
                  </w:tcBorders>
                  <w:noWrap w:val="0"/>
                  <w:tcMar>
                    <w:top w:w="0" w:type="dxa"/>
                    <w:left w:w="0" w:type="dxa"/>
                    <w:bottom w:w="0" w:type="dxa"/>
                    <w:right w:w="0" w:type="dxa"/>
                  </w:tcMar>
                  <w:vAlign w:val="center"/>
                </w:tcPr>
                <w:p w14:paraId="00EA854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16.8</w:t>
                  </w:r>
                </w:p>
              </w:tc>
              <w:tc>
                <w:tcPr>
                  <w:tcW w:w="192" w:type="pct"/>
                  <w:tcBorders>
                    <w:tl2br w:val="nil"/>
                    <w:tr2bl w:val="nil"/>
                  </w:tcBorders>
                  <w:noWrap w:val="0"/>
                  <w:tcMar>
                    <w:top w:w="0" w:type="dxa"/>
                    <w:left w:w="0" w:type="dxa"/>
                    <w:bottom w:w="0" w:type="dxa"/>
                    <w:right w:w="0" w:type="dxa"/>
                  </w:tcMar>
                  <w:vAlign w:val="center"/>
                </w:tcPr>
                <w:p w14:paraId="4392AC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73.2</w:t>
                  </w:r>
                </w:p>
              </w:tc>
              <w:tc>
                <w:tcPr>
                  <w:tcW w:w="192" w:type="pct"/>
                  <w:tcBorders>
                    <w:tl2br w:val="nil"/>
                    <w:tr2bl w:val="nil"/>
                  </w:tcBorders>
                  <w:noWrap w:val="0"/>
                  <w:tcMar>
                    <w:top w:w="0" w:type="dxa"/>
                    <w:left w:w="0" w:type="dxa"/>
                    <w:bottom w:w="0" w:type="dxa"/>
                    <w:right w:w="0" w:type="dxa"/>
                  </w:tcMar>
                  <w:vAlign w:val="center"/>
                </w:tcPr>
                <w:p w14:paraId="25A204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62.8</w:t>
                  </w:r>
                </w:p>
              </w:tc>
              <w:tc>
                <w:tcPr>
                  <w:tcW w:w="205" w:type="pct"/>
                  <w:tcBorders>
                    <w:tl2br w:val="nil"/>
                    <w:tr2bl w:val="nil"/>
                  </w:tcBorders>
                  <w:noWrap w:val="0"/>
                  <w:tcMar>
                    <w:top w:w="0" w:type="dxa"/>
                    <w:left w:w="0" w:type="dxa"/>
                    <w:bottom w:w="0" w:type="dxa"/>
                    <w:right w:w="0" w:type="dxa"/>
                  </w:tcMar>
                  <w:vAlign w:val="center"/>
                </w:tcPr>
                <w:p w14:paraId="631EDFC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68.2</w:t>
                  </w:r>
                </w:p>
              </w:tc>
              <w:tc>
                <w:tcPr>
                  <w:tcW w:w="208" w:type="pct"/>
                  <w:tcBorders>
                    <w:tl2br w:val="nil"/>
                    <w:tr2bl w:val="nil"/>
                  </w:tcBorders>
                  <w:noWrap w:val="0"/>
                  <w:tcMar>
                    <w:top w:w="0" w:type="dxa"/>
                    <w:left w:w="0" w:type="dxa"/>
                    <w:bottom w:w="0" w:type="dxa"/>
                    <w:right w:w="0" w:type="dxa"/>
                  </w:tcMar>
                  <w:vAlign w:val="center"/>
                </w:tcPr>
                <w:p w14:paraId="499F8F1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65.5</w:t>
                  </w:r>
                </w:p>
              </w:tc>
              <w:tc>
                <w:tcPr>
                  <w:tcW w:w="228" w:type="pct"/>
                  <w:vMerge w:val="continue"/>
                  <w:tcBorders>
                    <w:tl2br w:val="nil"/>
                    <w:tr2bl w:val="nil"/>
                  </w:tcBorders>
                  <w:noWrap w:val="0"/>
                  <w:tcMar>
                    <w:top w:w="0" w:type="dxa"/>
                    <w:left w:w="0" w:type="dxa"/>
                    <w:bottom w:w="0" w:type="dxa"/>
                    <w:right w:w="0" w:type="dxa"/>
                  </w:tcMar>
                  <w:vAlign w:val="center"/>
                </w:tcPr>
                <w:p w14:paraId="666021A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20BFC8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82B5D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48.2</w:t>
                  </w:r>
                </w:p>
              </w:tc>
              <w:tc>
                <w:tcPr>
                  <w:tcW w:w="201" w:type="pct"/>
                  <w:tcBorders>
                    <w:tl2br w:val="nil"/>
                    <w:tr2bl w:val="nil"/>
                  </w:tcBorders>
                  <w:noWrap w:val="0"/>
                  <w:tcMar>
                    <w:top w:w="0" w:type="dxa"/>
                    <w:left w:w="0" w:type="dxa"/>
                    <w:bottom w:w="0" w:type="dxa"/>
                    <w:right w:w="0" w:type="dxa"/>
                  </w:tcMar>
                  <w:vAlign w:val="center"/>
                </w:tcPr>
                <w:p w14:paraId="20D21CB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37.8</w:t>
                  </w:r>
                </w:p>
              </w:tc>
              <w:tc>
                <w:tcPr>
                  <w:tcW w:w="193" w:type="pct"/>
                  <w:tcBorders>
                    <w:tl2br w:val="nil"/>
                    <w:tr2bl w:val="nil"/>
                  </w:tcBorders>
                  <w:noWrap w:val="0"/>
                  <w:tcMar>
                    <w:top w:w="0" w:type="dxa"/>
                    <w:left w:w="0" w:type="dxa"/>
                    <w:bottom w:w="0" w:type="dxa"/>
                    <w:right w:w="0" w:type="dxa"/>
                  </w:tcMar>
                  <w:vAlign w:val="center"/>
                </w:tcPr>
                <w:p w14:paraId="1FBF254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43.2</w:t>
                  </w:r>
                </w:p>
              </w:tc>
              <w:tc>
                <w:tcPr>
                  <w:tcW w:w="195" w:type="pct"/>
                  <w:tcBorders>
                    <w:tl2br w:val="nil"/>
                    <w:tr2bl w:val="nil"/>
                  </w:tcBorders>
                  <w:noWrap w:val="0"/>
                  <w:tcMar>
                    <w:top w:w="0" w:type="dxa"/>
                    <w:left w:w="0" w:type="dxa"/>
                    <w:bottom w:w="0" w:type="dxa"/>
                    <w:right w:w="0" w:type="dxa"/>
                  </w:tcMar>
                  <w:vAlign w:val="center"/>
                </w:tcPr>
                <w:p w14:paraId="4BEE416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40.5</w:t>
                  </w:r>
                </w:p>
              </w:tc>
              <w:tc>
                <w:tcPr>
                  <w:tcW w:w="202" w:type="pct"/>
                  <w:tcBorders>
                    <w:tl2br w:val="nil"/>
                    <w:tr2bl w:val="nil"/>
                  </w:tcBorders>
                  <w:noWrap w:val="0"/>
                  <w:tcMar>
                    <w:top w:w="0" w:type="dxa"/>
                    <w:left w:w="0" w:type="dxa"/>
                    <w:bottom w:w="0" w:type="dxa"/>
                    <w:right w:w="0" w:type="dxa"/>
                  </w:tcMar>
                  <w:vAlign w:val="center"/>
                </w:tcPr>
                <w:p w14:paraId="5870C3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6402F5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2AA7180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w:t>
                  </w:r>
                </w:p>
              </w:tc>
              <w:tc>
                <w:tcPr>
                  <w:tcW w:w="178" w:type="pct"/>
                  <w:vMerge w:val="continue"/>
                  <w:tcBorders>
                    <w:tl2br w:val="nil"/>
                    <w:tr2bl w:val="nil"/>
                  </w:tcBorders>
                  <w:noWrap w:val="0"/>
                  <w:tcMar>
                    <w:top w:w="0" w:type="dxa"/>
                    <w:left w:w="0" w:type="dxa"/>
                    <w:bottom w:w="0" w:type="dxa"/>
                    <w:right w:w="0" w:type="dxa"/>
                  </w:tcMar>
                  <w:vAlign w:val="center"/>
                </w:tcPr>
                <w:p w14:paraId="6BF0D20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0277F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磁选机（4台，按点声源组计算）</w:t>
                  </w:r>
                </w:p>
              </w:tc>
              <w:tc>
                <w:tcPr>
                  <w:tcW w:w="166" w:type="pct"/>
                  <w:tcBorders>
                    <w:tl2br w:val="nil"/>
                    <w:tr2bl w:val="nil"/>
                  </w:tcBorders>
                  <w:noWrap w:val="0"/>
                  <w:tcMar>
                    <w:top w:w="0" w:type="dxa"/>
                    <w:left w:w="0" w:type="dxa"/>
                    <w:bottom w:w="0" w:type="dxa"/>
                    <w:right w:w="0" w:type="dxa"/>
                  </w:tcMar>
                  <w:vAlign w:val="center"/>
                </w:tcPr>
                <w:p w14:paraId="6873796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1B0816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96.0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AB7D44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ACC211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13.1</w:t>
                  </w:r>
                </w:p>
              </w:tc>
              <w:tc>
                <w:tcPr>
                  <w:tcW w:w="219" w:type="pct"/>
                  <w:tcBorders>
                    <w:tl2br w:val="nil"/>
                    <w:tr2bl w:val="nil"/>
                  </w:tcBorders>
                  <w:noWrap w:val="0"/>
                  <w:tcMar>
                    <w:top w:w="0" w:type="dxa"/>
                    <w:left w:w="0" w:type="dxa"/>
                    <w:bottom w:w="0" w:type="dxa"/>
                    <w:right w:w="0" w:type="dxa"/>
                  </w:tcMar>
                  <w:vAlign w:val="center"/>
                </w:tcPr>
                <w:p w14:paraId="710F6E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71.1</w:t>
                  </w:r>
                </w:p>
              </w:tc>
              <w:tc>
                <w:tcPr>
                  <w:tcW w:w="176" w:type="pct"/>
                  <w:tcBorders>
                    <w:tl2br w:val="nil"/>
                    <w:tr2bl w:val="nil"/>
                  </w:tcBorders>
                  <w:noWrap w:val="0"/>
                  <w:tcMar>
                    <w:top w:w="0" w:type="dxa"/>
                    <w:left w:w="0" w:type="dxa"/>
                    <w:bottom w:w="0" w:type="dxa"/>
                    <w:right w:w="0" w:type="dxa"/>
                  </w:tcMar>
                  <w:vAlign w:val="center"/>
                </w:tcPr>
                <w:p w14:paraId="2704002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CDEF31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8.1</w:t>
                  </w:r>
                </w:p>
              </w:tc>
              <w:tc>
                <w:tcPr>
                  <w:tcW w:w="187" w:type="pct"/>
                  <w:tcBorders>
                    <w:tl2br w:val="nil"/>
                    <w:tr2bl w:val="nil"/>
                  </w:tcBorders>
                  <w:noWrap w:val="0"/>
                  <w:tcMar>
                    <w:top w:w="0" w:type="dxa"/>
                    <w:left w:w="0" w:type="dxa"/>
                    <w:bottom w:w="0" w:type="dxa"/>
                    <w:right w:w="0" w:type="dxa"/>
                  </w:tcMar>
                  <w:vAlign w:val="center"/>
                </w:tcPr>
                <w:p w14:paraId="42192D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23.9</w:t>
                  </w:r>
                </w:p>
              </w:tc>
              <w:tc>
                <w:tcPr>
                  <w:tcW w:w="205" w:type="pct"/>
                  <w:tcBorders>
                    <w:tl2br w:val="nil"/>
                    <w:tr2bl w:val="nil"/>
                  </w:tcBorders>
                  <w:shd w:val="clear" w:color="auto" w:fill="auto"/>
                  <w:noWrap w:val="0"/>
                  <w:tcMar>
                    <w:top w:w="0" w:type="dxa"/>
                    <w:left w:w="0" w:type="dxa"/>
                    <w:bottom w:w="0" w:type="dxa"/>
                    <w:right w:w="0" w:type="dxa"/>
                  </w:tcMar>
                  <w:vAlign w:val="center"/>
                </w:tcPr>
                <w:p w14:paraId="14546F4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13.1</w:t>
                  </w:r>
                </w:p>
              </w:tc>
              <w:tc>
                <w:tcPr>
                  <w:tcW w:w="213" w:type="pct"/>
                  <w:tcBorders>
                    <w:tl2br w:val="nil"/>
                    <w:tr2bl w:val="nil"/>
                  </w:tcBorders>
                  <w:noWrap w:val="0"/>
                  <w:tcMar>
                    <w:top w:w="0" w:type="dxa"/>
                    <w:left w:w="0" w:type="dxa"/>
                    <w:bottom w:w="0" w:type="dxa"/>
                    <w:right w:w="0" w:type="dxa"/>
                  </w:tcMar>
                  <w:vAlign w:val="center"/>
                </w:tcPr>
                <w:p w14:paraId="7A801C8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25.9</w:t>
                  </w:r>
                </w:p>
              </w:tc>
              <w:tc>
                <w:tcPr>
                  <w:tcW w:w="192" w:type="pct"/>
                  <w:tcBorders>
                    <w:tl2br w:val="nil"/>
                    <w:tr2bl w:val="nil"/>
                  </w:tcBorders>
                  <w:noWrap w:val="0"/>
                  <w:tcMar>
                    <w:top w:w="0" w:type="dxa"/>
                    <w:left w:w="0" w:type="dxa"/>
                    <w:bottom w:w="0" w:type="dxa"/>
                    <w:right w:w="0" w:type="dxa"/>
                  </w:tcMar>
                  <w:vAlign w:val="center"/>
                </w:tcPr>
                <w:p w14:paraId="1F5B62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71.8</w:t>
                  </w:r>
                </w:p>
              </w:tc>
              <w:tc>
                <w:tcPr>
                  <w:tcW w:w="192" w:type="pct"/>
                  <w:tcBorders>
                    <w:tl2br w:val="nil"/>
                    <w:tr2bl w:val="nil"/>
                  </w:tcBorders>
                  <w:noWrap w:val="0"/>
                  <w:tcMar>
                    <w:top w:w="0" w:type="dxa"/>
                    <w:left w:w="0" w:type="dxa"/>
                    <w:bottom w:w="0" w:type="dxa"/>
                    <w:right w:w="0" w:type="dxa"/>
                  </w:tcMar>
                  <w:vAlign w:val="center"/>
                </w:tcPr>
                <w:p w14:paraId="25566B6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62.4</w:t>
                  </w:r>
                </w:p>
              </w:tc>
              <w:tc>
                <w:tcPr>
                  <w:tcW w:w="205" w:type="pct"/>
                  <w:tcBorders>
                    <w:tl2br w:val="nil"/>
                    <w:tr2bl w:val="nil"/>
                  </w:tcBorders>
                  <w:noWrap w:val="0"/>
                  <w:tcMar>
                    <w:top w:w="0" w:type="dxa"/>
                    <w:left w:w="0" w:type="dxa"/>
                    <w:bottom w:w="0" w:type="dxa"/>
                    <w:right w:w="0" w:type="dxa"/>
                  </w:tcMar>
                  <w:vAlign w:val="center"/>
                </w:tcPr>
                <w:p w14:paraId="1AE212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67.7</w:t>
                  </w:r>
                </w:p>
              </w:tc>
              <w:tc>
                <w:tcPr>
                  <w:tcW w:w="208" w:type="pct"/>
                  <w:tcBorders>
                    <w:tl2br w:val="nil"/>
                    <w:tr2bl w:val="nil"/>
                  </w:tcBorders>
                  <w:noWrap w:val="0"/>
                  <w:tcMar>
                    <w:top w:w="0" w:type="dxa"/>
                    <w:left w:w="0" w:type="dxa"/>
                    <w:bottom w:w="0" w:type="dxa"/>
                    <w:right w:w="0" w:type="dxa"/>
                  </w:tcMar>
                  <w:vAlign w:val="center"/>
                </w:tcPr>
                <w:p w14:paraId="64573F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61.7</w:t>
                  </w:r>
                </w:p>
              </w:tc>
              <w:tc>
                <w:tcPr>
                  <w:tcW w:w="228" w:type="pct"/>
                  <w:vMerge w:val="continue"/>
                  <w:tcBorders>
                    <w:tl2br w:val="nil"/>
                    <w:tr2bl w:val="nil"/>
                  </w:tcBorders>
                  <w:noWrap w:val="0"/>
                  <w:tcMar>
                    <w:top w:w="0" w:type="dxa"/>
                    <w:left w:w="0" w:type="dxa"/>
                    <w:bottom w:w="0" w:type="dxa"/>
                    <w:right w:w="0" w:type="dxa"/>
                  </w:tcMar>
                  <w:vAlign w:val="center"/>
                </w:tcPr>
                <w:p w14:paraId="33B8972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5E7AC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BCBBEA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46.8</w:t>
                  </w:r>
                </w:p>
              </w:tc>
              <w:tc>
                <w:tcPr>
                  <w:tcW w:w="201" w:type="pct"/>
                  <w:tcBorders>
                    <w:tl2br w:val="nil"/>
                    <w:tr2bl w:val="nil"/>
                  </w:tcBorders>
                  <w:noWrap w:val="0"/>
                  <w:tcMar>
                    <w:top w:w="0" w:type="dxa"/>
                    <w:left w:w="0" w:type="dxa"/>
                    <w:bottom w:w="0" w:type="dxa"/>
                    <w:right w:w="0" w:type="dxa"/>
                  </w:tcMar>
                  <w:vAlign w:val="center"/>
                </w:tcPr>
                <w:p w14:paraId="3ACC1A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37.4</w:t>
                  </w:r>
                </w:p>
              </w:tc>
              <w:tc>
                <w:tcPr>
                  <w:tcW w:w="193" w:type="pct"/>
                  <w:tcBorders>
                    <w:tl2br w:val="nil"/>
                    <w:tr2bl w:val="nil"/>
                  </w:tcBorders>
                  <w:noWrap w:val="0"/>
                  <w:tcMar>
                    <w:top w:w="0" w:type="dxa"/>
                    <w:left w:w="0" w:type="dxa"/>
                    <w:bottom w:w="0" w:type="dxa"/>
                    <w:right w:w="0" w:type="dxa"/>
                  </w:tcMar>
                  <w:vAlign w:val="center"/>
                </w:tcPr>
                <w:p w14:paraId="5AB007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42.7</w:t>
                  </w:r>
                </w:p>
              </w:tc>
              <w:tc>
                <w:tcPr>
                  <w:tcW w:w="195" w:type="pct"/>
                  <w:tcBorders>
                    <w:tl2br w:val="nil"/>
                    <w:tr2bl w:val="nil"/>
                  </w:tcBorders>
                  <w:noWrap w:val="0"/>
                  <w:tcMar>
                    <w:top w:w="0" w:type="dxa"/>
                    <w:left w:w="0" w:type="dxa"/>
                    <w:bottom w:w="0" w:type="dxa"/>
                    <w:right w:w="0" w:type="dxa"/>
                  </w:tcMar>
                  <w:vAlign w:val="center"/>
                </w:tcPr>
                <w:p w14:paraId="1BF40C5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36.7</w:t>
                  </w:r>
                </w:p>
              </w:tc>
              <w:tc>
                <w:tcPr>
                  <w:tcW w:w="202" w:type="pct"/>
                  <w:tcBorders>
                    <w:tl2br w:val="nil"/>
                    <w:tr2bl w:val="nil"/>
                  </w:tcBorders>
                  <w:noWrap w:val="0"/>
                  <w:tcMar>
                    <w:top w:w="0" w:type="dxa"/>
                    <w:left w:w="0" w:type="dxa"/>
                    <w:bottom w:w="0" w:type="dxa"/>
                    <w:right w:w="0" w:type="dxa"/>
                  </w:tcMar>
                  <w:vAlign w:val="center"/>
                </w:tcPr>
                <w:p w14:paraId="71F0F8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35CBDC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DEBBA3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w:t>
                  </w:r>
                </w:p>
              </w:tc>
              <w:tc>
                <w:tcPr>
                  <w:tcW w:w="178" w:type="pct"/>
                  <w:vMerge w:val="continue"/>
                  <w:tcBorders>
                    <w:tl2br w:val="nil"/>
                    <w:tr2bl w:val="nil"/>
                  </w:tcBorders>
                  <w:noWrap w:val="0"/>
                  <w:tcMar>
                    <w:top w:w="0" w:type="dxa"/>
                    <w:left w:w="0" w:type="dxa"/>
                    <w:bottom w:w="0" w:type="dxa"/>
                    <w:right w:w="0" w:type="dxa"/>
                  </w:tcMar>
                  <w:vAlign w:val="center"/>
                </w:tcPr>
                <w:p w14:paraId="33E6C1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605E0F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提升机（7台，按点声源组计算）</w:t>
                  </w:r>
                </w:p>
              </w:tc>
              <w:tc>
                <w:tcPr>
                  <w:tcW w:w="166" w:type="pct"/>
                  <w:tcBorders>
                    <w:tl2br w:val="nil"/>
                    <w:tr2bl w:val="nil"/>
                  </w:tcBorders>
                  <w:noWrap w:val="0"/>
                  <w:tcMar>
                    <w:top w:w="0" w:type="dxa"/>
                    <w:left w:w="0" w:type="dxa"/>
                    <w:bottom w:w="0" w:type="dxa"/>
                    <w:right w:w="0" w:type="dxa"/>
                  </w:tcMar>
                  <w:vAlign w:val="center"/>
                </w:tcPr>
                <w:p w14:paraId="17759E3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7</w:t>
                  </w:r>
                </w:p>
              </w:tc>
              <w:tc>
                <w:tcPr>
                  <w:tcW w:w="344" w:type="pct"/>
                  <w:tcBorders>
                    <w:tl2br w:val="nil"/>
                    <w:tr2bl w:val="nil"/>
                  </w:tcBorders>
                  <w:noWrap w:val="0"/>
                  <w:tcMar>
                    <w:top w:w="0" w:type="dxa"/>
                    <w:left w:w="0" w:type="dxa"/>
                    <w:bottom w:w="0" w:type="dxa"/>
                    <w:right w:w="0" w:type="dxa"/>
                  </w:tcMar>
                  <w:vAlign w:val="center"/>
                </w:tcPr>
                <w:p w14:paraId="1D5927D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88.5</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74BA01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2748A9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12.2</w:t>
                  </w:r>
                </w:p>
              </w:tc>
              <w:tc>
                <w:tcPr>
                  <w:tcW w:w="219" w:type="pct"/>
                  <w:tcBorders>
                    <w:tl2br w:val="nil"/>
                    <w:tr2bl w:val="nil"/>
                  </w:tcBorders>
                  <w:noWrap w:val="0"/>
                  <w:tcMar>
                    <w:top w:w="0" w:type="dxa"/>
                    <w:left w:w="0" w:type="dxa"/>
                    <w:bottom w:w="0" w:type="dxa"/>
                    <w:right w:w="0" w:type="dxa"/>
                  </w:tcMar>
                  <w:vAlign w:val="center"/>
                </w:tcPr>
                <w:p w14:paraId="6BE2088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70.6</w:t>
                  </w:r>
                </w:p>
              </w:tc>
              <w:tc>
                <w:tcPr>
                  <w:tcW w:w="176" w:type="pct"/>
                  <w:tcBorders>
                    <w:tl2br w:val="nil"/>
                    <w:tr2bl w:val="nil"/>
                  </w:tcBorders>
                  <w:noWrap w:val="0"/>
                  <w:tcMar>
                    <w:top w:w="0" w:type="dxa"/>
                    <w:left w:w="0" w:type="dxa"/>
                    <w:bottom w:w="0" w:type="dxa"/>
                    <w:right w:w="0" w:type="dxa"/>
                  </w:tcMar>
                  <w:vAlign w:val="center"/>
                </w:tcPr>
                <w:p w14:paraId="04F7C5C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7ADF462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6.4</w:t>
                  </w:r>
                </w:p>
              </w:tc>
              <w:tc>
                <w:tcPr>
                  <w:tcW w:w="187" w:type="pct"/>
                  <w:tcBorders>
                    <w:tl2br w:val="nil"/>
                    <w:tr2bl w:val="nil"/>
                  </w:tcBorders>
                  <w:noWrap w:val="0"/>
                  <w:tcMar>
                    <w:top w:w="0" w:type="dxa"/>
                    <w:left w:w="0" w:type="dxa"/>
                    <w:bottom w:w="0" w:type="dxa"/>
                    <w:right w:w="0" w:type="dxa"/>
                  </w:tcMar>
                  <w:vAlign w:val="center"/>
                </w:tcPr>
                <w:p w14:paraId="7632D64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24.7</w:t>
                  </w:r>
                </w:p>
              </w:tc>
              <w:tc>
                <w:tcPr>
                  <w:tcW w:w="205" w:type="pct"/>
                  <w:tcBorders>
                    <w:tl2br w:val="nil"/>
                    <w:tr2bl w:val="nil"/>
                  </w:tcBorders>
                  <w:shd w:val="clear" w:color="auto" w:fill="auto"/>
                  <w:noWrap w:val="0"/>
                  <w:tcMar>
                    <w:top w:w="0" w:type="dxa"/>
                    <w:left w:w="0" w:type="dxa"/>
                    <w:bottom w:w="0" w:type="dxa"/>
                    <w:right w:w="0" w:type="dxa"/>
                  </w:tcMar>
                  <w:vAlign w:val="center"/>
                </w:tcPr>
                <w:p w14:paraId="066E04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12.2</w:t>
                  </w:r>
                </w:p>
              </w:tc>
              <w:tc>
                <w:tcPr>
                  <w:tcW w:w="213" w:type="pct"/>
                  <w:tcBorders>
                    <w:tl2br w:val="nil"/>
                    <w:tr2bl w:val="nil"/>
                  </w:tcBorders>
                  <w:noWrap w:val="0"/>
                  <w:tcMar>
                    <w:top w:w="0" w:type="dxa"/>
                    <w:left w:w="0" w:type="dxa"/>
                    <w:bottom w:w="0" w:type="dxa"/>
                    <w:right w:w="0" w:type="dxa"/>
                  </w:tcMar>
                  <w:vAlign w:val="center"/>
                </w:tcPr>
                <w:p w14:paraId="0A96765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24.9</w:t>
                  </w:r>
                </w:p>
              </w:tc>
              <w:tc>
                <w:tcPr>
                  <w:tcW w:w="192" w:type="pct"/>
                  <w:tcBorders>
                    <w:tl2br w:val="nil"/>
                    <w:tr2bl w:val="nil"/>
                  </w:tcBorders>
                  <w:noWrap w:val="0"/>
                  <w:tcMar>
                    <w:top w:w="0" w:type="dxa"/>
                    <w:left w:w="0" w:type="dxa"/>
                    <w:bottom w:w="0" w:type="dxa"/>
                    <w:right w:w="0" w:type="dxa"/>
                  </w:tcMar>
                  <w:vAlign w:val="center"/>
                </w:tcPr>
                <w:p w14:paraId="5515A71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63.9</w:t>
                  </w:r>
                </w:p>
              </w:tc>
              <w:tc>
                <w:tcPr>
                  <w:tcW w:w="192" w:type="pct"/>
                  <w:tcBorders>
                    <w:tl2br w:val="nil"/>
                    <w:tr2bl w:val="nil"/>
                  </w:tcBorders>
                  <w:noWrap w:val="0"/>
                  <w:tcMar>
                    <w:top w:w="0" w:type="dxa"/>
                    <w:left w:w="0" w:type="dxa"/>
                    <w:bottom w:w="0" w:type="dxa"/>
                    <w:right w:w="0" w:type="dxa"/>
                  </w:tcMar>
                  <w:vAlign w:val="center"/>
                </w:tcPr>
                <w:p w14:paraId="196E14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52.1</w:t>
                  </w:r>
                </w:p>
              </w:tc>
              <w:tc>
                <w:tcPr>
                  <w:tcW w:w="205" w:type="pct"/>
                  <w:tcBorders>
                    <w:tl2br w:val="nil"/>
                    <w:tr2bl w:val="nil"/>
                  </w:tcBorders>
                  <w:noWrap w:val="0"/>
                  <w:tcMar>
                    <w:top w:w="0" w:type="dxa"/>
                    <w:left w:w="0" w:type="dxa"/>
                    <w:bottom w:w="0" w:type="dxa"/>
                    <w:right w:w="0" w:type="dxa"/>
                  </w:tcMar>
                  <w:vAlign w:val="center"/>
                </w:tcPr>
                <w:p w14:paraId="53254D3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58.3</w:t>
                  </w:r>
                </w:p>
              </w:tc>
              <w:tc>
                <w:tcPr>
                  <w:tcW w:w="208" w:type="pct"/>
                  <w:tcBorders>
                    <w:tl2br w:val="nil"/>
                    <w:tr2bl w:val="nil"/>
                  </w:tcBorders>
                  <w:noWrap w:val="0"/>
                  <w:tcMar>
                    <w:top w:w="0" w:type="dxa"/>
                    <w:left w:w="0" w:type="dxa"/>
                    <w:bottom w:w="0" w:type="dxa"/>
                    <w:right w:w="0" w:type="dxa"/>
                  </w:tcMar>
                  <w:vAlign w:val="center"/>
                </w:tcPr>
                <w:p w14:paraId="1738C09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52.1</w:t>
                  </w:r>
                </w:p>
              </w:tc>
              <w:tc>
                <w:tcPr>
                  <w:tcW w:w="228" w:type="pct"/>
                  <w:vMerge w:val="continue"/>
                  <w:tcBorders>
                    <w:tl2br w:val="nil"/>
                    <w:tr2bl w:val="nil"/>
                  </w:tcBorders>
                  <w:noWrap w:val="0"/>
                  <w:tcMar>
                    <w:top w:w="0" w:type="dxa"/>
                    <w:left w:w="0" w:type="dxa"/>
                    <w:bottom w:w="0" w:type="dxa"/>
                    <w:right w:w="0" w:type="dxa"/>
                  </w:tcMar>
                  <w:vAlign w:val="center"/>
                </w:tcPr>
                <w:p w14:paraId="7958C9C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6DDE5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8D8C28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38.9</w:t>
                  </w:r>
                </w:p>
              </w:tc>
              <w:tc>
                <w:tcPr>
                  <w:tcW w:w="201" w:type="pct"/>
                  <w:tcBorders>
                    <w:tl2br w:val="nil"/>
                    <w:tr2bl w:val="nil"/>
                  </w:tcBorders>
                  <w:noWrap w:val="0"/>
                  <w:tcMar>
                    <w:top w:w="0" w:type="dxa"/>
                    <w:left w:w="0" w:type="dxa"/>
                    <w:bottom w:w="0" w:type="dxa"/>
                    <w:right w:w="0" w:type="dxa"/>
                  </w:tcMar>
                  <w:vAlign w:val="center"/>
                </w:tcPr>
                <w:p w14:paraId="27B372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27.1</w:t>
                  </w:r>
                </w:p>
              </w:tc>
              <w:tc>
                <w:tcPr>
                  <w:tcW w:w="193" w:type="pct"/>
                  <w:tcBorders>
                    <w:tl2br w:val="nil"/>
                    <w:tr2bl w:val="nil"/>
                  </w:tcBorders>
                  <w:noWrap w:val="0"/>
                  <w:tcMar>
                    <w:top w:w="0" w:type="dxa"/>
                    <w:left w:w="0" w:type="dxa"/>
                    <w:bottom w:w="0" w:type="dxa"/>
                    <w:right w:w="0" w:type="dxa"/>
                  </w:tcMar>
                  <w:vAlign w:val="center"/>
                </w:tcPr>
                <w:p w14:paraId="5D3D0C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33.3</w:t>
                  </w:r>
                </w:p>
              </w:tc>
              <w:tc>
                <w:tcPr>
                  <w:tcW w:w="195" w:type="pct"/>
                  <w:tcBorders>
                    <w:tl2br w:val="nil"/>
                    <w:tr2bl w:val="nil"/>
                  </w:tcBorders>
                  <w:noWrap w:val="0"/>
                  <w:tcMar>
                    <w:top w:w="0" w:type="dxa"/>
                    <w:left w:w="0" w:type="dxa"/>
                    <w:bottom w:w="0" w:type="dxa"/>
                    <w:right w:w="0" w:type="dxa"/>
                  </w:tcMar>
                  <w:vAlign w:val="center"/>
                </w:tcPr>
                <w:p w14:paraId="02CD54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27.1</w:t>
                  </w:r>
                </w:p>
              </w:tc>
              <w:tc>
                <w:tcPr>
                  <w:tcW w:w="202" w:type="pct"/>
                  <w:tcBorders>
                    <w:tl2br w:val="nil"/>
                    <w:tr2bl w:val="nil"/>
                  </w:tcBorders>
                  <w:noWrap w:val="0"/>
                  <w:tcMar>
                    <w:top w:w="0" w:type="dxa"/>
                    <w:left w:w="0" w:type="dxa"/>
                    <w:bottom w:w="0" w:type="dxa"/>
                    <w:right w:w="0" w:type="dxa"/>
                  </w:tcMar>
                  <w:vAlign w:val="center"/>
                </w:tcPr>
                <w:p w14:paraId="496280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0558A6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73B1B0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w:t>
                  </w:r>
                </w:p>
              </w:tc>
              <w:tc>
                <w:tcPr>
                  <w:tcW w:w="178" w:type="pct"/>
                  <w:vMerge w:val="continue"/>
                  <w:tcBorders>
                    <w:tl2br w:val="nil"/>
                    <w:tr2bl w:val="nil"/>
                  </w:tcBorders>
                  <w:noWrap w:val="0"/>
                  <w:tcMar>
                    <w:top w:w="0" w:type="dxa"/>
                    <w:left w:w="0" w:type="dxa"/>
                    <w:bottom w:w="0" w:type="dxa"/>
                    <w:right w:w="0" w:type="dxa"/>
                  </w:tcMar>
                  <w:vAlign w:val="center"/>
                </w:tcPr>
                <w:p w14:paraId="4C081E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5FC24AF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球磨机（3台，按点声源组计算）</w:t>
                  </w:r>
                </w:p>
              </w:tc>
              <w:tc>
                <w:tcPr>
                  <w:tcW w:w="166" w:type="pct"/>
                  <w:tcBorders>
                    <w:tl2br w:val="nil"/>
                    <w:tr2bl w:val="nil"/>
                  </w:tcBorders>
                  <w:noWrap w:val="0"/>
                  <w:tcMar>
                    <w:top w:w="0" w:type="dxa"/>
                    <w:left w:w="0" w:type="dxa"/>
                    <w:bottom w:w="0" w:type="dxa"/>
                    <w:right w:w="0" w:type="dxa"/>
                  </w:tcMar>
                  <w:vAlign w:val="center"/>
                </w:tcPr>
                <w:p w14:paraId="2BBAB71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248D5E3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6BB14F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C4596F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11.9</w:t>
                  </w:r>
                </w:p>
              </w:tc>
              <w:tc>
                <w:tcPr>
                  <w:tcW w:w="219" w:type="pct"/>
                  <w:tcBorders>
                    <w:tl2br w:val="nil"/>
                    <w:tr2bl w:val="nil"/>
                  </w:tcBorders>
                  <w:noWrap w:val="0"/>
                  <w:tcMar>
                    <w:top w:w="0" w:type="dxa"/>
                    <w:left w:w="0" w:type="dxa"/>
                    <w:bottom w:w="0" w:type="dxa"/>
                    <w:right w:w="0" w:type="dxa"/>
                  </w:tcMar>
                  <w:vAlign w:val="center"/>
                </w:tcPr>
                <w:p w14:paraId="321BB3E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69.8</w:t>
                  </w:r>
                </w:p>
              </w:tc>
              <w:tc>
                <w:tcPr>
                  <w:tcW w:w="176" w:type="pct"/>
                  <w:tcBorders>
                    <w:tl2br w:val="nil"/>
                    <w:tr2bl w:val="nil"/>
                  </w:tcBorders>
                  <w:noWrap w:val="0"/>
                  <w:tcMar>
                    <w:top w:w="0" w:type="dxa"/>
                    <w:left w:w="0" w:type="dxa"/>
                    <w:bottom w:w="0" w:type="dxa"/>
                    <w:right w:w="0" w:type="dxa"/>
                  </w:tcMar>
                  <w:vAlign w:val="center"/>
                </w:tcPr>
                <w:p w14:paraId="645E45E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F3C4C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w:t>
                  </w:r>
                </w:p>
              </w:tc>
              <w:tc>
                <w:tcPr>
                  <w:tcW w:w="187" w:type="pct"/>
                  <w:tcBorders>
                    <w:tl2br w:val="nil"/>
                    <w:tr2bl w:val="nil"/>
                  </w:tcBorders>
                  <w:noWrap w:val="0"/>
                  <w:tcMar>
                    <w:top w:w="0" w:type="dxa"/>
                    <w:left w:w="0" w:type="dxa"/>
                    <w:bottom w:w="0" w:type="dxa"/>
                    <w:right w:w="0" w:type="dxa"/>
                  </w:tcMar>
                  <w:vAlign w:val="center"/>
                </w:tcPr>
                <w:p w14:paraId="084572E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22.1</w:t>
                  </w:r>
                </w:p>
              </w:tc>
              <w:tc>
                <w:tcPr>
                  <w:tcW w:w="205" w:type="pct"/>
                  <w:tcBorders>
                    <w:tl2br w:val="nil"/>
                    <w:tr2bl w:val="nil"/>
                  </w:tcBorders>
                  <w:shd w:val="clear" w:color="auto" w:fill="auto"/>
                  <w:noWrap w:val="0"/>
                  <w:tcMar>
                    <w:top w:w="0" w:type="dxa"/>
                    <w:left w:w="0" w:type="dxa"/>
                    <w:bottom w:w="0" w:type="dxa"/>
                    <w:right w:w="0" w:type="dxa"/>
                  </w:tcMar>
                  <w:vAlign w:val="center"/>
                </w:tcPr>
                <w:p w14:paraId="7E32B72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11.9</w:t>
                  </w:r>
                </w:p>
              </w:tc>
              <w:tc>
                <w:tcPr>
                  <w:tcW w:w="213" w:type="pct"/>
                  <w:tcBorders>
                    <w:tl2br w:val="nil"/>
                    <w:tr2bl w:val="nil"/>
                  </w:tcBorders>
                  <w:noWrap w:val="0"/>
                  <w:tcMar>
                    <w:top w:w="0" w:type="dxa"/>
                    <w:left w:w="0" w:type="dxa"/>
                    <w:bottom w:w="0" w:type="dxa"/>
                    <w:right w:w="0" w:type="dxa"/>
                  </w:tcMar>
                  <w:vAlign w:val="center"/>
                </w:tcPr>
                <w:p w14:paraId="3D8C488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26.4</w:t>
                  </w:r>
                </w:p>
              </w:tc>
              <w:tc>
                <w:tcPr>
                  <w:tcW w:w="192" w:type="pct"/>
                  <w:tcBorders>
                    <w:tl2br w:val="nil"/>
                    <w:tr2bl w:val="nil"/>
                  </w:tcBorders>
                  <w:noWrap w:val="0"/>
                  <w:tcMar>
                    <w:top w:w="0" w:type="dxa"/>
                    <w:left w:w="0" w:type="dxa"/>
                    <w:bottom w:w="0" w:type="dxa"/>
                    <w:right w:w="0" w:type="dxa"/>
                  </w:tcMar>
                  <w:vAlign w:val="center"/>
                </w:tcPr>
                <w:p w14:paraId="4FA8069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73.3</w:t>
                  </w:r>
                </w:p>
              </w:tc>
              <w:tc>
                <w:tcPr>
                  <w:tcW w:w="192" w:type="pct"/>
                  <w:tcBorders>
                    <w:tl2br w:val="nil"/>
                    <w:tr2bl w:val="nil"/>
                  </w:tcBorders>
                  <w:noWrap w:val="0"/>
                  <w:tcMar>
                    <w:top w:w="0" w:type="dxa"/>
                    <w:left w:w="0" w:type="dxa"/>
                    <w:bottom w:w="0" w:type="dxa"/>
                    <w:right w:w="0" w:type="dxa"/>
                  </w:tcMar>
                  <w:vAlign w:val="center"/>
                </w:tcPr>
                <w:p w14:paraId="609EBC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63.1</w:t>
                  </w:r>
                </w:p>
              </w:tc>
              <w:tc>
                <w:tcPr>
                  <w:tcW w:w="205" w:type="pct"/>
                  <w:tcBorders>
                    <w:tl2br w:val="nil"/>
                    <w:tr2bl w:val="nil"/>
                  </w:tcBorders>
                  <w:noWrap w:val="0"/>
                  <w:tcMar>
                    <w:top w:w="0" w:type="dxa"/>
                    <w:left w:w="0" w:type="dxa"/>
                    <w:bottom w:w="0" w:type="dxa"/>
                    <w:right w:w="0" w:type="dxa"/>
                  </w:tcMar>
                  <w:vAlign w:val="center"/>
                </w:tcPr>
                <w:p w14:paraId="5F4BEB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68.5</w:t>
                  </w:r>
                </w:p>
              </w:tc>
              <w:tc>
                <w:tcPr>
                  <w:tcW w:w="208" w:type="pct"/>
                  <w:tcBorders>
                    <w:tl2br w:val="nil"/>
                    <w:tr2bl w:val="nil"/>
                  </w:tcBorders>
                  <w:noWrap w:val="0"/>
                  <w:tcMar>
                    <w:top w:w="0" w:type="dxa"/>
                    <w:left w:w="0" w:type="dxa"/>
                    <w:bottom w:w="0" w:type="dxa"/>
                    <w:right w:w="0" w:type="dxa"/>
                  </w:tcMar>
                  <w:vAlign w:val="center"/>
                </w:tcPr>
                <w:p w14:paraId="03859CB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61.6</w:t>
                  </w:r>
                </w:p>
              </w:tc>
              <w:tc>
                <w:tcPr>
                  <w:tcW w:w="228" w:type="pct"/>
                  <w:vMerge w:val="continue"/>
                  <w:tcBorders>
                    <w:tl2br w:val="nil"/>
                    <w:tr2bl w:val="nil"/>
                  </w:tcBorders>
                  <w:noWrap w:val="0"/>
                  <w:tcMar>
                    <w:top w:w="0" w:type="dxa"/>
                    <w:left w:w="0" w:type="dxa"/>
                    <w:bottom w:w="0" w:type="dxa"/>
                    <w:right w:w="0" w:type="dxa"/>
                  </w:tcMar>
                  <w:vAlign w:val="center"/>
                </w:tcPr>
                <w:p w14:paraId="7179CCE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1C94BD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A9FBA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48.3</w:t>
                  </w:r>
                </w:p>
              </w:tc>
              <w:tc>
                <w:tcPr>
                  <w:tcW w:w="201" w:type="pct"/>
                  <w:tcBorders>
                    <w:tl2br w:val="nil"/>
                    <w:tr2bl w:val="nil"/>
                  </w:tcBorders>
                  <w:noWrap w:val="0"/>
                  <w:tcMar>
                    <w:top w:w="0" w:type="dxa"/>
                    <w:left w:w="0" w:type="dxa"/>
                    <w:bottom w:w="0" w:type="dxa"/>
                    <w:right w:w="0" w:type="dxa"/>
                  </w:tcMar>
                  <w:vAlign w:val="center"/>
                </w:tcPr>
                <w:p w14:paraId="3C98DC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38.1</w:t>
                  </w:r>
                </w:p>
              </w:tc>
              <w:tc>
                <w:tcPr>
                  <w:tcW w:w="193" w:type="pct"/>
                  <w:tcBorders>
                    <w:tl2br w:val="nil"/>
                    <w:tr2bl w:val="nil"/>
                  </w:tcBorders>
                  <w:noWrap w:val="0"/>
                  <w:tcMar>
                    <w:top w:w="0" w:type="dxa"/>
                    <w:left w:w="0" w:type="dxa"/>
                    <w:bottom w:w="0" w:type="dxa"/>
                    <w:right w:w="0" w:type="dxa"/>
                  </w:tcMar>
                  <w:vAlign w:val="center"/>
                </w:tcPr>
                <w:p w14:paraId="020C37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43.5</w:t>
                  </w:r>
                </w:p>
              </w:tc>
              <w:tc>
                <w:tcPr>
                  <w:tcW w:w="195" w:type="pct"/>
                  <w:tcBorders>
                    <w:tl2br w:val="nil"/>
                    <w:tr2bl w:val="nil"/>
                  </w:tcBorders>
                  <w:noWrap w:val="0"/>
                  <w:tcMar>
                    <w:top w:w="0" w:type="dxa"/>
                    <w:left w:w="0" w:type="dxa"/>
                    <w:bottom w:w="0" w:type="dxa"/>
                    <w:right w:w="0" w:type="dxa"/>
                  </w:tcMar>
                  <w:vAlign w:val="center"/>
                </w:tcPr>
                <w:p w14:paraId="2962640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36.6</w:t>
                  </w:r>
                </w:p>
              </w:tc>
              <w:tc>
                <w:tcPr>
                  <w:tcW w:w="202" w:type="pct"/>
                  <w:tcBorders>
                    <w:tl2br w:val="nil"/>
                    <w:tr2bl w:val="nil"/>
                  </w:tcBorders>
                  <w:noWrap w:val="0"/>
                  <w:tcMar>
                    <w:top w:w="0" w:type="dxa"/>
                    <w:left w:w="0" w:type="dxa"/>
                    <w:bottom w:w="0" w:type="dxa"/>
                    <w:right w:w="0" w:type="dxa"/>
                  </w:tcMar>
                  <w:vAlign w:val="center"/>
                </w:tcPr>
                <w:p w14:paraId="45D2BF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3872C9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6DEFC6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8</w:t>
                  </w:r>
                </w:p>
              </w:tc>
              <w:tc>
                <w:tcPr>
                  <w:tcW w:w="178" w:type="pct"/>
                  <w:vMerge w:val="continue"/>
                  <w:tcBorders>
                    <w:tl2br w:val="nil"/>
                    <w:tr2bl w:val="nil"/>
                  </w:tcBorders>
                  <w:noWrap w:val="0"/>
                  <w:tcMar>
                    <w:top w:w="0" w:type="dxa"/>
                    <w:left w:w="0" w:type="dxa"/>
                    <w:bottom w:w="0" w:type="dxa"/>
                    <w:right w:w="0" w:type="dxa"/>
                  </w:tcMar>
                  <w:vAlign w:val="center"/>
                </w:tcPr>
                <w:p w14:paraId="4CCB13C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64D58E9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连续式球磨机（2台，按点声源组计算）</w:t>
                  </w:r>
                </w:p>
              </w:tc>
              <w:tc>
                <w:tcPr>
                  <w:tcW w:w="166" w:type="pct"/>
                  <w:tcBorders>
                    <w:tl2br w:val="nil"/>
                    <w:tr2bl w:val="nil"/>
                  </w:tcBorders>
                  <w:noWrap w:val="0"/>
                  <w:tcMar>
                    <w:top w:w="0" w:type="dxa"/>
                    <w:left w:w="0" w:type="dxa"/>
                    <w:bottom w:w="0" w:type="dxa"/>
                    <w:right w:w="0" w:type="dxa"/>
                  </w:tcMar>
                  <w:vAlign w:val="center"/>
                </w:tcPr>
                <w:p w14:paraId="32A00E2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344" w:type="pct"/>
                  <w:tcBorders>
                    <w:tl2br w:val="nil"/>
                    <w:tr2bl w:val="nil"/>
                  </w:tcBorders>
                  <w:noWrap w:val="0"/>
                  <w:tcMar>
                    <w:top w:w="0" w:type="dxa"/>
                    <w:left w:w="0" w:type="dxa"/>
                    <w:bottom w:w="0" w:type="dxa"/>
                    <w:right w:w="0" w:type="dxa"/>
                  </w:tcMar>
                  <w:vAlign w:val="center"/>
                </w:tcPr>
                <w:p w14:paraId="3BCF79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5C0784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D4C6F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10.9</w:t>
                  </w:r>
                </w:p>
              </w:tc>
              <w:tc>
                <w:tcPr>
                  <w:tcW w:w="219" w:type="pct"/>
                  <w:tcBorders>
                    <w:tl2br w:val="nil"/>
                    <w:tr2bl w:val="nil"/>
                  </w:tcBorders>
                  <w:noWrap w:val="0"/>
                  <w:tcMar>
                    <w:top w:w="0" w:type="dxa"/>
                    <w:left w:w="0" w:type="dxa"/>
                    <w:bottom w:w="0" w:type="dxa"/>
                    <w:right w:w="0" w:type="dxa"/>
                  </w:tcMar>
                  <w:vAlign w:val="center"/>
                </w:tcPr>
                <w:p w14:paraId="770E74B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65.8</w:t>
                  </w:r>
                </w:p>
              </w:tc>
              <w:tc>
                <w:tcPr>
                  <w:tcW w:w="176" w:type="pct"/>
                  <w:tcBorders>
                    <w:tl2br w:val="nil"/>
                    <w:tr2bl w:val="nil"/>
                  </w:tcBorders>
                  <w:noWrap w:val="0"/>
                  <w:tcMar>
                    <w:top w:w="0" w:type="dxa"/>
                    <w:left w:w="0" w:type="dxa"/>
                    <w:bottom w:w="0" w:type="dxa"/>
                    <w:right w:w="0" w:type="dxa"/>
                  </w:tcMar>
                  <w:vAlign w:val="center"/>
                </w:tcPr>
                <w:p w14:paraId="1402CFC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EBC6CC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6.7</w:t>
                  </w:r>
                </w:p>
              </w:tc>
              <w:tc>
                <w:tcPr>
                  <w:tcW w:w="187" w:type="pct"/>
                  <w:tcBorders>
                    <w:tl2br w:val="nil"/>
                    <w:tr2bl w:val="nil"/>
                  </w:tcBorders>
                  <w:noWrap w:val="0"/>
                  <w:tcMar>
                    <w:top w:w="0" w:type="dxa"/>
                    <w:left w:w="0" w:type="dxa"/>
                    <w:bottom w:w="0" w:type="dxa"/>
                    <w:right w:w="0" w:type="dxa"/>
                  </w:tcMar>
                  <w:vAlign w:val="center"/>
                </w:tcPr>
                <w:p w14:paraId="00093E7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20.5</w:t>
                  </w:r>
                </w:p>
              </w:tc>
              <w:tc>
                <w:tcPr>
                  <w:tcW w:w="205" w:type="pct"/>
                  <w:tcBorders>
                    <w:tl2br w:val="nil"/>
                    <w:tr2bl w:val="nil"/>
                  </w:tcBorders>
                  <w:shd w:val="clear" w:color="auto" w:fill="auto"/>
                  <w:noWrap w:val="0"/>
                  <w:tcMar>
                    <w:top w:w="0" w:type="dxa"/>
                    <w:left w:w="0" w:type="dxa"/>
                    <w:bottom w:w="0" w:type="dxa"/>
                    <w:right w:w="0" w:type="dxa"/>
                  </w:tcMar>
                  <w:vAlign w:val="center"/>
                </w:tcPr>
                <w:p w14:paraId="59A70C0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10.9</w:t>
                  </w:r>
                </w:p>
              </w:tc>
              <w:tc>
                <w:tcPr>
                  <w:tcW w:w="213" w:type="pct"/>
                  <w:tcBorders>
                    <w:tl2br w:val="nil"/>
                    <w:tr2bl w:val="nil"/>
                  </w:tcBorders>
                  <w:noWrap w:val="0"/>
                  <w:tcMar>
                    <w:top w:w="0" w:type="dxa"/>
                    <w:left w:w="0" w:type="dxa"/>
                    <w:bottom w:w="0" w:type="dxa"/>
                    <w:right w:w="0" w:type="dxa"/>
                  </w:tcMar>
                  <w:vAlign w:val="center"/>
                </w:tcPr>
                <w:p w14:paraId="0D4908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17.4</w:t>
                  </w:r>
                </w:p>
              </w:tc>
              <w:tc>
                <w:tcPr>
                  <w:tcW w:w="192" w:type="pct"/>
                  <w:tcBorders>
                    <w:tl2br w:val="nil"/>
                    <w:tr2bl w:val="nil"/>
                  </w:tcBorders>
                  <w:noWrap w:val="0"/>
                  <w:tcMar>
                    <w:top w:w="0" w:type="dxa"/>
                    <w:left w:w="0" w:type="dxa"/>
                    <w:bottom w:w="0" w:type="dxa"/>
                    <w:right w:w="0" w:type="dxa"/>
                  </w:tcMar>
                  <w:vAlign w:val="center"/>
                </w:tcPr>
                <w:p w14:paraId="4F84835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73.5</w:t>
                  </w:r>
                </w:p>
              </w:tc>
              <w:tc>
                <w:tcPr>
                  <w:tcW w:w="192" w:type="pct"/>
                  <w:tcBorders>
                    <w:tl2br w:val="nil"/>
                    <w:tr2bl w:val="nil"/>
                  </w:tcBorders>
                  <w:noWrap w:val="0"/>
                  <w:tcMar>
                    <w:top w:w="0" w:type="dxa"/>
                    <w:left w:w="0" w:type="dxa"/>
                    <w:bottom w:w="0" w:type="dxa"/>
                    <w:right w:w="0" w:type="dxa"/>
                  </w:tcMar>
                  <w:vAlign w:val="center"/>
                </w:tcPr>
                <w:p w14:paraId="798E200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63.8</w:t>
                  </w:r>
                </w:p>
              </w:tc>
              <w:tc>
                <w:tcPr>
                  <w:tcW w:w="205" w:type="pct"/>
                  <w:tcBorders>
                    <w:tl2br w:val="nil"/>
                    <w:tr2bl w:val="nil"/>
                  </w:tcBorders>
                  <w:noWrap w:val="0"/>
                  <w:tcMar>
                    <w:top w:w="0" w:type="dxa"/>
                    <w:left w:w="0" w:type="dxa"/>
                    <w:bottom w:w="0" w:type="dxa"/>
                    <w:right w:w="0" w:type="dxa"/>
                  </w:tcMar>
                  <w:vAlign w:val="center"/>
                </w:tcPr>
                <w:p w14:paraId="716813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69.3</w:t>
                  </w:r>
                </w:p>
              </w:tc>
              <w:tc>
                <w:tcPr>
                  <w:tcW w:w="208" w:type="pct"/>
                  <w:tcBorders>
                    <w:tl2br w:val="nil"/>
                    <w:tr2bl w:val="nil"/>
                  </w:tcBorders>
                  <w:noWrap w:val="0"/>
                  <w:tcMar>
                    <w:top w:w="0" w:type="dxa"/>
                    <w:left w:w="0" w:type="dxa"/>
                    <w:bottom w:w="0" w:type="dxa"/>
                    <w:right w:w="0" w:type="dxa"/>
                  </w:tcMar>
                  <w:vAlign w:val="center"/>
                </w:tcPr>
                <w:p w14:paraId="550AF9F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65.2</w:t>
                  </w:r>
                </w:p>
              </w:tc>
              <w:tc>
                <w:tcPr>
                  <w:tcW w:w="228" w:type="pct"/>
                  <w:vMerge w:val="continue"/>
                  <w:tcBorders>
                    <w:tl2br w:val="nil"/>
                    <w:tr2bl w:val="nil"/>
                  </w:tcBorders>
                  <w:noWrap w:val="0"/>
                  <w:tcMar>
                    <w:top w:w="0" w:type="dxa"/>
                    <w:left w:w="0" w:type="dxa"/>
                    <w:bottom w:w="0" w:type="dxa"/>
                    <w:right w:w="0" w:type="dxa"/>
                  </w:tcMar>
                  <w:vAlign w:val="center"/>
                </w:tcPr>
                <w:p w14:paraId="6D1DCF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B37B3B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714C3DE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48.5</w:t>
                  </w:r>
                </w:p>
              </w:tc>
              <w:tc>
                <w:tcPr>
                  <w:tcW w:w="201" w:type="pct"/>
                  <w:tcBorders>
                    <w:tl2br w:val="nil"/>
                    <w:tr2bl w:val="nil"/>
                  </w:tcBorders>
                  <w:noWrap w:val="0"/>
                  <w:tcMar>
                    <w:top w:w="0" w:type="dxa"/>
                    <w:left w:w="0" w:type="dxa"/>
                    <w:bottom w:w="0" w:type="dxa"/>
                    <w:right w:w="0" w:type="dxa"/>
                  </w:tcMar>
                  <w:vAlign w:val="center"/>
                </w:tcPr>
                <w:p w14:paraId="7C96C0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38.8</w:t>
                  </w:r>
                </w:p>
              </w:tc>
              <w:tc>
                <w:tcPr>
                  <w:tcW w:w="193" w:type="pct"/>
                  <w:tcBorders>
                    <w:tl2br w:val="nil"/>
                    <w:tr2bl w:val="nil"/>
                  </w:tcBorders>
                  <w:noWrap w:val="0"/>
                  <w:tcMar>
                    <w:top w:w="0" w:type="dxa"/>
                    <w:left w:w="0" w:type="dxa"/>
                    <w:bottom w:w="0" w:type="dxa"/>
                    <w:right w:w="0" w:type="dxa"/>
                  </w:tcMar>
                  <w:vAlign w:val="center"/>
                </w:tcPr>
                <w:p w14:paraId="65C1BEA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44.3</w:t>
                  </w:r>
                </w:p>
              </w:tc>
              <w:tc>
                <w:tcPr>
                  <w:tcW w:w="195" w:type="pct"/>
                  <w:tcBorders>
                    <w:tl2br w:val="nil"/>
                    <w:tr2bl w:val="nil"/>
                  </w:tcBorders>
                  <w:noWrap w:val="0"/>
                  <w:tcMar>
                    <w:top w:w="0" w:type="dxa"/>
                    <w:left w:w="0" w:type="dxa"/>
                    <w:bottom w:w="0" w:type="dxa"/>
                    <w:right w:w="0" w:type="dxa"/>
                  </w:tcMar>
                  <w:vAlign w:val="center"/>
                </w:tcPr>
                <w:p w14:paraId="7BAA77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40.2</w:t>
                  </w:r>
                </w:p>
              </w:tc>
              <w:tc>
                <w:tcPr>
                  <w:tcW w:w="202" w:type="pct"/>
                  <w:tcBorders>
                    <w:tl2br w:val="nil"/>
                    <w:tr2bl w:val="nil"/>
                  </w:tcBorders>
                  <w:noWrap w:val="0"/>
                  <w:tcMar>
                    <w:top w:w="0" w:type="dxa"/>
                    <w:left w:w="0" w:type="dxa"/>
                    <w:bottom w:w="0" w:type="dxa"/>
                    <w:right w:w="0" w:type="dxa"/>
                  </w:tcMar>
                  <w:vAlign w:val="center"/>
                </w:tcPr>
                <w:p w14:paraId="1EB70A9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1F83CD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5B77D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w:t>
                  </w:r>
                </w:p>
              </w:tc>
              <w:tc>
                <w:tcPr>
                  <w:tcW w:w="178" w:type="pct"/>
                  <w:vMerge w:val="continue"/>
                  <w:tcBorders>
                    <w:tl2br w:val="nil"/>
                    <w:tr2bl w:val="nil"/>
                  </w:tcBorders>
                  <w:noWrap w:val="0"/>
                  <w:tcMar>
                    <w:top w:w="0" w:type="dxa"/>
                    <w:left w:w="0" w:type="dxa"/>
                    <w:bottom w:w="0" w:type="dxa"/>
                    <w:right w:w="0" w:type="dxa"/>
                  </w:tcMar>
                  <w:vAlign w:val="center"/>
                </w:tcPr>
                <w:p w14:paraId="78F185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9B8CF1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振动筛（8台，按点声源组计算）</w:t>
                  </w:r>
                </w:p>
              </w:tc>
              <w:tc>
                <w:tcPr>
                  <w:tcW w:w="166" w:type="pct"/>
                  <w:tcBorders>
                    <w:tl2br w:val="nil"/>
                    <w:tr2bl w:val="nil"/>
                  </w:tcBorders>
                  <w:noWrap w:val="0"/>
                  <w:tcMar>
                    <w:top w:w="0" w:type="dxa"/>
                    <w:left w:w="0" w:type="dxa"/>
                    <w:bottom w:w="0" w:type="dxa"/>
                    <w:right w:w="0" w:type="dxa"/>
                  </w:tcMar>
                  <w:vAlign w:val="center"/>
                </w:tcPr>
                <w:p w14:paraId="4E96523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w:t>
                  </w:r>
                </w:p>
              </w:tc>
              <w:tc>
                <w:tcPr>
                  <w:tcW w:w="344" w:type="pct"/>
                  <w:tcBorders>
                    <w:tl2br w:val="nil"/>
                    <w:tr2bl w:val="nil"/>
                  </w:tcBorders>
                  <w:noWrap w:val="0"/>
                  <w:tcMar>
                    <w:top w:w="0" w:type="dxa"/>
                    <w:left w:w="0" w:type="dxa"/>
                    <w:bottom w:w="0" w:type="dxa"/>
                    <w:right w:w="0" w:type="dxa"/>
                  </w:tcMar>
                  <w:vAlign w:val="center"/>
                </w:tcPr>
                <w:p w14:paraId="0D89021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78544E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FF30D4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15.1</w:t>
                  </w:r>
                </w:p>
              </w:tc>
              <w:tc>
                <w:tcPr>
                  <w:tcW w:w="219" w:type="pct"/>
                  <w:tcBorders>
                    <w:tl2br w:val="nil"/>
                    <w:tr2bl w:val="nil"/>
                  </w:tcBorders>
                  <w:noWrap w:val="0"/>
                  <w:tcMar>
                    <w:top w:w="0" w:type="dxa"/>
                    <w:left w:w="0" w:type="dxa"/>
                    <w:bottom w:w="0" w:type="dxa"/>
                    <w:right w:w="0" w:type="dxa"/>
                  </w:tcMar>
                  <w:vAlign w:val="center"/>
                </w:tcPr>
                <w:p w14:paraId="6FB04E3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65.9</w:t>
                  </w:r>
                </w:p>
              </w:tc>
              <w:tc>
                <w:tcPr>
                  <w:tcW w:w="176" w:type="pct"/>
                  <w:tcBorders>
                    <w:tl2br w:val="nil"/>
                    <w:tr2bl w:val="nil"/>
                  </w:tcBorders>
                  <w:noWrap w:val="0"/>
                  <w:tcMar>
                    <w:top w:w="0" w:type="dxa"/>
                    <w:left w:w="0" w:type="dxa"/>
                    <w:bottom w:w="0" w:type="dxa"/>
                    <w:right w:w="0" w:type="dxa"/>
                  </w:tcMar>
                  <w:vAlign w:val="center"/>
                </w:tcPr>
                <w:p w14:paraId="61CF70A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6094A94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w:t>
                  </w:r>
                </w:p>
              </w:tc>
              <w:tc>
                <w:tcPr>
                  <w:tcW w:w="187" w:type="pct"/>
                  <w:tcBorders>
                    <w:tl2br w:val="nil"/>
                    <w:tr2bl w:val="nil"/>
                  </w:tcBorders>
                  <w:noWrap w:val="0"/>
                  <w:tcMar>
                    <w:top w:w="0" w:type="dxa"/>
                    <w:left w:w="0" w:type="dxa"/>
                    <w:bottom w:w="0" w:type="dxa"/>
                    <w:right w:w="0" w:type="dxa"/>
                  </w:tcMar>
                  <w:vAlign w:val="center"/>
                </w:tcPr>
                <w:p w14:paraId="10BF93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23.5</w:t>
                  </w:r>
                </w:p>
              </w:tc>
              <w:tc>
                <w:tcPr>
                  <w:tcW w:w="205" w:type="pct"/>
                  <w:tcBorders>
                    <w:tl2br w:val="nil"/>
                    <w:tr2bl w:val="nil"/>
                  </w:tcBorders>
                  <w:shd w:val="clear" w:color="auto" w:fill="auto"/>
                  <w:noWrap w:val="0"/>
                  <w:tcMar>
                    <w:top w:w="0" w:type="dxa"/>
                    <w:left w:w="0" w:type="dxa"/>
                    <w:bottom w:w="0" w:type="dxa"/>
                    <w:right w:w="0" w:type="dxa"/>
                  </w:tcMar>
                  <w:vAlign w:val="center"/>
                </w:tcPr>
                <w:p w14:paraId="6046C60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15.1</w:t>
                  </w:r>
                </w:p>
              </w:tc>
              <w:tc>
                <w:tcPr>
                  <w:tcW w:w="213" w:type="pct"/>
                  <w:tcBorders>
                    <w:tl2br w:val="nil"/>
                    <w:tr2bl w:val="nil"/>
                  </w:tcBorders>
                  <w:noWrap w:val="0"/>
                  <w:tcMar>
                    <w:top w:w="0" w:type="dxa"/>
                    <w:left w:w="0" w:type="dxa"/>
                    <w:bottom w:w="0" w:type="dxa"/>
                    <w:right w:w="0" w:type="dxa"/>
                  </w:tcMar>
                  <w:vAlign w:val="center"/>
                </w:tcPr>
                <w:p w14:paraId="0EDE2D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16.8</w:t>
                  </w:r>
                </w:p>
              </w:tc>
              <w:tc>
                <w:tcPr>
                  <w:tcW w:w="192" w:type="pct"/>
                  <w:tcBorders>
                    <w:tl2br w:val="nil"/>
                    <w:tr2bl w:val="nil"/>
                  </w:tcBorders>
                  <w:noWrap w:val="0"/>
                  <w:tcMar>
                    <w:top w:w="0" w:type="dxa"/>
                    <w:left w:w="0" w:type="dxa"/>
                    <w:bottom w:w="0" w:type="dxa"/>
                    <w:right w:w="0" w:type="dxa"/>
                  </w:tcMar>
                  <w:vAlign w:val="center"/>
                </w:tcPr>
                <w:p w14:paraId="6473079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68.2</w:t>
                  </w:r>
                </w:p>
              </w:tc>
              <w:tc>
                <w:tcPr>
                  <w:tcW w:w="192" w:type="pct"/>
                  <w:tcBorders>
                    <w:tl2br w:val="nil"/>
                    <w:tr2bl w:val="nil"/>
                  </w:tcBorders>
                  <w:noWrap w:val="0"/>
                  <w:tcMar>
                    <w:top w:w="0" w:type="dxa"/>
                    <w:left w:w="0" w:type="dxa"/>
                    <w:bottom w:w="0" w:type="dxa"/>
                    <w:right w:w="0" w:type="dxa"/>
                  </w:tcMar>
                  <w:vAlign w:val="center"/>
                </w:tcPr>
                <w:p w14:paraId="63FE5C8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57.6</w:t>
                  </w:r>
                </w:p>
              </w:tc>
              <w:tc>
                <w:tcPr>
                  <w:tcW w:w="205" w:type="pct"/>
                  <w:tcBorders>
                    <w:tl2br w:val="nil"/>
                    <w:tr2bl w:val="nil"/>
                  </w:tcBorders>
                  <w:noWrap w:val="0"/>
                  <w:tcMar>
                    <w:top w:w="0" w:type="dxa"/>
                    <w:left w:w="0" w:type="dxa"/>
                    <w:bottom w:w="0" w:type="dxa"/>
                    <w:right w:w="0" w:type="dxa"/>
                  </w:tcMar>
                  <w:vAlign w:val="center"/>
                </w:tcPr>
                <w:p w14:paraId="3EF608C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61.4</w:t>
                  </w:r>
                </w:p>
              </w:tc>
              <w:tc>
                <w:tcPr>
                  <w:tcW w:w="208" w:type="pct"/>
                  <w:tcBorders>
                    <w:tl2br w:val="nil"/>
                    <w:tr2bl w:val="nil"/>
                  </w:tcBorders>
                  <w:noWrap w:val="0"/>
                  <w:tcMar>
                    <w:top w:w="0" w:type="dxa"/>
                    <w:left w:w="0" w:type="dxa"/>
                    <w:bottom w:w="0" w:type="dxa"/>
                    <w:right w:w="0" w:type="dxa"/>
                  </w:tcMar>
                  <w:vAlign w:val="center"/>
                </w:tcPr>
                <w:p w14:paraId="19F9DB5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60.5</w:t>
                  </w:r>
                </w:p>
              </w:tc>
              <w:tc>
                <w:tcPr>
                  <w:tcW w:w="228" w:type="pct"/>
                  <w:vMerge w:val="continue"/>
                  <w:tcBorders>
                    <w:tl2br w:val="nil"/>
                    <w:tr2bl w:val="nil"/>
                  </w:tcBorders>
                  <w:noWrap w:val="0"/>
                  <w:tcMar>
                    <w:top w:w="0" w:type="dxa"/>
                    <w:left w:w="0" w:type="dxa"/>
                    <w:bottom w:w="0" w:type="dxa"/>
                    <w:right w:w="0" w:type="dxa"/>
                  </w:tcMar>
                  <w:vAlign w:val="center"/>
                </w:tcPr>
                <w:p w14:paraId="69124F7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BCE43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79FAF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43.2</w:t>
                  </w:r>
                </w:p>
              </w:tc>
              <w:tc>
                <w:tcPr>
                  <w:tcW w:w="201" w:type="pct"/>
                  <w:tcBorders>
                    <w:tl2br w:val="nil"/>
                    <w:tr2bl w:val="nil"/>
                  </w:tcBorders>
                  <w:noWrap w:val="0"/>
                  <w:tcMar>
                    <w:top w:w="0" w:type="dxa"/>
                    <w:left w:w="0" w:type="dxa"/>
                    <w:bottom w:w="0" w:type="dxa"/>
                    <w:right w:w="0" w:type="dxa"/>
                  </w:tcMar>
                  <w:vAlign w:val="center"/>
                </w:tcPr>
                <w:p w14:paraId="5A2DB9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32.6</w:t>
                  </w:r>
                </w:p>
              </w:tc>
              <w:tc>
                <w:tcPr>
                  <w:tcW w:w="193" w:type="pct"/>
                  <w:tcBorders>
                    <w:tl2br w:val="nil"/>
                    <w:tr2bl w:val="nil"/>
                  </w:tcBorders>
                  <w:noWrap w:val="0"/>
                  <w:tcMar>
                    <w:top w:w="0" w:type="dxa"/>
                    <w:left w:w="0" w:type="dxa"/>
                    <w:bottom w:w="0" w:type="dxa"/>
                    <w:right w:w="0" w:type="dxa"/>
                  </w:tcMar>
                  <w:vAlign w:val="center"/>
                </w:tcPr>
                <w:p w14:paraId="1CF242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36.4</w:t>
                  </w:r>
                </w:p>
              </w:tc>
              <w:tc>
                <w:tcPr>
                  <w:tcW w:w="195" w:type="pct"/>
                  <w:tcBorders>
                    <w:tl2br w:val="nil"/>
                    <w:tr2bl w:val="nil"/>
                  </w:tcBorders>
                  <w:noWrap w:val="0"/>
                  <w:tcMar>
                    <w:top w:w="0" w:type="dxa"/>
                    <w:left w:w="0" w:type="dxa"/>
                    <w:bottom w:w="0" w:type="dxa"/>
                    <w:right w:w="0" w:type="dxa"/>
                  </w:tcMar>
                  <w:vAlign w:val="center"/>
                </w:tcPr>
                <w:p w14:paraId="66AB99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35.5</w:t>
                  </w:r>
                </w:p>
              </w:tc>
              <w:tc>
                <w:tcPr>
                  <w:tcW w:w="202" w:type="pct"/>
                  <w:tcBorders>
                    <w:tl2br w:val="nil"/>
                    <w:tr2bl w:val="nil"/>
                  </w:tcBorders>
                  <w:noWrap w:val="0"/>
                  <w:tcMar>
                    <w:top w:w="0" w:type="dxa"/>
                    <w:left w:w="0" w:type="dxa"/>
                    <w:bottom w:w="0" w:type="dxa"/>
                    <w:right w:w="0" w:type="dxa"/>
                  </w:tcMar>
                  <w:vAlign w:val="center"/>
                </w:tcPr>
                <w:p w14:paraId="178B8AE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6EA351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BC544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w:t>
                  </w:r>
                </w:p>
              </w:tc>
              <w:tc>
                <w:tcPr>
                  <w:tcW w:w="178" w:type="pct"/>
                  <w:vMerge w:val="continue"/>
                  <w:tcBorders>
                    <w:tl2br w:val="nil"/>
                    <w:tr2bl w:val="nil"/>
                  </w:tcBorders>
                  <w:noWrap w:val="0"/>
                  <w:tcMar>
                    <w:top w:w="0" w:type="dxa"/>
                    <w:left w:w="0" w:type="dxa"/>
                    <w:bottom w:w="0" w:type="dxa"/>
                    <w:right w:w="0" w:type="dxa"/>
                  </w:tcMar>
                  <w:vAlign w:val="center"/>
                </w:tcPr>
                <w:p w14:paraId="6A862BE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E53D92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振动给料机（6台，按点声源组计算）</w:t>
                  </w:r>
                </w:p>
              </w:tc>
              <w:tc>
                <w:tcPr>
                  <w:tcW w:w="166" w:type="pct"/>
                  <w:tcBorders>
                    <w:tl2br w:val="nil"/>
                    <w:tr2bl w:val="nil"/>
                  </w:tcBorders>
                  <w:noWrap w:val="0"/>
                  <w:tcMar>
                    <w:top w:w="0" w:type="dxa"/>
                    <w:left w:w="0" w:type="dxa"/>
                    <w:bottom w:w="0" w:type="dxa"/>
                    <w:right w:w="0" w:type="dxa"/>
                  </w:tcMar>
                  <w:vAlign w:val="center"/>
                </w:tcPr>
                <w:p w14:paraId="3069FA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344" w:type="pct"/>
                  <w:tcBorders>
                    <w:tl2br w:val="nil"/>
                    <w:tr2bl w:val="nil"/>
                  </w:tcBorders>
                  <w:noWrap w:val="0"/>
                  <w:tcMar>
                    <w:top w:w="0" w:type="dxa"/>
                    <w:left w:w="0" w:type="dxa"/>
                    <w:bottom w:w="0" w:type="dxa"/>
                    <w:right w:w="0" w:type="dxa"/>
                  </w:tcMar>
                  <w:vAlign w:val="center"/>
                </w:tcPr>
                <w:p w14:paraId="6DA283D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4BAEEC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79720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12.6</w:t>
                  </w:r>
                </w:p>
              </w:tc>
              <w:tc>
                <w:tcPr>
                  <w:tcW w:w="219" w:type="pct"/>
                  <w:tcBorders>
                    <w:tl2br w:val="nil"/>
                    <w:tr2bl w:val="nil"/>
                  </w:tcBorders>
                  <w:noWrap w:val="0"/>
                  <w:tcMar>
                    <w:top w:w="0" w:type="dxa"/>
                    <w:left w:w="0" w:type="dxa"/>
                    <w:bottom w:w="0" w:type="dxa"/>
                    <w:right w:w="0" w:type="dxa"/>
                  </w:tcMar>
                  <w:vAlign w:val="center"/>
                </w:tcPr>
                <w:p w14:paraId="7B58FBD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69.4</w:t>
                  </w:r>
                </w:p>
              </w:tc>
              <w:tc>
                <w:tcPr>
                  <w:tcW w:w="176" w:type="pct"/>
                  <w:tcBorders>
                    <w:tl2br w:val="nil"/>
                    <w:tr2bl w:val="nil"/>
                  </w:tcBorders>
                  <w:noWrap w:val="0"/>
                  <w:tcMar>
                    <w:top w:w="0" w:type="dxa"/>
                    <w:left w:w="0" w:type="dxa"/>
                    <w:bottom w:w="0" w:type="dxa"/>
                    <w:right w:w="0" w:type="dxa"/>
                  </w:tcMar>
                  <w:vAlign w:val="center"/>
                </w:tcPr>
                <w:p w14:paraId="20393C0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FEB4C3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7.4</w:t>
                  </w:r>
                </w:p>
              </w:tc>
              <w:tc>
                <w:tcPr>
                  <w:tcW w:w="187" w:type="pct"/>
                  <w:tcBorders>
                    <w:tl2br w:val="nil"/>
                    <w:tr2bl w:val="nil"/>
                  </w:tcBorders>
                  <w:noWrap w:val="0"/>
                  <w:tcMar>
                    <w:top w:w="0" w:type="dxa"/>
                    <w:left w:w="0" w:type="dxa"/>
                    <w:bottom w:w="0" w:type="dxa"/>
                    <w:right w:w="0" w:type="dxa"/>
                  </w:tcMar>
                  <w:vAlign w:val="center"/>
                </w:tcPr>
                <w:p w14:paraId="6F576B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23.7</w:t>
                  </w:r>
                </w:p>
              </w:tc>
              <w:tc>
                <w:tcPr>
                  <w:tcW w:w="205" w:type="pct"/>
                  <w:tcBorders>
                    <w:tl2br w:val="nil"/>
                    <w:tr2bl w:val="nil"/>
                  </w:tcBorders>
                  <w:shd w:val="clear" w:color="auto" w:fill="auto"/>
                  <w:noWrap w:val="0"/>
                  <w:tcMar>
                    <w:top w:w="0" w:type="dxa"/>
                    <w:left w:w="0" w:type="dxa"/>
                    <w:bottom w:w="0" w:type="dxa"/>
                    <w:right w:w="0" w:type="dxa"/>
                  </w:tcMar>
                  <w:vAlign w:val="center"/>
                </w:tcPr>
                <w:p w14:paraId="474929C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12.6</w:t>
                  </w:r>
                </w:p>
              </w:tc>
              <w:tc>
                <w:tcPr>
                  <w:tcW w:w="213" w:type="pct"/>
                  <w:tcBorders>
                    <w:tl2br w:val="nil"/>
                    <w:tr2bl w:val="nil"/>
                  </w:tcBorders>
                  <w:noWrap w:val="0"/>
                  <w:tcMar>
                    <w:top w:w="0" w:type="dxa"/>
                    <w:left w:w="0" w:type="dxa"/>
                    <w:bottom w:w="0" w:type="dxa"/>
                    <w:right w:w="0" w:type="dxa"/>
                  </w:tcMar>
                  <w:vAlign w:val="center"/>
                </w:tcPr>
                <w:p w14:paraId="2652249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15.9</w:t>
                  </w:r>
                </w:p>
              </w:tc>
              <w:tc>
                <w:tcPr>
                  <w:tcW w:w="192" w:type="pct"/>
                  <w:tcBorders>
                    <w:tl2br w:val="nil"/>
                    <w:tr2bl w:val="nil"/>
                  </w:tcBorders>
                  <w:noWrap w:val="0"/>
                  <w:tcMar>
                    <w:top w:w="0" w:type="dxa"/>
                    <w:left w:w="0" w:type="dxa"/>
                    <w:bottom w:w="0" w:type="dxa"/>
                    <w:right w:w="0" w:type="dxa"/>
                  </w:tcMar>
                  <w:vAlign w:val="center"/>
                </w:tcPr>
                <w:p w14:paraId="068FF43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72.6</w:t>
                  </w:r>
                </w:p>
              </w:tc>
              <w:tc>
                <w:tcPr>
                  <w:tcW w:w="192" w:type="pct"/>
                  <w:tcBorders>
                    <w:tl2br w:val="nil"/>
                    <w:tr2bl w:val="nil"/>
                  </w:tcBorders>
                  <w:noWrap w:val="0"/>
                  <w:tcMar>
                    <w:top w:w="0" w:type="dxa"/>
                    <w:left w:w="0" w:type="dxa"/>
                    <w:bottom w:w="0" w:type="dxa"/>
                    <w:right w:w="0" w:type="dxa"/>
                  </w:tcMar>
                  <w:vAlign w:val="center"/>
                </w:tcPr>
                <w:p w14:paraId="59E32F2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62.5</w:t>
                  </w:r>
                </w:p>
              </w:tc>
              <w:tc>
                <w:tcPr>
                  <w:tcW w:w="205" w:type="pct"/>
                  <w:tcBorders>
                    <w:tl2br w:val="nil"/>
                    <w:tr2bl w:val="nil"/>
                  </w:tcBorders>
                  <w:noWrap w:val="0"/>
                  <w:tcMar>
                    <w:top w:w="0" w:type="dxa"/>
                    <w:left w:w="0" w:type="dxa"/>
                    <w:bottom w:w="0" w:type="dxa"/>
                    <w:right w:w="0" w:type="dxa"/>
                  </w:tcMar>
                  <w:vAlign w:val="center"/>
                </w:tcPr>
                <w:p w14:paraId="5C8A308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68.0</w:t>
                  </w:r>
                </w:p>
              </w:tc>
              <w:tc>
                <w:tcPr>
                  <w:tcW w:w="208" w:type="pct"/>
                  <w:tcBorders>
                    <w:tl2br w:val="nil"/>
                    <w:tr2bl w:val="nil"/>
                  </w:tcBorders>
                  <w:noWrap w:val="0"/>
                  <w:tcMar>
                    <w:top w:w="0" w:type="dxa"/>
                    <w:left w:w="0" w:type="dxa"/>
                    <w:bottom w:w="0" w:type="dxa"/>
                    <w:right w:w="0" w:type="dxa"/>
                  </w:tcMar>
                  <w:vAlign w:val="center"/>
                </w:tcPr>
                <w:p w14:paraId="1808F7A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66.0</w:t>
                  </w:r>
                </w:p>
              </w:tc>
              <w:tc>
                <w:tcPr>
                  <w:tcW w:w="228" w:type="pct"/>
                  <w:vMerge w:val="continue"/>
                  <w:tcBorders>
                    <w:tl2br w:val="nil"/>
                    <w:tr2bl w:val="nil"/>
                  </w:tcBorders>
                  <w:noWrap w:val="0"/>
                  <w:tcMar>
                    <w:top w:w="0" w:type="dxa"/>
                    <w:left w:w="0" w:type="dxa"/>
                    <w:bottom w:w="0" w:type="dxa"/>
                    <w:right w:w="0" w:type="dxa"/>
                  </w:tcMar>
                  <w:vAlign w:val="center"/>
                </w:tcPr>
                <w:p w14:paraId="185E6CC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F991FF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6874BF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47.6</w:t>
                  </w:r>
                </w:p>
              </w:tc>
              <w:tc>
                <w:tcPr>
                  <w:tcW w:w="201" w:type="pct"/>
                  <w:tcBorders>
                    <w:tl2br w:val="nil"/>
                    <w:tr2bl w:val="nil"/>
                  </w:tcBorders>
                  <w:noWrap w:val="0"/>
                  <w:tcMar>
                    <w:top w:w="0" w:type="dxa"/>
                    <w:left w:w="0" w:type="dxa"/>
                    <w:bottom w:w="0" w:type="dxa"/>
                    <w:right w:w="0" w:type="dxa"/>
                  </w:tcMar>
                  <w:vAlign w:val="center"/>
                </w:tcPr>
                <w:p w14:paraId="6FE79E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37.5</w:t>
                  </w:r>
                </w:p>
              </w:tc>
              <w:tc>
                <w:tcPr>
                  <w:tcW w:w="193" w:type="pct"/>
                  <w:tcBorders>
                    <w:tl2br w:val="nil"/>
                    <w:tr2bl w:val="nil"/>
                  </w:tcBorders>
                  <w:noWrap w:val="0"/>
                  <w:tcMar>
                    <w:top w:w="0" w:type="dxa"/>
                    <w:left w:w="0" w:type="dxa"/>
                    <w:bottom w:w="0" w:type="dxa"/>
                    <w:right w:w="0" w:type="dxa"/>
                  </w:tcMar>
                  <w:vAlign w:val="center"/>
                </w:tcPr>
                <w:p w14:paraId="6DDCA5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43.0</w:t>
                  </w:r>
                </w:p>
              </w:tc>
              <w:tc>
                <w:tcPr>
                  <w:tcW w:w="195" w:type="pct"/>
                  <w:tcBorders>
                    <w:tl2br w:val="nil"/>
                    <w:tr2bl w:val="nil"/>
                  </w:tcBorders>
                  <w:noWrap w:val="0"/>
                  <w:tcMar>
                    <w:top w:w="0" w:type="dxa"/>
                    <w:left w:w="0" w:type="dxa"/>
                    <w:bottom w:w="0" w:type="dxa"/>
                    <w:right w:w="0" w:type="dxa"/>
                  </w:tcMar>
                  <w:vAlign w:val="center"/>
                </w:tcPr>
                <w:p w14:paraId="262D25C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41.0</w:t>
                  </w:r>
                </w:p>
              </w:tc>
              <w:tc>
                <w:tcPr>
                  <w:tcW w:w="202" w:type="pct"/>
                  <w:tcBorders>
                    <w:tl2br w:val="nil"/>
                    <w:tr2bl w:val="nil"/>
                  </w:tcBorders>
                  <w:noWrap w:val="0"/>
                  <w:tcMar>
                    <w:top w:w="0" w:type="dxa"/>
                    <w:left w:w="0" w:type="dxa"/>
                    <w:bottom w:w="0" w:type="dxa"/>
                    <w:right w:w="0" w:type="dxa"/>
                  </w:tcMar>
                  <w:vAlign w:val="center"/>
                </w:tcPr>
                <w:p w14:paraId="4670FE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5258AF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D5EAD6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11</w:t>
                  </w:r>
                </w:p>
              </w:tc>
              <w:tc>
                <w:tcPr>
                  <w:tcW w:w="178" w:type="pct"/>
                  <w:vMerge w:val="continue"/>
                  <w:tcBorders>
                    <w:tl2br w:val="nil"/>
                    <w:tr2bl w:val="nil"/>
                  </w:tcBorders>
                  <w:noWrap w:val="0"/>
                  <w:tcMar>
                    <w:top w:w="0" w:type="dxa"/>
                    <w:left w:w="0" w:type="dxa"/>
                    <w:bottom w:w="0" w:type="dxa"/>
                    <w:right w:w="0" w:type="dxa"/>
                  </w:tcMar>
                  <w:vAlign w:val="center"/>
                </w:tcPr>
                <w:p w14:paraId="18FF03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515DC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料仓（4台，按点声源组计算）</w:t>
                  </w:r>
                </w:p>
              </w:tc>
              <w:tc>
                <w:tcPr>
                  <w:tcW w:w="166" w:type="pct"/>
                  <w:tcBorders>
                    <w:tl2br w:val="nil"/>
                    <w:tr2bl w:val="nil"/>
                  </w:tcBorders>
                  <w:noWrap w:val="0"/>
                  <w:tcMar>
                    <w:top w:w="0" w:type="dxa"/>
                    <w:left w:w="0" w:type="dxa"/>
                    <w:bottom w:w="0" w:type="dxa"/>
                    <w:right w:w="0" w:type="dxa"/>
                  </w:tcMar>
                  <w:vAlign w:val="center"/>
                </w:tcPr>
                <w:p w14:paraId="2AF1A57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c>
                <w:tcPr>
                  <w:tcW w:w="344" w:type="pct"/>
                  <w:tcBorders>
                    <w:tl2br w:val="nil"/>
                    <w:tr2bl w:val="nil"/>
                  </w:tcBorders>
                  <w:noWrap w:val="0"/>
                  <w:tcMar>
                    <w:top w:w="0" w:type="dxa"/>
                    <w:left w:w="0" w:type="dxa"/>
                    <w:bottom w:w="0" w:type="dxa"/>
                    <w:right w:w="0" w:type="dxa"/>
                  </w:tcMar>
                  <w:vAlign w:val="center"/>
                </w:tcPr>
                <w:p w14:paraId="7EEC48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81.0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388BA8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130824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12.9</w:t>
                  </w:r>
                </w:p>
              </w:tc>
              <w:tc>
                <w:tcPr>
                  <w:tcW w:w="219" w:type="pct"/>
                  <w:tcBorders>
                    <w:tl2br w:val="nil"/>
                    <w:tr2bl w:val="nil"/>
                  </w:tcBorders>
                  <w:noWrap w:val="0"/>
                  <w:tcMar>
                    <w:top w:w="0" w:type="dxa"/>
                    <w:left w:w="0" w:type="dxa"/>
                    <w:bottom w:w="0" w:type="dxa"/>
                    <w:right w:w="0" w:type="dxa"/>
                  </w:tcMar>
                  <w:vAlign w:val="center"/>
                </w:tcPr>
                <w:p w14:paraId="0649391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68.8</w:t>
                  </w:r>
                </w:p>
              </w:tc>
              <w:tc>
                <w:tcPr>
                  <w:tcW w:w="176" w:type="pct"/>
                  <w:tcBorders>
                    <w:tl2br w:val="nil"/>
                    <w:tr2bl w:val="nil"/>
                  </w:tcBorders>
                  <w:noWrap w:val="0"/>
                  <w:tcMar>
                    <w:top w:w="0" w:type="dxa"/>
                    <w:left w:w="0" w:type="dxa"/>
                    <w:bottom w:w="0" w:type="dxa"/>
                    <w:right w:w="0" w:type="dxa"/>
                  </w:tcMar>
                  <w:vAlign w:val="center"/>
                </w:tcPr>
                <w:p w14:paraId="3DBDF0E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18C39C7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7.4</w:t>
                  </w:r>
                </w:p>
              </w:tc>
              <w:tc>
                <w:tcPr>
                  <w:tcW w:w="187" w:type="pct"/>
                  <w:tcBorders>
                    <w:tl2br w:val="nil"/>
                    <w:tr2bl w:val="nil"/>
                  </w:tcBorders>
                  <w:noWrap w:val="0"/>
                  <w:tcMar>
                    <w:top w:w="0" w:type="dxa"/>
                    <w:left w:w="0" w:type="dxa"/>
                    <w:bottom w:w="0" w:type="dxa"/>
                    <w:right w:w="0" w:type="dxa"/>
                  </w:tcMar>
                  <w:vAlign w:val="center"/>
                </w:tcPr>
                <w:p w14:paraId="4B84CE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21.9</w:t>
                  </w:r>
                </w:p>
              </w:tc>
              <w:tc>
                <w:tcPr>
                  <w:tcW w:w="205" w:type="pct"/>
                  <w:tcBorders>
                    <w:tl2br w:val="nil"/>
                    <w:tr2bl w:val="nil"/>
                  </w:tcBorders>
                  <w:shd w:val="clear" w:color="auto" w:fill="auto"/>
                  <w:noWrap w:val="0"/>
                  <w:tcMar>
                    <w:top w:w="0" w:type="dxa"/>
                    <w:left w:w="0" w:type="dxa"/>
                    <w:bottom w:w="0" w:type="dxa"/>
                    <w:right w:w="0" w:type="dxa"/>
                  </w:tcMar>
                  <w:vAlign w:val="center"/>
                </w:tcPr>
                <w:p w14:paraId="6CB4FF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12.9</w:t>
                  </w:r>
                </w:p>
              </w:tc>
              <w:tc>
                <w:tcPr>
                  <w:tcW w:w="213" w:type="pct"/>
                  <w:tcBorders>
                    <w:tl2br w:val="nil"/>
                    <w:tr2bl w:val="nil"/>
                  </w:tcBorders>
                  <w:noWrap w:val="0"/>
                  <w:tcMar>
                    <w:top w:w="0" w:type="dxa"/>
                    <w:left w:w="0" w:type="dxa"/>
                    <w:bottom w:w="0" w:type="dxa"/>
                    <w:right w:w="0" w:type="dxa"/>
                  </w:tcMar>
                  <w:vAlign w:val="center"/>
                </w:tcPr>
                <w:p w14:paraId="405271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18.9</w:t>
                  </w:r>
                </w:p>
              </w:tc>
              <w:tc>
                <w:tcPr>
                  <w:tcW w:w="192" w:type="pct"/>
                  <w:tcBorders>
                    <w:tl2br w:val="nil"/>
                    <w:tr2bl w:val="nil"/>
                  </w:tcBorders>
                  <w:noWrap w:val="0"/>
                  <w:tcMar>
                    <w:top w:w="0" w:type="dxa"/>
                    <w:left w:w="0" w:type="dxa"/>
                    <w:bottom w:w="0" w:type="dxa"/>
                    <w:right w:w="0" w:type="dxa"/>
                  </w:tcMar>
                  <w:vAlign w:val="center"/>
                </w:tcPr>
                <w:p w14:paraId="03DC0B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57.6</w:t>
                  </w:r>
                </w:p>
              </w:tc>
              <w:tc>
                <w:tcPr>
                  <w:tcW w:w="192" w:type="pct"/>
                  <w:tcBorders>
                    <w:tl2br w:val="nil"/>
                    <w:tr2bl w:val="nil"/>
                  </w:tcBorders>
                  <w:noWrap w:val="0"/>
                  <w:tcMar>
                    <w:top w:w="0" w:type="dxa"/>
                    <w:left w:w="0" w:type="dxa"/>
                    <w:bottom w:w="0" w:type="dxa"/>
                    <w:right w:w="0" w:type="dxa"/>
                  </w:tcMar>
                  <w:vAlign w:val="center"/>
                </w:tcPr>
                <w:p w14:paraId="609A05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48.2</w:t>
                  </w:r>
                </w:p>
              </w:tc>
              <w:tc>
                <w:tcPr>
                  <w:tcW w:w="205" w:type="pct"/>
                  <w:tcBorders>
                    <w:tl2br w:val="nil"/>
                    <w:tr2bl w:val="nil"/>
                  </w:tcBorders>
                  <w:noWrap w:val="0"/>
                  <w:tcMar>
                    <w:top w:w="0" w:type="dxa"/>
                    <w:left w:w="0" w:type="dxa"/>
                    <w:bottom w:w="0" w:type="dxa"/>
                    <w:right w:w="0" w:type="dxa"/>
                  </w:tcMar>
                  <w:vAlign w:val="center"/>
                </w:tcPr>
                <w:p w14:paraId="484BA1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52.8</w:t>
                  </w:r>
                </w:p>
              </w:tc>
              <w:tc>
                <w:tcPr>
                  <w:tcW w:w="208" w:type="pct"/>
                  <w:tcBorders>
                    <w:tl2br w:val="nil"/>
                    <w:tr2bl w:val="nil"/>
                  </w:tcBorders>
                  <w:noWrap w:val="0"/>
                  <w:tcMar>
                    <w:top w:w="0" w:type="dxa"/>
                    <w:left w:w="0" w:type="dxa"/>
                    <w:bottom w:w="0" w:type="dxa"/>
                    <w:right w:w="0" w:type="dxa"/>
                  </w:tcMar>
                  <w:vAlign w:val="center"/>
                </w:tcPr>
                <w:p w14:paraId="6B95F7F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49.5</w:t>
                  </w:r>
                </w:p>
              </w:tc>
              <w:tc>
                <w:tcPr>
                  <w:tcW w:w="228" w:type="pct"/>
                  <w:vMerge w:val="continue"/>
                  <w:tcBorders>
                    <w:tl2br w:val="nil"/>
                    <w:tr2bl w:val="nil"/>
                  </w:tcBorders>
                  <w:noWrap w:val="0"/>
                  <w:tcMar>
                    <w:top w:w="0" w:type="dxa"/>
                    <w:left w:w="0" w:type="dxa"/>
                    <w:bottom w:w="0" w:type="dxa"/>
                    <w:right w:w="0" w:type="dxa"/>
                  </w:tcMar>
                  <w:vAlign w:val="center"/>
                </w:tcPr>
                <w:p w14:paraId="27F760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2ED543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1BA0D1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32.6</w:t>
                  </w:r>
                </w:p>
              </w:tc>
              <w:tc>
                <w:tcPr>
                  <w:tcW w:w="201" w:type="pct"/>
                  <w:tcBorders>
                    <w:tl2br w:val="nil"/>
                    <w:tr2bl w:val="nil"/>
                  </w:tcBorders>
                  <w:noWrap w:val="0"/>
                  <w:tcMar>
                    <w:top w:w="0" w:type="dxa"/>
                    <w:left w:w="0" w:type="dxa"/>
                    <w:bottom w:w="0" w:type="dxa"/>
                    <w:right w:w="0" w:type="dxa"/>
                  </w:tcMar>
                  <w:vAlign w:val="center"/>
                </w:tcPr>
                <w:p w14:paraId="4A3CFE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23.2</w:t>
                  </w:r>
                </w:p>
              </w:tc>
              <w:tc>
                <w:tcPr>
                  <w:tcW w:w="193" w:type="pct"/>
                  <w:tcBorders>
                    <w:tl2br w:val="nil"/>
                    <w:tr2bl w:val="nil"/>
                  </w:tcBorders>
                  <w:noWrap w:val="0"/>
                  <w:tcMar>
                    <w:top w:w="0" w:type="dxa"/>
                    <w:left w:w="0" w:type="dxa"/>
                    <w:bottom w:w="0" w:type="dxa"/>
                    <w:right w:w="0" w:type="dxa"/>
                  </w:tcMar>
                  <w:vAlign w:val="center"/>
                </w:tcPr>
                <w:p w14:paraId="7F1E1D6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27.8</w:t>
                  </w:r>
                </w:p>
              </w:tc>
              <w:tc>
                <w:tcPr>
                  <w:tcW w:w="195" w:type="pct"/>
                  <w:tcBorders>
                    <w:tl2br w:val="nil"/>
                    <w:tr2bl w:val="nil"/>
                  </w:tcBorders>
                  <w:noWrap w:val="0"/>
                  <w:tcMar>
                    <w:top w:w="0" w:type="dxa"/>
                    <w:left w:w="0" w:type="dxa"/>
                    <w:bottom w:w="0" w:type="dxa"/>
                    <w:right w:w="0" w:type="dxa"/>
                  </w:tcMar>
                  <w:vAlign w:val="center"/>
                </w:tcPr>
                <w:p w14:paraId="423DB7D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24.5</w:t>
                  </w:r>
                </w:p>
              </w:tc>
              <w:tc>
                <w:tcPr>
                  <w:tcW w:w="202" w:type="pct"/>
                  <w:tcBorders>
                    <w:tl2br w:val="nil"/>
                    <w:tr2bl w:val="nil"/>
                  </w:tcBorders>
                  <w:noWrap w:val="0"/>
                  <w:tcMar>
                    <w:top w:w="0" w:type="dxa"/>
                    <w:left w:w="0" w:type="dxa"/>
                    <w:bottom w:w="0" w:type="dxa"/>
                    <w:right w:w="0" w:type="dxa"/>
                  </w:tcMar>
                  <w:vAlign w:val="center"/>
                </w:tcPr>
                <w:p w14:paraId="142E8B9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247A42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8E1421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12</w:t>
                  </w:r>
                </w:p>
              </w:tc>
              <w:tc>
                <w:tcPr>
                  <w:tcW w:w="178" w:type="pct"/>
                  <w:vMerge w:val="continue"/>
                  <w:tcBorders>
                    <w:tl2br w:val="nil"/>
                    <w:tr2bl w:val="nil"/>
                  </w:tcBorders>
                  <w:noWrap w:val="0"/>
                  <w:tcMar>
                    <w:top w:w="0" w:type="dxa"/>
                    <w:left w:w="0" w:type="dxa"/>
                    <w:bottom w:w="0" w:type="dxa"/>
                    <w:right w:w="0" w:type="dxa"/>
                  </w:tcMar>
                  <w:vAlign w:val="center"/>
                </w:tcPr>
                <w:p w14:paraId="1694D52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5575B43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精细分级设备（4台，按点声源组计算）</w:t>
                  </w:r>
                </w:p>
              </w:tc>
              <w:tc>
                <w:tcPr>
                  <w:tcW w:w="166" w:type="pct"/>
                  <w:tcBorders>
                    <w:tl2br w:val="nil"/>
                    <w:tr2bl w:val="nil"/>
                  </w:tcBorders>
                  <w:noWrap w:val="0"/>
                  <w:tcMar>
                    <w:top w:w="0" w:type="dxa"/>
                    <w:left w:w="0" w:type="dxa"/>
                    <w:bottom w:w="0" w:type="dxa"/>
                    <w:right w:w="0" w:type="dxa"/>
                  </w:tcMar>
                  <w:vAlign w:val="center"/>
                </w:tcPr>
                <w:p w14:paraId="2034D06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c>
                <w:tcPr>
                  <w:tcW w:w="344" w:type="pct"/>
                  <w:tcBorders>
                    <w:tl2br w:val="nil"/>
                    <w:tr2bl w:val="nil"/>
                  </w:tcBorders>
                  <w:noWrap w:val="0"/>
                  <w:tcMar>
                    <w:top w:w="0" w:type="dxa"/>
                    <w:left w:w="0" w:type="dxa"/>
                    <w:bottom w:w="0" w:type="dxa"/>
                    <w:right w:w="0" w:type="dxa"/>
                  </w:tcMar>
                  <w:vAlign w:val="center"/>
                </w:tcPr>
                <w:p w14:paraId="64187C4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91.0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D42DE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CA8DA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13.0</w:t>
                  </w:r>
                </w:p>
              </w:tc>
              <w:tc>
                <w:tcPr>
                  <w:tcW w:w="219" w:type="pct"/>
                  <w:tcBorders>
                    <w:tl2br w:val="nil"/>
                    <w:tr2bl w:val="nil"/>
                  </w:tcBorders>
                  <w:noWrap w:val="0"/>
                  <w:tcMar>
                    <w:top w:w="0" w:type="dxa"/>
                    <w:left w:w="0" w:type="dxa"/>
                    <w:bottom w:w="0" w:type="dxa"/>
                    <w:right w:w="0" w:type="dxa"/>
                  </w:tcMar>
                  <w:vAlign w:val="center"/>
                </w:tcPr>
                <w:p w14:paraId="5F70269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67.4</w:t>
                  </w:r>
                </w:p>
              </w:tc>
              <w:tc>
                <w:tcPr>
                  <w:tcW w:w="176" w:type="pct"/>
                  <w:tcBorders>
                    <w:tl2br w:val="nil"/>
                    <w:tr2bl w:val="nil"/>
                  </w:tcBorders>
                  <w:noWrap w:val="0"/>
                  <w:tcMar>
                    <w:top w:w="0" w:type="dxa"/>
                    <w:left w:w="0" w:type="dxa"/>
                    <w:bottom w:w="0" w:type="dxa"/>
                    <w:right w:w="0" w:type="dxa"/>
                  </w:tcMar>
                  <w:vAlign w:val="center"/>
                </w:tcPr>
                <w:p w14:paraId="47B8245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2CCD0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7.6</w:t>
                  </w:r>
                </w:p>
              </w:tc>
              <w:tc>
                <w:tcPr>
                  <w:tcW w:w="187" w:type="pct"/>
                  <w:tcBorders>
                    <w:tl2br w:val="nil"/>
                    <w:tr2bl w:val="nil"/>
                  </w:tcBorders>
                  <w:noWrap w:val="0"/>
                  <w:tcMar>
                    <w:top w:w="0" w:type="dxa"/>
                    <w:left w:w="0" w:type="dxa"/>
                    <w:bottom w:w="0" w:type="dxa"/>
                    <w:right w:w="0" w:type="dxa"/>
                  </w:tcMar>
                  <w:vAlign w:val="center"/>
                </w:tcPr>
                <w:p w14:paraId="68359A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20.9</w:t>
                  </w:r>
                </w:p>
              </w:tc>
              <w:tc>
                <w:tcPr>
                  <w:tcW w:w="205" w:type="pct"/>
                  <w:tcBorders>
                    <w:tl2br w:val="nil"/>
                    <w:tr2bl w:val="nil"/>
                  </w:tcBorders>
                  <w:shd w:val="clear" w:color="auto" w:fill="auto"/>
                  <w:noWrap w:val="0"/>
                  <w:tcMar>
                    <w:top w:w="0" w:type="dxa"/>
                    <w:left w:w="0" w:type="dxa"/>
                    <w:bottom w:w="0" w:type="dxa"/>
                    <w:right w:w="0" w:type="dxa"/>
                  </w:tcMar>
                  <w:vAlign w:val="center"/>
                </w:tcPr>
                <w:p w14:paraId="1CF4347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13.0</w:t>
                  </w:r>
                </w:p>
              </w:tc>
              <w:tc>
                <w:tcPr>
                  <w:tcW w:w="213" w:type="pct"/>
                  <w:tcBorders>
                    <w:tl2br w:val="nil"/>
                    <w:tr2bl w:val="nil"/>
                  </w:tcBorders>
                  <w:noWrap w:val="0"/>
                  <w:tcMar>
                    <w:top w:w="0" w:type="dxa"/>
                    <w:left w:w="0" w:type="dxa"/>
                    <w:bottom w:w="0" w:type="dxa"/>
                    <w:right w:w="0" w:type="dxa"/>
                  </w:tcMar>
                  <w:vAlign w:val="center"/>
                </w:tcPr>
                <w:p w14:paraId="30E93A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17.1</w:t>
                  </w:r>
                </w:p>
              </w:tc>
              <w:tc>
                <w:tcPr>
                  <w:tcW w:w="192" w:type="pct"/>
                  <w:tcBorders>
                    <w:tl2br w:val="nil"/>
                    <w:tr2bl w:val="nil"/>
                  </w:tcBorders>
                  <w:noWrap w:val="0"/>
                  <w:tcMar>
                    <w:top w:w="0" w:type="dxa"/>
                    <w:left w:w="0" w:type="dxa"/>
                    <w:bottom w:w="0" w:type="dxa"/>
                    <w:right w:w="0" w:type="dxa"/>
                  </w:tcMar>
                  <w:vAlign w:val="center"/>
                </w:tcPr>
                <w:p w14:paraId="5C5DA48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67.4</w:t>
                  </w:r>
                </w:p>
              </w:tc>
              <w:tc>
                <w:tcPr>
                  <w:tcW w:w="192" w:type="pct"/>
                  <w:tcBorders>
                    <w:tl2br w:val="nil"/>
                    <w:tr2bl w:val="nil"/>
                  </w:tcBorders>
                  <w:noWrap w:val="0"/>
                  <w:tcMar>
                    <w:top w:w="0" w:type="dxa"/>
                    <w:left w:w="0" w:type="dxa"/>
                    <w:bottom w:w="0" w:type="dxa"/>
                    <w:right w:w="0" w:type="dxa"/>
                  </w:tcMar>
                  <w:vAlign w:val="center"/>
                </w:tcPr>
                <w:p w14:paraId="4BD664A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58.6</w:t>
                  </w:r>
                </w:p>
              </w:tc>
              <w:tc>
                <w:tcPr>
                  <w:tcW w:w="205" w:type="pct"/>
                  <w:tcBorders>
                    <w:tl2br w:val="nil"/>
                    <w:tr2bl w:val="nil"/>
                  </w:tcBorders>
                  <w:noWrap w:val="0"/>
                  <w:tcMar>
                    <w:top w:w="0" w:type="dxa"/>
                    <w:left w:w="0" w:type="dxa"/>
                    <w:bottom w:w="0" w:type="dxa"/>
                    <w:right w:w="0" w:type="dxa"/>
                  </w:tcMar>
                  <w:vAlign w:val="center"/>
                </w:tcPr>
                <w:p w14:paraId="76B548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62.7</w:t>
                  </w:r>
                </w:p>
              </w:tc>
              <w:tc>
                <w:tcPr>
                  <w:tcW w:w="208" w:type="pct"/>
                  <w:tcBorders>
                    <w:tl2br w:val="nil"/>
                    <w:tr2bl w:val="nil"/>
                  </w:tcBorders>
                  <w:noWrap w:val="0"/>
                  <w:tcMar>
                    <w:top w:w="0" w:type="dxa"/>
                    <w:left w:w="0" w:type="dxa"/>
                    <w:bottom w:w="0" w:type="dxa"/>
                    <w:right w:w="0" w:type="dxa"/>
                  </w:tcMar>
                  <w:vAlign w:val="center"/>
                </w:tcPr>
                <w:p w14:paraId="16B2C0F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60.3</w:t>
                  </w:r>
                </w:p>
              </w:tc>
              <w:tc>
                <w:tcPr>
                  <w:tcW w:w="228" w:type="pct"/>
                  <w:vMerge w:val="continue"/>
                  <w:tcBorders>
                    <w:tl2br w:val="nil"/>
                    <w:tr2bl w:val="nil"/>
                  </w:tcBorders>
                  <w:noWrap w:val="0"/>
                  <w:tcMar>
                    <w:top w:w="0" w:type="dxa"/>
                    <w:left w:w="0" w:type="dxa"/>
                    <w:bottom w:w="0" w:type="dxa"/>
                    <w:right w:w="0" w:type="dxa"/>
                  </w:tcMar>
                  <w:vAlign w:val="center"/>
                </w:tcPr>
                <w:p w14:paraId="68AC85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6C67B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AB07E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42.4</w:t>
                  </w:r>
                </w:p>
              </w:tc>
              <w:tc>
                <w:tcPr>
                  <w:tcW w:w="201" w:type="pct"/>
                  <w:tcBorders>
                    <w:tl2br w:val="nil"/>
                    <w:tr2bl w:val="nil"/>
                  </w:tcBorders>
                  <w:noWrap w:val="0"/>
                  <w:tcMar>
                    <w:top w:w="0" w:type="dxa"/>
                    <w:left w:w="0" w:type="dxa"/>
                    <w:bottom w:w="0" w:type="dxa"/>
                    <w:right w:w="0" w:type="dxa"/>
                  </w:tcMar>
                  <w:vAlign w:val="center"/>
                </w:tcPr>
                <w:p w14:paraId="284F2E5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33.6</w:t>
                  </w:r>
                </w:p>
              </w:tc>
              <w:tc>
                <w:tcPr>
                  <w:tcW w:w="193" w:type="pct"/>
                  <w:tcBorders>
                    <w:tl2br w:val="nil"/>
                    <w:tr2bl w:val="nil"/>
                  </w:tcBorders>
                  <w:noWrap w:val="0"/>
                  <w:tcMar>
                    <w:top w:w="0" w:type="dxa"/>
                    <w:left w:w="0" w:type="dxa"/>
                    <w:bottom w:w="0" w:type="dxa"/>
                    <w:right w:w="0" w:type="dxa"/>
                  </w:tcMar>
                  <w:vAlign w:val="center"/>
                </w:tcPr>
                <w:p w14:paraId="371AD8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37.7</w:t>
                  </w:r>
                </w:p>
              </w:tc>
              <w:tc>
                <w:tcPr>
                  <w:tcW w:w="195" w:type="pct"/>
                  <w:tcBorders>
                    <w:tl2br w:val="nil"/>
                    <w:tr2bl w:val="nil"/>
                  </w:tcBorders>
                  <w:noWrap w:val="0"/>
                  <w:tcMar>
                    <w:top w:w="0" w:type="dxa"/>
                    <w:left w:w="0" w:type="dxa"/>
                    <w:bottom w:w="0" w:type="dxa"/>
                    <w:right w:w="0" w:type="dxa"/>
                  </w:tcMar>
                  <w:vAlign w:val="center"/>
                </w:tcPr>
                <w:p w14:paraId="6EA5F3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35.3</w:t>
                  </w:r>
                </w:p>
              </w:tc>
              <w:tc>
                <w:tcPr>
                  <w:tcW w:w="202" w:type="pct"/>
                  <w:tcBorders>
                    <w:tl2br w:val="nil"/>
                    <w:tr2bl w:val="nil"/>
                  </w:tcBorders>
                  <w:noWrap w:val="0"/>
                  <w:tcMar>
                    <w:top w:w="0" w:type="dxa"/>
                    <w:left w:w="0" w:type="dxa"/>
                    <w:bottom w:w="0" w:type="dxa"/>
                    <w:right w:w="0" w:type="dxa"/>
                  </w:tcMar>
                  <w:vAlign w:val="center"/>
                </w:tcPr>
                <w:p w14:paraId="597B29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2A786F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12271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w:t>
                  </w:r>
                </w:p>
              </w:tc>
              <w:tc>
                <w:tcPr>
                  <w:tcW w:w="178" w:type="pct"/>
                  <w:vMerge w:val="continue"/>
                  <w:tcBorders>
                    <w:tl2br w:val="nil"/>
                    <w:tr2bl w:val="nil"/>
                  </w:tcBorders>
                  <w:noWrap w:val="0"/>
                  <w:tcMar>
                    <w:top w:w="0" w:type="dxa"/>
                    <w:left w:w="0" w:type="dxa"/>
                    <w:bottom w:w="0" w:type="dxa"/>
                    <w:right w:w="0" w:type="dxa"/>
                  </w:tcMar>
                  <w:vAlign w:val="center"/>
                </w:tcPr>
                <w:p w14:paraId="3E3082A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C5F8AD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定量包装机</w:t>
                  </w:r>
                </w:p>
              </w:tc>
              <w:tc>
                <w:tcPr>
                  <w:tcW w:w="166" w:type="pct"/>
                  <w:tcBorders>
                    <w:tl2br w:val="nil"/>
                    <w:tr2bl w:val="nil"/>
                  </w:tcBorders>
                  <w:shd w:val="clear" w:color="auto" w:fill="auto"/>
                  <w:noWrap w:val="0"/>
                  <w:tcMar>
                    <w:top w:w="0" w:type="dxa"/>
                    <w:left w:w="0" w:type="dxa"/>
                    <w:bottom w:w="0" w:type="dxa"/>
                    <w:right w:w="0" w:type="dxa"/>
                  </w:tcMar>
                  <w:vAlign w:val="center"/>
                </w:tcPr>
                <w:p w14:paraId="0A504A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345DC2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p>
              </w:tc>
              <w:tc>
                <w:tcPr>
                  <w:tcW w:w="219" w:type="pct"/>
                  <w:vMerge w:val="continue"/>
                  <w:tcBorders>
                    <w:tl2br w:val="nil"/>
                    <w:tr2bl w:val="nil"/>
                  </w:tcBorders>
                  <w:noWrap w:val="0"/>
                  <w:tcMar>
                    <w:top w:w="0" w:type="dxa"/>
                    <w:left w:w="0" w:type="dxa"/>
                    <w:bottom w:w="0" w:type="dxa"/>
                    <w:right w:w="0" w:type="dxa"/>
                  </w:tcMar>
                  <w:vAlign w:val="center"/>
                </w:tcPr>
                <w:p w14:paraId="5662D21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00B52F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12.4</w:t>
                  </w:r>
                </w:p>
              </w:tc>
              <w:tc>
                <w:tcPr>
                  <w:tcW w:w="219" w:type="pct"/>
                  <w:tcBorders>
                    <w:tl2br w:val="nil"/>
                    <w:tr2bl w:val="nil"/>
                  </w:tcBorders>
                  <w:noWrap w:val="0"/>
                  <w:tcMar>
                    <w:top w:w="0" w:type="dxa"/>
                    <w:left w:w="0" w:type="dxa"/>
                    <w:bottom w:w="0" w:type="dxa"/>
                    <w:right w:w="0" w:type="dxa"/>
                  </w:tcMar>
                  <w:vAlign w:val="center"/>
                </w:tcPr>
                <w:p w14:paraId="7642870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66.8</w:t>
                  </w:r>
                </w:p>
              </w:tc>
              <w:tc>
                <w:tcPr>
                  <w:tcW w:w="176" w:type="pct"/>
                  <w:tcBorders>
                    <w:tl2br w:val="nil"/>
                    <w:tr2bl w:val="nil"/>
                  </w:tcBorders>
                  <w:noWrap w:val="0"/>
                  <w:tcMar>
                    <w:top w:w="0" w:type="dxa"/>
                    <w:left w:w="0" w:type="dxa"/>
                    <w:bottom w:w="0" w:type="dxa"/>
                    <w:right w:w="0" w:type="dxa"/>
                  </w:tcMar>
                  <w:vAlign w:val="center"/>
                </w:tcPr>
                <w:p w14:paraId="69738C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11905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7.9</w:t>
                  </w:r>
                </w:p>
              </w:tc>
              <w:tc>
                <w:tcPr>
                  <w:tcW w:w="187" w:type="pct"/>
                  <w:tcBorders>
                    <w:tl2br w:val="nil"/>
                    <w:tr2bl w:val="nil"/>
                  </w:tcBorders>
                  <w:noWrap w:val="0"/>
                  <w:tcMar>
                    <w:top w:w="0" w:type="dxa"/>
                    <w:left w:w="0" w:type="dxa"/>
                    <w:bottom w:w="0" w:type="dxa"/>
                    <w:right w:w="0" w:type="dxa"/>
                  </w:tcMar>
                  <w:vAlign w:val="center"/>
                </w:tcPr>
                <w:p w14:paraId="3970FB0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21.7</w:t>
                  </w:r>
                </w:p>
              </w:tc>
              <w:tc>
                <w:tcPr>
                  <w:tcW w:w="205" w:type="pct"/>
                  <w:tcBorders>
                    <w:tl2br w:val="nil"/>
                    <w:tr2bl w:val="nil"/>
                  </w:tcBorders>
                  <w:shd w:val="clear" w:color="auto" w:fill="auto"/>
                  <w:noWrap w:val="0"/>
                  <w:tcMar>
                    <w:top w:w="0" w:type="dxa"/>
                    <w:left w:w="0" w:type="dxa"/>
                    <w:bottom w:w="0" w:type="dxa"/>
                    <w:right w:w="0" w:type="dxa"/>
                  </w:tcMar>
                  <w:vAlign w:val="center"/>
                </w:tcPr>
                <w:p w14:paraId="5C1D38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12.4</w:t>
                  </w:r>
                </w:p>
              </w:tc>
              <w:tc>
                <w:tcPr>
                  <w:tcW w:w="213" w:type="pct"/>
                  <w:tcBorders>
                    <w:tl2br w:val="nil"/>
                    <w:tr2bl w:val="nil"/>
                  </w:tcBorders>
                  <w:noWrap w:val="0"/>
                  <w:tcMar>
                    <w:top w:w="0" w:type="dxa"/>
                    <w:left w:w="0" w:type="dxa"/>
                    <w:bottom w:w="0" w:type="dxa"/>
                    <w:right w:w="0" w:type="dxa"/>
                  </w:tcMar>
                  <w:vAlign w:val="center"/>
                </w:tcPr>
                <w:p w14:paraId="213A3E3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18.0</w:t>
                  </w:r>
                </w:p>
              </w:tc>
              <w:tc>
                <w:tcPr>
                  <w:tcW w:w="192" w:type="pct"/>
                  <w:tcBorders>
                    <w:tl2br w:val="nil"/>
                    <w:tr2bl w:val="nil"/>
                  </w:tcBorders>
                  <w:noWrap w:val="0"/>
                  <w:tcMar>
                    <w:top w:w="0" w:type="dxa"/>
                    <w:left w:w="0" w:type="dxa"/>
                    <w:bottom w:w="0" w:type="dxa"/>
                    <w:right w:w="0" w:type="dxa"/>
                  </w:tcMar>
                  <w:vAlign w:val="center"/>
                </w:tcPr>
                <w:p w14:paraId="772EB3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57.0</w:t>
                  </w:r>
                </w:p>
              </w:tc>
              <w:tc>
                <w:tcPr>
                  <w:tcW w:w="192" w:type="pct"/>
                  <w:tcBorders>
                    <w:tl2br w:val="nil"/>
                    <w:tr2bl w:val="nil"/>
                  </w:tcBorders>
                  <w:noWrap w:val="0"/>
                  <w:tcMar>
                    <w:top w:w="0" w:type="dxa"/>
                    <w:left w:w="0" w:type="dxa"/>
                    <w:bottom w:w="0" w:type="dxa"/>
                    <w:right w:w="0" w:type="dxa"/>
                  </w:tcMar>
                  <w:vAlign w:val="center"/>
                </w:tcPr>
                <w:p w14:paraId="3635A84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48.3</w:t>
                  </w:r>
                </w:p>
              </w:tc>
              <w:tc>
                <w:tcPr>
                  <w:tcW w:w="205" w:type="pct"/>
                  <w:tcBorders>
                    <w:tl2br w:val="nil"/>
                    <w:tr2bl w:val="nil"/>
                  </w:tcBorders>
                  <w:noWrap w:val="0"/>
                  <w:tcMar>
                    <w:top w:w="0" w:type="dxa"/>
                    <w:left w:w="0" w:type="dxa"/>
                    <w:bottom w:w="0" w:type="dxa"/>
                    <w:right w:w="0" w:type="dxa"/>
                  </w:tcMar>
                  <w:vAlign w:val="center"/>
                </w:tcPr>
                <w:p w14:paraId="425BACB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53.1</w:t>
                  </w:r>
                </w:p>
              </w:tc>
              <w:tc>
                <w:tcPr>
                  <w:tcW w:w="208" w:type="pct"/>
                  <w:tcBorders>
                    <w:tl2br w:val="nil"/>
                    <w:tr2bl w:val="nil"/>
                  </w:tcBorders>
                  <w:noWrap w:val="0"/>
                  <w:tcMar>
                    <w:top w:w="0" w:type="dxa"/>
                    <w:left w:w="0" w:type="dxa"/>
                    <w:bottom w:w="0" w:type="dxa"/>
                    <w:right w:w="0" w:type="dxa"/>
                  </w:tcMar>
                  <w:vAlign w:val="center"/>
                </w:tcPr>
                <w:p w14:paraId="43DA633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49.9</w:t>
                  </w:r>
                </w:p>
              </w:tc>
              <w:tc>
                <w:tcPr>
                  <w:tcW w:w="228" w:type="pct"/>
                  <w:vMerge w:val="continue"/>
                  <w:tcBorders>
                    <w:tl2br w:val="nil"/>
                    <w:tr2bl w:val="nil"/>
                  </w:tcBorders>
                  <w:noWrap w:val="0"/>
                  <w:tcMar>
                    <w:top w:w="0" w:type="dxa"/>
                    <w:left w:w="0" w:type="dxa"/>
                    <w:bottom w:w="0" w:type="dxa"/>
                    <w:right w:w="0" w:type="dxa"/>
                  </w:tcMar>
                  <w:vAlign w:val="center"/>
                </w:tcPr>
                <w:p w14:paraId="0FCCDFA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BF0919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5CF42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32.0</w:t>
                  </w:r>
                </w:p>
              </w:tc>
              <w:tc>
                <w:tcPr>
                  <w:tcW w:w="201" w:type="pct"/>
                  <w:tcBorders>
                    <w:tl2br w:val="nil"/>
                    <w:tr2bl w:val="nil"/>
                  </w:tcBorders>
                  <w:noWrap w:val="0"/>
                  <w:tcMar>
                    <w:top w:w="0" w:type="dxa"/>
                    <w:left w:w="0" w:type="dxa"/>
                    <w:bottom w:w="0" w:type="dxa"/>
                    <w:right w:w="0" w:type="dxa"/>
                  </w:tcMar>
                  <w:vAlign w:val="center"/>
                </w:tcPr>
                <w:p w14:paraId="3B5FCEC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23.3</w:t>
                  </w:r>
                </w:p>
              </w:tc>
              <w:tc>
                <w:tcPr>
                  <w:tcW w:w="193" w:type="pct"/>
                  <w:tcBorders>
                    <w:tl2br w:val="nil"/>
                    <w:tr2bl w:val="nil"/>
                  </w:tcBorders>
                  <w:noWrap w:val="0"/>
                  <w:tcMar>
                    <w:top w:w="0" w:type="dxa"/>
                    <w:left w:w="0" w:type="dxa"/>
                    <w:bottom w:w="0" w:type="dxa"/>
                    <w:right w:w="0" w:type="dxa"/>
                  </w:tcMar>
                  <w:vAlign w:val="center"/>
                </w:tcPr>
                <w:p w14:paraId="2DF7EAE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28.1</w:t>
                  </w:r>
                </w:p>
              </w:tc>
              <w:tc>
                <w:tcPr>
                  <w:tcW w:w="195" w:type="pct"/>
                  <w:tcBorders>
                    <w:tl2br w:val="nil"/>
                    <w:tr2bl w:val="nil"/>
                  </w:tcBorders>
                  <w:noWrap w:val="0"/>
                  <w:tcMar>
                    <w:top w:w="0" w:type="dxa"/>
                    <w:left w:w="0" w:type="dxa"/>
                    <w:bottom w:w="0" w:type="dxa"/>
                    <w:right w:w="0" w:type="dxa"/>
                  </w:tcMar>
                  <w:vAlign w:val="center"/>
                </w:tcPr>
                <w:p w14:paraId="4980531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24.9</w:t>
                  </w:r>
                </w:p>
              </w:tc>
              <w:tc>
                <w:tcPr>
                  <w:tcW w:w="202" w:type="pct"/>
                  <w:tcBorders>
                    <w:tl2br w:val="nil"/>
                    <w:tr2bl w:val="nil"/>
                  </w:tcBorders>
                  <w:noWrap w:val="0"/>
                  <w:tcMar>
                    <w:top w:w="0" w:type="dxa"/>
                    <w:left w:w="0" w:type="dxa"/>
                    <w:bottom w:w="0" w:type="dxa"/>
                    <w:right w:w="0" w:type="dxa"/>
                  </w:tcMar>
                  <w:vAlign w:val="center"/>
                </w:tcPr>
                <w:p w14:paraId="3A330FD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309A06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66FC57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14</w:t>
                  </w:r>
                </w:p>
              </w:tc>
              <w:tc>
                <w:tcPr>
                  <w:tcW w:w="178" w:type="pct"/>
                  <w:vMerge w:val="continue"/>
                  <w:tcBorders>
                    <w:tl2br w:val="nil"/>
                    <w:tr2bl w:val="nil"/>
                  </w:tcBorders>
                  <w:noWrap w:val="0"/>
                  <w:tcMar>
                    <w:top w:w="0" w:type="dxa"/>
                    <w:left w:w="0" w:type="dxa"/>
                    <w:bottom w:w="0" w:type="dxa"/>
                    <w:right w:w="0" w:type="dxa"/>
                  </w:tcMar>
                  <w:vAlign w:val="center"/>
                </w:tcPr>
                <w:p w14:paraId="7C46C8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7D4C131">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布袋除尘器引风机（3台，按点声源组计算）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162565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38B240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eastAsia="zh-CN"/>
                    </w:rPr>
                    <w:t>等效后</w:t>
                  </w:r>
                  <w:r>
                    <w:rPr>
                      <w:rFonts w:hint="eastAsia" w:ascii="Times New Roman" w:hAnsi="Times New Roman" w:cs="Times New Roman"/>
                      <w:color w:val="auto"/>
                      <w:sz w:val="18"/>
                      <w:szCs w:val="18"/>
                      <w:highlight w:val="none"/>
                      <w:lang w:val="en-US" w:eastAsia="zh-CN"/>
                    </w:rPr>
                    <w:t>94.8</w:t>
                  </w:r>
                  <w:r>
                    <w:rPr>
                      <w:rFonts w:hint="default" w:ascii="Times New Roman" w:hAnsi="Times New Roman" w:cs="Times New Roman"/>
                      <w:color w:val="auto"/>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E7D1D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5F224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11.8</w:t>
                  </w:r>
                </w:p>
              </w:tc>
              <w:tc>
                <w:tcPr>
                  <w:tcW w:w="219" w:type="pct"/>
                  <w:tcBorders>
                    <w:tl2br w:val="nil"/>
                    <w:tr2bl w:val="nil"/>
                  </w:tcBorders>
                  <w:noWrap w:val="0"/>
                  <w:tcMar>
                    <w:top w:w="0" w:type="dxa"/>
                    <w:left w:w="0" w:type="dxa"/>
                    <w:bottom w:w="0" w:type="dxa"/>
                    <w:right w:w="0" w:type="dxa"/>
                  </w:tcMar>
                  <w:vAlign w:val="center"/>
                </w:tcPr>
                <w:p w14:paraId="0CEF6E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58.6</w:t>
                  </w:r>
                </w:p>
              </w:tc>
              <w:tc>
                <w:tcPr>
                  <w:tcW w:w="176" w:type="pct"/>
                  <w:tcBorders>
                    <w:tl2br w:val="nil"/>
                    <w:tr2bl w:val="nil"/>
                  </w:tcBorders>
                  <w:noWrap w:val="0"/>
                  <w:tcMar>
                    <w:top w:w="0" w:type="dxa"/>
                    <w:left w:w="0" w:type="dxa"/>
                    <w:bottom w:w="0" w:type="dxa"/>
                    <w:right w:w="0" w:type="dxa"/>
                  </w:tcMar>
                  <w:vAlign w:val="center"/>
                </w:tcPr>
                <w:p w14:paraId="1D4667A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8E0CF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10.5</w:t>
                  </w:r>
                </w:p>
              </w:tc>
              <w:tc>
                <w:tcPr>
                  <w:tcW w:w="187" w:type="pct"/>
                  <w:tcBorders>
                    <w:tl2br w:val="nil"/>
                    <w:tr2bl w:val="nil"/>
                  </w:tcBorders>
                  <w:noWrap w:val="0"/>
                  <w:tcMar>
                    <w:top w:w="0" w:type="dxa"/>
                    <w:left w:w="0" w:type="dxa"/>
                    <w:bottom w:w="0" w:type="dxa"/>
                    <w:right w:w="0" w:type="dxa"/>
                  </w:tcMar>
                  <w:vAlign w:val="center"/>
                </w:tcPr>
                <w:p w14:paraId="774A13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20.6</w:t>
                  </w:r>
                </w:p>
              </w:tc>
              <w:tc>
                <w:tcPr>
                  <w:tcW w:w="205" w:type="pct"/>
                  <w:tcBorders>
                    <w:tl2br w:val="nil"/>
                    <w:tr2bl w:val="nil"/>
                  </w:tcBorders>
                  <w:shd w:val="clear" w:color="auto" w:fill="auto"/>
                  <w:noWrap w:val="0"/>
                  <w:tcMar>
                    <w:top w:w="0" w:type="dxa"/>
                    <w:left w:w="0" w:type="dxa"/>
                    <w:bottom w:w="0" w:type="dxa"/>
                    <w:right w:w="0" w:type="dxa"/>
                  </w:tcMar>
                  <w:vAlign w:val="center"/>
                </w:tcPr>
                <w:p w14:paraId="66073A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w:t>
                  </w:r>
                </w:p>
              </w:tc>
              <w:tc>
                <w:tcPr>
                  <w:tcW w:w="213" w:type="pct"/>
                  <w:tcBorders>
                    <w:tl2br w:val="nil"/>
                    <w:tr2bl w:val="nil"/>
                  </w:tcBorders>
                  <w:noWrap w:val="0"/>
                  <w:tcMar>
                    <w:top w:w="0" w:type="dxa"/>
                    <w:left w:w="0" w:type="dxa"/>
                    <w:bottom w:w="0" w:type="dxa"/>
                    <w:right w:w="0" w:type="dxa"/>
                  </w:tcMar>
                  <w:vAlign w:val="center"/>
                </w:tcPr>
                <w:p w14:paraId="5257C66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15.6</w:t>
                  </w:r>
                </w:p>
              </w:tc>
              <w:tc>
                <w:tcPr>
                  <w:tcW w:w="192" w:type="pct"/>
                  <w:tcBorders>
                    <w:tl2br w:val="nil"/>
                    <w:tr2bl w:val="nil"/>
                  </w:tcBorders>
                  <w:noWrap w:val="0"/>
                  <w:tcMar>
                    <w:top w:w="0" w:type="dxa"/>
                    <w:left w:w="0" w:type="dxa"/>
                    <w:bottom w:w="0" w:type="dxa"/>
                    <w:right w:w="0" w:type="dxa"/>
                  </w:tcMar>
                  <w:vAlign w:val="center"/>
                </w:tcPr>
                <w:p w14:paraId="236DAF4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71.4</w:t>
                  </w:r>
                </w:p>
              </w:tc>
              <w:tc>
                <w:tcPr>
                  <w:tcW w:w="192" w:type="pct"/>
                  <w:tcBorders>
                    <w:tl2br w:val="nil"/>
                    <w:tr2bl w:val="nil"/>
                  </w:tcBorders>
                  <w:noWrap w:val="0"/>
                  <w:tcMar>
                    <w:top w:w="0" w:type="dxa"/>
                    <w:left w:w="0" w:type="dxa"/>
                    <w:bottom w:w="0" w:type="dxa"/>
                    <w:right w:w="0" w:type="dxa"/>
                  </w:tcMar>
                  <w:vAlign w:val="center"/>
                </w:tcPr>
                <w:p w14:paraId="322AEC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63.7</w:t>
                  </w:r>
                </w:p>
              </w:tc>
              <w:tc>
                <w:tcPr>
                  <w:tcW w:w="205" w:type="pct"/>
                  <w:tcBorders>
                    <w:tl2br w:val="nil"/>
                    <w:tr2bl w:val="nil"/>
                  </w:tcBorders>
                  <w:noWrap w:val="0"/>
                  <w:tcMar>
                    <w:top w:w="0" w:type="dxa"/>
                    <w:left w:w="0" w:type="dxa"/>
                    <w:bottom w:w="0" w:type="dxa"/>
                    <w:right w:w="0" w:type="dxa"/>
                  </w:tcMar>
                  <w:vAlign w:val="center"/>
                </w:tcPr>
                <w:p w14:paraId="0E3A95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82.1</w:t>
                  </w:r>
                </w:p>
              </w:tc>
              <w:tc>
                <w:tcPr>
                  <w:tcW w:w="208" w:type="pct"/>
                  <w:tcBorders>
                    <w:tl2br w:val="nil"/>
                    <w:tr2bl w:val="nil"/>
                  </w:tcBorders>
                  <w:noWrap w:val="0"/>
                  <w:tcMar>
                    <w:top w:w="0" w:type="dxa"/>
                    <w:left w:w="0" w:type="dxa"/>
                    <w:bottom w:w="0" w:type="dxa"/>
                    <w:right w:w="0" w:type="dxa"/>
                  </w:tcMar>
                  <w:vAlign w:val="center"/>
                </w:tcPr>
                <w:p w14:paraId="1AD0501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65.2</w:t>
                  </w:r>
                </w:p>
              </w:tc>
              <w:tc>
                <w:tcPr>
                  <w:tcW w:w="228" w:type="pct"/>
                  <w:vMerge w:val="continue"/>
                  <w:tcBorders>
                    <w:tl2br w:val="nil"/>
                    <w:tr2bl w:val="nil"/>
                  </w:tcBorders>
                  <w:noWrap w:val="0"/>
                  <w:tcMar>
                    <w:top w:w="0" w:type="dxa"/>
                    <w:left w:w="0" w:type="dxa"/>
                    <w:bottom w:w="0" w:type="dxa"/>
                    <w:right w:w="0" w:type="dxa"/>
                  </w:tcMar>
                  <w:vAlign w:val="center"/>
                </w:tcPr>
                <w:p w14:paraId="6620ADE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1D9BC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D4DF3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46.4</w:t>
                  </w:r>
                </w:p>
              </w:tc>
              <w:tc>
                <w:tcPr>
                  <w:tcW w:w="201" w:type="pct"/>
                  <w:tcBorders>
                    <w:tl2br w:val="nil"/>
                    <w:tr2bl w:val="nil"/>
                  </w:tcBorders>
                  <w:noWrap w:val="0"/>
                  <w:tcMar>
                    <w:top w:w="0" w:type="dxa"/>
                    <w:left w:w="0" w:type="dxa"/>
                    <w:bottom w:w="0" w:type="dxa"/>
                    <w:right w:w="0" w:type="dxa"/>
                  </w:tcMar>
                  <w:vAlign w:val="center"/>
                </w:tcPr>
                <w:p w14:paraId="31E49E6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38.7</w:t>
                  </w:r>
                </w:p>
              </w:tc>
              <w:tc>
                <w:tcPr>
                  <w:tcW w:w="193" w:type="pct"/>
                  <w:tcBorders>
                    <w:tl2br w:val="nil"/>
                    <w:tr2bl w:val="nil"/>
                  </w:tcBorders>
                  <w:noWrap w:val="0"/>
                  <w:tcMar>
                    <w:top w:w="0" w:type="dxa"/>
                    <w:left w:w="0" w:type="dxa"/>
                    <w:bottom w:w="0" w:type="dxa"/>
                    <w:right w:w="0" w:type="dxa"/>
                  </w:tcMar>
                  <w:vAlign w:val="center"/>
                </w:tcPr>
                <w:p w14:paraId="61D9735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57.1</w:t>
                  </w:r>
                </w:p>
              </w:tc>
              <w:tc>
                <w:tcPr>
                  <w:tcW w:w="195" w:type="pct"/>
                  <w:tcBorders>
                    <w:tl2br w:val="nil"/>
                    <w:tr2bl w:val="nil"/>
                  </w:tcBorders>
                  <w:noWrap w:val="0"/>
                  <w:tcMar>
                    <w:top w:w="0" w:type="dxa"/>
                    <w:left w:w="0" w:type="dxa"/>
                    <w:bottom w:w="0" w:type="dxa"/>
                    <w:right w:w="0" w:type="dxa"/>
                  </w:tcMar>
                  <w:vAlign w:val="center"/>
                </w:tcPr>
                <w:p w14:paraId="3A9C499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40.2</w:t>
                  </w:r>
                </w:p>
              </w:tc>
              <w:tc>
                <w:tcPr>
                  <w:tcW w:w="202" w:type="pct"/>
                  <w:tcBorders>
                    <w:tl2br w:val="nil"/>
                    <w:tr2bl w:val="nil"/>
                  </w:tcBorders>
                  <w:noWrap w:val="0"/>
                  <w:tcMar>
                    <w:top w:w="0" w:type="dxa"/>
                    <w:left w:w="0" w:type="dxa"/>
                    <w:bottom w:w="0" w:type="dxa"/>
                    <w:right w:w="0" w:type="dxa"/>
                  </w:tcMar>
                  <w:vAlign w:val="center"/>
                </w:tcPr>
                <w:p w14:paraId="56FA4C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709D45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0EEFE3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15</w:t>
                  </w:r>
                </w:p>
              </w:tc>
              <w:tc>
                <w:tcPr>
                  <w:tcW w:w="178" w:type="pct"/>
                  <w:vMerge w:val="restart"/>
                  <w:tcBorders>
                    <w:tl2br w:val="nil"/>
                    <w:tr2bl w:val="nil"/>
                  </w:tcBorders>
                  <w:noWrap w:val="0"/>
                  <w:tcMar>
                    <w:top w:w="0" w:type="dxa"/>
                    <w:left w:w="0" w:type="dxa"/>
                    <w:bottom w:w="0" w:type="dxa"/>
                    <w:right w:w="0" w:type="dxa"/>
                  </w:tcMar>
                  <w:vAlign w:val="center"/>
                </w:tcPr>
                <w:p w14:paraId="6039CA66">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二</w:t>
                  </w:r>
                </w:p>
                <w:p w14:paraId="40E9C896">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车</w:t>
                  </w:r>
                </w:p>
                <w:p w14:paraId="3C7E8B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间</w:t>
                  </w:r>
                </w:p>
              </w:tc>
              <w:tc>
                <w:tcPr>
                  <w:tcW w:w="326" w:type="pct"/>
                  <w:tcBorders>
                    <w:tl2br w:val="nil"/>
                    <w:tr2bl w:val="nil"/>
                  </w:tcBorders>
                  <w:noWrap w:val="0"/>
                  <w:tcMar>
                    <w:top w:w="0" w:type="dxa"/>
                    <w:left w:w="0" w:type="dxa"/>
                    <w:bottom w:w="0" w:type="dxa"/>
                    <w:right w:w="0" w:type="dxa"/>
                  </w:tcMar>
                  <w:vAlign w:val="center"/>
                </w:tcPr>
                <w:p w14:paraId="4CD01FD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颚式破碎机（3台，按点声源组计算）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533E0C5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2A86FAA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1095A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10DDD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11.6</w:t>
                  </w:r>
                </w:p>
              </w:tc>
              <w:tc>
                <w:tcPr>
                  <w:tcW w:w="219" w:type="pct"/>
                  <w:tcBorders>
                    <w:tl2br w:val="nil"/>
                    <w:tr2bl w:val="nil"/>
                  </w:tcBorders>
                  <w:noWrap w:val="0"/>
                  <w:tcMar>
                    <w:top w:w="0" w:type="dxa"/>
                    <w:left w:w="0" w:type="dxa"/>
                    <w:bottom w:w="0" w:type="dxa"/>
                    <w:right w:w="0" w:type="dxa"/>
                  </w:tcMar>
                  <w:vAlign w:val="center"/>
                </w:tcPr>
                <w:p w14:paraId="32B4A4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57.8</w:t>
                  </w:r>
                </w:p>
              </w:tc>
              <w:tc>
                <w:tcPr>
                  <w:tcW w:w="176" w:type="pct"/>
                  <w:tcBorders>
                    <w:tl2br w:val="nil"/>
                    <w:tr2bl w:val="nil"/>
                  </w:tcBorders>
                  <w:noWrap w:val="0"/>
                  <w:tcMar>
                    <w:top w:w="0" w:type="dxa"/>
                    <w:left w:w="0" w:type="dxa"/>
                    <w:bottom w:w="0" w:type="dxa"/>
                    <w:right w:w="0" w:type="dxa"/>
                  </w:tcMar>
                  <w:vAlign w:val="center"/>
                </w:tcPr>
                <w:p w14:paraId="7320E0D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7C0CE6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8.1</w:t>
                  </w:r>
                </w:p>
              </w:tc>
              <w:tc>
                <w:tcPr>
                  <w:tcW w:w="187" w:type="pct"/>
                  <w:tcBorders>
                    <w:tl2br w:val="nil"/>
                    <w:tr2bl w:val="nil"/>
                  </w:tcBorders>
                  <w:noWrap w:val="0"/>
                  <w:tcMar>
                    <w:top w:w="0" w:type="dxa"/>
                    <w:left w:w="0" w:type="dxa"/>
                    <w:bottom w:w="0" w:type="dxa"/>
                    <w:right w:w="0" w:type="dxa"/>
                  </w:tcMar>
                  <w:vAlign w:val="center"/>
                </w:tcPr>
                <w:p w14:paraId="7A572F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21.1</w:t>
                  </w:r>
                </w:p>
              </w:tc>
              <w:tc>
                <w:tcPr>
                  <w:tcW w:w="205" w:type="pct"/>
                  <w:tcBorders>
                    <w:tl2br w:val="nil"/>
                    <w:tr2bl w:val="nil"/>
                  </w:tcBorders>
                  <w:shd w:val="clear" w:color="auto" w:fill="auto"/>
                  <w:noWrap w:val="0"/>
                  <w:tcMar>
                    <w:top w:w="0" w:type="dxa"/>
                    <w:left w:w="0" w:type="dxa"/>
                    <w:bottom w:w="0" w:type="dxa"/>
                    <w:right w:w="0" w:type="dxa"/>
                  </w:tcMar>
                  <w:vAlign w:val="center"/>
                </w:tcPr>
                <w:p w14:paraId="6672470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11.6</w:t>
                  </w:r>
                </w:p>
              </w:tc>
              <w:tc>
                <w:tcPr>
                  <w:tcW w:w="213" w:type="pct"/>
                  <w:tcBorders>
                    <w:tl2br w:val="nil"/>
                    <w:tr2bl w:val="nil"/>
                  </w:tcBorders>
                  <w:noWrap w:val="0"/>
                  <w:tcMar>
                    <w:top w:w="0" w:type="dxa"/>
                    <w:left w:w="0" w:type="dxa"/>
                    <w:bottom w:w="0" w:type="dxa"/>
                    <w:right w:w="0" w:type="dxa"/>
                  </w:tcMar>
                  <w:vAlign w:val="center"/>
                </w:tcPr>
                <w:p w14:paraId="18F3C3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16.8</w:t>
                  </w:r>
                </w:p>
              </w:tc>
              <w:tc>
                <w:tcPr>
                  <w:tcW w:w="192" w:type="pct"/>
                  <w:tcBorders>
                    <w:tl2br w:val="nil"/>
                    <w:tr2bl w:val="nil"/>
                  </w:tcBorders>
                  <w:noWrap w:val="0"/>
                  <w:tcMar>
                    <w:top w:w="0" w:type="dxa"/>
                    <w:left w:w="0" w:type="dxa"/>
                    <w:bottom w:w="0" w:type="dxa"/>
                    <w:right w:w="0" w:type="dxa"/>
                  </w:tcMar>
                  <w:vAlign w:val="center"/>
                </w:tcPr>
                <w:p w14:paraId="04350C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71.8 </w:t>
                  </w:r>
                </w:p>
              </w:tc>
              <w:tc>
                <w:tcPr>
                  <w:tcW w:w="192" w:type="pct"/>
                  <w:tcBorders>
                    <w:tl2br w:val="nil"/>
                    <w:tr2bl w:val="nil"/>
                  </w:tcBorders>
                  <w:noWrap w:val="0"/>
                  <w:tcMar>
                    <w:top w:w="0" w:type="dxa"/>
                    <w:left w:w="0" w:type="dxa"/>
                    <w:bottom w:w="0" w:type="dxa"/>
                    <w:right w:w="0" w:type="dxa"/>
                  </w:tcMar>
                  <w:vAlign w:val="center"/>
                </w:tcPr>
                <w:p w14:paraId="0A72BE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63.5 </w:t>
                  </w:r>
                </w:p>
              </w:tc>
              <w:tc>
                <w:tcPr>
                  <w:tcW w:w="205" w:type="pct"/>
                  <w:tcBorders>
                    <w:tl2br w:val="nil"/>
                    <w:tr2bl w:val="nil"/>
                  </w:tcBorders>
                  <w:noWrap w:val="0"/>
                  <w:tcMar>
                    <w:top w:w="0" w:type="dxa"/>
                    <w:left w:w="0" w:type="dxa"/>
                    <w:bottom w:w="0" w:type="dxa"/>
                    <w:right w:w="0" w:type="dxa"/>
                  </w:tcMar>
                  <w:vAlign w:val="center"/>
                </w:tcPr>
                <w:p w14:paraId="5C9A622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68.7 </w:t>
                  </w:r>
                </w:p>
              </w:tc>
              <w:tc>
                <w:tcPr>
                  <w:tcW w:w="208" w:type="pct"/>
                  <w:tcBorders>
                    <w:tl2br w:val="nil"/>
                    <w:tr2bl w:val="nil"/>
                  </w:tcBorders>
                  <w:noWrap w:val="0"/>
                  <w:tcMar>
                    <w:top w:w="0" w:type="dxa"/>
                    <w:left w:w="0" w:type="dxa"/>
                    <w:bottom w:w="0" w:type="dxa"/>
                    <w:right w:w="0" w:type="dxa"/>
                  </w:tcMar>
                  <w:vAlign w:val="center"/>
                </w:tcPr>
                <w:p w14:paraId="2B4A6D0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65.5 </w:t>
                  </w:r>
                </w:p>
              </w:tc>
              <w:tc>
                <w:tcPr>
                  <w:tcW w:w="228" w:type="pct"/>
                  <w:vMerge w:val="continue"/>
                  <w:tcBorders>
                    <w:tl2br w:val="nil"/>
                    <w:tr2bl w:val="nil"/>
                  </w:tcBorders>
                  <w:noWrap w:val="0"/>
                  <w:tcMar>
                    <w:top w:w="0" w:type="dxa"/>
                    <w:left w:w="0" w:type="dxa"/>
                    <w:bottom w:w="0" w:type="dxa"/>
                    <w:right w:w="0" w:type="dxa"/>
                  </w:tcMar>
                  <w:vAlign w:val="center"/>
                </w:tcPr>
                <w:p w14:paraId="5969696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CDBA0A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DCF74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46.8 </w:t>
                  </w:r>
                </w:p>
              </w:tc>
              <w:tc>
                <w:tcPr>
                  <w:tcW w:w="201" w:type="pct"/>
                  <w:tcBorders>
                    <w:tl2br w:val="nil"/>
                    <w:tr2bl w:val="nil"/>
                  </w:tcBorders>
                  <w:noWrap w:val="0"/>
                  <w:tcMar>
                    <w:top w:w="0" w:type="dxa"/>
                    <w:left w:w="0" w:type="dxa"/>
                    <w:bottom w:w="0" w:type="dxa"/>
                    <w:right w:w="0" w:type="dxa"/>
                  </w:tcMar>
                  <w:vAlign w:val="center"/>
                </w:tcPr>
                <w:p w14:paraId="553FF4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38.5 </w:t>
                  </w:r>
                </w:p>
              </w:tc>
              <w:tc>
                <w:tcPr>
                  <w:tcW w:w="193" w:type="pct"/>
                  <w:tcBorders>
                    <w:tl2br w:val="nil"/>
                    <w:tr2bl w:val="nil"/>
                  </w:tcBorders>
                  <w:noWrap w:val="0"/>
                  <w:tcMar>
                    <w:top w:w="0" w:type="dxa"/>
                    <w:left w:w="0" w:type="dxa"/>
                    <w:bottom w:w="0" w:type="dxa"/>
                    <w:right w:w="0" w:type="dxa"/>
                  </w:tcMar>
                  <w:vAlign w:val="center"/>
                </w:tcPr>
                <w:p w14:paraId="632A572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43.7 </w:t>
                  </w:r>
                </w:p>
              </w:tc>
              <w:tc>
                <w:tcPr>
                  <w:tcW w:w="195" w:type="pct"/>
                  <w:tcBorders>
                    <w:tl2br w:val="nil"/>
                    <w:tr2bl w:val="nil"/>
                  </w:tcBorders>
                  <w:noWrap w:val="0"/>
                  <w:tcMar>
                    <w:top w:w="0" w:type="dxa"/>
                    <w:left w:w="0" w:type="dxa"/>
                    <w:bottom w:w="0" w:type="dxa"/>
                    <w:right w:w="0" w:type="dxa"/>
                  </w:tcMar>
                  <w:vAlign w:val="center"/>
                </w:tcPr>
                <w:p w14:paraId="20A65DA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40.5 </w:t>
                  </w:r>
                </w:p>
              </w:tc>
              <w:tc>
                <w:tcPr>
                  <w:tcW w:w="202" w:type="pct"/>
                  <w:tcBorders>
                    <w:tl2br w:val="nil"/>
                    <w:tr2bl w:val="nil"/>
                  </w:tcBorders>
                  <w:noWrap w:val="0"/>
                  <w:tcMar>
                    <w:top w:w="0" w:type="dxa"/>
                    <w:left w:w="0" w:type="dxa"/>
                    <w:bottom w:w="0" w:type="dxa"/>
                    <w:right w:w="0" w:type="dxa"/>
                  </w:tcMar>
                  <w:vAlign w:val="center"/>
                </w:tcPr>
                <w:p w14:paraId="463B724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2403E5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332B83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16</w:t>
                  </w:r>
                </w:p>
              </w:tc>
              <w:tc>
                <w:tcPr>
                  <w:tcW w:w="178" w:type="pct"/>
                  <w:vMerge w:val="continue"/>
                  <w:tcBorders>
                    <w:tl2br w:val="nil"/>
                    <w:tr2bl w:val="nil"/>
                  </w:tcBorders>
                  <w:noWrap w:val="0"/>
                  <w:tcMar>
                    <w:top w:w="0" w:type="dxa"/>
                    <w:left w:w="0" w:type="dxa"/>
                    <w:bottom w:w="0" w:type="dxa"/>
                    <w:right w:w="0" w:type="dxa"/>
                  </w:tcMar>
                  <w:vAlign w:val="center"/>
                </w:tcPr>
                <w:p w14:paraId="455D1F6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B7D292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冲击制砂机（2台，按点声源组计算）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3DE475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2BD9AAD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9854EC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86BC0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12.6</w:t>
                  </w:r>
                </w:p>
              </w:tc>
              <w:tc>
                <w:tcPr>
                  <w:tcW w:w="219" w:type="pct"/>
                  <w:tcBorders>
                    <w:tl2br w:val="nil"/>
                    <w:tr2bl w:val="nil"/>
                  </w:tcBorders>
                  <w:noWrap w:val="0"/>
                  <w:tcMar>
                    <w:top w:w="0" w:type="dxa"/>
                    <w:left w:w="0" w:type="dxa"/>
                    <w:bottom w:w="0" w:type="dxa"/>
                    <w:right w:w="0" w:type="dxa"/>
                  </w:tcMar>
                  <w:vAlign w:val="center"/>
                </w:tcPr>
                <w:p w14:paraId="425ED68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57.5</w:t>
                  </w:r>
                </w:p>
              </w:tc>
              <w:tc>
                <w:tcPr>
                  <w:tcW w:w="176" w:type="pct"/>
                  <w:tcBorders>
                    <w:tl2br w:val="nil"/>
                    <w:tr2bl w:val="nil"/>
                  </w:tcBorders>
                  <w:noWrap w:val="0"/>
                  <w:tcMar>
                    <w:top w:w="0" w:type="dxa"/>
                    <w:left w:w="0" w:type="dxa"/>
                    <w:bottom w:w="0" w:type="dxa"/>
                    <w:right w:w="0" w:type="dxa"/>
                  </w:tcMar>
                  <w:vAlign w:val="center"/>
                </w:tcPr>
                <w:p w14:paraId="7625198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DBFD26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7.9</w:t>
                  </w:r>
                </w:p>
              </w:tc>
              <w:tc>
                <w:tcPr>
                  <w:tcW w:w="187" w:type="pct"/>
                  <w:tcBorders>
                    <w:tl2br w:val="nil"/>
                    <w:tr2bl w:val="nil"/>
                  </w:tcBorders>
                  <w:noWrap w:val="0"/>
                  <w:tcMar>
                    <w:top w:w="0" w:type="dxa"/>
                    <w:left w:w="0" w:type="dxa"/>
                    <w:bottom w:w="0" w:type="dxa"/>
                    <w:right w:w="0" w:type="dxa"/>
                  </w:tcMar>
                  <w:vAlign w:val="center"/>
                </w:tcPr>
                <w:p w14:paraId="4A9F51F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22.6</w:t>
                  </w:r>
                </w:p>
              </w:tc>
              <w:tc>
                <w:tcPr>
                  <w:tcW w:w="205" w:type="pct"/>
                  <w:tcBorders>
                    <w:tl2br w:val="nil"/>
                    <w:tr2bl w:val="nil"/>
                  </w:tcBorders>
                  <w:shd w:val="clear" w:color="auto" w:fill="auto"/>
                  <w:noWrap w:val="0"/>
                  <w:tcMar>
                    <w:top w:w="0" w:type="dxa"/>
                    <w:left w:w="0" w:type="dxa"/>
                    <w:bottom w:w="0" w:type="dxa"/>
                    <w:right w:w="0" w:type="dxa"/>
                  </w:tcMar>
                  <w:vAlign w:val="center"/>
                </w:tcPr>
                <w:p w14:paraId="5E8E098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12.6</w:t>
                  </w:r>
                </w:p>
              </w:tc>
              <w:tc>
                <w:tcPr>
                  <w:tcW w:w="213" w:type="pct"/>
                  <w:tcBorders>
                    <w:tl2br w:val="nil"/>
                    <w:tr2bl w:val="nil"/>
                  </w:tcBorders>
                  <w:noWrap w:val="0"/>
                  <w:tcMar>
                    <w:top w:w="0" w:type="dxa"/>
                    <w:left w:w="0" w:type="dxa"/>
                    <w:bottom w:w="0" w:type="dxa"/>
                    <w:right w:w="0" w:type="dxa"/>
                  </w:tcMar>
                  <w:vAlign w:val="center"/>
                </w:tcPr>
                <w:p w14:paraId="7D0CF8D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14.6</w:t>
                  </w:r>
                </w:p>
              </w:tc>
              <w:tc>
                <w:tcPr>
                  <w:tcW w:w="192" w:type="pct"/>
                  <w:tcBorders>
                    <w:tl2br w:val="nil"/>
                    <w:tr2bl w:val="nil"/>
                  </w:tcBorders>
                  <w:noWrap w:val="0"/>
                  <w:tcMar>
                    <w:top w:w="0" w:type="dxa"/>
                    <w:left w:w="0" w:type="dxa"/>
                    <w:bottom w:w="0" w:type="dxa"/>
                    <w:right w:w="0" w:type="dxa"/>
                  </w:tcMar>
                  <w:vAlign w:val="center"/>
                </w:tcPr>
                <w:p w14:paraId="5AF1E33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72.0 </w:t>
                  </w:r>
                </w:p>
              </w:tc>
              <w:tc>
                <w:tcPr>
                  <w:tcW w:w="192" w:type="pct"/>
                  <w:tcBorders>
                    <w:tl2br w:val="nil"/>
                    <w:tr2bl w:val="nil"/>
                  </w:tcBorders>
                  <w:noWrap w:val="0"/>
                  <w:tcMar>
                    <w:top w:w="0" w:type="dxa"/>
                    <w:left w:w="0" w:type="dxa"/>
                    <w:bottom w:w="0" w:type="dxa"/>
                    <w:right w:w="0" w:type="dxa"/>
                  </w:tcMar>
                  <w:vAlign w:val="center"/>
                </w:tcPr>
                <w:p w14:paraId="52C5B4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62.9 </w:t>
                  </w:r>
                </w:p>
              </w:tc>
              <w:tc>
                <w:tcPr>
                  <w:tcW w:w="205" w:type="pct"/>
                  <w:tcBorders>
                    <w:tl2br w:val="nil"/>
                    <w:tr2bl w:val="nil"/>
                  </w:tcBorders>
                  <w:noWrap w:val="0"/>
                  <w:tcMar>
                    <w:top w:w="0" w:type="dxa"/>
                    <w:left w:w="0" w:type="dxa"/>
                    <w:bottom w:w="0" w:type="dxa"/>
                    <w:right w:w="0" w:type="dxa"/>
                  </w:tcMar>
                  <w:vAlign w:val="center"/>
                </w:tcPr>
                <w:p w14:paraId="4C35138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68.0 </w:t>
                  </w:r>
                </w:p>
              </w:tc>
              <w:tc>
                <w:tcPr>
                  <w:tcW w:w="208" w:type="pct"/>
                  <w:tcBorders>
                    <w:tl2br w:val="nil"/>
                    <w:tr2bl w:val="nil"/>
                  </w:tcBorders>
                  <w:noWrap w:val="0"/>
                  <w:tcMar>
                    <w:top w:w="0" w:type="dxa"/>
                    <w:left w:w="0" w:type="dxa"/>
                    <w:bottom w:w="0" w:type="dxa"/>
                    <w:right w:w="0" w:type="dxa"/>
                  </w:tcMar>
                  <w:vAlign w:val="center"/>
                </w:tcPr>
                <w:p w14:paraId="54EB17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66.7 </w:t>
                  </w:r>
                </w:p>
              </w:tc>
              <w:tc>
                <w:tcPr>
                  <w:tcW w:w="228" w:type="pct"/>
                  <w:vMerge w:val="continue"/>
                  <w:tcBorders>
                    <w:tl2br w:val="nil"/>
                    <w:tr2bl w:val="nil"/>
                  </w:tcBorders>
                  <w:noWrap w:val="0"/>
                  <w:tcMar>
                    <w:top w:w="0" w:type="dxa"/>
                    <w:left w:w="0" w:type="dxa"/>
                    <w:bottom w:w="0" w:type="dxa"/>
                    <w:right w:w="0" w:type="dxa"/>
                  </w:tcMar>
                  <w:vAlign w:val="center"/>
                </w:tcPr>
                <w:p w14:paraId="28E78E9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04ACA9F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37498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47.0 </w:t>
                  </w:r>
                </w:p>
              </w:tc>
              <w:tc>
                <w:tcPr>
                  <w:tcW w:w="201" w:type="pct"/>
                  <w:tcBorders>
                    <w:tl2br w:val="nil"/>
                    <w:tr2bl w:val="nil"/>
                  </w:tcBorders>
                  <w:noWrap w:val="0"/>
                  <w:tcMar>
                    <w:top w:w="0" w:type="dxa"/>
                    <w:left w:w="0" w:type="dxa"/>
                    <w:bottom w:w="0" w:type="dxa"/>
                    <w:right w:w="0" w:type="dxa"/>
                  </w:tcMar>
                  <w:vAlign w:val="center"/>
                </w:tcPr>
                <w:p w14:paraId="2C8CBB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37.9 </w:t>
                  </w:r>
                </w:p>
              </w:tc>
              <w:tc>
                <w:tcPr>
                  <w:tcW w:w="193" w:type="pct"/>
                  <w:tcBorders>
                    <w:tl2br w:val="nil"/>
                    <w:tr2bl w:val="nil"/>
                  </w:tcBorders>
                  <w:noWrap w:val="0"/>
                  <w:tcMar>
                    <w:top w:w="0" w:type="dxa"/>
                    <w:left w:w="0" w:type="dxa"/>
                    <w:bottom w:w="0" w:type="dxa"/>
                    <w:right w:w="0" w:type="dxa"/>
                  </w:tcMar>
                  <w:vAlign w:val="center"/>
                </w:tcPr>
                <w:p w14:paraId="38BAD3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43.0 </w:t>
                  </w:r>
                </w:p>
              </w:tc>
              <w:tc>
                <w:tcPr>
                  <w:tcW w:w="195" w:type="pct"/>
                  <w:tcBorders>
                    <w:tl2br w:val="nil"/>
                    <w:tr2bl w:val="nil"/>
                  </w:tcBorders>
                  <w:noWrap w:val="0"/>
                  <w:tcMar>
                    <w:top w:w="0" w:type="dxa"/>
                    <w:left w:w="0" w:type="dxa"/>
                    <w:bottom w:w="0" w:type="dxa"/>
                    <w:right w:w="0" w:type="dxa"/>
                  </w:tcMar>
                  <w:vAlign w:val="center"/>
                </w:tcPr>
                <w:p w14:paraId="5143918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41.7 </w:t>
                  </w:r>
                </w:p>
              </w:tc>
              <w:tc>
                <w:tcPr>
                  <w:tcW w:w="202" w:type="pct"/>
                  <w:tcBorders>
                    <w:tl2br w:val="nil"/>
                    <w:tr2bl w:val="nil"/>
                  </w:tcBorders>
                  <w:noWrap w:val="0"/>
                  <w:tcMar>
                    <w:top w:w="0" w:type="dxa"/>
                    <w:left w:w="0" w:type="dxa"/>
                    <w:bottom w:w="0" w:type="dxa"/>
                    <w:right w:w="0" w:type="dxa"/>
                  </w:tcMar>
                  <w:vAlign w:val="center"/>
                </w:tcPr>
                <w:p w14:paraId="27A402A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211E46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4B33FF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17</w:t>
                  </w:r>
                </w:p>
              </w:tc>
              <w:tc>
                <w:tcPr>
                  <w:tcW w:w="178" w:type="pct"/>
                  <w:vMerge w:val="continue"/>
                  <w:tcBorders>
                    <w:tl2br w:val="nil"/>
                    <w:tr2bl w:val="nil"/>
                  </w:tcBorders>
                  <w:noWrap w:val="0"/>
                  <w:tcMar>
                    <w:top w:w="0" w:type="dxa"/>
                    <w:left w:w="0" w:type="dxa"/>
                    <w:bottom w:w="0" w:type="dxa"/>
                    <w:right w:w="0" w:type="dxa"/>
                  </w:tcMar>
                  <w:vAlign w:val="center"/>
                </w:tcPr>
                <w:p w14:paraId="11CFFF9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563A083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对辊机（2台，按点声源组计算）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5EB7F2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5CE1C5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FA6738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C5424E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219" w:type="pct"/>
                  <w:tcBorders>
                    <w:tl2br w:val="nil"/>
                    <w:tr2bl w:val="nil"/>
                  </w:tcBorders>
                  <w:noWrap w:val="0"/>
                  <w:tcMar>
                    <w:top w:w="0" w:type="dxa"/>
                    <w:left w:w="0" w:type="dxa"/>
                    <w:bottom w:w="0" w:type="dxa"/>
                    <w:right w:w="0" w:type="dxa"/>
                  </w:tcMar>
                  <w:vAlign w:val="center"/>
                </w:tcPr>
                <w:p w14:paraId="391EAE5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56.8</w:t>
                  </w:r>
                </w:p>
              </w:tc>
              <w:tc>
                <w:tcPr>
                  <w:tcW w:w="176" w:type="pct"/>
                  <w:tcBorders>
                    <w:tl2br w:val="nil"/>
                    <w:tr2bl w:val="nil"/>
                  </w:tcBorders>
                  <w:noWrap w:val="0"/>
                  <w:tcMar>
                    <w:top w:w="0" w:type="dxa"/>
                    <w:left w:w="0" w:type="dxa"/>
                    <w:bottom w:w="0" w:type="dxa"/>
                    <w:right w:w="0" w:type="dxa"/>
                  </w:tcMar>
                  <w:vAlign w:val="center"/>
                </w:tcPr>
                <w:p w14:paraId="6967ABE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1157759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6.5</w:t>
                  </w:r>
                </w:p>
              </w:tc>
              <w:tc>
                <w:tcPr>
                  <w:tcW w:w="187" w:type="pct"/>
                  <w:tcBorders>
                    <w:tl2br w:val="nil"/>
                    <w:tr2bl w:val="nil"/>
                  </w:tcBorders>
                  <w:noWrap w:val="0"/>
                  <w:tcMar>
                    <w:top w:w="0" w:type="dxa"/>
                    <w:left w:w="0" w:type="dxa"/>
                    <w:bottom w:w="0" w:type="dxa"/>
                    <w:right w:w="0" w:type="dxa"/>
                  </w:tcMar>
                  <w:vAlign w:val="center"/>
                </w:tcPr>
                <w:p w14:paraId="4681117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20.4</w:t>
                  </w:r>
                </w:p>
              </w:tc>
              <w:tc>
                <w:tcPr>
                  <w:tcW w:w="205" w:type="pct"/>
                  <w:tcBorders>
                    <w:tl2br w:val="nil"/>
                    <w:tr2bl w:val="nil"/>
                  </w:tcBorders>
                  <w:shd w:val="clear" w:color="auto" w:fill="auto"/>
                  <w:noWrap w:val="0"/>
                  <w:tcMar>
                    <w:top w:w="0" w:type="dxa"/>
                    <w:left w:w="0" w:type="dxa"/>
                    <w:bottom w:w="0" w:type="dxa"/>
                    <w:right w:w="0" w:type="dxa"/>
                  </w:tcMar>
                  <w:vAlign w:val="center"/>
                </w:tcPr>
                <w:p w14:paraId="1C49A5C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213" w:type="pct"/>
                  <w:tcBorders>
                    <w:tl2br w:val="nil"/>
                    <w:tr2bl w:val="nil"/>
                  </w:tcBorders>
                  <w:noWrap w:val="0"/>
                  <w:tcMar>
                    <w:top w:w="0" w:type="dxa"/>
                    <w:left w:w="0" w:type="dxa"/>
                    <w:bottom w:w="0" w:type="dxa"/>
                    <w:right w:w="0" w:type="dxa"/>
                  </w:tcMar>
                  <w:vAlign w:val="center"/>
                </w:tcPr>
                <w:p w14:paraId="170CC49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15.5</w:t>
                  </w:r>
                </w:p>
              </w:tc>
              <w:tc>
                <w:tcPr>
                  <w:tcW w:w="192" w:type="pct"/>
                  <w:tcBorders>
                    <w:tl2br w:val="nil"/>
                    <w:tr2bl w:val="nil"/>
                  </w:tcBorders>
                  <w:noWrap w:val="0"/>
                  <w:tcMar>
                    <w:top w:w="0" w:type="dxa"/>
                    <w:left w:w="0" w:type="dxa"/>
                    <w:bottom w:w="0" w:type="dxa"/>
                    <w:right w:w="0" w:type="dxa"/>
                  </w:tcMar>
                  <w:vAlign w:val="center"/>
                </w:tcPr>
                <w:p w14:paraId="07A5FAA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73.7 </w:t>
                  </w:r>
                </w:p>
              </w:tc>
              <w:tc>
                <w:tcPr>
                  <w:tcW w:w="192" w:type="pct"/>
                  <w:tcBorders>
                    <w:tl2br w:val="nil"/>
                    <w:tr2bl w:val="nil"/>
                  </w:tcBorders>
                  <w:noWrap w:val="0"/>
                  <w:tcMar>
                    <w:top w:w="0" w:type="dxa"/>
                    <w:left w:w="0" w:type="dxa"/>
                    <w:bottom w:w="0" w:type="dxa"/>
                    <w:right w:w="0" w:type="dxa"/>
                  </w:tcMar>
                  <w:vAlign w:val="center"/>
                </w:tcPr>
                <w:p w14:paraId="71774C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63.8 </w:t>
                  </w:r>
                </w:p>
              </w:tc>
              <w:tc>
                <w:tcPr>
                  <w:tcW w:w="205" w:type="pct"/>
                  <w:tcBorders>
                    <w:tl2br w:val="nil"/>
                    <w:tr2bl w:val="nil"/>
                  </w:tcBorders>
                  <w:noWrap w:val="0"/>
                  <w:tcMar>
                    <w:top w:w="0" w:type="dxa"/>
                    <w:left w:w="0" w:type="dxa"/>
                    <w:bottom w:w="0" w:type="dxa"/>
                    <w:right w:w="0" w:type="dxa"/>
                  </w:tcMar>
                  <w:vAlign w:val="center"/>
                </w:tcPr>
                <w:p w14:paraId="3DC41F7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67.1 </w:t>
                  </w:r>
                </w:p>
              </w:tc>
              <w:tc>
                <w:tcPr>
                  <w:tcW w:w="208" w:type="pct"/>
                  <w:tcBorders>
                    <w:tl2br w:val="nil"/>
                    <w:tr2bl w:val="nil"/>
                  </w:tcBorders>
                  <w:noWrap w:val="0"/>
                  <w:tcMar>
                    <w:top w:w="0" w:type="dxa"/>
                    <w:left w:w="0" w:type="dxa"/>
                    <w:bottom w:w="0" w:type="dxa"/>
                    <w:right w:w="0" w:type="dxa"/>
                  </w:tcMar>
                  <w:vAlign w:val="center"/>
                </w:tcPr>
                <w:p w14:paraId="514B223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28" w:type="pct"/>
                  <w:vMerge w:val="continue"/>
                  <w:tcBorders>
                    <w:tl2br w:val="nil"/>
                    <w:tr2bl w:val="nil"/>
                  </w:tcBorders>
                  <w:noWrap w:val="0"/>
                  <w:tcMar>
                    <w:top w:w="0" w:type="dxa"/>
                    <w:left w:w="0" w:type="dxa"/>
                    <w:bottom w:w="0" w:type="dxa"/>
                    <w:right w:w="0" w:type="dxa"/>
                  </w:tcMar>
                  <w:vAlign w:val="center"/>
                </w:tcPr>
                <w:p w14:paraId="2A84E1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0348DE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00C008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48.7 </w:t>
                  </w:r>
                </w:p>
              </w:tc>
              <w:tc>
                <w:tcPr>
                  <w:tcW w:w="201" w:type="pct"/>
                  <w:tcBorders>
                    <w:tl2br w:val="nil"/>
                    <w:tr2bl w:val="nil"/>
                  </w:tcBorders>
                  <w:noWrap w:val="0"/>
                  <w:tcMar>
                    <w:top w:w="0" w:type="dxa"/>
                    <w:left w:w="0" w:type="dxa"/>
                    <w:bottom w:w="0" w:type="dxa"/>
                    <w:right w:w="0" w:type="dxa"/>
                  </w:tcMar>
                  <w:vAlign w:val="center"/>
                </w:tcPr>
                <w:p w14:paraId="608037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38.8 </w:t>
                  </w:r>
                </w:p>
              </w:tc>
              <w:tc>
                <w:tcPr>
                  <w:tcW w:w="193" w:type="pct"/>
                  <w:tcBorders>
                    <w:tl2br w:val="nil"/>
                    <w:tr2bl w:val="nil"/>
                  </w:tcBorders>
                  <w:noWrap w:val="0"/>
                  <w:tcMar>
                    <w:top w:w="0" w:type="dxa"/>
                    <w:left w:w="0" w:type="dxa"/>
                    <w:bottom w:w="0" w:type="dxa"/>
                    <w:right w:w="0" w:type="dxa"/>
                  </w:tcMar>
                  <w:vAlign w:val="center"/>
                </w:tcPr>
                <w:p w14:paraId="776C8F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42.1 </w:t>
                  </w:r>
                </w:p>
              </w:tc>
              <w:tc>
                <w:tcPr>
                  <w:tcW w:w="195" w:type="pct"/>
                  <w:tcBorders>
                    <w:tl2br w:val="nil"/>
                    <w:tr2bl w:val="nil"/>
                  </w:tcBorders>
                  <w:noWrap w:val="0"/>
                  <w:tcMar>
                    <w:top w:w="0" w:type="dxa"/>
                    <w:left w:w="0" w:type="dxa"/>
                    <w:bottom w:w="0" w:type="dxa"/>
                    <w:right w:w="0" w:type="dxa"/>
                  </w:tcMar>
                  <w:vAlign w:val="center"/>
                </w:tcPr>
                <w:p w14:paraId="2BCFADF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202" w:type="pct"/>
                  <w:tcBorders>
                    <w:tl2br w:val="nil"/>
                    <w:tr2bl w:val="nil"/>
                  </w:tcBorders>
                  <w:noWrap w:val="0"/>
                  <w:tcMar>
                    <w:top w:w="0" w:type="dxa"/>
                    <w:left w:w="0" w:type="dxa"/>
                    <w:bottom w:w="0" w:type="dxa"/>
                    <w:right w:w="0" w:type="dxa"/>
                  </w:tcMar>
                  <w:vAlign w:val="center"/>
                </w:tcPr>
                <w:p w14:paraId="1EA467A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default" w:ascii="Times New Roman" w:cs="Times New Roman"/>
                      <w:color w:val="auto"/>
                      <w:sz w:val="18"/>
                      <w:szCs w:val="18"/>
                      <w:highlight w:val="none"/>
                      <w:lang w:val="en-US" w:eastAsia="zh-CN"/>
                    </w:rPr>
                    <w:t>1</w:t>
                  </w:r>
                </w:p>
              </w:tc>
            </w:tr>
            <w:tr w14:paraId="673D6E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4D31700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18</w:t>
                  </w:r>
                </w:p>
              </w:tc>
              <w:tc>
                <w:tcPr>
                  <w:tcW w:w="178" w:type="pct"/>
                  <w:vMerge w:val="continue"/>
                  <w:tcBorders>
                    <w:tl2br w:val="nil"/>
                    <w:tr2bl w:val="nil"/>
                  </w:tcBorders>
                  <w:noWrap w:val="0"/>
                  <w:tcMar>
                    <w:top w:w="0" w:type="dxa"/>
                    <w:left w:w="0" w:type="dxa"/>
                    <w:bottom w:w="0" w:type="dxa"/>
                    <w:right w:w="0" w:type="dxa"/>
                  </w:tcMar>
                  <w:vAlign w:val="center"/>
                </w:tcPr>
                <w:p w14:paraId="14D5837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2D006EE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带筛球磨机</w:t>
                  </w:r>
                </w:p>
              </w:tc>
              <w:tc>
                <w:tcPr>
                  <w:tcW w:w="166" w:type="pct"/>
                  <w:tcBorders>
                    <w:tl2br w:val="nil"/>
                    <w:tr2bl w:val="nil"/>
                  </w:tcBorders>
                  <w:shd w:val="clear" w:color="auto" w:fill="auto"/>
                  <w:noWrap w:val="0"/>
                  <w:tcMar>
                    <w:top w:w="0" w:type="dxa"/>
                    <w:left w:w="0" w:type="dxa"/>
                    <w:bottom w:w="0" w:type="dxa"/>
                    <w:right w:w="0" w:type="dxa"/>
                  </w:tcMar>
                  <w:vAlign w:val="center"/>
                </w:tcPr>
                <w:p w14:paraId="495442F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2828619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219" w:type="pct"/>
                  <w:vMerge w:val="continue"/>
                  <w:tcBorders>
                    <w:tl2br w:val="nil"/>
                    <w:tr2bl w:val="nil"/>
                  </w:tcBorders>
                  <w:noWrap w:val="0"/>
                  <w:tcMar>
                    <w:top w:w="0" w:type="dxa"/>
                    <w:left w:w="0" w:type="dxa"/>
                    <w:bottom w:w="0" w:type="dxa"/>
                    <w:right w:w="0" w:type="dxa"/>
                  </w:tcMar>
                  <w:vAlign w:val="center"/>
                </w:tcPr>
                <w:p w14:paraId="2F9743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F1258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11.4</w:t>
                  </w:r>
                </w:p>
              </w:tc>
              <w:tc>
                <w:tcPr>
                  <w:tcW w:w="219" w:type="pct"/>
                  <w:tcBorders>
                    <w:tl2br w:val="nil"/>
                    <w:tr2bl w:val="nil"/>
                  </w:tcBorders>
                  <w:noWrap w:val="0"/>
                  <w:tcMar>
                    <w:top w:w="0" w:type="dxa"/>
                    <w:left w:w="0" w:type="dxa"/>
                    <w:bottom w:w="0" w:type="dxa"/>
                    <w:right w:w="0" w:type="dxa"/>
                  </w:tcMar>
                  <w:vAlign w:val="center"/>
                </w:tcPr>
                <w:p w14:paraId="6CD156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55.9</w:t>
                  </w:r>
                </w:p>
              </w:tc>
              <w:tc>
                <w:tcPr>
                  <w:tcW w:w="176" w:type="pct"/>
                  <w:tcBorders>
                    <w:tl2br w:val="nil"/>
                    <w:tr2bl w:val="nil"/>
                  </w:tcBorders>
                  <w:noWrap w:val="0"/>
                  <w:tcMar>
                    <w:top w:w="0" w:type="dxa"/>
                    <w:left w:w="0" w:type="dxa"/>
                    <w:bottom w:w="0" w:type="dxa"/>
                    <w:right w:w="0" w:type="dxa"/>
                  </w:tcMar>
                  <w:vAlign w:val="center"/>
                </w:tcPr>
                <w:p w14:paraId="62A59C0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03652B3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7.6</w:t>
                  </w:r>
                </w:p>
              </w:tc>
              <w:tc>
                <w:tcPr>
                  <w:tcW w:w="187" w:type="pct"/>
                  <w:tcBorders>
                    <w:tl2br w:val="nil"/>
                    <w:tr2bl w:val="nil"/>
                  </w:tcBorders>
                  <w:noWrap w:val="0"/>
                  <w:tcMar>
                    <w:top w:w="0" w:type="dxa"/>
                    <w:left w:w="0" w:type="dxa"/>
                    <w:bottom w:w="0" w:type="dxa"/>
                    <w:right w:w="0" w:type="dxa"/>
                  </w:tcMar>
                  <w:vAlign w:val="center"/>
                </w:tcPr>
                <w:p w14:paraId="3C98825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20.6</w:t>
                  </w:r>
                </w:p>
              </w:tc>
              <w:tc>
                <w:tcPr>
                  <w:tcW w:w="205" w:type="pct"/>
                  <w:tcBorders>
                    <w:tl2br w:val="nil"/>
                    <w:tr2bl w:val="nil"/>
                  </w:tcBorders>
                  <w:shd w:val="clear" w:color="auto" w:fill="auto"/>
                  <w:noWrap w:val="0"/>
                  <w:tcMar>
                    <w:top w:w="0" w:type="dxa"/>
                    <w:left w:w="0" w:type="dxa"/>
                    <w:bottom w:w="0" w:type="dxa"/>
                    <w:right w:w="0" w:type="dxa"/>
                  </w:tcMar>
                  <w:vAlign w:val="center"/>
                </w:tcPr>
                <w:p w14:paraId="415FEA0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11.4</w:t>
                  </w:r>
                </w:p>
              </w:tc>
              <w:tc>
                <w:tcPr>
                  <w:tcW w:w="213" w:type="pct"/>
                  <w:tcBorders>
                    <w:tl2br w:val="nil"/>
                    <w:tr2bl w:val="nil"/>
                  </w:tcBorders>
                  <w:noWrap w:val="0"/>
                  <w:tcMar>
                    <w:top w:w="0" w:type="dxa"/>
                    <w:left w:w="0" w:type="dxa"/>
                    <w:bottom w:w="0" w:type="dxa"/>
                    <w:right w:w="0" w:type="dxa"/>
                  </w:tcMar>
                  <w:vAlign w:val="center"/>
                </w:tcPr>
                <w:p w14:paraId="323F339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17.5</w:t>
                  </w:r>
                </w:p>
              </w:tc>
              <w:tc>
                <w:tcPr>
                  <w:tcW w:w="192" w:type="pct"/>
                  <w:tcBorders>
                    <w:tl2br w:val="nil"/>
                    <w:tr2bl w:val="nil"/>
                  </w:tcBorders>
                  <w:noWrap w:val="0"/>
                  <w:tcMar>
                    <w:top w:w="0" w:type="dxa"/>
                    <w:left w:w="0" w:type="dxa"/>
                    <w:bottom w:w="0" w:type="dxa"/>
                    <w:right w:w="0" w:type="dxa"/>
                  </w:tcMar>
                  <w:vAlign w:val="center"/>
                </w:tcPr>
                <w:p w14:paraId="66ABDD6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72.4 </w:t>
                  </w:r>
                </w:p>
              </w:tc>
              <w:tc>
                <w:tcPr>
                  <w:tcW w:w="192" w:type="pct"/>
                  <w:tcBorders>
                    <w:tl2br w:val="nil"/>
                    <w:tr2bl w:val="nil"/>
                  </w:tcBorders>
                  <w:noWrap w:val="0"/>
                  <w:tcMar>
                    <w:top w:w="0" w:type="dxa"/>
                    <w:left w:w="0" w:type="dxa"/>
                    <w:bottom w:w="0" w:type="dxa"/>
                    <w:right w:w="0" w:type="dxa"/>
                  </w:tcMar>
                  <w:vAlign w:val="center"/>
                </w:tcPr>
                <w:p w14:paraId="4570BB3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63.7 </w:t>
                  </w:r>
                </w:p>
              </w:tc>
              <w:tc>
                <w:tcPr>
                  <w:tcW w:w="205" w:type="pct"/>
                  <w:tcBorders>
                    <w:tl2br w:val="nil"/>
                    <w:tr2bl w:val="nil"/>
                  </w:tcBorders>
                  <w:noWrap w:val="0"/>
                  <w:tcMar>
                    <w:top w:w="0" w:type="dxa"/>
                    <w:left w:w="0" w:type="dxa"/>
                    <w:bottom w:w="0" w:type="dxa"/>
                    <w:right w:w="0" w:type="dxa"/>
                  </w:tcMar>
                  <w:vAlign w:val="center"/>
                </w:tcPr>
                <w:p w14:paraId="6E08654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68.9 </w:t>
                  </w:r>
                </w:p>
              </w:tc>
              <w:tc>
                <w:tcPr>
                  <w:tcW w:w="208" w:type="pct"/>
                  <w:tcBorders>
                    <w:tl2br w:val="nil"/>
                    <w:tr2bl w:val="nil"/>
                  </w:tcBorders>
                  <w:noWrap w:val="0"/>
                  <w:tcMar>
                    <w:top w:w="0" w:type="dxa"/>
                    <w:left w:w="0" w:type="dxa"/>
                    <w:bottom w:w="0" w:type="dxa"/>
                    <w:right w:w="0" w:type="dxa"/>
                  </w:tcMar>
                  <w:vAlign w:val="center"/>
                </w:tcPr>
                <w:p w14:paraId="45FF2A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65.1 </w:t>
                  </w:r>
                </w:p>
              </w:tc>
              <w:tc>
                <w:tcPr>
                  <w:tcW w:w="228" w:type="pct"/>
                  <w:vMerge w:val="continue"/>
                  <w:tcBorders>
                    <w:tl2br w:val="nil"/>
                    <w:tr2bl w:val="nil"/>
                  </w:tcBorders>
                  <w:noWrap w:val="0"/>
                  <w:tcMar>
                    <w:top w:w="0" w:type="dxa"/>
                    <w:left w:w="0" w:type="dxa"/>
                    <w:bottom w:w="0" w:type="dxa"/>
                    <w:right w:w="0" w:type="dxa"/>
                  </w:tcMar>
                  <w:vAlign w:val="center"/>
                </w:tcPr>
                <w:p w14:paraId="61DFDC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0ABF3E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C88097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47.4 </w:t>
                  </w:r>
                </w:p>
              </w:tc>
              <w:tc>
                <w:tcPr>
                  <w:tcW w:w="201" w:type="pct"/>
                  <w:tcBorders>
                    <w:tl2br w:val="nil"/>
                    <w:tr2bl w:val="nil"/>
                  </w:tcBorders>
                  <w:noWrap w:val="0"/>
                  <w:tcMar>
                    <w:top w:w="0" w:type="dxa"/>
                    <w:left w:w="0" w:type="dxa"/>
                    <w:bottom w:w="0" w:type="dxa"/>
                    <w:right w:w="0" w:type="dxa"/>
                  </w:tcMar>
                  <w:vAlign w:val="center"/>
                </w:tcPr>
                <w:p w14:paraId="66A526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38.7 </w:t>
                  </w:r>
                </w:p>
              </w:tc>
              <w:tc>
                <w:tcPr>
                  <w:tcW w:w="193" w:type="pct"/>
                  <w:tcBorders>
                    <w:tl2br w:val="nil"/>
                    <w:tr2bl w:val="nil"/>
                  </w:tcBorders>
                  <w:noWrap w:val="0"/>
                  <w:tcMar>
                    <w:top w:w="0" w:type="dxa"/>
                    <w:left w:w="0" w:type="dxa"/>
                    <w:bottom w:w="0" w:type="dxa"/>
                    <w:right w:w="0" w:type="dxa"/>
                  </w:tcMar>
                  <w:vAlign w:val="center"/>
                </w:tcPr>
                <w:p w14:paraId="06089EF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43.9 </w:t>
                  </w:r>
                </w:p>
              </w:tc>
              <w:tc>
                <w:tcPr>
                  <w:tcW w:w="195" w:type="pct"/>
                  <w:tcBorders>
                    <w:tl2br w:val="nil"/>
                    <w:tr2bl w:val="nil"/>
                  </w:tcBorders>
                  <w:noWrap w:val="0"/>
                  <w:tcMar>
                    <w:top w:w="0" w:type="dxa"/>
                    <w:left w:w="0" w:type="dxa"/>
                    <w:bottom w:w="0" w:type="dxa"/>
                    <w:right w:w="0" w:type="dxa"/>
                  </w:tcMar>
                  <w:vAlign w:val="center"/>
                </w:tcPr>
                <w:p w14:paraId="2C704A2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40.1 </w:t>
                  </w:r>
                </w:p>
              </w:tc>
              <w:tc>
                <w:tcPr>
                  <w:tcW w:w="202" w:type="pct"/>
                  <w:tcBorders>
                    <w:tl2br w:val="nil"/>
                    <w:tr2bl w:val="nil"/>
                  </w:tcBorders>
                  <w:noWrap w:val="0"/>
                  <w:tcMar>
                    <w:top w:w="0" w:type="dxa"/>
                    <w:left w:w="0" w:type="dxa"/>
                    <w:bottom w:w="0" w:type="dxa"/>
                    <w:right w:w="0" w:type="dxa"/>
                  </w:tcMar>
                  <w:vAlign w:val="center"/>
                </w:tcPr>
                <w:p w14:paraId="4EE6F5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83F8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3B4E5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19</w:t>
                  </w:r>
                </w:p>
              </w:tc>
              <w:tc>
                <w:tcPr>
                  <w:tcW w:w="178" w:type="pct"/>
                  <w:vMerge w:val="continue"/>
                  <w:tcBorders>
                    <w:tl2br w:val="nil"/>
                    <w:tr2bl w:val="nil"/>
                  </w:tcBorders>
                  <w:noWrap w:val="0"/>
                  <w:tcMar>
                    <w:top w:w="0" w:type="dxa"/>
                    <w:left w:w="0" w:type="dxa"/>
                    <w:bottom w:w="0" w:type="dxa"/>
                    <w:right w:w="0" w:type="dxa"/>
                  </w:tcMar>
                  <w:vAlign w:val="center"/>
                </w:tcPr>
                <w:p w14:paraId="2FC065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656AE9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磁选机（4台，按点声源组计算）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5801B8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2B98D95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96.0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4CEB8F9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614399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10.8</w:t>
                  </w:r>
                </w:p>
              </w:tc>
              <w:tc>
                <w:tcPr>
                  <w:tcW w:w="219" w:type="pct"/>
                  <w:tcBorders>
                    <w:tl2br w:val="nil"/>
                    <w:tr2bl w:val="nil"/>
                  </w:tcBorders>
                  <w:noWrap w:val="0"/>
                  <w:tcMar>
                    <w:top w:w="0" w:type="dxa"/>
                    <w:left w:w="0" w:type="dxa"/>
                    <w:bottom w:w="0" w:type="dxa"/>
                    <w:right w:w="0" w:type="dxa"/>
                  </w:tcMar>
                  <w:vAlign w:val="center"/>
                </w:tcPr>
                <w:p w14:paraId="71AC377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54.6</w:t>
                  </w:r>
                </w:p>
              </w:tc>
              <w:tc>
                <w:tcPr>
                  <w:tcW w:w="176" w:type="pct"/>
                  <w:tcBorders>
                    <w:tl2br w:val="nil"/>
                    <w:tr2bl w:val="nil"/>
                  </w:tcBorders>
                  <w:noWrap w:val="0"/>
                  <w:tcMar>
                    <w:top w:w="0" w:type="dxa"/>
                    <w:left w:w="0" w:type="dxa"/>
                    <w:bottom w:w="0" w:type="dxa"/>
                    <w:right w:w="0" w:type="dxa"/>
                  </w:tcMar>
                  <w:vAlign w:val="center"/>
                </w:tcPr>
                <w:p w14:paraId="4D94B83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2A5C9F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7.8</w:t>
                  </w:r>
                </w:p>
              </w:tc>
              <w:tc>
                <w:tcPr>
                  <w:tcW w:w="187" w:type="pct"/>
                  <w:tcBorders>
                    <w:tl2br w:val="nil"/>
                    <w:tr2bl w:val="nil"/>
                  </w:tcBorders>
                  <w:noWrap w:val="0"/>
                  <w:tcMar>
                    <w:top w:w="0" w:type="dxa"/>
                    <w:left w:w="0" w:type="dxa"/>
                    <w:bottom w:w="0" w:type="dxa"/>
                    <w:right w:w="0" w:type="dxa"/>
                  </w:tcMar>
                  <w:vAlign w:val="center"/>
                </w:tcPr>
                <w:p w14:paraId="4F4419C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21.1</w:t>
                  </w:r>
                </w:p>
              </w:tc>
              <w:tc>
                <w:tcPr>
                  <w:tcW w:w="205" w:type="pct"/>
                  <w:tcBorders>
                    <w:tl2br w:val="nil"/>
                    <w:tr2bl w:val="nil"/>
                  </w:tcBorders>
                  <w:shd w:val="clear" w:color="auto" w:fill="auto"/>
                  <w:noWrap w:val="0"/>
                  <w:tcMar>
                    <w:top w:w="0" w:type="dxa"/>
                    <w:left w:w="0" w:type="dxa"/>
                    <w:bottom w:w="0" w:type="dxa"/>
                    <w:right w:w="0" w:type="dxa"/>
                  </w:tcMar>
                  <w:vAlign w:val="center"/>
                </w:tcPr>
                <w:p w14:paraId="7B746A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10.8</w:t>
                  </w:r>
                </w:p>
              </w:tc>
              <w:tc>
                <w:tcPr>
                  <w:tcW w:w="213" w:type="pct"/>
                  <w:tcBorders>
                    <w:tl2br w:val="nil"/>
                    <w:tr2bl w:val="nil"/>
                  </w:tcBorders>
                  <w:noWrap w:val="0"/>
                  <w:tcMar>
                    <w:top w:w="0" w:type="dxa"/>
                    <w:left w:w="0" w:type="dxa"/>
                    <w:bottom w:w="0" w:type="dxa"/>
                    <w:right w:w="0" w:type="dxa"/>
                  </w:tcMar>
                  <w:vAlign w:val="center"/>
                </w:tcPr>
                <w:p w14:paraId="3082B4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16.2</w:t>
                  </w:r>
                </w:p>
              </w:tc>
              <w:tc>
                <w:tcPr>
                  <w:tcW w:w="192" w:type="pct"/>
                  <w:tcBorders>
                    <w:tl2br w:val="nil"/>
                    <w:tr2bl w:val="nil"/>
                  </w:tcBorders>
                  <w:noWrap w:val="0"/>
                  <w:tcMar>
                    <w:top w:w="0" w:type="dxa"/>
                    <w:left w:w="0" w:type="dxa"/>
                    <w:bottom w:w="0" w:type="dxa"/>
                    <w:right w:w="0" w:type="dxa"/>
                  </w:tcMar>
                  <w:vAlign w:val="center"/>
                </w:tcPr>
                <w:p w14:paraId="437953E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72.2 </w:t>
                  </w:r>
                </w:p>
              </w:tc>
              <w:tc>
                <w:tcPr>
                  <w:tcW w:w="192" w:type="pct"/>
                  <w:tcBorders>
                    <w:tl2br w:val="nil"/>
                    <w:tr2bl w:val="nil"/>
                  </w:tcBorders>
                  <w:noWrap w:val="0"/>
                  <w:tcMar>
                    <w:top w:w="0" w:type="dxa"/>
                    <w:left w:w="0" w:type="dxa"/>
                    <w:bottom w:w="0" w:type="dxa"/>
                    <w:right w:w="0" w:type="dxa"/>
                  </w:tcMar>
                  <w:vAlign w:val="center"/>
                </w:tcPr>
                <w:p w14:paraId="2B41B81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63.5 </w:t>
                  </w:r>
                </w:p>
              </w:tc>
              <w:tc>
                <w:tcPr>
                  <w:tcW w:w="205" w:type="pct"/>
                  <w:tcBorders>
                    <w:tl2br w:val="nil"/>
                    <w:tr2bl w:val="nil"/>
                  </w:tcBorders>
                  <w:noWrap w:val="0"/>
                  <w:tcMar>
                    <w:top w:w="0" w:type="dxa"/>
                    <w:left w:w="0" w:type="dxa"/>
                    <w:bottom w:w="0" w:type="dxa"/>
                    <w:right w:w="0" w:type="dxa"/>
                  </w:tcMar>
                  <w:vAlign w:val="center"/>
                </w:tcPr>
                <w:p w14:paraId="6005B69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69.3 </w:t>
                  </w:r>
                </w:p>
              </w:tc>
              <w:tc>
                <w:tcPr>
                  <w:tcW w:w="208" w:type="pct"/>
                  <w:tcBorders>
                    <w:tl2br w:val="nil"/>
                    <w:tr2bl w:val="nil"/>
                  </w:tcBorders>
                  <w:noWrap w:val="0"/>
                  <w:tcMar>
                    <w:top w:w="0" w:type="dxa"/>
                    <w:left w:w="0" w:type="dxa"/>
                    <w:bottom w:w="0" w:type="dxa"/>
                    <w:right w:w="0" w:type="dxa"/>
                  </w:tcMar>
                  <w:vAlign w:val="center"/>
                </w:tcPr>
                <w:p w14:paraId="5DA704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65.8 </w:t>
                  </w:r>
                </w:p>
              </w:tc>
              <w:tc>
                <w:tcPr>
                  <w:tcW w:w="228" w:type="pct"/>
                  <w:vMerge w:val="continue"/>
                  <w:tcBorders>
                    <w:tl2br w:val="nil"/>
                    <w:tr2bl w:val="nil"/>
                  </w:tcBorders>
                  <w:noWrap w:val="0"/>
                  <w:tcMar>
                    <w:top w:w="0" w:type="dxa"/>
                    <w:left w:w="0" w:type="dxa"/>
                    <w:bottom w:w="0" w:type="dxa"/>
                    <w:right w:w="0" w:type="dxa"/>
                  </w:tcMar>
                  <w:vAlign w:val="center"/>
                </w:tcPr>
                <w:p w14:paraId="74E56D4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135F10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23C99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47.2 </w:t>
                  </w:r>
                </w:p>
              </w:tc>
              <w:tc>
                <w:tcPr>
                  <w:tcW w:w="201" w:type="pct"/>
                  <w:tcBorders>
                    <w:tl2br w:val="nil"/>
                    <w:tr2bl w:val="nil"/>
                  </w:tcBorders>
                  <w:noWrap w:val="0"/>
                  <w:tcMar>
                    <w:top w:w="0" w:type="dxa"/>
                    <w:left w:w="0" w:type="dxa"/>
                    <w:bottom w:w="0" w:type="dxa"/>
                    <w:right w:w="0" w:type="dxa"/>
                  </w:tcMar>
                  <w:vAlign w:val="center"/>
                </w:tcPr>
                <w:p w14:paraId="13831B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38.5 </w:t>
                  </w:r>
                </w:p>
              </w:tc>
              <w:tc>
                <w:tcPr>
                  <w:tcW w:w="193" w:type="pct"/>
                  <w:tcBorders>
                    <w:tl2br w:val="nil"/>
                    <w:tr2bl w:val="nil"/>
                  </w:tcBorders>
                  <w:noWrap w:val="0"/>
                  <w:tcMar>
                    <w:top w:w="0" w:type="dxa"/>
                    <w:left w:w="0" w:type="dxa"/>
                    <w:bottom w:w="0" w:type="dxa"/>
                    <w:right w:w="0" w:type="dxa"/>
                  </w:tcMar>
                  <w:vAlign w:val="center"/>
                </w:tcPr>
                <w:p w14:paraId="779FAEC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44.3 </w:t>
                  </w:r>
                </w:p>
              </w:tc>
              <w:tc>
                <w:tcPr>
                  <w:tcW w:w="195" w:type="pct"/>
                  <w:tcBorders>
                    <w:tl2br w:val="nil"/>
                    <w:tr2bl w:val="nil"/>
                  </w:tcBorders>
                  <w:noWrap w:val="0"/>
                  <w:tcMar>
                    <w:top w:w="0" w:type="dxa"/>
                    <w:left w:w="0" w:type="dxa"/>
                    <w:bottom w:w="0" w:type="dxa"/>
                    <w:right w:w="0" w:type="dxa"/>
                  </w:tcMar>
                  <w:vAlign w:val="center"/>
                </w:tcPr>
                <w:p w14:paraId="1F68595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40.8 </w:t>
                  </w:r>
                </w:p>
              </w:tc>
              <w:tc>
                <w:tcPr>
                  <w:tcW w:w="202" w:type="pct"/>
                  <w:tcBorders>
                    <w:tl2br w:val="nil"/>
                    <w:tr2bl w:val="nil"/>
                  </w:tcBorders>
                  <w:noWrap w:val="0"/>
                  <w:tcMar>
                    <w:top w:w="0" w:type="dxa"/>
                    <w:left w:w="0" w:type="dxa"/>
                    <w:bottom w:w="0" w:type="dxa"/>
                    <w:right w:w="0" w:type="dxa"/>
                  </w:tcMar>
                  <w:vAlign w:val="center"/>
                </w:tcPr>
                <w:p w14:paraId="1C447C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E7EDE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211D6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20</w:t>
                  </w:r>
                </w:p>
              </w:tc>
              <w:tc>
                <w:tcPr>
                  <w:tcW w:w="178" w:type="pct"/>
                  <w:vMerge w:val="continue"/>
                  <w:tcBorders>
                    <w:tl2br w:val="nil"/>
                    <w:tr2bl w:val="nil"/>
                  </w:tcBorders>
                  <w:noWrap w:val="0"/>
                  <w:tcMar>
                    <w:top w:w="0" w:type="dxa"/>
                    <w:left w:w="0" w:type="dxa"/>
                    <w:bottom w:w="0" w:type="dxa"/>
                    <w:right w:w="0" w:type="dxa"/>
                  </w:tcMar>
                  <w:vAlign w:val="center"/>
                </w:tcPr>
                <w:p w14:paraId="75F4B9B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0800646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提升机（6台，按点声源组计算）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1CDDC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6</w:t>
                  </w:r>
                </w:p>
              </w:tc>
              <w:tc>
                <w:tcPr>
                  <w:tcW w:w="344" w:type="pct"/>
                  <w:tcBorders>
                    <w:tl2br w:val="nil"/>
                    <w:tr2bl w:val="nil"/>
                  </w:tcBorders>
                  <w:noWrap w:val="0"/>
                  <w:tcMar>
                    <w:top w:w="0" w:type="dxa"/>
                    <w:left w:w="0" w:type="dxa"/>
                    <w:bottom w:w="0" w:type="dxa"/>
                    <w:right w:w="0" w:type="dxa"/>
                  </w:tcMar>
                  <w:vAlign w:val="center"/>
                </w:tcPr>
                <w:p w14:paraId="7BAE3E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485D43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BE617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13.5</w:t>
                  </w:r>
                </w:p>
              </w:tc>
              <w:tc>
                <w:tcPr>
                  <w:tcW w:w="219" w:type="pct"/>
                  <w:tcBorders>
                    <w:tl2br w:val="nil"/>
                    <w:tr2bl w:val="nil"/>
                  </w:tcBorders>
                  <w:noWrap w:val="0"/>
                  <w:tcMar>
                    <w:top w:w="0" w:type="dxa"/>
                    <w:left w:w="0" w:type="dxa"/>
                    <w:bottom w:w="0" w:type="dxa"/>
                    <w:right w:w="0" w:type="dxa"/>
                  </w:tcMar>
                  <w:vAlign w:val="center"/>
                </w:tcPr>
                <w:p w14:paraId="430A84D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53.5</w:t>
                  </w:r>
                </w:p>
              </w:tc>
              <w:tc>
                <w:tcPr>
                  <w:tcW w:w="176" w:type="pct"/>
                  <w:tcBorders>
                    <w:tl2br w:val="nil"/>
                    <w:tr2bl w:val="nil"/>
                  </w:tcBorders>
                  <w:noWrap w:val="0"/>
                  <w:tcMar>
                    <w:top w:w="0" w:type="dxa"/>
                    <w:left w:w="0" w:type="dxa"/>
                    <w:bottom w:w="0" w:type="dxa"/>
                    <w:right w:w="0" w:type="dxa"/>
                  </w:tcMar>
                  <w:vAlign w:val="center"/>
                </w:tcPr>
                <w:p w14:paraId="258DD39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561B02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w:t>
                  </w:r>
                </w:p>
              </w:tc>
              <w:tc>
                <w:tcPr>
                  <w:tcW w:w="187" w:type="pct"/>
                  <w:tcBorders>
                    <w:tl2br w:val="nil"/>
                    <w:tr2bl w:val="nil"/>
                  </w:tcBorders>
                  <w:noWrap w:val="0"/>
                  <w:tcMar>
                    <w:top w:w="0" w:type="dxa"/>
                    <w:left w:w="0" w:type="dxa"/>
                    <w:bottom w:w="0" w:type="dxa"/>
                    <w:right w:w="0" w:type="dxa"/>
                  </w:tcMar>
                  <w:vAlign w:val="center"/>
                </w:tcPr>
                <w:p w14:paraId="0C1944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24.6</w:t>
                  </w:r>
                </w:p>
              </w:tc>
              <w:tc>
                <w:tcPr>
                  <w:tcW w:w="205" w:type="pct"/>
                  <w:tcBorders>
                    <w:tl2br w:val="nil"/>
                    <w:tr2bl w:val="nil"/>
                  </w:tcBorders>
                  <w:shd w:val="clear" w:color="auto" w:fill="auto"/>
                  <w:noWrap w:val="0"/>
                  <w:tcMar>
                    <w:top w:w="0" w:type="dxa"/>
                    <w:left w:w="0" w:type="dxa"/>
                    <w:bottom w:w="0" w:type="dxa"/>
                    <w:right w:w="0" w:type="dxa"/>
                  </w:tcMar>
                  <w:vAlign w:val="center"/>
                </w:tcPr>
                <w:p w14:paraId="391A46A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13.5</w:t>
                  </w:r>
                </w:p>
              </w:tc>
              <w:tc>
                <w:tcPr>
                  <w:tcW w:w="213" w:type="pct"/>
                  <w:tcBorders>
                    <w:tl2br w:val="nil"/>
                    <w:tr2bl w:val="nil"/>
                  </w:tcBorders>
                  <w:noWrap w:val="0"/>
                  <w:tcMar>
                    <w:top w:w="0" w:type="dxa"/>
                    <w:left w:w="0" w:type="dxa"/>
                    <w:bottom w:w="0" w:type="dxa"/>
                    <w:right w:w="0" w:type="dxa"/>
                  </w:tcMar>
                  <w:vAlign w:val="center"/>
                </w:tcPr>
                <w:p w14:paraId="7450525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15.9</w:t>
                  </w:r>
                </w:p>
              </w:tc>
              <w:tc>
                <w:tcPr>
                  <w:tcW w:w="192" w:type="pct"/>
                  <w:tcBorders>
                    <w:tl2br w:val="nil"/>
                    <w:tr2bl w:val="nil"/>
                  </w:tcBorders>
                  <w:noWrap w:val="0"/>
                  <w:tcMar>
                    <w:top w:w="0" w:type="dxa"/>
                    <w:left w:w="0" w:type="dxa"/>
                    <w:bottom w:w="0" w:type="dxa"/>
                    <w:right w:w="0" w:type="dxa"/>
                  </w:tcMar>
                  <w:vAlign w:val="center"/>
                </w:tcPr>
                <w:p w14:paraId="2A89E34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63.2 </w:t>
                  </w:r>
                </w:p>
              </w:tc>
              <w:tc>
                <w:tcPr>
                  <w:tcW w:w="192" w:type="pct"/>
                  <w:tcBorders>
                    <w:tl2br w:val="nil"/>
                    <w:tr2bl w:val="nil"/>
                  </w:tcBorders>
                  <w:noWrap w:val="0"/>
                  <w:tcMar>
                    <w:top w:w="0" w:type="dxa"/>
                    <w:left w:w="0" w:type="dxa"/>
                    <w:bottom w:w="0" w:type="dxa"/>
                    <w:right w:w="0" w:type="dxa"/>
                  </w:tcMar>
                  <w:vAlign w:val="center"/>
                </w:tcPr>
                <w:p w14:paraId="31ED371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52.2 </w:t>
                  </w:r>
                </w:p>
              </w:tc>
              <w:tc>
                <w:tcPr>
                  <w:tcW w:w="205" w:type="pct"/>
                  <w:tcBorders>
                    <w:tl2br w:val="nil"/>
                    <w:tr2bl w:val="nil"/>
                  </w:tcBorders>
                  <w:noWrap w:val="0"/>
                  <w:tcMar>
                    <w:top w:w="0" w:type="dxa"/>
                    <w:left w:w="0" w:type="dxa"/>
                    <w:bottom w:w="0" w:type="dxa"/>
                    <w:right w:w="0" w:type="dxa"/>
                  </w:tcMar>
                  <w:vAlign w:val="center"/>
                </w:tcPr>
                <w:p w14:paraId="08364F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57.4 </w:t>
                  </w:r>
                </w:p>
              </w:tc>
              <w:tc>
                <w:tcPr>
                  <w:tcW w:w="208" w:type="pct"/>
                  <w:tcBorders>
                    <w:tl2br w:val="nil"/>
                    <w:tr2bl w:val="nil"/>
                  </w:tcBorders>
                  <w:noWrap w:val="0"/>
                  <w:tcMar>
                    <w:top w:w="0" w:type="dxa"/>
                    <w:left w:w="0" w:type="dxa"/>
                    <w:bottom w:w="0" w:type="dxa"/>
                    <w:right w:w="0" w:type="dxa"/>
                  </w:tcMar>
                  <w:vAlign w:val="center"/>
                </w:tcPr>
                <w:p w14:paraId="5C8938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56.0 </w:t>
                  </w:r>
                </w:p>
              </w:tc>
              <w:tc>
                <w:tcPr>
                  <w:tcW w:w="228" w:type="pct"/>
                  <w:vMerge w:val="continue"/>
                  <w:tcBorders>
                    <w:tl2br w:val="nil"/>
                    <w:tr2bl w:val="nil"/>
                  </w:tcBorders>
                  <w:noWrap w:val="0"/>
                  <w:tcMar>
                    <w:top w:w="0" w:type="dxa"/>
                    <w:left w:w="0" w:type="dxa"/>
                    <w:bottom w:w="0" w:type="dxa"/>
                    <w:right w:w="0" w:type="dxa"/>
                  </w:tcMar>
                  <w:vAlign w:val="center"/>
                </w:tcPr>
                <w:p w14:paraId="4FCD76A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0A93C0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6640C9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38.2 </w:t>
                  </w:r>
                </w:p>
              </w:tc>
              <w:tc>
                <w:tcPr>
                  <w:tcW w:w="201" w:type="pct"/>
                  <w:tcBorders>
                    <w:tl2br w:val="nil"/>
                    <w:tr2bl w:val="nil"/>
                  </w:tcBorders>
                  <w:noWrap w:val="0"/>
                  <w:tcMar>
                    <w:top w:w="0" w:type="dxa"/>
                    <w:left w:w="0" w:type="dxa"/>
                    <w:bottom w:w="0" w:type="dxa"/>
                    <w:right w:w="0" w:type="dxa"/>
                  </w:tcMar>
                  <w:vAlign w:val="center"/>
                </w:tcPr>
                <w:p w14:paraId="5266421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27.2 </w:t>
                  </w:r>
                </w:p>
              </w:tc>
              <w:tc>
                <w:tcPr>
                  <w:tcW w:w="193" w:type="pct"/>
                  <w:tcBorders>
                    <w:tl2br w:val="nil"/>
                    <w:tr2bl w:val="nil"/>
                  </w:tcBorders>
                  <w:noWrap w:val="0"/>
                  <w:tcMar>
                    <w:top w:w="0" w:type="dxa"/>
                    <w:left w:w="0" w:type="dxa"/>
                    <w:bottom w:w="0" w:type="dxa"/>
                    <w:right w:w="0" w:type="dxa"/>
                  </w:tcMar>
                  <w:vAlign w:val="center"/>
                </w:tcPr>
                <w:p w14:paraId="7CA0160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32.4 </w:t>
                  </w:r>
                </w:p>
              </w:tc>
              <w:tc>
                <w:tcPr>
                  <w:tcW w:w="195" w:type="pct"/>
                  <w:tcBorders>
                    <w:tl2br w:val="nil"/>
                    <w:tr2bl w:val="nil"/>
                  </w:tcBorders>
                  <w:noWrap w:val="0"/>
                  <w:tcMar>
                    <w:top w:w="0" w:type="dxa"/>
                    <w:left w:w="0" w:type="dxa"/>
                    <w:bottom w:w="0" w:type="dxa"/>
                    <w:right w:w="0" w:type="dxa"/>
                  </w:tcMar>
                  <w:vAlign w:val="center"/>
                </w:tcPr>
                <w:p w14:paraId="48CAEE3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31.0 </w:t>
                  </w:r>
                </w:p>
              </w:tc>
              <w:tc>
                <w:tcPr>
                  <w:tcW w:w="202" w:type="pct"/>
                  <w:tcBorders>
                    <w:tl2br w:val="nil"/>
                    <w:tr2bl w:val="nil"/>
                  </w:tcBorders>
                  <w:noWrap w:val="0"/>
                  <w:tcMar>
                    <w:top w:w="0" w:type="dxa"/>
                    <w:left w:w="0" w:type="dxa"/>
                    <w:bottom w:w="0" w:type="dxa"/>
                    <w:right w:w="0" w:type="dxa"/>
                  </w:tcMar>
                  <w:vAlign w:val="center"/>
                </w:tcPr>
                <w:p w14:paraId="7FDEB7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812DA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4C4F5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21</w:t>
                  </w:r>
                </w:p>
              </w:tc>
              <w:tc>
                <w:tcPr>
                  <w:tcW w:w="178" w:type="pct"/>
                  <w:vMerge w:val="continue"/>
                  <w:tcBorders>
                    <w:tl2br w:val="nil"/>
                    <w:tr2bl w:val="nil"/>
                  </w:tcBorders>
                  <w:noWrap w:val="0"/>
                  <w:tcMar>
                    <w:top w:w="0" w:type="dxa"/>
                    <w:left w:w="0" w:type="dxa"/>
                    <w:bottom w:w="0" w:type="dxa"/>
                    <w:right w:w="0" w:type="dxa"/>
                  </w:tcMar>
                  <w:vAlign w:val="center"/>
                </w:tcPr>
                <w:p w14:paraId="5308EA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4788E64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振动筛（8台，按点声源组计算）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DE460C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8</w:t>
                  </w:r>
                </w:p>
              </w:tc>
              <w:tc>
                <w:tcPr>
                  <w:tcW w:w="344" w:type="pct"/>
                  <w:tcBorders>
                    <w:tl2br w:val="nil"/>
                    <w:tr2bl w:val="nil"/>
                  </w:tcBorders>
                  <w:noWrap w:val="0"/>
                  <w:tcMar>
                    <w:top w:w="0" w:type="dxa"/>
                    <w:left w:w="0" w:type="dxa"/>
                    <w:bottom w:w="0" w:type="dxa"/>
                    <w:right w:w="0" w:type="dxa"/>
                  </w:tcMar>
                  <w:vAlign w:val="center"/>
                </w:tcPr>
                <w:p w14:paraId="4CC3551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70FF494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D0B69F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12.6</w:t>
                  </w:r>
                </w:p>
              </w:tc>
              <w:tc>
                <w:tcPr>
                  <w:tcW w:w="219" w:type="pct"/>
                  <w:tcBorders>
                    <w:tl2br w:val="nil"/>
                    <w:tr2bl w:val="nil"/>
                  </w:tcBorders>
                  <w:noWrap w:val="0"/>
                  <w:tcMar>
                    <w:top w:w="0" w:type="dxa"/>
                    <w:left w:w="0" w:type="dxa"/>
                    <w:bottom w:w="0" w:type="dxa"/>
                    <w:right w:w="0" w:type="dxa"/>
                  </w:tcMar>
                  <w:vAlign w:val="center"/>
                </w:tcPr>
                <w:p w14:paraId="4E1593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53.9</w:t>
                  </w:r>
                </w:p>
              </w:tc>
              <w:tc>
                <w:tcPr>
                  <w:tcW w:w="176" w:type="pct"/>
                  <w:tcBorders>
                    <w:tl2br w:val="nil"/>
                    <w:tr2bl w:val="nil"/>
                  </w:tcBorders>
                  <w:noWrap w:val="0"/>
                  <w:tcMar>
                    <w:top w:w="0" w:type="dxa"/>
                    <w:left w:w="0" w:type="dxa"/>
                    <w:bottom w:w="0" w:type="dxa"/>
                    <w:right w:w="0" w:type="dxa"/>
                  </w:tcMar>
                  <w:vAlign w:val="center"/>
                </w:tcPr>
                <w:p w14:paraId="05F715A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64BB96C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8.1</w:t>
                  </w:r>
                </w:p>
              </w:tc>
              <w:tc>
                <w:tcPr>
                  <w:tcW w:w="187" w:type="pct"/>
                  <w:tcBorders>
                    <w:tl2br w:val="nil"/>
                    <w:tr2bl w:val="nil"/>
                  </w:tcBorders>
                  <w:noWrap w:val="0"/>
                  <w:tcMar>
                    <w:top w:w="0" w:type="dxa"/>
                    <w:left w:w="0" w:type="dxa"/>
                    <w:bottom w:w="0" w:type="dxa"/>
                    <w:right w:w="0" w:type="dxa"/>
                  </w:tcMar>
                  <w:vAlign w:val="center"/>
                </w:tcPr>
                <w:p w14:paraId="3488460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23.0</w:t>
                  </w:r>
                </w:p>
              </w:tc>
              <w:tc>
                <w:tcPr>
                  <w:tcW w:w="205" w:type="pct"/>
                  <w:tcBorders>
                    <w:tl2br w:val="nil"/>
                    <w:tr2bl w:val="nil"/>
                  </w:tcBorders>
                  <w:shd w:val="clear" w:color="auto" w:fill="auto"/>
                  <w:noWrap w:val="0"/>
                  <w:tcMar>
                    <w:top w:w="0" w:type="dxa"/>
                    <w:left w:w="0" w:type="dxa"/>
                    <w:bottom w:w="0" w:type="dxa"/>
                    <w:right w:w="0" w:type="dxa"/>
                  </w:tcMar>
                  <w:vAlign w:val="center"/>
                </w:tcPr>
                <w:p w14:paraId="1A0582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12.6</w:t>
                  </w:r>
                </w:p>
              </w:tc>
              <w:tc>
                <w:tcPr>
                  <w:tcW w:w="213" w:type="pct"/>
                  <w:tcBorders>
                    <w:tl2br w:val="nil"/>
                    <w:tr2bl w:val="nil"/>
                  </w:tcBorders>
                  <w:noWrap w:val="0"/>
                  <w:tcMar>
                    <w:top w:w="0" w:type="dxa"/>
                    <w:left w:w="0" w:type="dxa"/>
                    <w:bottom w:w="0" w:type="dxa"/>
                    <w:right w:w="0" w:type="dxa"/>
                  </w:tcMar>
                  <w:vAlign w:val="center"/>
                </w:tcPr>
                <w:p w14:paraId="2E89FA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14.2</w:t>
                  </w:r>
                </w:p>
              </w:tc>
              <w:tc>
                <w:tcPr>
                  <w:tcW w:w="192" w:type="pct"/>
                  <w:tcBorders>
                    <w:tl2br w:val="nil"/>
                    <w:tr2bl w:val="nil"/>
                  </w:tcBorders>
                  <w:noWrap w:val="0"/>
                  <w:tcMar>
                    <w:top w:w="0" w:type="dxa"/>
                    <w:left w:w="0" w:type="dxa"/>
                    <w:bottom w:w="0" w:type="dxa"/>
                    <w:right w:w="0" w:type="dxa"/>
                  </w:tcMar>
                  <w:vAlign w:val="center"/>
                </w:tcPr>
                <w:p w14:paraId="1D0DF76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66.8 </w:t>
                  </w:r>
                </w:p>
              </w:tc>
              <w:tc>
                <w:tcPr>
                  <w:tcW w:w="192" w:type="pct"/>
                  <w:tcBorders>
                    <w:tl2br w:val="nil"/>
                    <w:tr2bl w:val="nil"/>
                  </w:tcBorders>
                  <w:noWrap w:val="0"/>
                  <w:tcMar>
                    <w:top w:w="0" w:type="dxa"/>
                    <w:left w:w="0" w:type="dxa"/>
                    <w:bottom w:w="0" w:type="dxa"/>
                    <w:right w:w="0" w:type="dxa"/>
                  </w:tcMar>
                  <w:vAlign w:val="center"/>
                </w:tcPr>
                <w:p w14:paraId="2F04120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57.8 </w:t>
                  </w:r>
                </w:p>
              </w:tc>
              <w:tc>
                <w:tcPr>
                  <w:tcW w:w="205" w:type="pct"/>
                  <w:tcBorders>
                    <w:tl2br w:val="nil"/>
                    <w:tr2bl w:val="nil"/>
                  </w:tcBorders>
                  <w:noWrap w:val="0"/>
                  <w:tcMar>
                    <w:top w:w="0" w:type="dxa"/>
                    <w:left w:w="0" w:type="dxa"/>
                    <w:bottom w:w="0" w:type="dxa"/>
                    <w:right w:w="0" w:type="dxa"/>
                  </w:tcMar>
                  <w:vAlign w:val="center"/>
                </w:tcPr>
                <w:p w14:paraId="5E3E6D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63.0 </w:t>
                  </w:r>
                </w:p>
              </w:tc>
              <w:tc>
                <w:tcPr>
                  <w:tcW w:w="208" w:type="pct"/>
                  <w:tcBorders>
                    <w:tl2br w:val="nil"/>
                    <w:tr2bl w:val="nil"/>
                  </w:tcBorders>
                  <w:noWrap w:val="0"/>
                  <w:tcMar>
                    <w:top w:w="0" w:type="dxa"/>
                    <w:left w:w="0" w:type="dxa"/>
                    <w:bottom w:w="0" w:type="dxa"/>
                    <w:right w:w="0" w:type="dxa"/>
                  </w:tcMar>
                  <w:vAlign w:val="center"/>
                </w:tcPr>
                <w:p w14:paraId="100D5A9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62.0 </w:t>
                  </w:r>
                </w:p>
              </w:tc>
              <w:tc>
                <w:tcPr>
                  <w:tcW w:w="228" w:type="pct"/>
                  <w:vMerge w:val="continue"/>
                  <w:tcBorders>
                    <w:tl2br w:val="nil"/>
                    <w:tr2bl w:val="nil"/>
                  </w:tcBorders>
                  <w:noWrap w:val="0"/>
                  <w:tcMar>
                    <w:top w:w="0" w:type="dxa"/>
                    <w:left w:w="0" w:type="dxa"/>
                    <w:bottom w:w="0" w:type="dxa"/>
                    <w:right w:w="0" w:type="dxa"/>
                  </w:tcMar>
                  <w:vAlign w:val="center"/>
                </w:tcPr>
                <w:p w14:paraId="541A4B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2AD75B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EC006D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41.8 </w:t>
                  </w:r>
                </w:p>
              </w:tc>
              <w:tc>
                <w:tcPr>
                  <w:tcW w:w="201" w:type="pct"/>
                  <w:tcBorders>
                    <w:tl2br w:val="nil"/>
                    <w:tr2bl w:val="nil"/>
                  </w:tcBorders>
                  <w:noWrap w:val="0"/>
                  <w:tcMar>
                    <w:top w:w="0" w:type="dxa"/>
                    <w:left w:w="0" w:type="dxa"/>
                    <w:bottom w:w="0" w:type="dxa"/>
                    <w:right w:w="0" w:type="dxa"/>
                  </w:tcMar>
                  <w:vAlign w:val="center"/>
                </w:tcPr>
                <w:p w14:paraId="4CDF44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32.8 </w:t>
                  </w:r>
                </w:p>
              </w:tc>
              <w:tc>
                <w:tcPr>
                  <w:tcW w:w="193" w:type="pct"/>
                  <w:tcBorders>
                    <w:tl2br w:val="nil"/>
                    <w:tr2bl w:val="nil"/>
                  </w:tcBorders>
                  <w:noWrap w:val="0"/>
                  <w:tcMar>
                    <w:top w:w="0" w:type="dxa"/>
                    <w:left w:w="0" w:type="dxa"/>
                    <w:bottom w:w="0" w:type="dxa"/>
                    <w:right w:w="0" w:type="dxa"/>
                  </w:tcMar>
                  <w:vAlign w:val="center"/>
                </w:tcPr>
                <w:p w14:paraId="58866FA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38.0 </w:t>
                  </w:r>
                </w:p>
              </w:tc>
              <w:tc>
                <w:tcPr>
                  <w:tcW w:w="195" w:type="pct"/>
                  <w:tcBorders>
                    <w:tl2br w:val="nil"/>
                    <w:tr2bl w:val="nil"/>
                  </w:tcBorders>
                  <w:noWrap w:val="0"/>
                  <w:tcMar>
                    <w:top w:w="0" w:type="dxa"/>
                    <w:left w:w="0" w:type="dxa"/>
                    <w:bottom w:w="0" w:type="dxa"/>
                    <w:right w:w="0" w:type="dxa"/>
                  </w:tcMar>
                  <w:vAlign w:val="center"/>
                </w:tcPr>
                <w:p w14:paraId="7AA0D97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37.0 </w:t>
                  </w:r>
                </w:p>
              </w:tc>
              <w:tc>
                <w:tcPr>
                  <w:tcW w:w="202" w:type="pct"/>
                  <w:tcBorders>
                    <w:tl2br w:val="nil"/>
                    <w:tr2bl w:val="nil"/>
                  </w:tcBorders>
                  <w:noWrap w:val="0"/>
                  <w:tcMar>
                    <w:top w:w="0" w:type="dxa"/>
                    <w:left w:w="0" w:type="dxa"/>
                    <w:bottom w:w="0" w:type="dxa"/>
                    <w:right w:w="0" w:type="dxa"/>
                  </w:tcMar>
                  <w:vAlign w:val="center"/>
                </w:tcPr>
                <w:p w14:paraId="0935DF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664C4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2479892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22</w:t>
                  </w:r>
                </w:p>
              </w:tc>
              <w:tc>
                <w:tcPr>
                  <w:tcW w:w="178" w:type="pct"/>
                  <w:vMerge w:val="continue"/>
                  <w:tcBorders>
                    <w:tl2br w:val="nil"/>
                    <w:tr2bl w:val="nil"/>
                  </w:tcBorders>
                  <w:noWrap w:val="0"/>
                  <w:tcMar>
                    <w:top w:w="0" w:type="dxa"/>
                    <w:left w:w="0" w:type="dxa"/>
                    <w:bottom w:w="0" w:type="dxa"/>
                    <w:right w:w="0" w:type="dxa"/>
                  </w:tcMar>
                  <w:vAlign w:val="center"/>
                </w:tcPr>
                <w:p w14:paraId="4ADD0D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7E271F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振动给料机（6台，按点声源组计算）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11B3D3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6</w:t>
                  </w:r>
                </w:p>
              </w:tc>
              <w:tc>
                <w:tcPr>
                  <w:tcW w:w="344" w:type="pct"/>
                  <w:tcBorders>
                    <w:tl2br w:val="nil"/>
                    <w:tr2bl w:val="nil"/>
                  </w:tcBorders>
                  <w:noWrap w:val="0"/>
                  <w:tcMar>
                    <w:top w:w="0" w:type="dxa"/>
                    <w:left w:w="0" w:type="dxa"/>
                    <w:bottom w:w="0" w:type="dxa"/>
                    <w:right w:w="0" w:type="dxa"/>
                  </w:tcMar>
                  <w:vAlign w:val="center"/>
                </w:tcPr>
                <w:p w14:paraId="530590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C1E22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3B85B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14.2</w:t>
                  </w:r>
                </w:p>
              </w:tc>
              <w:tc>
                <w:tcPr>
                  <w:tcW w:w="219" w:type="pct"/>
                  <w:tcBorders>
                    <w:tl2br w:val="nil"/>
                    <w:tr2bl w:val="nil"/>
                  </w:tcBorders>
                  <w:noWrap w:val="0"/>
                  <w:tcMar>
                    <w:top w:w="0" w:type="dxa"/>
                    <w:left w:w="0" w:type="dxa"/>
                    <w:bottom w:w="0" w:type="dxa"/>
                    <w:right w:w="0" w:type="dxa"/>
                  </w:tcMar>
                  <w:vAlign w:val="center"/>
                </w:tcPr>
                <w:p w14:paraId="73CDB5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54.9</w:t>
                  </w:r>
                </w:p>
              </w:tc>
              <w:tc>
                <w:tcPr>
                  <w:tcW w:w="176" w:type="pct"/>
                  <w:tcBorders>
                    <w:tl2br w:val="nil"/>
                    <w:tr2bl w:val="nil"/>
                  </w:tcBorders>
                  <w:noWrap w:val="0"/>
                  <w:tcMar>
                    <w:top w:w="0" w:type="dxa"/>
                    <w:left w:w="0" w:type="dxa"/>
                    <w:bottom w:w="0" w:type="dxa"/>
                    <w:right w:w="0" w:type="dxa"/>
                  </w:tcMar>
                  <w:vAlign w:val="center"/>
                </w:tcPr>
                <w:p w14:paraId="7BD86F1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551516D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6.4</w:t>
                  </w:r>
                </w:p>
              </w:tc>
              <w:tc>
                <w:tcPr>
                  <w:tcW w:w="187" w:type="pct"/>
                  <w:tcBorders>
                    <w:tl2br w:val="nil"/>
                    <w:tr2bl w:val="nil"/>
                  </w:tcBorders>
                  <w:noWrap w:val="0"/>
                  <w:tcMar>
                    <w:top w:w="0" w:type="dxa"/>
                    <w:left w:w="0" w:type="dxa"/>
                    <w:bottom w:w="0" w:type="dxa"/>
                    <w:right w:w="0" w:type="dxa"/>
                  </w:tcMar>
                  <w:vAlign w:val="center"/>
                </w:tcPr>
                <w:p w14:paraId="0FFBA16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21.4</w:t>
                  </w:r>
                </w:p>
              </w:tc>
              <w:tc>
                <w:tcPr>
                  <w:tcW w:w="205" w:type="pct"/>
                  <w:tcBorders>
                    <w:tl2br w:val="nil"/>
                    <w:tr2bl w:val="nil"/>
                  </w:tcBorders>
                  <w:shd w:val="clear" w:color="auto" w:fill="auto"/>
                  <w:noWrap w:val="0"/>
                  <w:tcMar>
                    <w:top w:w="0" w:type="dxa"/>
                    <w:left w:w="0" w:type="dxa"/>
                    <w:bottom w:w="0" w:type="dxa"/>
                    <w:right w:w="0" w:type="dxa"/>
                  </w:tcMar>
                  <w:vAlign w:val="center"/>
                </w:tcPr>
                <w:p w14:paraId="24F4FEB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14.2</w:t>
                  </w:r>
                </w:p>
              </w:tc>
              <w:tc>
                <w:tcPr>
                  <w:tcW w:w="213" w:type="pct"/>
                  <w:tcBorders>
                    <w:tl2br w:val="nil"/>
                    <w:tr2bl w:val="nil"/>
                  </w:tcBorders>
                  <w:noWrap w:val="0"/>
                  <w:tcMar>
                    <w:top w:w="0" w:type="dxa"/>
                    <w:left w:w="0" w:type="dxa"/>
                    <w:bottom w:w="0" w:type="dxa"/>
                    <w:right w:w="0" w:type="dxa"/>
                  </w:tcMar>
                  <w:vAlign w:val="center"/>
                </w:tcPr>
                <w:p w14:paraId="3A57195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13.5</w:t>
                  </w:r>
                </w:p>
              </w:tc>
              <w:tc>
                <w:tcPr>
                  <w:tcW w:w="192" w:type="pct"/>
                  <w:tcBorders>
                    <w:tl2br w:val="nil"/>
                    <w:tr2bl w:val="nil"/>
                  </w:tcBorders>
                  <w:noWrap w:val="0"/>
                  <w:tcMar>
                    <w:top w:w="0" w:type="dxa"/>
                    <w:left w:w="0" w:type="dxa"/>
                    <w:bottom w:w="0" w:type="dxa"/>
                    <w:right w:w="0" w:type="dxa"/>
                  </w:tcMar>
                  <w:vAlign w:val="center"/>
                </w:tcPr>
                <w:p w14:paraId="0EC4994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73.9 </w:t>
                  </w:r>
                </w:p>
              </w:tc>
              <w:tc>
                <w:tcPr>
                  <w:tcW w:w="192" w:type="pct"/>
                  <w:tcBorders>
                    <w:tl2br w:val="nil"/>
                    <w:tr2bl w:val="nil"/>
                  </w:tcBorders>
                  <w:noWrap w:val="0"/>
                  <w:tcMar>
                    <w:top w:w="0" w:type="dxa"/>
                    <w:left w:w="0" w:type="dxa"/>
                    <w:bottom w:w="0" w:type="dxa"/>
                    <w:right w:w="0" w:type="dxa"/>
                  </w:tcMar>
                  <w:vAlign w:val="center"/>
                </w:tcPr>
                <w:p w14:paraId="256816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63.4 </w:t>
                  </w:r>
                </w:p>
              </w:tc>
              <w:tc>
                <w:tcPr>
                  <w:tcW w:w="205" w:type="pct"/>
                  <w:tcBorders>
                    <w:tl2br w:val="nil"/>
                    <w:tr2bl w:val="nil"/>
                  </w:tcBorders>
                  <w:noWrap w:val="0"/>
                  <w:tcMar>
                    <w:top w:w="0" w:type="dxa"/>
                    <w:left w:w="0" w:type="dxa"/>
                    <w:bottom w:w="0" w:type="dxa"/>
                    <w:right w:w="0" w:type="dxa"/>
                  </w:tcMar>
                  <w:vAlign w:val="center"/>
                </w:tcPr>
                <w:p w14:paraId="3B2E3D0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67.0 </w:t>
                  </w:r>
                </w:p>
              </w:tc>
              <w:tc>
                <w:tcPr>
                  <w:tcW w:w="208" w:type="pct"/>
                  <w:tcBorders>
                    <w:tl2br w:val="nil"/>
                    <w:tr2bl w:val="nil"/>
                  </w:tcBorders>
                  <w:noWrap w:val="0"/>
                  <w:tcMar>
                    <w:top w:w="0" w:type="dxa"/>
                    <w:left w:w="0" w:type="dxa"/>
                    <w:bottom w:w="0" w:type="dxa"/>
                    <w:right w:w="0" w:type="dxa"/>
                  </w:tcMar>
                  <w:vAlign w:val="center"/>
                </w:tcPr>
                <w:p w14:paraId="7642C34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67.4 </w:t>
                  </w:r>
                </w:p>
              </w:tc>
              <w:tc>
                <w:tcPr>
                  <w:tcW w:w="228" w:type="pct"/>
                  <w:vMerge w:val="continue"/>
                  <w:tcBorders>
                    <w:tl2br w:val="nil"/>
                    <w:tr2bl w:val="nil"/>
                  </w:tcBorders>
                  <w:noWrap w:val="0"/>
                  <w:tcMar>
                    <w:top w:w="0" w:type="dxa"/>
                    <w:left w:w="0" w:type="dxa"/>
                    <w:bottom w:w="0" w:type="dxa"/>
                    <w:right w:w="0" w:type="dxa"/>
                  </w:tcMar>
                  <w:vAlign w:val="center"/>
                </w:tcPr>
                <w:p w14:paraId="639BF8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BA4BDC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03125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48.9 </w:t>
                  </w:r>
                </w:p>
              </w:tc>
              <w:tc>
                <w:tcPr>
                  <w:tcW w:w="201" w:type="pct"/>
                  <w:tcBorders>
                    <w:tl2br w:val="nil"/>
                    <w:tr2bl w:val="nil"/>
                  </w:tcBorders>
                  <w:noWrap w:val="0"/>
                  <w:tcMar>
                    <w:top w:w="0" w:type="dxa"/>
                    <w:left w:w="0" w:type="dxa"/>
                    <w:bottom w:w="0" w:type="dxa"/>
                    <w:right w:w="0" w:type="dxa"/>
                  </w:tcMar>
                  <w:vAlign w:val="center"/>
                </w:tcPr>
                <w:p w14:paraId="7021F82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38.4 </w:t>
                  </w:r>
                </w:p>
              </w:tc>
              <w:tc>
                <w:tcPr>
                  <w:tcW w:w="193" w:type="pct"/>
                  <w:tcBorders>
                    <w:tl2br w:val="nil"/>
                    <w:tr2bl w:val="nil"/>
                  </w:tcBorders>
                  <w:noWrap w:val="0"/>
                  <w:tcMar>
                    <w:top w:w="0" w:type="dxa"/>
                    <w:left w:w="0" w:type="dxa"/>
                    <w:bottom w:w="0" w:type="dxa"/>
                    <w:right w:w="0" w:type="dxa"/>
                  </w:tcMar>
                  <w:vAlign w:val="center"/>
                </w:tcPr>
                <w:p w14:paraId="5C6F117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42.0 </w:t>
                  </w:r>
                </w:p>
              </w:tc>
              <w:tc>
                <w:tcPr>
                  <w:tcW w:w="195" w:type="pct"/>
                  <w:tcBorders>
                    <w:tl2br w:val="nil"/>
                    <w:tr2bl w:val="nil"/>
                  </w:tcBorders>
                  <w:noWrap w:val="0"/>
                  <w:tcMar>
                    <w:top w:w="0" w:type="dxa"/>
                    <w:left w:w="0" w:type="dxa"/>
                    <w:bottom w:w="0" w:type="dxa"/>
                    <w:right w:w="0" w:type="dxa"/>
                  </w:tcMar>
                  <w:vAlign w:val="center"/>
                </w:tcPr>
                <w:p w14:paraId="30F1668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42.4 </w:t>
                  </w:r>
                </w:p>
              </w:tc>
              <w:tc>
                <w:tcPr>
                  <w:tcW w:w="202" w:type="pct"/>
                  <w:tcBorders>
                    <w:tl2br w:val="nil"/>
                    <w:tr2bl w:val="nil"/>
                  </w:tcBorders>
                  <w:noWrap w:val="0"/>
                  <w:tcMar>
                    <w:top w:w="0" w:type="dxa"/>
                    <w:left w:w="0" w:type="dxa"/>
                    <w:bottom w:w="0" w:type="dxa"/>
                    <w:right w:w="0" w:type="dxa"/>
                  </w:tcMar>
                  <w:vAlign w:val="center"/>
                </w:tcPr>
                <w:p w14:paraId="2A5467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EFF73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8B065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23</w:t>
                  </w:r>
                </w:p>
              </w:tc>
              <w:tc>
                <w:tcPr>
                  <w:tcW w:w="178" w:type="pct"/>
                  <w:vMerge w:val="continue"/>
                  <w:tcBorders>
                    <w:tl2br w:val="nil"/>
                    <w:tr2bl w:val="nil"/>
                  </w:tcBorders>
                  <w:noWrap w:val="0"/>
                  <w:tcMar>
                    <w:top w:w="0" w:type="dxa"/>
                    <w:left w:w="0" w:type="dxa"/>
                    <w:bottom w:w="0" w:type="dxa"/>
                    <w:right w:w="0" w:type="dxa"/>
                  </w:tcMar>
                  <w:vAlign w:val="center"/>
                </w:tcPr>
                <w:p w14:paraId="1500BD6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B4DEB5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料仓（4台，按点声源组计算）</w:t>
                  </w:r>
                </w:p>
              </w:tc>
              <w:tc>
                <w:tcPr>
                  <w:tcW w:w="166" w:type="pct"/>
                  <w:tcBorders>
                    <w:tl2br w:val="nil"/>
                    <w:tr2bl w:val="nil"/>
                  </w:tcBorders>
                  <w:noWrap w:val="0"/>
                  <w:tcMar>
                    <w:top w:w="0" w:type="dxa"/>
                    <w:left w:w="0" w:type="dxa"/>
                    <w:bottom w:w="0" w:type="dxa"/>
                    <w:right w:w="0" w:type="dxa"/>
                  </w:tcMar>
                  <w:vAlign w:val="center"/>
                </w:tcPr>
                <w:p w14:paraId="5A47F8E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4D2208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81.0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3BC645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3AD77A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13.6</w:t>
                  </w:r>
                </w:p>
              </w:tc>
              <w:tc>
                <w:tcPr>
                  <w:tcW w:w="219" w:type="pct"/>
                  <w:tcBorders>
                    <w:tl2br w:val="nil"/>
                    <w:tr2bl w:val="nil"/>
                  </w:tcBorders>
                  <w:noWrap w:val="0"/>
                  <w:tcMar>
                    <w:top w:w="0" w:type="dxa"/>
                    <w:left w:w="0" w:type="dxa"/>
                    <w:bottom w:w="0" w:type="dxa"/>
                    <w:right w:w="0" w:type="dxa"/>
                  </w:tcMar>
                  <w:vAlign w:val="center"/>
                </w:tcPr>
                <w:p w14:paraId="4CAAB08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55.1</w:t>
                  </w:r>
                </w:p>
              </w:tc>
              <w:tc>
                <w:tcPr>
                  <w:tcW w:w="176" w:type="pct"/>
                  <w:tcBorders>
                    <w:tl2br w:val="nil"/>
                    <w:tr2bl w:val="nil"/>
                  </w:tcBorders>
                  <w:noWrap w:val="0"/>
                  <w:tcMar>
                    <w:top w:w="0" w:type="dxa"/>
                    <w:left w:w="0" w:type="dxa"/>
                    <w:bottom w:w="0" w:type="dxa"/>
                    <w:right w:w="0" w:type="dxa"/>
                  </w:tcMar>
                  <w:vAlign w:val="center"/>
                </w:tcPr>
                <w:p w14:paraId="33054D7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5E1486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6.8</w:t>
                  </w:r>
                </w:p>
              </w:tc>
              <w:tc>
                <w:tcPr>
                  <w:tcW w:w="187" w:type="pct"/>
                  <w:tcBorders>
                    <w:tl2br w:val="nil"/>
                    <w:tr2bl w:val="nil"/>
                  </w:tcBorders>
                  <w:noWrap w:val="0"/>
                  <w:tcMar>
                    <w:top w:w="0" w:type="dxa"/>
                    <w:left w:w="0" w:type="dxa"/>
                    <w:bottom w:w="0" w:type="dxa"/>
                    <w:right w:w="0" w:type="dxa"/>
                  </w:tcMar>
                  <w:vAlign w:val="center"/>
                </w:tcPr>
                <w:p w14:paraId="1142B95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19.8</w:t>
                  </w:r>
                </w:p>
              </w:tc>
              <w:tc>
                <w:tcPr>
                  <w:tcW w:w="205" w:type="pct"/>
                  <w:tcBorders>
                    <w:tl2br w:val="nil"/>
                    <w:tr2bl w:val="nil"/>
                  </w:tcBorders>
                  <w:shd w:val="clear" w:color="auto" w:fill="auto"/>
                  <w:noWrap w:val="0"/>
                  <w:tcMar>
                    <w:top w:w="0" w:type="dxa"/>
                    <w:left w:w="0" w:type="dxa"/>
                    <w:bottom w:w="0" w:type="dxa"/>
                    <w:right w:w="0" w:type="dxa"/>
                  </w:tcMar>
                  <w:vAlign w:val="center"/>
                </w:tcPr>
                <w:p w14:paraId="7C411D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13.6</w:t>
                  </w:r>
                </w:p>
              </w:tc>
              <w:tc>
                <w:tcPr>
                  <w:tcW w:w="213" w:type="pct"/>
                  <w:tcBorders>
                    <w:tl2br w:val="nil"/>
                    <w:tr2bl w:val="nil"/>
                  </w:tcBorders>
                  <w:noWrap w:val="0"/>
                  <w:tcMar>
                    <w:top w:w="0" w:type="dxa"/>
                    <w:left w:w="0" w:type="dxa"/>
                    <w:bottom w:w="0" w:type="dxa"/>
                    <w:right w:w="0" w:type="dxa"/>
                  </w:tcMar>
                  <w:vAlign w:val="center"/>
                </w:tcPr>
                <w:p w14:paraId="5A8431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137</w:t>
                  </w:r>
                </w:p>
              </w:tc>
              <w:tc>
                <w:tcPr>
                  <w:tcW w:w="192" w:type="pct"/>
                  <w:tcBorders>
                    <w:tl2br w:val="nil"/>
                    <w:tr2bl w:val="nil"/>
                  </w:tcBorders>
                  <w:noWrap w:val="0"/>
                  <w:tcMar>
                    <w:top w:w="0" w:type="dxa"/>
                    <w:left w:w="0" w:type="dxa"/>
                    <w:bottom w:w="0" w:type="dxa"/>
                    <w:right w:w="0" w:type="dxa"/>
                  </w:tcMar>
                  <w:vAlign w:val="center"/>
                </w:tcPr>
                <w:p w14:paraId="2F7616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58.3 </w:t>
                  </w:r>
                </w:p>
              </w:tc>
              <w:tc>
                <w:tcPr>
                  <w:tcW w:w="192" w:type="pct"/>
                  <w:tcBorders>
                    <w:tl2br w:val="nil"/>
                    <w:tr2bl w:val="nil"/>
                  </w:tcBorders>
                  <w:noWrap w:val="0"/>
                  <w:tcMar>
                    <w:top w:w="0" w:type="dxa"/>
                    <w:left w:w="0" w:type="dxa"/>
                    <w:bottom w:w="0" w:type="dxa"/>
                    <w:right w:w="0" w:type="dxa"/>
                  </w:tcMar>
                  <w:vAlign w:val="center"/>
                </w:tcPr>
                <w:p w14:paraId="7F03826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49.1 </w:t>
                  </w:r>
                </w:p>
              </w:tc>
              <w:tc>
                <w:tcPr>
                  <w:tcW w:w="205" w:type="pct"/>
                  <w:tcBorders>
                    <w:tl2br w:val="nil"/>
                    <w:tr2bl w:val="nil"/>
                  </w:tcBorders>
                  <w:noWrap w:val="0"/>
                  <w:tcMar>
                    <w:top w:w="0" w:type="dxa"/>
                    <w:left w:w="0" w:type="dxa"/>
                    <w:bottom w:w="0" w:type="dxa"/>
                    <w:right w:w="0" w:type="dxa"/>
                  </w:tcMar>
                  <w:vAlign w:val="center"/>
                </w:tcPr>
                <w:p w14:paraId="757952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52.3 </w:t>
                  </w:r>
                </w:p>
              </w:tc>
              <w:tc>
                <w:tcPr>
                  <w:tcW w:w="208" w:type="pct"/>
                  <w:tcBorders>
                    <w:tl2br w:val="nil"/>
                    <w:tr2bl w:val="nil"/>
                  </w:tcBorders>
                  <w:noWrap w:val="0"/>
                  <w:tcMar>
                    <w:top w:w="0" w:type="dxa"/>
                    <w:left w:w="0" w:type="dxa"/>
                    <w:bottom w:w="0" w:type="dxa"/>
                    <w:right w:w="0" w:type="dxa"/>
                  </w:tcMar>
                  <w:vAlign w:val="center"/>
                </w:tcPr>
                <w:p w14:paraId="36CDB9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32.3 </w:t>
                  </w:r>
                </w:p>
              </w:tc>
              <w:tc>
                <w:tcPr>
                  <w:tcW w:w="228" w:type="pct"/>
                  <w:vMerge w:val="continue"/>
                  <w:tcBorders>
                    <w:tl2br w:val="nil"/>
                    <w:tr2bl w:val="nil"/>
                  </w:tcBorders>
                  <w:noWrap w:val="0"/>
                  <w:tcMar>
                    <w:top w:w="0" w:type="dxa"/>
                    <w:left w:w="0" w:type="dxa"/>
                    <w:bottom w:w="0" w:type="dxa"/>
                    <w:right w:w="0" w:type="dxa"/>
                  </w:tcMar>
                  <w:vAlign w:val="center"/>
                </w:tcPr>
                <w:p w14:paraId="334F69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1E5E94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2CC7E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33.3 </w:t>
                  </w:r>
                </w:p>
              </w:tc>
              <w:tc>
                <w:tcPr>
                  <w:tcW w:w="201" w:type="pct"/>
                  <w:tcBorders>
                    <w:tl2br w:val="nil"/>
                    <w:tr2bl w:val="nil"/>
                  </w:tcBorders>
                  <w:noWrap w:val="0"/>
                  <w:tcMar>
                    <w:top w:w="0" w:type="dxa"/>
                    <w:left w:w="0" w:type="dxa"/>
                    <w:bottom w:w="0" w:type="dxa"/>
                    <w:right w:w="0" w:type="dxa"/>
                  </w:tcMar>
                  <w:vAlign w:val="center"/>
                </w:tcPr>
                <w:p w14:paraId="4978D29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24.1 </w:t>
                  </w:r>
                </w:p>
              </w:tc>
              <w:tc>
                <w:tcPr>
                  <w:tcW w:w="193" w:type="pct"/>
                  <w:tcBorders>
                    <w:tl2br w:val="nil"/>
                    <w:tr2bl w:val="nil"/>
                  </w:tcBorders>
                  <w:noWrap w:val="0"/>
                  <w:tcMar>
                    <w:top w:w="0" w:type="dxa"/>
                    <w:left w:w="0" w:type="dxa"/>
                    <w:bottom w:w="0" w:type="dxa"/>
                    <w:right w:w="0" w:type="dxa"/>
                  </w:tcMar>
                  <w:vAlign w:val="center"/>
                </w:tcPr>
                <w:p w14:paraId="7D48C13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27.3 </w:t>
                  </w:r>
                </w:p>
              </w:tc>
              <w:tc>
                <w:tcPr>
                  <w:tcW w:w="195" w:type="pct"/>
                  <w:tcBorders>
                    <w:tl2br w:val="nil"/>
                    <w:tr2bl w:val="nil"/>
                  </w:tcBorders>
                  <w:noWrap w:val="0"/>
                  <w:tcMar>
                    <w:top w:w="0" w:type="dxa"/>
                    <w:left w:w="0" w:type="dxa"/>
                    <w:bottom w:w="0" w:type="dxa"/>
                    <w:right w:w="0" w:type="dxa"/>
                  </w:tcMar>
                  <w:vAlign w:val="center"/>
                </w:tcPr>
                <w:p w14:paraId="5EE21CA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7.3 </w:t>
                  </w:r>
                </w:p>
              </w:tc>
              <w:tc>
                <w:tcPr>
                  <w:tcW w:w="202" w:type="pct"/>
                  <w:tcBorders>
                    <w:tl2br w:val="nil"/>
                    <w:tr2bl w:val="nil"/>
                  </w:tcBorders>
                  <w:noWrap w:val="0"/>
                  <w:tcMar>
                    <w:top w:w="0" w:type="dxa"/>
                    <w:left w:w="0" w:type="dxa"/>
                    <w:bottom w:w="0" w:type="dxa"/>
                    <w:right w:w="0" w:type="dxa"/>
                  </w:tcMar>
                  <w:vAlign w:val="center"/>
                </w:tcPr>
                <w:p w14:paraId="12214C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46501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039FE45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24</w:t>
                  </w:r>
                </w:p>
              </w:tc>
              <w:tc>
                <w:tcPr>
                  <w:tcW w:w="178" w:type="pct"/>
                  <w:vMerge w:val="continue"/>
                  <w:tcBorders>
                    <w:tl2br w:val="nil"/>
                    <w:tr2bl w:val="nil"/>
                  </w:tcBorders>
                  <w:noWrap w:val="0"/>
                  <w:tcMar>
                    <w:top w:w="0" w:type="dxa"/>
                    <w:left w:w="0" w:type="dxa"/>
                    <w:bottom w:w="0" w:type="dxa"/>
                    <w:right w:w="0" w:type="dxa"/>
                  </w:tcMar>
                  <w:vAlign w:val="center"/>
                </w:tcPr>
                <w:p w14:paraId="365A618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8CBC0D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定量包装机</w:t>
                  </w:r>
                </w:p>
              </w:tc>
              <w:tc>
                <w:tcPr>
                  <w:tcW w:w="166" w:type="pct"/>
                  <w:tcBorders>
                    <w:tl2br w:val="nil"/>
                    <w:tr2bl w:val="nil"/>
                  </w:tcBorders>
                  <w:shd w:val="clear" w:color="auto" w:fill="auto"/>
                  <w:noWrap w:val="0"/>
                  <w:tcMar>
                    <w:top w:w="0" w:type="dxa"/>
                    <w:left w:w="0" w:type="dxa"/>
                    <w:bottom w:w="0" w:type="dxa"/>
                    <w:right w:w="0" w:type="dxa"/>
                  </w:tcMar>
                  <w:vAlign w:val="center"/>
                </w:tcPr>
                <w:p w14:paraId="075800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13F4449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p>
              </w:tc>
              <w:tc>
                <w:tcPr>
                  <w:tcW w:w="219" w:type="pct"/>
                  <w:vMerge w:val="continue"/>
                  <w:tcBorders>
                    <w:tl2br w:val="nil"/>
                    <w:tr2bl w:val="nil"/>
                  </w:tcBorders>
                  <w:noWrap w:val="0"/>
                  <w:tcMar>
                    <w:top w:w="0" w:type="dxa"/>
                    <w:left w:w="0" w:type="dxa"/>
                    <w:bottom w:w="0" w:type="dxa"/>
                    <w:right w:w="0" w:type="dxa"/>
                  </w:tcMar>
                  <w:vAlign w:val="center"/>
                </w:tcPr>
                <w:p w14:paraId="7D78A1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29839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13.1</w:t>
                  </w:r>
                </w:p>
              </w:tc>
              <w:tc>
                <w:tcPr>
                  <w:tcW w:w="219" w:type="pct"/>
                  <w:tcBorders>
                    <w:tl2br w:val="nil"/>
                    <w:tr2bl w:val="nil"/>
                  </w:tcBorders>
                  <w:noWrap w:val="0"/>
                  <w:tcMar>
                    <w:top w:w="0" w:type="dxa"/>
                    <w:left w:w="0" w:type="dxa"/>
                    <w:bottom w:w="0" w:type="dxa"/>
                    <w:right w:w="0" w:type="dxa"/>
                  </w:tcMar>
                  <w:vAlign w:val="center"/>
                </w:tcPr>
                <w:p w14:paraId="2F1071E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55.8</w:t>
                  </w:r>
                </w:p>
              </w:tc>
              <w:tc>
                <w:tcPr>
                  <w:tcW w:w="176" w:type="pct"/>
                  <w:tcBorders>
                    <w:tl2br w:val="nil"/>
                    <w:tr2bl w:val="nil"/>
                  </w:tcBorders>
                  <w:noWrap w:val="0"/>
                  <w:tcMar>
                    <w:top w:w="0" w:type="dxa"/>
                    <w:left w:w="0" w:type="dxa"/>
                    <w:bottom w:w="0" w:type="dxa"/>
                    <w:right w:w="0" w:type="dxa"/>
                  </w:tcMar>
                  <w:vAlign w:val="center"/>
                </w:tcPr>
                <w:p w14:paraId="316C3CE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DE10F0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w:t>
                  </w:r>
                </w:p>
              </w:tc>
              <w:tc>
                <w:tcPr>
                  <w:tcW w:w="187" w:type="pct"/>
                  <w:tcBorders>
                    <w:tl2br w:val="nil"/>
                    <w:tr2bl w:val="nil"/>
                  </w:tcBorders>
                  <w:noWrap w:val="0"/>
                  <w:tcMar>
                    <w:top w:w="0" w:type="dxa"/>
                    <w:left w:w="0" w:type="dxa"/>
                    <w:bottom w:w="0" w:type="dxa"/>
                    <w:right w:w="0" w:type="dxa"/>
                  </w:tcMar>
                  <w:vAlign w:val="center"/>
                </w:tcPr>
                <w:p w14:paraId="4BE9EB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20.5</w:t>
                  </w:r>
                </w:p>
              </w:tc>
              <w:tc>
                <w:tcPr>
                  <w:tcW w:w="205" w:type="pct"/>
                  <w:tcBorders>
                    <w:tl2br w:val="nil"/>
                    <w:tr2bl w:val="nil"/>
                  </w:tcBorders>
                  <w:shd w:val="clear" w:color="auto" w:fill="auto"/>
                  <w:noWrap w:val="0"/>
                  <w:tcMar>
                    <w:top w:w="0" w:type="dxa"/>
                    <w:left w:w="0" w:type="dxa"/>
                    <w:bottom w:w="0" w:type="dxa"/>
                    <w:right w:w="0" w:type="dxa"/>
                  </w:tcMar>
                  <w:vAlign w:val="center"/>
                </w:tcPr>
                <w:p w14:paraId="17807CB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13.1</w:t>
                  </w:r>
                </w:p>
              </w:tc>
              <w:tc>
                <w:tcPr>
                  <w:tcW w:w="213" w:type="pct"/>
                  <w:tcBorders>
                    <w:tl2br w:val="nil"/>
                    <w:tr2bl w:val="nil"/>
                  </w:tcBorders>
                  <w:noWrap w:val="0"/>
                  <w:tcMar>
                    <w:top w:w="0" w:type="dxa"/>
                    <w:left w:w="0" w:type="dxa"/>
                    <w:bottom w:w="0" w:type="dxa"/>
                    <w:right w:w="0" w:type="dxa"/>
                  </w:tcMar>
                  <w:vAlign w:val="center"/>
                </w:tcPr>
                <w:p w14:paraId="163A67E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14.8</w:t>
                  </w:r>
                </w:p>
              </w:tc>
              <w:tc>
                <w:tcPr>
                  <w:tcW w:w="192" w:type="pct"/>
                  <w:tcBorders>
                    <w:tl2br w:val="nil"/>
                    <w:tr2bl w:val="nil"/>
                  </w:tcBorders>
                  <w:noWrap w:val="0"/>
                  <w:tcMar>
                    <w:top w:w="0" w:type="dxa"/>
                    <w:left w:w="0" w:type="dxa"/>
                    <w:bottom w:w="0" w:type="dxa"/>
                    <w:right w:w="0" w:type="dxa"/>
                  </w:tcMar>
                  <w:vAlign w:val="center"/>
                </w:tcPr>
                <w:p w14:paraId="64B225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58.2 </w:t>
                  </w:r>
                </w:p>
              </w:tc>
              <w:tc>
                <w:tcPr>
                  <w:tcW w:w="192" w:type="pct"/>
                  <w:tcBorders>
                    <w:tl2br w:val="nil"/>
                    <w:tr2bl w:val="nil"/>
                  </w:tcBorders>
                  <w:noWrap w:val="0"/>
                  <w:tcMar>
                    <w:top w:w="0" w:type="dxa"/>
                    <w:left w:w="0" w:type="dxa"/>
                    <w:bottom w:w="0" w:type="dxa"/>
                    <w:right w:w="0" w:type="dxa"/>
                  </w:tcMar>
                  <w:vAlign w:val="center"/>
                </w:tcPr>
                <w:p w14:paraId="1472EDE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48.8 </w:t>
                  </w:r>
                </w:p>
              </w:tc>
              <w:tc>
                <w:tcPr>
                  <w:tcW w:w="205" w:type="pct"/>
                  <w:tcBorders>
                    <w:tl2br w:val="nil"/>
                    <w:tr2bl w:val="nil"/>
                  </w:tcBorders>
                  <w:noWrap w:val="0"/>
                  <w:tcMar>
                    <w:top w:w="0" w:type="dxa"/>
                    <w:left w:w="0" w:type="dxa"/>
                    <w:bottom w:w="0" w:type="dxa"/>
                    <w:right w:w="0" w:type="dxa"/>
                  </w:tcMar>
                  <w:vAlign w:val="center"/>
                </w:tcPr>
                <w:p w14:paraId="13B6D14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52.7 </w:t>
                  </w:r>
                </w:p>
              </w:tc>
              <w:tc>
                <w:tcPr>
                  <w:tcW w:w="208" w:type="pct"/>
                  <w:tcBorders>
                    <w:tl2br w:val="nil"/>
                    <w:tr2bl w:val="nil"/>
                  </w:tcBorders>
                  <w:noWrap w:val="0"/>
                  <w:tcMar>
                    <w:top w:w="0" w:type="dxa"/>
                    <w:left w:w="0" w:type="dxa"/>
                    <w:bottom w:w="0" w:type="dxa"/>
                    <w:right w:w="0" w:type="dxa"/>
                  </w:tcMar>
                  <w:vAlign w:val="center"/>
                </w:tcPr>
                <w:p w14:paraId="2EDD84F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51.6 </w:t>
                  </w:r>
                </w:p>
              </w:tc>
              <w:tc>
                <w:tcPr>
                  <w:tcW w:w="228" w:type="pct"/>
                  <w:vMerge w:val="continue"/>
                  <w:tcBorders>
                    <w:tl2br w:val="nil"/>
                    <w:tr2bl w:val="nil"/>
                  </w:tcBorders>
                  <w:noWrap w:val="0"/>
                  <w:tcMar>
                    <w:top w:w="0" w:type="dxa"/>
                    <w:left w:w="0" w:type="dxa"/>
                    <w:bottom w:w="0" w:type="dxa"/>
                    <w:right w:w="0" w:type="dxa"/>
                  </w:tcMar>
                  <w:vAlign w:val="center"/>
                </w:tcPr>
                <w:p w14:paraId="5F9AF6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B06A0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D2DE7A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33.2 </w:t>
                  </w:r>
                </w:p>
              </w:tc>
              <w:tc>
                <w:tcPr>
                  <w:tcW w:w="201" w:type="pct"/>
                  <w:tcBorders>
                    <w:tl2br w:val="nil"/>
                    <w:tr2bl w:val="nil"/>
                  </w:tcBorders>
                  <w:noWrap w:val="0"/>
                  <w:tcMar>
                    <w:top w:w="0" w:type="dxa"/>
                    <w:left w:w="0" w:type="dxa"/>
                    <w:bottom w:w="0" w:type="dxa"/>
                    <w:right w:w="0" w:type="dxa"/>
                  </w:tcMar>
                  <w:vAlign w:val="center"/>
                </w:tcPr>
                <w:p w14:paraId="784AFF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23.8 </w:t>
                  </w:r>
                </w:p>
              </w:tc>
              <w:tc>
                <w:tcPr>
                  <w:tcW w:w="193" w:type="pct"/>
                  <w:tcBorders>
                    <w:tl2br w:val="nil"/>
                    <w:tr2bl w:val="nil"/>
                  </w:tcBorders>
                  <w:noWrap w:val="0"/>
                  <w:tcMar>
                    <w:top w:w="0" w:type="dxa"/>
                    <w:left w:w="0" w:type="dxa"/>
                    <w:bottom w:w="0" w:type="dxa"/>
                    <w:right w:w="0" w:type="dxa"/>
                  </w:tcMar>
                  <w:vAlign w:val="center"/>
                </w:tcPr>
                <w:p w14:paraId="235C9F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27.7 </w:t>
                  </w:r>
                </w:p>
              </w:tc>
              <w:tc>
                <w:tcPr>
                  <w:tcW w:w="195" w:type="pct"/>
                  <w:tcBorders>
                    <w:tl2br w:val="nil"/>
                    <w:tr2bl w:val="nil"/>
                  </w:tcBorders>
                  <w:noWrap w:val="0"/>
                  <w:tcMar>
                    <w:top w:w="0" w:type="dxa"/>
                    <w:left w:w="0" w:type="dxa"/>
                    <w:bottom w:w="0" w:type="dxa"/>
                    <w:right w:w="0" w:type="dxa"/>
                  </w:tcMar>
                  <w:vAlign w:val="center"/>
                </w:tcPr>
                <w:p w14:paraId="0D9C0AC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26.6 </w:t>
                  </w:r>
                </w:p>
              </w:tc>
              <w:tc>
                <w:tcPr>
                  <w:tcW w:w="202" w:type="pct"/>
                  <w:tcBorders>
                    <w:tl2br w:val="nil"/>
                    <w:tr2bl w:val="nil"/>
                  </w:tcBorders>
                  <w:noWrap w:val="0"/>
                  <w:tcMar>
                    <w:top w:w="0" w:type="dxa"/>
                    <w:left w:w="0" w:type="dxa"/>
                    <w:bottom w:w="0" w:type="dxa"/>
                    <w:right w:w="0" w:type="dxa"/>
                  </w:tcMar>
                  <w:vAlign w:val="center"/>
                </w:tcPr>
                <w:p w14:paraId="6BD021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9E4FA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9B00B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w:t>
                  </w:r>
                </w:p>
              </w:tc>
              <w:tc>
                <w:tcPr>
                  <w:tcW w:w="178" w:type="pct"/>
                  <w:vMerge w:val="continue"/>
                  <w:tcBorders>
                    <w:tl2br w:val="nil"/>
                    <w:tr2bl w:val="nil"/>
                  </w:tcBorders>
                  <w:noWrap w:val="0"/>
                  <w:tcMar>
                    <w:top w:w="0" w:type="dxa"/>
                    <w:left w:w="0" w:type="dxa"/>
                    <w:bottom w:w="0" w:type="dxa"/>
                    <w:right w:w="0" w:type="dxa"/>
                  </w:tcMar>
                  <w:vAlign w:val="center"/>
                </w:tcPr>
                <w:p w14:paraId="38544F6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0CF954EF">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布袋除尘器引风机（2台，按点声源组计算）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378591BA">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1D24822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51A96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5BE28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12.9</w:t>
                  </w:r>
                </w:p>
              </w:tc>
              <w:tc>
                <w:tcPr>
                  <w:tcW w:w="219" w:type="pct"/>
                  <w:tcBorders>
                    <w:tl2br w:val="nil"/>
                    <w:tr2bl w:val="nil"/>
                  </w:tcBorders>
                  <w:noWrap w:val="0"/>
                  <w:tcMar>
                    <w:top w:w="0" w:type="dxa"/>
                    <w:left w:w="0" w:type="dxa"/>
                    <w:bottom w:w="0" w:type="dxa"/>
                    <w:right w:w="0" w:type="dxa"/>
                  </w:tcMar>
                  <w:vAlign w:val="center"/>
                </w:tcPr>
                <w:p w14:paraId="56C3A6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52.4</w:t>
                  </w:r>
                </w:p>
              </w:tc>
              <w:tc>
                <w:tcPr>
                  <w:tcW w:w="176" w:type="pct"/>
                  <w:tcBorders>
                    <w:tl2br w:val="nil"/>
                    <w:tr2bl w:val="nil"/>
                  </w:tcBorders>
                  <w:noWrap w:val="0"/>
                  <w:tcMar>
                    <w:top w:w="0" w:type="dxa"/>
                    <w:left w:w="0" w:type="dxa"/>
                    <w:bottom w:w="0" w:type="dxa"/>
                    <w:right w:w="0" w:type="dxa"/>
                  </w:tcMar>
                  <w:vAlign w:val="center"/>
                </w:tcPr>
                <w:p w14:paraId="0947729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639751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w:t>
                  </w:r>
                </w:p>
              </w:tc>
              <w:tc>
                <w:tcPr>
                  <w:tcW w:w="187" w:type="pct"/>
                  <w:tcBorders>
                    <w:tl2br w:val="nil"/>
                    <w:tr2bl w:val="nil"/>
                  </w:tcBorders>
                  <w:noWrap w:val="0"/>
                  <w:tcMar>
                    <w:top w:w="0" w:type="dxa"/>
                    <w:left w:w="0" w:type="dxa"/>
                    <w:bottom w:w="0" w:type="dxa"/>
                    <w:right w:w="0" w:type="dxa"/>
                  </w:tcMar>
                  <w:vAlign w:val="center"/>
                </w:tcPr>
                <w:p w14:paraId="1D211A1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21.5</w:t>
                  </w:r>
                </w:p>
              </w:tc>
              <w:tc>
                <w:tcPr>
                  <w:tcW w:w="205" w:type="pct"/>
                  <w:tcBorders>
                    <w:tl2br w:val="nil"/>
                    <w:tr2bl w:val="nil"/>
                  </w:tcBorders>
                  <w:shd w:val="clear" w:color="auto" w:fill="auto"/>
                  <w:noWrap w:val="0"/>
                  <w:tcMar>
                    <w:top w:w="0" w:type="dxa"/>
                    <w:left w:w="0" w:type="dxa"/>
                    <w:bottom w:w="0" w:type="dxa"/>
                    <w:right w:w="0" w:type="dxa"/>
                  </w:tcMar>
                  <w:vAlign w:val="center"/>
                </w:tcPr>
                <w:p w14:paraId="50FA04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2.0</w:t>
                  </w:r>
                </w:p>
              </w:tc>
              <w:tc>
                <w:tcPr>
                  <w:tcW w:w="213" w:type="pct"/>
                  <w:tcBorders>
                    <w:tl2br w:val="nil"/>
                    <w:tr2bl w:val="nil"/>
                  </w:tcBorders>
                  <w:noWrap w:val="0"/>
                  <w:tcMar>
                    <w:top w:w="0" w:type="dxa"/>
                    <w:left w:w="0" w:type="dxa"/>
                    <w:bottom w:w="0" w:type="dxa"/>
                    <w:right w:w="0" w:type="dxa"/>
                  </w:tcMar>
                  <w:vAlign w:val="center"/>
                </w:tcPr>
                <w:p w14:paraId="11C7FE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19.5</w:t>
                  </w:r>
                </w:p>
              </w:tc>
              <w:tc>
                <w:tcPr>
                  <w:tcW w:w="192" w:type="pct"/>
                  <w:tcBorders>
                    <w:tl2br w:val="nil"/>
                    <w:tr2bl w:val="nil"/>
                  </w:tcBorders>
                  <w:noWrap w:val="0"/>
                  <w:tcMar>
                    <w:top w:w="0" w:type="dxa"/>
                    <w:left w:w="0" w:type="dxa"/>
                    <w:bottom w:w="0" w:type="dxa"/>
                    <w:right w:w="0" w:type="dxa"/>
                  </w:tcMar>
                  <w:vAlign w:val="center"/>
                </w:tcPr>
                <w:p w14:paraId="3DF427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73.0 </w:t>
                  </w:r>
                </w:p>
              </w:tc>
              <w:tc>
                <w:tcPr>
                  <w:tcW w:w="192" w:type="pct"/>
                  <w:tcBorders>
                    <w:tl2br w:val="nil"/>
                    <w:tr2bl w:val="nil"/>
                  </w:tcBorders>
                  <w:noWrap w:val="0"/>
                  <w:tcMar>
                    <w:top w:w="0" w:type="dxa"/>
                    <w:left w:w="0" w:type="dxa"/>
                    <w:bottom w:w="0" w:type="dxa"/>
                    <w:right w:w="0" w:type="dxa"/>
                  </w:tcMar>
                  <w:vAlign w:val="center"/>
                </w:tcPr>
                <w:p w14:paraId="29B524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63.4 </w:t>
                  </w:r>
                </w:p>
              </w:tc>
              <w:tc>
                <w:tcPr>
                  <w:tcW w:w="205" w:type="pct"/>
                  <w:tcBorders>
                    <w:tl2br w:val="nil"/>
                    <w:tr2bl w:val="nil"/>
                  </w:tcBorders>
                  <w:noWrap w:val="0"/>
                  <w:tcMar>
                    <w:top w:w="0" w:type="dxa"/>
                    <w:left w:w="0" w:type="dxa"/>
                    <w:bottom w:w="0" w:type="dxa"/>
                    <w:right w:w="0" w:type="dxa"/>
                  </w:tcMar>
                  <w:vAlign w:val="center"/>
                </w:tcPr>
                <w:p w14:paraId="39940CE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83.5 </w:t>
                  </w:r>
                </w:p>
              </w:tc>
              <w:tc>
                <w:tcPr>
                  <w:tcW w:w="208" w:type="pct"/>
                  <w:tcBorders>
                    <w:tl2br w:val="nil"/>
                    <w:tr2bl w:val="nil"/>
                  </w:tcBorders>
                  <w:noWrap w:val="0"/>
                  <w:tcMar>
                    <w:top w:w="0" w:type="dxa"/>
                    <w:left w:w="0" w:type="dxa"/>
                    <w:bottom w:w="0" w:type="dxa"/>
                    <w:right w:w="0" w:type="dxa"/>
                  </w:tcMar>
                  <w:vAlign w:val="center"/>
                </w:tcPr>
                <w:p w14:paraId="295E47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64.2 </w:t>
                  </w:r>
                </w:p>
              </w:tc>
              <w:tc>
                <w:tcPr>
                  <w:tcW w:w="228" w:type="pct"/>
                  <w:vMerge w:val="continue"/>
                  <w:tcBorders>
                    <w:tl2br w:val="nil"/>
                    <w:tr2bl w:val="nil"/>
                  </w:tcBorders>
                  <w:noWrap w:val="0"/>
                  <w:tcMar>
                    <w:top w:w="0" w:type="dxa"/>
                    <w:left w:w="0" w:type="dxa"/>
                    <w:bottom w:w="0" w:type="dxa"/>
                    <w:right w:w="0" w:type="dxa"/>
                  </w:tcMar>
                  <w:vAlign w:val="center"/>
                </w:tcPr>
                <w:p w14:paraId="27527D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250DA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002AD6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48.0 </w:t>
                  </w:r>
                </w:p>
              </w:tc>
              <w:tc>
                <w:tcPr>
                  <w:tcW w:w="201" w:type="pct"/>
                  <w:tcBorders>
                    <w:tl2br w:val="nil"/>
                    <w:tr2bl w:val="nil"/>
                  </w:tcBorders>
                  <w:noWrap w:val="0"/>
                  <w:tcMar>
                    <w:top w:w="0" w:type="dxa"/>
                    <w:left w:w="0" w:type="dxa"/>
                    <w:bottom w:w="0" w:type="dxa"/>
                    <w:right w:w="0" w:type="dxa"/>
                  </w:tcMar>
                  <w:vAlign w:val="center"/>
                </w:tcPr>
                <w:p w14:paraId="2384F6F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38.4 </w:t>
                  </w:r>
                </w:p>
              </w:tc>
              <w:tc>
                <w:tcPr>
                  <w:tcW w:w="193" w:type="pct"/>
                  <w:tcBorders>
                    <w:tl2br w:val="nil"/>
                    <w:tr2bl w:val="nil"/>
                  </w:tcBorders>
                  <w:noWrap w:val="0"/>
                  <w:tcMar>
                    <w:top w:w="0" w:type="dxa"/>
                    <w:left w:w="0" w:type="dxa"/>
                    <w:bottom w:w="0" w:type="dxa"/>
                    <w:right w:w="0" w:type="dxa"/>
                  </w:tcMar>
                  <w:vAlign w:val="center"/>
                </w:tcPr>
                <w:p w14:paraId="49A0C58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58.5 </w:t>
                  </w:r>
                </w:p>
              </w:tc>
              <w:tc>
                <w:tcPr>
                  <w:tcW w:w="195" w:type="pct"/>
                  <w:tcBorders>
                    <w:tl2br w:val="nil"/>
                    <w:tr2bl w:val="nil"/>
                  </w:tcBorders>
                  <w:noWrap w:val="0"/>
                  <w:tcMar>
                    <w:top w:w="0" w:type="dxa"/>
                    <w:left w:w="0" w:type="dxa"/>
                    <w:bottom w:w="0" w:type="dxa"/>
                    <w:right w:w="0" w:type="dxa"/>
                  </w:tcMar>
                  <w:vAlign w:val="center"/>
                </w:tcPr>
                <w:p w14:paraId="423A8F1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39.2 </w:t>
                  </w:r>
                </w:p>
              </w:tc>
              <w:tc>
                <w:tcPr>
                  <w:tcW w:w="202" w:type="pct"/>
                  <w:tcBorders>
                    <w:tl2br w:val="nil"/>
                    <w:tr2bl w:val="nil"/>
                  </w:tcBorders>
                  <w:noWrap w:val="0"/>
                  <w:tcMar>
                    <w:top w:w="0" w:type="dxa"/>
                    <w:left w:w="0" w:type="dxa"/>
                    <w:bottom w:w="0" w:type="dxa"/>
                    <w:right w:w="0" w:type="dxa"/>
                  </w:tcMar>
                  <w:vAlign w:val="center"/>
                </w:tcPr>
                <w:p w14:paraId="04C7D7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r>
            <w:tr w14:paraId="6DB1EC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E3A7C8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26</w:t>
                  </w:r>
                </w:p>
              </w:tc>
              <w:tc>
                <w:tcPr>
                  <w:tcW w:w="178" w:type="pct"/>
                  <w:vMerge w:val="restart"/>
                  <w:tcBorders>
                    <w:tl2br w:val="nil"/>
                    <w:tr2bl w:val="nil"/>
                  </w:tcBorders>
                  <w:noWrap w:val="0"/>
                  <w:tcMar>
                    <w:top w:w="0" w:type="dxa"/>
                    <w:left w:w="0" w:type="dxa"/>
                    <w:bottom w:w="0" w:type="dxa"/>
                    <w:right w:w="0" w:type="dxa"/>
                  </w:tcMar>
                  <w:vAlign w:val="center"/>
                </w:tcPr>
                <w:p w14:paraId="25F6B704">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三</w:t>
                  </w:r>
                </w:p>
                <w:p w14:paraId="4B57E6FA">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车</w:t>
                  </w:r>
                </w:p>
                <w:p w14:paraId="2043DC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间</w:t>
                  </w:r>
                </w:p>
              </w:tc>
              <w:tc>
                <w:tcPr>
                  <w:tcW w:w="326" w:type="pct"/>
                  <w:tcBorders>
                    <w:tl2br w:val="nil"/>
                    <w:tr2bl w:val="nil"/>
                  </w:tcBorders>
                  <w:noWrap w:val="0"/>
                  <w:tcMar>
                    <w:top w:w="0" w:type="dxa"/>
                    <w:left w:w="0" w:type="dxa"/>
                    <w:bottom w:w="0" w:type="dxa"/>
                    <w:right w:w="0" w:type="dxa"/>
                  </w:tcMar>
                  <w:vAlign w:val="center"/>
                </w:tcPr>
                <w:p w14:paraId="01F42AD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颚式破碎机（3台，按点声源组计算）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0F7EFA9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4C1807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FEF0F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41DB91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11.5</w:t>
                  </w:r>
                </w:p>
              </w:tc>
              <w:tc>
                <w:tcPr>
                  <w:tcW w:w="219" w:type="pct"/>
                  <w:tcBorders>
                    <w:tl2br w:val="nil"/>
                    <w:tr2bl w:val="nil"/>
                  </w:tcBorders>
                  <w:noWrap w:val="0"/>
                  <w:tcMar>
                    <w:top w:w="0" w:type="dxa"/>
                    <w:left w:w="0" w:type="dxa"/>
                    <w:bottom w:w="0" w:type="dxa"/>
                    <w:right w:w="0" w:type="dxa"/>
                  </w:tcMar>
                  <w:vAlign w:val="center"/>
                </w:tcPr>
                <w:p w14:paraId="1EC72D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40.1</w:t>
                  </w:r>
                </w:p>
              </w:tc>
              <w:tc>
                <w:tcPr>
                  <w:tcW w:w="176" w:type="pct"/>
                  <w:tcBorders>
                    <w:tl2br w:val="nil"/>
                    <w:tr2bl w:val="nil"/>
                  </w:tcBorders>
                  <w:noWrap w:val="0"/>
                  <w:tcMar>
                    <w:top w:w="0" w:type="dxa"/>
                    <w:left w:w="0" w:type="dxa"/>
                    <w:bottom w:w="0" w:type="dxa"/>
                    <w:right w:w="0" w:type="dxa"/>
                  </w:tcMar>
                  <w:vAlign w:val="center"/>
                </w:tcPr>
                <w:p w14:paraId="1020AAE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065F70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8.0</w:t>
                  </w:r>
                </w:p>
              </w:tc>
              <w:tc>
                <w:tcPr>
                  <w:tcW w:w="187" w:type="pct"/>
                  <w:tcBorders>
                    <w:tl2br w:val="nil"/>
                    <w:tr2bl w:val="nil"/>
                  </w:tcBorders>
                  <w:noWrap w:val="0"/>
                  <w:tcMar>
                    <w:top w:w="0" w:type="dxa"/>
                    <w:left w:w="0" w:type="dxa"/>
                    <w:bottom w:w="0" w:type="dxa"/>
                    <w:right w:w="0" w:type="dxa"/>
                  </w:tcMar>
                  <w:vAlign w:val="center"/>
                </w:tcPr>
                <w:p w14:paraId="0D06AB1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22.9</w:t>
                  </w:r>
                </w:p>
              </w:tc>
              <w:tc>
                <w:tcPr>
                  <w:tcW w:w="205" w:type="pct"/>
                  <w:tcBorders>
                    <w:tl2br w:val="nil"/>
                    <w:tr2bl w:val="nil"/>
                  </w:tcBorders>
                  <w:shd w:val="clear" w:color="auto" w:fill="auto"/>
                  <w:noWrap w:val="0"/>
                  <w:tcMar>
                    <w:top w:w="0" w:type="dxa"/>
                    <w:left w:w="0" w:type="dxa"/>
                    <w:bottom w:w="0" w:type="dxa"/>
                    <w:right w:w="0" w:type="dxa"/>
                  </w:tcMar>
                  <w:vAlign w:val="center"/>
                </w:tcPr>
                <w:p w14:paraId="5B2792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11.5</w:t>
                  </w:r>
                </w:p>
              </w:tc>
              <w:tc>
                <w:tcPr>
                  <w:tcW w:w="213" w:type="pct"/>
                  <w:tcBorders>
                    <w:tl2br w:val="nil"/>
                    <w:tr2bl w:val="nil"/>
                  </w:tcBorders>
                  <w:noWrap w:val="0"/>
                  <w:tcMar>
                    <w:top w:w="0" w:type="dxa"/>
                    <w:left w:w="0" w:type="dxa"/>
                    <w:bottom w:w="0" w:type="dxa"/>
                    <w:right w:w="0" w:type="dxa"/>
                  </w:tcMar>
                  <w:vAlign w:val="center"/>
                </w:tcPr>
                <w:p w14:paraId="64034E1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19.2</w:t>
                  </w:r>
                </w:p>
              </w:tc>
              <w:tc>
                <w:tcPr>
                  <w:tcW w:w="192" w:type="pct"/>
                  <w:tcBorders>
                    <w:tl2br w:val="nil"/>
                    <w:tr2bl w:val="nil"/>
                  </w:tcBorders>
                  <w:noWrap w:val="0"/>
                  <w:tcMar>
                    <w:top w:w="0" w:type="dxa"/>
                    <w:left w:w="0" w:type="dxa"/>
                    <w:bottom w:w="0" w:type="dxa"/>
                    <w:right w:w="0" w:type="dxa"/>
                  </w:tcMar>
                  <w:vAlign w:val="center"/>
                </w:tcPr>
                <w:p w14:paraId="17928B0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71.9 </w:t>
                  </w:r>
                </w:p>
              </w:tc>
              <w:tc>
                <w:tcPr>
                  <w:tcW w:w="192" w:type="pct"/>
                  <w:tcBorders>
                    <w:tl2br w:val="nil"/>
                    <w:tr2bl w:val="nil"/>
                  </w:tcBorders>
                  <w:noWrap w:val="0"/>
                  <w:tcMar>
                    <w:top w:w="0" w:type="dxa"/>
                    <w:left w:w="0" w:type="dxa"/>
                    <w:bottom w:w="0" w:type="dxa"/>
                    <w:right w:w="0" w:type="dxa"/>
                  </w:tcMar>
                  <w:vAlign w:val="center"/>
                </w:tcPr>
                <w:p w14:paraId="0995D5C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62.8 </w:t>
                  </w:r>
                </w:p>
              </w:tc>
              <w:tc>
                <w:tcPr>
                  <w:tcW w:w="205" w:type="pct"/>
                  <w:tcBorders>
                    <w:tl2br w:val="nil"/>
                    <w:tr2bl w:val="nil"/>
                  </w:tcBorders>
                  <w:noWrap w:val="0"/>
                  <w:tcMar>
                    <w:top w:w="0" w:type="dxa"/>
                    <w:left w:w="0" w:type="dxa"/>
                    <w:bottom w:w="0" w:type="dxa"/>
                    <w:right w:w="0" w:type="dxa"/>
                  </w:tcMar>
                  <w:vAlign w:val="center"/>
                </w:tcPr>
                <w:p w14:paraId="232687F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68.8 </w:t>
                  </w:r>
                </w:p>
              </w:tc>
              <w:tc>
                <w:tcPr>
                  <w:tcW w:w="208" w:type="pct"/>
                  <w:tcBorders>
                    <w:tl2br w:val="nil"/>
                    <w:tr2bl w:val="nil"/>
                  </w:tcBorders>
                  <w:noWrap w:val="0"/>
                  <w:tcMar>
                    <w:top w:w="0" w:type="dxa"/>
                    <w:left w:w="0" w:type="dxa"/>
                    <w:bottom w:w="0" w:type="dxa"/>
                    <w:right w:w="0" w:type="dxa"/>
                  </w:tcMar>
                  <w:vAlign w:val="center"/>
                </w:tcPr>
                <w:p w14:paraId="621B044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64.3 </w:t>
                  </w:r>
                </w:p>
              </w:tc>
              <w:tc>
                <w:tcPr>
                  <w:tcW w:w="228" w:type="pct"/>
                  <w:vMerge w:val="continue"/>
                  <w:tcBorders>
                    <w:tl2br w:val="nil"/>
                    <w:tr2bl w:val="nil"/>
                  </w:tcBorders>
                  <w:noWrap w:val="0"/>
                  <w:tcMar>
                    <w:top w:w="0" w:type="dxa"/>
                    <w:left w:w="0" w:type="dxa"/>
                    <w:bottom w:w="0" w:type="dxa"/>
                    <w:right w:w="0" w:type="dxa"/>
                  </w:tcMar>
                  <w:vAlign w:val="center"/>
                </w:tcPr>
                <w:p w14:paraId="173ADD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50B8D4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E222CA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46.9 </w:t>
                  </w:r>
                </w:p>
              </w:tc>
              <w:tc>
                <w:tcPr>
                  <w:tcW w:w="201" w:type="pct"/>
                  <w:tcBorders>
                    <w:tl2br w:val="nil"/>
                    <w:tr2bl w:val="nil"/>
                  </w:tcBorders>
                  <w:noWrap w:val="0"/>
                  <w:tcMar>
                    <w:top w:w="0" w:type="dxa"/>
                    <w:left w:w="0" w:type="dxa"/>
                    <w:bottom w:w="0" w:type="dxa"/>
                    <w:right w:w="0" w:type="dxa"/>
                  </w:tcMar>
                  <w:vAlign w:val="center"/>
                </w:tcPr>
                <w:p w14:paraId="3715CD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37.8 </w:t>
                  </w:r>
                </w:p>
              </w:tc>
              <w:tc>
                <w:tcPr>
                  <w:tcW w:w="193" w:type="pct"/>
                  <w:tcBorders>
                    <w:tl2br w:val="nil"/>
                    <w:tr2bl w:val="nil"/>
                  </w:tcBorders>
                  <w:noWrap w:val="0"/>
                  <w:tcMar>
                    <w:top w:w="0" w:type="dxa"/>
                    <w:left w:w="0" w:type="dxa"/>
                    <w:bottom w:w="0" w:type="dxa"/>
                    <w:right w:w="0" w:type="dxa"/>
                  </w:tcMar>
                  <w:vAlign w:val="center"/>
                </w:tcPr>
                <w:p w14:paraId="77AE9A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43.8 </w:t>
                  </w:r>
                </w:p>
              </w:tc>
              <w:tc>
                <w:tcPr>
                  <w:tcW w:w="195" w:type="pct"/>
                  <w:tcBorders>
                    <w:tl2br w:val="nil"/>
                    <w:tr2bl w:val="nil"/>
                  </w:tcBorders>
                  <w:noWrap w:val="0"/>
                  <w:tcMar>
                    <w:top w:w="0" w:type="dxa"/>
                    <w:left w:w="0" w:type="dxa"/>
                    <w:bottom w:w="0" w:type="dxa"/>
                    <w:right w:w="0" w:type="dxa"/>
                  </w:tcMar>
                  <w:vAlign w:val="center"/>
                </w:tcPr>
                <w:p w14:paraId="29BAD44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39.3 </w:t>
                  </w:r>
                </w:p>
              </w:tc>
              <w:tc>
                <w:tcPr>
                  <w:tcW w:w="202" w:type="pct"/>
                  <w:tcBorders>
                    <w:tl2br w:val="nil"/>
                    <w:tr2bl w:val="nil"/>
                  </w:tcBorders>
                  <w:noWrap w:val="0"/>
                  <w:tcMar>
                    <w:top w:w="0" w:type="dxa"/>
                    <w:left w:w="0" w:type="dxa"/>
                    <w:bottom w:w="0" w:type="dxa"/>
                    <w:right w:w="0" w:type="dxa"/>
                  </w:tcMar>
                  <w:vAlign w:val="center"/>
                </w:tcPr>
                <w:p w14:paraId="488557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209FB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4004DB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27</w:t>
                  </w:r>
                </w:p>
              </w:tc>
              <w:tc>
                <w:tcPr>
                  <w:tcW w:w="178" w:type="pct"/>
                  <w:vMerge w:val="continue"/>
                  <w:tcBorders>
                    <w:tl2br w:val="nil"/>
                    <w:tr2bl w:val="nil"/>
                  </w:tcBorders>
                  <w:noWrap w:val="0"/>
                  <w:tcMar>
                    <w:top w:w="0" w:type="dxa"/>
                    <w:left w:w="0" w:type="dxa"/>
                    <w:bottom w:w="0" w:type="dxa"/>
                    <w:right w:w="0" w:type="dxa"/>
                  </w:tcMar>
                  <w:vAlign w:val="center"/>
                </w:tcPr>
                <w:p w14:paraId="1EA078E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69FC688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冲击制砂机（2台，按点声源组计算）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BC1A67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265E1C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11027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ADD35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14.8</w:t>
                  </w:r>
                </w:p>
              </w:tc>
              <w:tc>
                <w:tcPr>
                  <w:tcW w:w="219" w:type="pct"/>
                  <w:tcBorders>
                    <w:tl2br w:val="nil"/>
                    <w:tr2bl w:val="nil"/>
                  </w:tcBorders>
                  <w:noWrap w:val="0"/>
                  <w:tcMar>
                    <w:top w:w="0" w:type="dxa"/>
                    <w:left w:w="0" w:type="dxa"/>
                    <w:bottom w:w="0" w:type="dxa"/>
                    <w:right w:w="0" w:type="dxa"/>
                  </w:tcMar>
                  <w:vAlign w:val="center"/>
                </w:tcPr>
                <w:p w14:paraId="1E23090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36.5</w:t>
                  </w:r>
                </w:p>
              </w:tc>
              <w:tc>
                <w:tcPr>
                  <w:tcW w:w="176" w:type="pct"/>
                  <w:tcBorders>
                    <w:tl2br w:val="nil"/>
                    <w:tr2bl w:val="nil"/>
                  </w:tcBorders>
                  <w:noWrap w:val="0"/>
                  <w:tcMar>
                    <w:top w:w="0" w:type="dxa"/>
                    <w:left w:w="0" w:type="dxa"/>
                    <w:bottom w:w="0" w:type="dxa"/>
                    <w:right w:w="0" w:type="dxa"/>
                  </w:tcMar>
                  <w:vAlign w:val="center"/>
                </w:tcPr>
                <w:p w14:paraId="1FFB75A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EA1D3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8.1</w:t>
                  </w:r>
                </w:p>
              </w:tc>
              <w:tc>
                <w:tcPr>
                  <w:tcW w:w="187" w:type="pct"/>
                  <w:tcBorders>
                    <w:tl2br w:val="nil"/>
                    <w:tr2bl w:val="nil"/>
                  </w:tcBorders>
                  <w:noWrap w:val="0"/>
                  <w:tcMar>
                    <w:top w:w="0" w:type="dxa"/>
                    <w:left w:w="0" w:type="dxa"/>
                    <w:bottom w:w="0" w:type="dxa"/>
                    <w:right w:w="0" w:type="dxa"/>
                  </w:tcMar>
                  <w:vAlign w:val="center"/>
                </w:tcPr>
                <w:p w14:paraId="14B959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23.6</w:t>
                  </w:r>
                </w:p>
              </w:tc>
              <w:tc>
                <w:tcPr>
                  <w:tcW w:w="205" w:type="pct"/>
                  <w:tcBorders>
                    <w:tl2br w:val="nil"/>
                    <w:tr2bl w:val="nil"/>
                  </w:tcBorders>
                  <w:shd w:val="clear" w:color="auto" w:fill="auto"/>
                  <w:noWrap w:val="0"/>
                  <w:tcMar>
                    <w:top w:w="0" w:type="dxa"/>
                    <w:left w:w="0" w:type="dxa"/>
                    <w:bottom w:w="0" w:type="dxa"/>
                    <w:right w:w="0" w:type="dxa"/>
                  </w:tcMar>
                  <w:vAlign w:val="center"/>
                </w:tcPr>
                <w:p w14:paraId="0C95782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14.8</w:t>
                  </w:r>
                </w:p>
              </w:tc>
              <w:tc>
                <w:tcPr>
                  <w:tcW w:w="213" w:type="pct"/>
                  <w:tcBorders>
                    <w:tl2br w:val="nil"/>
                    <w:tr2bl w:val="nil"/>
                  </w:tcBorders>
                  <w:noWrap w:val="0"/>
                  <w:tcMar>
                    <w:top w:w="0" w:type="dxa"/>
                    <w:left w:w="0" w:type="dxa"/>
                    <w:bottom w:w="0" w:type="dxa"/>
                    <w:right w:w="0" w:type="dxa"/>
                  </w:tcMar>
                  <w:vAlign w:val="center"/>
                </w:tcPr>
                <w:p w14:paraId="1B7883E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18.4</w:t>
                  </w:r>
                </w:p>
              </w:tc>
              <w:tc>
                <w:tcPr>
                  <w:tcW w:w="192" w:type="pct"/>
                  <w:tcBorders>
                    <w:tl2br w:val="nil"/>
                    <w:tr2bl w:val="nil"/>
                  </w:tcBorders>
                  <w:noWrap w:val="0"/>
                  <w:tcMar>
                    <w:top w:w="0" w:type="dxa"/>
                    <w:left w:w="0" w:type="dxa"/>
                    <w:bottom w:w="0" w:type="dxa"/>
                    <w:right w:w="0" w:type="dxa"/>
                  </w:tcMar>
                  <w:vAlign w:val="center"/>
                </w:tcPr>
                <w:p w14:paraId="0236C17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71.8 </w:t>
                  </w:r>
                </w:p>
              </w:tc>
              <w:tc>
                <w:tcPr>
                  <w:tcW w:w="192" w:type="pct"/>
                  <w:tcBorders>
                    <w:tl2br w:val="nil"/>
                    <w:tr2bl w:val="nil"/>
                  </w:tcBorders>
                  <w:noWrap w:val="0"/>
                  <w:tcMar>
                    <w:top w:w="0" w:type="dxa"/>
                    <w:left w:w="0" w:type="dxa"/>
                    <w:bottom w:w="0" w:type="dxa"/>
                    <w:right w:w="0" w:type="dxa"/>
                  </w:tcMar>
                  <w:vAlign w:val="center"/>
                </w:tcPr>
                <w:p w14:paraId="49178D5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62.5 </w:t>
                  </w:r>
                </w:p>
              </w:tc>
              <w:tc>
                <w:tcPr>
                  <w:tcW w:w="205" w:type="pct"/>
                  <w:tcBorders>
                    <w:tl2br w:val="nil"/>
                    <w:tr2bl w:val="nil"/>
                  </w:tcBorders>
                  <w:noWrap w:val="0"/>
                  <w:tcMar>
                    <w:top w:w="0" w:type="dxa"/>
                    <w:left w:w="0" w:type="dxa"/>
                    <w:bottom w:w="0" w:type="dxa"/>
                    <w:right w:w="0" w:type="dxa"/>
                  </w:tcMar>
                  <w:vAlign w:val="center"/>
                </w:tcPr>
                <w:p w14:paraId="6578B0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66.6 </w:t>
                  </w:r>
                </w:p>
              </w:tc>
              <w:tc>
                <w:tcPr>
                  <w:tcW w:w="208" w:type="pct"/>
                  <w:tcBorders>
                    <w:tl2br w:val="nil"/>
                    <w:tr2bl w:val="nil"/>
                  </w:tcBorders>
                  <w:noWrap w:val="0"/>
                  <w:tcMar>
                    <w:top w:w="0" w:type="dxa"/>
                    <w:left w:w="0" w:type="dxa"/>
                    <w:bottom w:w="0" w:type="dxa"/>
                    <w:right w:w="0" w:type="dxa"/>
                  </w:tcMar>
                  <w:vAlign w:val="center"/>
                </w:tcPr>
                <w:p w14:paraId="623818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64.7 </w:t>
                  </w:r>
                </w:p>
              </w:tc>
              <w:tc>
                <w:tcPr>
                  <w:tcW w:w="228" w:type="pct"/>
                  <w:vMerge w:val="continue"/>
                  <w:tcBorders>
                    <w:tl2br w:val="nil"/>
                    <w:tr2bl w:val="nil"/>
                  </w:tcBorders>
                  <w:noWrap w:val="0"/>
                  <w:tcMar>
                    <w:top w:w="0" w:type="dxa"/>
                    <w:left w:w="0" w:type="dxa"/>
                    <w:bottom w:w="0" w:type="dxa"/>
                    <w:right w:w="0" w:type="dxa"/>
                  </w:tcMar>
                  <w:vAlign w:val="center"/>
                </w:tcPr>
                <w:p w14:paraId="3417734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0B53AB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783136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46.8 </w:t>
                  </w:r>
                </w:p>
              </w:tc>
              <w:tc>
                <w:tcPr>
                  <w:tcW w:w="201" w:type="pct"/>
                  <w:tcBorders>
                    <w:tl2br w:val="nil"/>
                    <w:tr2bl w:val="nil"/>
                  </w:tcBorders>
                  <w:noWrap w:val="0"/>
                  <w:tcMar>
                    <w:top w:w="0" w:type="dxa"/>
                    <w:left w:w="0" w:type="dxa"/>
                    <w:bottom w:w="0" w:type="dxa"/>
                    <w:right w:w="0" w:type="dxa"/>
                  </w:tcMar>
                  <w:vAlign w:val="center"/>
                </w:tcPr>
                <w:p w14:paraId="1576F8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37.5 </w:t>
                  </w:r>
                </w:p>
              </w:tc>
              <w:tc>
                <w:tcPr>
                  <w:tcW w:w="193" w:type="pct"/>
                  <w:tcBorders>
                    <w:tl2br w:val="nil"/>
                    <w:tr2bl w:val="nil"/>
                  </w:tcBorders>
                  <w:noWrap w:val="0"/>
                  <w:tcMar>
                    <w:top w:w="0" w:type="dxa"/>
                    <w:left w:w="0" w:type="dxa"/>
                    <w:bottom w:w="0" w:type="dxa"/>
                    <w:right w:w="0" w:type="dxa"/>
                  </w:tcMar>
                  <w:vAlign w:val="center"/>
                </w:tcPr>
                <w:p w14:paraId="2453D6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41.6 </w:t>
                  </w:r>
                </w:p>
              </w:tc>
              <w:tc>
                <w:tcPr>
                  <w:tcW w:w="195" w:type="pct"/>
                  <w:tcBorders>
                    <w:tl2br w:val="nil"/>
                    <w:tr2bl w:val="nil"/>
                  </w:tcBorders>
                  <w:noWrap w:val="0"/>
                  <w:tcMar>
                    <w:top w:w="0" w:type="dxa"/>
                    <w:left w:w="0" w:type="dxa"/>
                    <w:bottom w:w="0" w:type="dxa"/>
                    <w:right w:w="0" w:type="dxa"/>
                  </w:tcMar>
                  <w:vAlign w:val="center"/>
                </w:tcPr>
                <w:p w14:paraId="084504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39.7 </w:t>
                  </w:r>
                </w:p>
              </w:tc>
              <w:tc>
                <w:tcPr>
                  <w:tcW w:w="202" w:type="pct"/>
                  <w:tcBorders>
                    <w:tl2br w:val="nil"/>
                    <w:tr2bl w:val="nil"/>
                  </w:tcBorders>
                  <w:noWrap w:val="0"/>
                  <w:tcMar>
                    <w:top w:w="0" w:type="dxa"/>
                    <w:left w:w="0" w:type="dxa"/>
                    <w:bottom w:w="0" w:type="dxa"/>
                    <w:right w:w="0" w:type="dxa"/>
                  </w:tcMar>
                  <w:vAlign w:val="center"/>
                </w:tcPr>
                <w:p w14:paraId="42A6D4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56A48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92BF2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28</w:t>
                  </w:r>
                </w:p>
              </w:tc>
              <w:tc>
                <w:tcPr>
                  <w:tcW w:w="178" w:type="pct"/>
                  <w:vMerge w:val="continue"/>
                  <w:tcBorders>
                    <w:tl2br w:val="nil"/>
                    <w:tr2bl w:val="nil"/>
                  </w:tcBorders>
                  <w:noWrap w:val="0"/>
                  <w:tcMar>
                    <w:top w:w="0" w:type="dxa"/>
                    <w:left w:w="0" w:type="dxa"/>
                    <w:bottom w:w="0" w:type="dxa"/>
                    <w:right w:w="0" w:type="dxa"/>
                  </w:tcMar>
                  <w:vAlign w:val="center"/>
                </w:tcPr>
                <w:p w14:paraId="42A079D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624257C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对辊机（2台，按点声源组计算）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1D64255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69F72B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9032F3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749613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16.1</w:t>
                  </w:r>
                </w:p>
              </w:tc>
              <w:tc>
                <w:tcPr>
                  <w:tcW w:w="219" w:type="pct"/>
                  <w:tcBorders>
                    <w:tl2br w:val="nil"/>
                    <w:tr2bl w:val="nil"/>
                  </w:tcBorders>
                  <w:noWrap w:val="0"/>
                  <w:tcMar>
                    <w:top w:w="0" w:type="dxa"/>
                    <w:left w:w="0" w:type="dxa"/>
                    <w:bottom w:w="0" w:type="dxa"/>
                    <w:right w:w="0" w:type="dxa"/>
                  </w:tcMar>
                  <w:vAlign w:val="center"/>
                </w:tcPr>
                <w:p w14:paraId="7EBFC8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38.9</w:t>
                  </w:r>
                </w:p>
              </w:tc>
              <w:tc>
                <w:tcPr>
                  <w:tcW w:w="176" w:type="pct"/>
                  <w:tcBorders>
                    <w:tl2br w:val="nil"/>
                    <w:tr2bl w:val="nil"/>
                  </w:tcBorders>
                  <w:noWrap w:val="0"/>
                  <w:tcMar>
                    <w:top w:w="0" w:type="dxa"/>
                    <w:left w:w="0" w:type="dxa"/>
                    <w:bottom w:w="0" w:type="dxa"/>
                    <w:right w:w="0" w:type="dxa"/>
                  </w:tcMar>
                  <w:vAlign w:val="center"/>
                </w:tcPr>
                <w:p w14:paraId="03C2A39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7A122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7.6</w:t>
                  </w:r>
                </w:p>
              </w:tc>
              <w:tc>
                <w:tcPr>
                  <w:tcW w:w="187" w:type="pct"/>
                  <w:tcBorders>
                    <w:tl2br w:val="nil"/>
                    <w:tr2bl w:val="nil"/>
                  </w:tcBorders>
                  <w:noWrap w:val="0"/>
                  <w:tcMar>
                    <w:top w:w="0" w:type="dxa"/>
                    <w:left w:w="0" w:type="dxa"/>
                    <w:bottom w:w="0" w:type="dxa"/>
                    <w:right w:w="0" w:type="dxa"/>
                  </w:tcMar>
                  <w:vAlign w:val="center"/>
                </w:tcPr>
                <w:p w14:paraId="08FC3E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24.1</w:t>
                  </w:r>
                </w:p>
              </w:tc>
              <w:tc>
                <w:tcPr>
                  <w:tcW w:w="205" w:type="pct"/>
                  <w:tcBorders>
                    <w:tl2br w:val="nil"/>
                    <w:tr2bl w:val="nil"/>
                  </w:tcBorders>
                  <w:shd w:val="clear" w:color="auto" w:fill="auto"/>
                  <w:noWrap w:val="0"/>
                  <w:tcMar>
                    <w:top w:w="0" w:type="dxa"/>
                    <w:left w:w="0" w:type="dxa"/>
                    <w:bottom w:w="0" w:type="dxa"/>
                    <w:right w:w="0" w:type="dxa"/>
                  </w:tcMar>
                  <w:vAlign w:val="center"/>
                </w:tcPr>
                <w:p w14:paraId="26E689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16.1</w:t>
                  </w:r>
                </w:p>
              </w:tc>
              <w:tc>
                <w:tcPr>
                  <w:tcW w:w="213" w:type="pct"/>
                  <w:tcBorders>
                    <w:tl2br w:val="nil"/>
                    <w:tr2bl w:val="nil"/>
                  </w:tcBorders>
                  <w:noWrap w:val="0"/>
                  <w:tcMar>
                    <w:top w:w="0" w:type="dxa"/>
                    <w:left w:w="0" w:type="dxa"/>
                    <w:bottom w:w="0" w:type="dxa"/>
                    <w:right w:w="0" w:type="dxa"/>
                  </w:tcMar>
                  <w:vAlign w:val="center"/>
                </w:tcPr>
                <w:p w14:paraId="45B9DF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17.9</w:t>
                  </w:r>
                </w:p>
              </w:tc>
              <w:tc>
                <w:tcPr>
                  <w:tcW w:w="192" w:type="pct"/>
                  <w:tcBorders>
                    <w:tl2br w:val="nil"/>
                    <w:tr2bl w:val="nil"/>
                  </w:tcBorders>
                  <w:noWrap w:val="0"/>
                  <w:tcMar>
                    <w:top w:w="0" w:type="dxa"/>
                    <w:left w:w="0" w:type="dxa"/>
                    <w:bottom w:w="0" w:type="dxa"/>
                    <w:right w:w="0" w:type="dxa"/>
                  </w:tcMar>
                  <w:vAlign w:val="center"/>
                </w:tcPr>
                <w:p w14:paraId="2AA6358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72.4 </w:t>
                  </w:r>
                </w:p>
              </w:tc>
              <w:tc>
                <w:tcPr>
                  <w:tcW w:w="192" w:type="pct"/>
                  <w:tcBorders>
                    <w:tl2br w:val="nil"/>
                    <w:tr2bl w:val="nil"/>
                  </w:tcBorders>
                  <w:noWrap w:val="0"/>
                  <w:tcMar>
                    <w:top w:w="0" w:type="dxa"/>
                    <w:left w:w="0" w:type="dxa"/>
                    <w:bottom w:w="0" w:type="dxa"/>
                    <w:right w:w="0" w:type="dxa"/>
                  </w:tcMar>
                  <w:vAlign w:val="center"/>
                </w:tcPr>
                <w:p w14:paraId="10F426E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62.4 </w:t>
                  </w:r>
                </w:p>
              </w:tc>
              <w:tc>
                <w:tcPr>
                  <w:tcW w:w="205" w:type="pct"/>
                  <w:tcBorders>
                    <w:tl2br w:val="nil"/>
                    <w:tr2bl w:val="nil"/>
                  </w:tcBorders>
                  <w:noWrap w:val="0"/>
                  <w:tcMar>
                    <w:top w:w="0" w:type="dxa"/>
                    <w:left w:w="0" w:type="dxa"/>
                    <w:bottom w:w="0" w:type="dxa"/>
                    <w:right w:w="0" w:type="dxa"/>
                  </w:tcMar>
                  <w:vAlign w:val="center"/>
                </w:tcPr>
                <w:p w14:paraId="6666521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65.9 </w:t>
                  </w:r>
                </w:p>
              </w:tc>
              <w:tc>
                <w:tcPr>
                  <w:tcW w:w="208" w:type="pct"/>
                  <w:tcBorders>
                    <w:tl2br w:val="nil"/>
                    <w:tr2bl w:val="nil"/>
                  </w:tcBorders>
                  <w:noWrap w:val="0"/>
                  <w:tcMar>
                    <w:top w:w="0" w:type="dxa"/>
                    <w:left w:w="0" w:type="dxa"/>
                    <w:bottom w:w="0" w:type="dxa"/>
                    <w:right w:w="0" w:type="dxa"/>
                  </w:tcMar>
                  <w:vAlign w:val="center"/>
                </w:tcPr>
                <w:p w14:paraId="02A1D5C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64.9 </w:t>
                  </w:r>
                </w:p>
              </w:tc>
              <w:tc>
                <w:tcPr>
                  <w:tcW w:w="228" w:type="pct"/>
                  <w:vMerge w:val="continue"/>
                  <w:tcBorders>
                    <w:tl2br w:val="nil"/>
                    <w:tr2bl w:val="nil"/>
                  </w:tcBorders>
                  <w:noWrap w:val="0"/>
                  <w:tcMar>
                    <w:top w:w="0" w:type="dxa"/>
                    <w:left w:w="0" w:type="dxa"/>
                    <w:bottom w:w="0" w:type="dxa"/>
                    <w:right w:w="0" w:type="dxa"/>
                  </w:tcMar>
                  <w:vAlign w:val="center"/>
                </w:tcPr>
                <w:p w14:paraId="206C90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5A29E3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44D6C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47.4 </w:t>
                  </w:r>
                </w:p>
              </w:tc>
              <w:tc>
                <w:tcPr>
                  <w:tcW w:w="201" w:type="pct"/>
                  <w:tcBorders>
                    <w:tl2br w:val="nil"/>
                    <w:tr2bl w:val="nil"/>
                  </w:tcBorders>
                  <w:noWrap w:val="0"/>
                  <w:tcMar>
                    <w:top w:w="0" w:type="dxa"/>
                    <w:left w:w="0" w:type="dxa"/>
                    <w:bottom w:w="0" w:type="dxa"/>
                    <w:right w:w="0" w:type="dxa"/>
                  </w:tcMar>
                  <w:vAlign w:val="center"/>
                </w:tcPr>
                <w:p w14:paraId="3D16149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37.4 </w:t>
                  </w:r>
                </w:p>
              </w:tc>
              <w:tc>
                <w:tcPr>
                  <w:tcW w:w="193" w:type="pct"/>
                  <w:tcBorders>
                    <w:tl2br w:val="nil"/>
                    <w:tr2bl w:val="nil"/>
                  </w:tcBorders>
                  <w:noWrap w:val="0"/>
                  <w:tcMar>
                    <w:top w:w="0" w:type="dxa"/>
                    <w:left w:w="0" w:type="dxa"/>
                    <w:bottom w:w="0" w:type="dxa"/>
                    <w:right w:w="0" w:type="dxa"/>
                  </w:tcMar>
                  <w:vAlign w:val="center"/>
                </w:tcPr>
                <w:p w14:paraId="579E2C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40.9 </w:t>
                  </w:r>
                </w:p>
              </w:tc>
              <w:tc>
                <w:tcPr>
                  <w:tcW w:w="195" w:type="pct"/>
                  <w:tcBorders>
                    <w:tl2br w:val="nil"/>
                    <w:tr2bl w:val="nil"/>
                  </w:tcBorders>
                  <w:noWrap w:val="0"/>
                  <w:tcMar>
                    <w:top w:w="0" w:type="dxa"/>
                    <w:left w:w="0" w:type="dxa"/>
                    <w:bottom w:w="0" w:type="dxa"/>
                    <w:right w:w="0" w:type="dxa"/>
                  </w:tcMar>
                  <w:vAlign w:val="center"/>
                </w:tcPr>
                <w:p w14:paraId="48D425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39.9 </w:t>
                  </w:r>
                </w:p>
              </w:tc>
              <w:tc>
                <w:tcPr>
                  <w:tcW w:w="202" w:type="pct"/>
                  <w:tcBorders>
                    <w:tl2br w:val="nil"/>
                    <w:tr2bl w:val="nil"/>
                  </w:tcBorders>
                  <w:noWrap w:val="0"/>
                  <w:tcMar>
                    <w:top w:w="0" w:type="dxa"/>
                    <w:left w:w="0" w:type="dxa"/>
                    <w:bottom w:w="0" w:type="dxa"/>
                    <w:right w:w="0" w:type="dxa"/>
                  </w:tcMar>
                  <w:vAlign w:val="center"/>
                </w:tcPr>
                <w:p w14:paraId="30BB93D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8396C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1187BC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29</w:t>
                  </w:r>
                </w:p>
              </w:tc>
              <w:tc>
                <w:tcPr>
                  <w:tcW w:w="178" w:type="pct"/>
                  <w:vMerge w:val="continue"/>
                  <w:tcBorders>
                    <w:tl2br w:val="nil"/>
                    <w:tr2bl w:val="nil"/>
                  </w:tcBorders>
                  <w:noWrap w:val="0"/>
                  <w:tcMar>
                    <w:top w:w="0" w:type="dxa"/>
                    <w:left w:w="0" w:type="dxa"/>
                    <w:bottom w:w="0" w:type="dxa"/>
                    <w:right w:w="0" w:type="dxa"/>
                  </w:tcMar>
                  <w:vAlign w:val="center"/>
                </w:tcPr>
                <w:p w14:paraId="14FE77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47104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带筛球磨机</w:t>
                  </w:r>
                </w:p>
              </w:tc>
              <w:tc>
                <w:tcPr>
                  <w:tcW w:w="166" w:type="pct"/>
                  <w:tcBorders>
                    <w:tl2br w:val="nil"/>
                    <w:tr2bl w:val="nil"/>
                  </w:tcBorders>
                  <w:shd w:val="clear" w:color="auto" w:fill="auto"/>
                  <w:noWrap w:val="0"/>
                  <w:tcMar>
                    <w:top w:w="0" w:type="dxa"/>
                    <w:left w:w="0" w:type="dxa"/>
                    <w:bottom w:w="0" w:type="dxa"/>
                    <w:right w:w="0" w:type="dxa"/>
                  </w:tcMar>
                  <w:vAlign w:val="center"/>
                </w:tcPr>
                <w:p w14:paraId="0F243AD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2E40E81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p>
              </w:tc>
              <w:tc>
                <w:tcPr>
                  <w:tcW w:w="219" w:type="pct"/>
                  <w:vMerge w:val="continue"/>
                  <w:tcBorders>
                    <w:tl2br w:val="nil"/>
                    <w:tr2bl w:val="nil"/>
                  </w:tcBorders>
                  <w:noWrap w:val="0"/>
                  <w:tcMar>
                    <w:top w:w="0" w:type="dxa"/>
                    <w:left w:w="0" w:type="dxa"/>
                    <w:bottom w:w="0" w:type="dxa"/>
                    <w:right w:w="0" w:type="dxa"/>
                  </w:tcMar>
                  <w:vAlign w:val="center"/>
                </w:tcPr>
                <w:p w14:paraId="20ECA77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B063F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15.4</w:t>
                  </w:r>
                </w:p>
              </w:tc>
              <w:tc>
                <w:tcPr>
                  <w:tcW w:w="219" w:type="pct"/>
                  <w:tcBorders>
                    <w:tl2br w:val="nil"/>
                    <w:tr2bl w:val="nil"/>
                  </w:tcBorders>
                  <w:noWrap w:val="0"/>
                  <w:tcMar>
                    <w:top w:w="0" w:type="dxa"/>
                    <w:left w:w="0" w:type="dxa"/>
                    <w:bottom w:w="0" w:type="dxa"/>
                    <w:right w:w="0" w:type="dxa"/>
                  </w:tcMar>
                  <w:vAlign w:val="center"/>
                </w:tcPr>
                <w:p w14:paraId="499C42A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34.6</w:t>
                  </w:r>
                </w:p>
              </w:tc>
              <w:tc>
                <w:tcPr>
                  <w:tcW w:w="176" w:type="pct"/>
                  <w:tcBorders>
                    <w:tl2br w:val="nil"/>
                    <w:tr2bl w:val="nil"/>
                  </w:tcBorders>
                  <w:noWrap w:val="0"/>
                  <w:tcMar>
                    <w:top w:w="0" w:type="dxa"/>
                    <w:left w:w="0" w:type="dxa"/>
                    <w:bottom w:w="0" w:type="dxa"/>
                    <w:right w:w="0" w:type="dxa"/>
                  </w:tcMar>
                  <w:vAlign w:val="center"/>
                </w:tcPr>
                <w:p w14:paraId="0282AA6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C1687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10.1</w:t>
                  </w:r>
                </w:p>
              </w:tc>
              <w:tc>
                <w:tcPr>
                  <w:tcW w:w="187" w:type="pct"/>
                  <w:tcBorders>
                    <w:tl2br w:val="nil"/>
                    <w:tr2bl w:val="nil"/>
                  </w:tcBorders>
                  <w:noWrap w:val="0"/>
                  <w:tcMar>
                    <w:top w:w="0" w:type="dxa"/>
                    <w:left w:w="0" w:type="dxa"/>
                    <w:bottom w:w="0" w:type="dxa"/>
                    <w:right w:w="0" w:type="dxa"/>
                  </w:tcMar>
                  <w:vAlign w:val="center"/>
                </w:tcPr>
                <w:p w14:paraId="0766FF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20.8</w:t>
                  </w:r>
                </w:p>
              </w:tc>
              <w:tc>
                <w:tcPr>
                  <w:tcW w:w="205" w:type="pct"/>
                  <w:tcBorders>
                    <w:tl2br w:val="nil"/>
                    <w:tr2bl w:val="nil"/>
                  </w:tcBorders>
                  <w:shd w:val="clear" w:color="auto" w:fill="auto"/>
                  <w:noWrap w:val="0"/>
                  <w:tcMar>
                    <w:top w:w="0" w:type="dxa"/>
                    <w:left w:w="0" w:type="dxa"/>
                    <w:bottom w:w="0" w:type="dxa"/>
                    <w:right w:w="0" w:type="dxa"/>
                  </w:tcMar>
                  <w:vAlign w:val="center"/>
                </w:tcPr>
                <w:p w14:paraId="24A17A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15.4</w:t>
                  </w:r>
                </w:p>
              </w:tc>
              <w:tc>
                <w:tcPr>
                  <w:tcW w:w="213" w:type="pct"/>
                  <w:tcBorders>
                    <w:tl2br w:val="nil"/>
                    <w:tr2bl w:val="nil"/>
                  </w:tcBorders>
                  <w:noWrap w:val="0"/>
                  <w:tcMar>
                    <w:top w:w="0" w:type="dxa"/>
                    <w:left w:w="0" w:type="dxa"/>
                    <w:bottom w:w="0" w:type="dxa"/>
                    <w:right w:w="0" w:type="dxa"/>
                  </w:tcMar>
                  <w:vAlign w:val="center"/>
                </w:tcPr>
                <w:p w14:paraId="239CE85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16.2</w:t>
                  </w:r>
                </w:p>
              </w:tc>
              <w:tc>
                <w:tcPr>
                  <w:tcW w:w="192" w:type="pct"/>
                  <w:tcBorders>
                    <w:tl2br w:val="nil"/>
                    <w:tr2bl w:val="nil"/>
                  </w:tcBorders>
                  <w:noWrap w:val="0"/>
                  <w:tcMar>
                    <w:top w:w="0" w:type="dxa"/>
                    <w:left w:w="0" w:type="dxa"/>
                    <w:bottom w:w="0" w:type="dxa"/>
                    <w:right w:w="0" w:type="dxa"/>
                  </w:tcMar>
                  <w:vAlign w:val="center"/>
                </w:tcPr>
                <w:p w14:paraId="40E69D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69.9 </w:t>
                  </w:r>
                </w:p>
              </w:tc>
              <w:tc>
                <w:tcPr>
                  <w:tcW w:w="192" w:type="pct"/>
                  <w:tcBorders>
                    <w:tl2br w:val="nil"/>
                    <w:tr2bl w:val="nil"/>
                  </w:tcBorders>
                  <w:noWrap w:val="0"/>
                  <w:tcMar>
                    <w:top w:w="0" w:type="dxa"/>
                    <w:left w:w="0" w:type="dxa"/>
                    <w:bottom w:w="0" w:type="dxa"/>
                    <w:right w:w="0" w:type="dxa"/>
                  </w:tcMar>
                  <w:vAlign w:val="center"/>
                </w:tcPr>
                <w:p w14:paraId="74E4EE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63.6 </w:t>
                  </w:r>
                </w:p>
              </w:tc>
              <w:tc>
                <w:tcPr>
                  <w:tcW w:w="205" w:type="pct"/>
                  <w:tcBorders>
                    <w:tl2br w:val="nil"/>
                    <w:tr2bl w:val="nil"/>
                  </w:tcBorders>
                  <w:noWrap w:val="0"/>
                  <w:tcMar>
                    <w:top w:w="0" w:type="dxa"/>
                    <w:left w:w="0" w:type="dxa"/>
                    <w:bottom w:w="0" w:type="dxa"/>
                    <w:right w:w="0" w:type="dxa"/>
                  </w:tcMar>
                  <w:vAlign w:val="center"/>
                </w:tcPr>
                <w:p w14:paraId="3BD2E2D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08" w:type="pct"/>
                  <w:tcBorders>
                    <w:tl2br w:val="nil"/>
                    <w:tr2bl w:val="nil"/>
                  </w:tcBorders>
                  <w:noWrap w:val="0"/>
                  <w:tcMar>
                    <w:top w:w="0" w:type="dxa"/>
                    <w:left w:w="0" w:type="dxa"/>
                    <w:bottom w:w="0" w:type="dxa"/>
                    <w:right w:w="0" w:type="dxa"/>
                  </w:tcMar>
                  <w:vAlign w:val="center"/>
                </w:tcPr>
                <w:p w14:paraId="3E934E4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65.8 </w:t>
                  </w:r>
                </w:p>
              </w:tc>
              <w:tc>
                <w:tcPr>
                  <w:tcW w:w="228" w:type="pct"/>
                  <w:vMerge w:val="continue"/>
                  <w:tcBorders>
                    <w:tl2br w:val="nil"/>
                    <w:tr2bl w:val="nil"/>
                  </w:tcBorders>
                  <w:noWrap w:val="0"/>
                  <w:tcMar>
                    <w:top w:w="0" w:type="dxa"/>
                    <w:left w:w="0" w:type="dxa"/>
                    <w:bottom w:w="0" w:type="dxa"/>
                    <w:right w:w="0" w:type="dxa"/>
                  </w:tcMar>
                  <w:vAlign w:val="center"/>
                </w:tcPr>
                <w:p w14:paraId="531B46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3578E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7787C60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44.9 </w:t>
                  </w:r>
                </w:p>
              </w:tc>
              <w:tc>
                <w:tcPr>
                  <w:tcW w:w="201" w:type="pct"/>
                  <w:tcBorders>
                    <w:tl2br w:val="nil"/>
                    <w:tr2bl w:val="nil"/>
                  </w:tcBorders>
                  <w:noWrap w:val="0"/>
                  <w:tcMar>
                    <w:top w:w="0" w:type="dxa"/>
                    <w:left w:w="0" w:type="dxa"/>
                    <w:bottom w:w="0" w:type="dxa"/>
                    <w:right w:w="0" w:type="dxa"/>
                  </w:tcMar>
                  <w:vAlign w:val="center"/>
                </w:tcPr>
                <w:p w14:paraId="21AAFA7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38.6 </w:t>
                  </w:r>
                </w:p>
              </w:tc>
              <w:tc>
                <w:tcPr>
                  <w:tcW w:w="193" w:type="pct"/>
                  <w:tcBorders>
                    <w:tl2br w:val="nil"/>
                    <w:tr2bl w:val="nil"/>
                  </w:tcBorders>
                  <w:noWrap w:val="0"/>
                  <w:tcMar>
                    <w:top w:w="0" w:type="dxa"/>
                    <w:left w:w="0" w:type="dxa"/>
                    <w:bottom w:w="0" w:type="dxa"/>
                    <w:right w:w="0" w:type="dxa"/>
                  </w:tcMar>
                  <w:vAlign w:val="center"/>
                </w:tcPr>
                <w:p w14:paraId="760A98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195" w:type="pct"/>
                  <w:tcBorders>
                    <w:tl2br w:val="nil"/>
                    <w:tr2bl w:val="nil"/>
                  </w:tcBorders>
                  <w:noWrap w:val="0"/>
                  <w:tcMar>
                    <w:top w:w="0" w:type="dxa"/>
                    <w:left w:w="0" w:type="dxa"/>
                    <w:bottom w:w="0" w:type="dxa"/>
                    <w:right w:w="0" w:type="dxa"/>
                  </w:tcMar>
                  <w:vAlign w:val="center"/>
                </w:tcPr>
                <w:p w14:paraId="34A82AC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40.8 </w:t>
                  </w:r>
                </w:p>
              </w:tc>
              <w:tc>
                <w:tcPr>
                  <w:tcW w:w="202" w:type="pct"/>
                  <w:tcBorders>
                    <w:tl2br w:val="nil"/>
                    <w:tr2bl w:val="nil"/>
                  </w:tcBorders>
                  <w:noWrap w:val="0"/>
                  <w:tcMar>
                    <w:top w:w="0" w:type="dxa"/>
                    <w:left w:w="0" w:type="dxa"/>
                    <w:bottom w:w="0" w:type="dxa"/>
                    <w:right w:w="0" w:type="dxa"/>
                  </w:tcMar>
                  <w:vAlign w:val="center"/>
                </w:tcPr>
                <w:p w14:paraId="582389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A8590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246830B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30</w:t>
                  </w:r>
                </w:p>
              </w:tc>
              <w:tc>
                <w:tcPr>
                  <w:tcW w:w="178" w:type="pct"/>
                  <w:vMerge w:val="continue"/>
                  <w:tcBorders>
                    <w:tl2br w:val="nil"/>
                    <w:tr2bl w:val="nil"/>
                  </w:tcBorders>
                  <w:noWrap w:val="0"/>
                  <w:tcMar>
                    <w:top w:w="0" w:type="dxa"/>
                    <w:left w:w="0" w:type="dxa"/>
                    <w:bottom w:w="0" w:type="dxa"/>
                    <w:right w:w="0" w:type="dxa"/>
                  </w:tcMar>
                  <w:vAlign w:val="center"/>
                </w:tcPr>
                <w:p w14:paraId="031F66C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26597B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磁选机（4台，按点声源组计算）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3F9473F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55F552B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96.0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A9CD20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5CE32C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17.0</w:t>
                  </w:r>
                </w:p>
              </w:tc>
              <w:tc>
                <w:tcPr>
                  <w:tcW w:w="219" w:type="pct"/>
                  <w:tcBorders>
                    <w:tl2br w:val="nil"/>
                    <w:tr2bl w:val="nil"/>
                  </w:tcBorders>
                  <w:noWrap w:val="0"/>
                  <w:tcMar>
                    <w:top w:w="0" w:type="dxa"/>
                    <w:left w:w="0" w:type="dxa"/>
                    <w:bottom w:w="0" w:type="dxa"/>
                    <w:right w:w="0" w:type="dxa"/>
                  </w:tcMar>
                  <w:vAlign w:val="center"/>
                </w:tcPr>
                <w:p w14:paraId="7EC3B75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35.8</w:t>
                  </w:r>
                </w:p>
              </w:tc>
              <w:tc>
                <w:tcPr>
                  <w:tcW w:w="176" w:type="pct"/>
                  <w:tcBorders>
                    <w:tl2br w:val="nil"/>
                    <w:tr2bl w:val="nil"/>
                  </w:tcBorders>
                  <w:noWrap w:val="0"/>
                  <w:tcMar>
                    <w:top w:w="0" w:type="dxa"/>
                    <w:left w:w="0" w:type="dxa"/>
                    <w:bottom w:w="0" w:type="dxa"/>
                    <w:right w:w="0" w:type="dxa"/>
                  </w:tcMar>
                  <w:vAlign w:val="center"/>
                </w:tcPr>
                <w:p w14:paraId="7D01892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B0BEC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4.6</w:t>
                  </w:r>
                </w:p>
              </w:tc>
              <w:tc>
                <w:tcPr>
                  <w:tcW w:w="187" w:type="pct"/>
                  <w:tcBorders>
                    <w:tl2br w:val="nil"/>
                    <w:tr2bl w:val="nil"/>
                  </w:tcBorders>
                  <w:noWrap w:val="0"/>
                  <w:tcMar>
                    <w:top w:w="0" w:type="dxa"/>
                    <w:left w:w="0" w:type="dxa"/>
                    <w:bottom w:w="0" w:type="dxa"/>
                    <w:right w:w="0" w:type="dxa"/>
                  </w:tcMar>
                  <w:vAlign w:val="center"/>
                </w:tcPr>
                <w:p w14:paraId="6426EE1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21.5</w:t>
                  </w:r>
                </w:p>
              </w:tc>
              <w:tc>
                <w:tcPr>
                  <w:tcW w:w="205" w:type="pct"/>
                  <w:tcBorders>
                    <w:tl2br w:val="nil"/>
                    <w:tr2bl w:val="nil"/>
                  </w:tcBorders>
                  <w:shd w:val="clear" w:color="auto" w:fill="auto"/>
                  <w:noWrap w:val="0"/>
                  <w:tcMar>
                    <w:top w:w="0" w:type="dxa"/>
                    <w:left w:w="0" w:type="dxa"/>
                    <w:bottom w:w="0" w:type="dxa"/>
                    <w:right w:w="0" w:type="dxa"/>
                  </w:tcMar>
                  <w:vAlign w:val="center"/>
                </w:tcPr>
                <w:p w14:paraId="61006B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17.0</w:t>
                  </w:r>
                </w:p>
              </w:tc>
              <w:tc>
                <w:tcPr>
                  <w:tcW w:w="213" w:type="pct"/>
                  <w:tcBorders>
                    <w:tl2br w:val="nil"/>
                    <w:tr2bl w:val="nil"/>
                  </w:tcBorders>
                  <w:noWrap w:val="0"/>
                  <w:tcMar>
                    <w:top w:w="0" w:type="dxa"/>
                    <w:left w:w="0" w:type="dxa"/>
                    <w:bottom w:w="0" w:type="dxa"/>
                    <w:right w:w="0" w:type="dxa"/>
                  </w:tcMar>
                  <w:vAlign w:val="center"/>
                </w:tcPr>
                <w:p w14:paraId="7E25BD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14.2</w:t>
                  </w:r>
                </w:p>
              </w:tc>
              <w:tc>
                <w:tcPr>
                  <w:tcW w:w="192" w:type="pct"/>
                  <w:tcBorders>
                    <w:tl2br w:val="nil"/>
                    <w:tr2bl w:val="nil"/>
                  </w:tcBorders>
                  <w:noWrap w:val="0"/>
                  <w:tcMar>
                    <w:top w:w="0" w:type="dxa"/>
                    <w:left w:w="0" w:type="dxa"/>
                    <w:bottom w:w="0" w:type="dxa"/>
                    <w:right w:w="0" w:type="dxa"/>
                  </w:tcMar>
                  <w:vAlign w:val="center"/>
                </w:tcPr>
                <w:p w14:paraId="0F2573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76.7 </w:t>
                  </w:r>
                </w:p>
              </w:tc>
              <w:tc>
                <w:tcPr>
                  <w:tcW w:w="192" w:type="pct"/>
                  <w:tcBorders>
                    <w:tl2br w:val="nil"/>
                    <w:tr2bl w:val="nil"/>
                  </w:tcBorders>
                  <w:noWrap w:val="0"/>
                  <w:tcMar>
                    <w:top w:w="0" w:type="dxa"/>
                    <w:left w:w="0" w:type="dxa"/>
                    <w:bottom w:w="0" w:type="dxa"/>
                    <w:right w:w="0" w:type="dxa"/>
                  </w:tcMar>
                  <w:vAlign w:val="center"/>
                </w:tcPr>
                <w:p w14:paraId="5E017E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63.4 </w:t>
                  </w:r>
                </w:p>
              </w:tc>
              <w:tc>
                <w:tcPr>
                  <w:tcW w:w="205" w:type="pct"/>
                  <w:tcBorders>
                    <w:tl2br w:val="nil"/>
                    <w:tr2bl w:val="nil"/>
                  </w:tcBorders>
                  <w:noWrap w:val="0"/>
                  <w:tcMar>
                    <w:top w:w="0" w:type="dxa"/>
                    <w:left w:w="0" w:type="dxa"/>
                    <w:bottom w:w="0" w:type="dxa"/>
                    <w:right w:w="0" w:type="dxa"/>
                  </w:tcMar>
                  <w:vAlign w:val="center"/>
                </w:tcPr>
                <w:p w14:paraId="303772A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65.4 </w:t>
                  </w:r>
                </w:p>
              </w:tc>
              <w:tc>
                <w:tcPr>
                  <w:tcW w:w="208" w:type="pct"/>
                  <w:tcBorders>
                    <w:tl2br w:val="nil"/>
                    <w:tr2bl w:val="nil"/>
                  </w:tcBorders>
                  <w:noWrap w:val="0"/>
                  <w:tcMar>
                    <w:top w:w="0" w:type="dxa"/>
                    <w:left w:w="0" w:type="dxa"/>
                    <w:bottom w:w="0" w:type="dxa"/>
                    <w:right w:w="0" w:type="dxa"/>
                  </w:tcMar>
                  <w:vAlign w:val="center"/>
                </w:tcPr>
                <w:p w14:paraId="193DEA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67.0 </w:t>
                  </w:r>
                </w:p>
              </w:tc>
              <w:tc>
                <w:tcPr>
                  <w:tcW w:w="228" w:type="pct"/>
                  <w:vMerge w:val="continue"/>
                  <w:tcBorders>
                    <w:tl2br w:val="nil"/>
                    <w:tr2bl w:val="nil"/>
                  </w:tcBorders>
                  <w:noWrap w:val="0"/>
                  <w:tcMar>
                    <w:top w:w="0" w:type="dxa"/>
                    <w:left w:w="0" w:type="dxa"/>
                    <w:bottom w:w="0" w:type="dxa"/>
                    <w:right w:w="0" w:type="dxa"/>
                  </w:tcMar>
                  <w:vAlign w:val="center"/>
                </w:tcPr>
                <w:p w14:paraId="1E604F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59175B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21F252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201" w:type="pct"/>
                  <w:tcBorders>
                    <w:tl2br w:val="nil"/>
                    <w:tr2bl w:val="nil"/>
                  </w:tcBorders>
                  <w:noWrap w:val="0"/>
                  <w:tcMar>
                    <w:top w:w="0" w:type="dxa"/>
                    <w:left w:w="0" w:type="dxa"/>
                    <w:bottom w:w="0" w:type="dxa"/>
                    <w:right w:w="0" w:type="dxa"/>
                  </w:tcMar>
                  <w:vAlign w:val="center"/>
                </w:tcPr>
                <w:p w14:paraId="79D6343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38.4 </w:t>
                  </w:r>
                </w:p>
              </w:tc>
              <w:tc>
                <w:tcPr>
                  <w:tcW w:w="193" w:type="pct"/>
                  <w:tcBorders>
                    <w:tl2br w:val="nil"/>
                    <w:tr2bl w:val="nil"/>
                  </w:tcBorders>
                  <w:noWrap w:val="0"/>
                  <w:tcMar>
                    <w:top w:w="0" w:type="dxa"/>
                    <w:left w:w="0" w:type="dxa"/>
                    <w:bottom w:w="0" w:type="dxa"/>
                    <w:right w:w="0" w:type="dxa"/>
                  </w:tcMar>
                  <w:vAlign w:val="center"/>
                </w:tcPr>
                <w:p w14:paraId="5A796A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40.4 </w:t>
                  </w:r>
                </w:p>
              </w:tc>
              <w:tc>
                <w:tcPr>
                  <w:tcW w:w="195" w:type="pct"/>
                  <w:tcBorders>
                    <w:tl2br w:val="nil"/>
                    <w:tr2bl w:val="nil"/>
                  </w:tcBorders>
                  <w:noWrap w:val="0"/>
                  <w:tcMar>
                    <w:top w:w="0" w:type="dxa"/>
                    <w:left w:w="0" w:type="dxa"/>
                    <w:bottom w:w="0" w:type="dxa"/>
                    <w:right w:w="0" w:type="dxa"/>
                  </w:tcMar>
                  <w:vAlign w:val="center"/>
                </w:tcPr>
                <w:p w14:paraId="640679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42.0 </w:t>
                  </w:r>
                </w:p>
              </w:tc>
              <w:tc>
                <w:tcPr>
                  <w:tcW w:w="202" w:type="pct"/>
                  <w:tcBorders>
                    <w:tl2br w:val="nil"/>
                    <w:tr2bl w:val="nil"/>
                  </w:tcBorders>
                  <w:noWrap w:val="0"/>
                  <w:tcMar>
                    <w:top w:w="0" w:type="dxa"/>
                    <w:left w:w="0" w:type="dxa"/>
                    <w:bottom w:w="0" w:type="dxa"/>
                    <w:right w:w="0" w:type="dxa"/>
                  </w:tcMar>
                  <w:vAlign w:val="center"/>
                </w:tcPr>
                <w:p w14:paraId="209CCA5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DFB9D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16E4D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31</w:t>
                  </w:r>
                </w:p>
              </w:tc>
              <w:tc>
                <w:tcPr>
                  <w:tcW w:w="178" w:type="pct"/>
                  <w:vMerge w:val="continue"/>
                  <w:tcBorders>
                    <w:tl2br w:val="nil"/>
                    <w:tr2bl w:val="nil"/>
                  </w:tcBorders>
                  <w:noWrap w:val="0"/>
                  <w:tcMar>
                    <w:top w:w="0" w:type="dxa"/>
                    <w:left w:w="0" w:type="dxa"/>
                    <w:bottom w:w="0" w:type="dxa"/>
                    <w:right w:w="0" w:type="dxa"/>
                  </w:tcMar>
                  <w:vAlign w:val="center"/>
                </w:tcPr>
                <w:p w14:paraId="78223A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0ADFD7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提升机（6台，按点声源组计算）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6986F21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6</w:t>
                  </w:r>
                </w:p>
              </w:tc>
              <w:tc>
                <w:tcPr>
                  <w:tcW w:w="344" w:type="pct"/>
                  <w:tcBorders>
                    <w:tl2br w:val="nil"/>
                    <w:tr2bl w:val="nil"/>
                  </w:tcBorders>
                  <w:noWrap w:val="0"/>
                  <w:tcMar>
                    <w:top w:w="0" w:type="dxa"/>
                    <w:left w:w="0" w:type="dxa"/>
                    <w:bottom w:w="0" w:type="dxa"/>
                    <w:right w:w="0" w:type="dxa"/>
                  </w:tcMar>
                  <w:vAlign w:val="center"/>
                </w:tcPr>
                <w:p w14:paraId="565578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4B28274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8F5550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16.2</w:t>
                  </w:r>
                </w:p>
              </w:tc>
              <w:tc>
                <w:tcPr>
                  <w:tcW w:w="219" w:type="pct"/>
                  <w:tcBorders>
                    <w:tl2br w:val="nil"/>
                    <w:tr2bl w:val="nil"/>
                  </w:tcBorders>
                  <w:noWrap w:val="0"/>
                  <w:tcMar>
                    <w:top w:w="0" w:type="dxa"/>
                    <w:left w:w="0" w:type="dxa"/>
                    <w:bottom w:w="0" w:type="dxa"/>
                    <w:right w:w="0" w:type="dxa"/>
                  </w:tcMar>
                  <w:vAlign w:val="center"/>
                </w:tcPr>
                <w:p w14:paraId="382BADB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33.9</w:t>
                  </w:r>
                </w:p>
              </w:tc>
              <w:tc>
                <w:tcPr>
                  <w:tcW w:w="176" w:type="pct"/>
                  <w:tcBorders>
                    <w:tl2br w:val="nil"/>
                    <w:tr2bl w:val="nil"/>
                  </w:tcBorders>
                  <w:noWrap w:val="0"/>
                  <w:tcMar>
                    <w:top w:w="0" w:type="dxa"/>
                    <w:left w:w="0" w:type="dxa"/>
                    <w:bottom w:w="0" w:type="dxa"/>
                    <w:right w:w="0" w:type="dxa"/>
                  </w:tcMar>
                  <w:vAlign w:val="center"/>
                </w:tcPr>
                <w:p w14:paraId="7145A77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3B77B8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6.7</w:t>
                  </w:r>
                </w:p>
              </w:tc>
              <w:tc>
                <w:tcPr>
                  <w:tcW w:w="187" w:type="pct"/>
                  <w:tcBorders>
                    <w:tl2br w:val="nil"/>
                    <w:tr2bl w:val="nil"/>
                  </w:tcBorders>
                  <w:noWrap w:val="0"/>
                  <w:tcMar>
                    <w:top w:w="0" w:type="dxa"/>
                    <w:left w:w="0" w:type="dxa"/>
                    <w:bottom w:w="0" w:type="dxa"/>
                    <w:right w:w="0" w:type="dxa"/>
                  </w:tcMar>
                  <w:vAlign w:val="center"/>
                </w:tcPr>
                <w:p w14:paraId="084E39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20.7</w:t>
                  </w:r>
                </w:p>
              </w:tc>
              <w:tc>
                <w:tcPr>
                  <w:tcW w:w="205" w:type="pct"/>
                  <w:tcBorders>
                    <w:tl2br w:val="nil"/>
                    <w:tr2bl w:val="nil"/>
                  </w:tcBorders>
                  <w:shd w:val="clear" w:color="auto" w:fill="auto"/>
                  <w:noWrap w:val="0"/>
                  <w:tcMar>
                    <w:top w:w="0" w:type="dxa"/>
                    <w:left w:w="0" w:type="dxa"/>
                    <w:bottom w:w="0" w:type="dxa"/>
                    <w:right w:w="0" w:type="dxa"/>
                  </w:tcMar>
                  <w:vAlign w:val="center"/>
                </w:tcPr>
                <w:p w14:paraId="0D5A5FE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16.2</w:t>
                  </w:r>
                </w:p>
              </w:tc>
              <w:tc>
                <w:tcPr>
                  <w:tcW w:w="213" w:type="pct"/>
                  <w:tcBorders>
                    <w:tl2br w:val="nil"/>
                    <w:tr2bl w:val="nil"/>
                  </w:tcBorders>
                  <w:noWrap w:val="0"/>
                  <w:tcMar>
                    <w:top w:w="0" w:type="dxa"/>
                    <w:left w:w="0" w:type="dxa"/>
                    <w:bottom w:w="0" w:type="dxa"/>
                    <w:right w:w="0" w:type="dxa"/>
                  </w:tcMar>
                  <w:vAlign w:val="center"/>
                </w:tcPr>
                <w:p w14:paraId="36771A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12.9</w:t>
                  </w:r>
                </w:p>
              </w:tc>
              <w:tc>
                <w:tcPr>
                  <w:tcW w:w="192" w:type="pct"/>
                  <w:tcBorders>
                    <w:tl2br w:val="nil"/>
                    <w:tr2bl w:val="nil"/>
                  </w:tcBorders>
                  <w:noWrap w:val="0"/>
                  <w:tcMar>
                    <w:top w:w="0" w:type="dxa"/>
                    <w:left w:w="0" w:type="dxa"/>
                    <w:bottom w:w="0" w:type="dxa"/>
                    <w:right w:w="0" w:type="dxa"/>
                  </w:tcMar>
                  <w:vAlign w:val="center"/>
                </w:tcPr>
                <w:p w14:paraId="6F8183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63.5 </w:t>
                  </w:r>
                </w:p>
              </w:tc>
              <w:tc>
                <w:tcPr>
                  <w:tcW w:w="192" w:type="pct"/>
                  <w:tcBorders>
                    <w:tl2br w:val="nil"/>
                    <w:tr2bl w:val="nil"/>
                  </w:tcBorders>
                  <w:noWrap w:val="0"/>
                  <w:tcMar>
                    <w:top w:w="0" w:type="dxa"/>
                    <w:left w:w="0" w:type="dxa"/>
                    <w:bottom w:w="0" w:type="dxa"/>
                    <w:right w:w="0" w:type="dxa"/>
                  </w:tcMar>
                  <w:vAlign w:val="center"/>
                </w:tcPr>
                <w:p w14:paraId="066045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53.7 </w:t>
                  </w:r>
                </w:p>
              </w:tc>
              <w:tc>
                <w:tcPr>
                  <w:tcW w:w="205" w:type="pct"/>
                  <w:tcBorders>
                    <w:tl2br w:val="nil"/>
                    <w:tr2bl w:val="nil"/>
                  </w:tcBorders>
                  <w:noWrap w:val="0"/>
                  <w:tcMar>
                    <w:top w:w="0" w:type="dxa"/>
                    <w:left w:w="0" w:type="dxa"/>
                    <w:bottom w:w="0" w:type="dxa"/>
                    <w:right w:w="0" w:type="dxa"/>
                  </w:tcMar>
                  <w:vAlign w:val="center"/>
                </w:tcPr>
                <w:p w14:paraId="313B0EB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55.8 </w:t>
                  </w:r>
                </w:p>
              </w:tc>
              <w:tc>
                <w:tcPr>
                  <w:tcW w:w="208" w:type="pct"/>
                  <w:tcBorders>
                    <w:tl2br w:val="nil"/>
                    <w:tr2bl w:val="nil"/>
                  </w:tcBorders>
                  <w:noWrap w:val="0"/>
                  <w:tcMar>
                    <w:top w:w="0" w:type="dxa"/>
                    <w:left w:w="0" w:type="dxa"/>
                    <w:bottom w:w="0" w:type="dxa"/>
                    <w:right w:w="0" w:type="dxa"/>
                  </w:tcMar>
                  <w:vAlign w:val="center"/>
                </w:tcPr>
                <w:p w14:paraId="7EC24FC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57.8 </w:t>
                  </w:r>
                </w:p>
              </w:tc>
              <w:tc>
                <w:tcPr>
                  <w:tcW w:w="228" w:type="pct"/>
                  <w:vMerge w:val="continue"/>
                  <w:tcBorders>
                    <w:tl2br w:val="nil"/>
                    <w:tr2bl w:val="nil"/>
                  </w:tcBorders>
                  <w:noWrap w:val="0"/>
                  <w:tcMar>
                    <w:top w:w="0" w:type="dxa"/>
                    <w:left w:w="0" w:type="dxa"/>
                    <w:bottom w:w="0" w:type="dxa"/>
                    <w:right w:w="0" w:type="dxa"/>
                  </w:tcMar>
                  <w:vAlign w:val="center"/>
                </w:tcPr>
                <w:p w14:paraId="411B971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77E94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A336B1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38.5 </w:t>
                  </w:r>
                </w:p>
              </w:tc>
              <w:tc>
                <w:tcPr>
                  <w:tcW w:w="201" w:type="pct"/>
                  <w:tcBorders>
                    <w:tl2br w:val="nil"/>
                    <w:tr2bl w:val="nil"/>
                  </w:tcBorders>
                  <w:noWrap w:val="0"/>
                  <w:tcMar>
                    <w:top w:w="0" w:type="dxa"/>
                    <w:left w:w="0" w:type="dxa"/>
                    <w:bottom w:w="0" w:type="dxa"/>
                    <w:right w:w="0" w:type="dxa"/>
                  </w:tcMar>
                  <w:vAlign w:val="center"/>
                </w:tcPr>
                <w:p w14:paraId="54127F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28.7 </w:t>
                  </w:r>
                </w:p>
              </w:tc>
              <w:tc>
                <w:tcPr>
                  <w:tcW w:w="193" w:type="pct"/>
                  <w:tcBorders>
                    <w:tl2br w:val="nil"/>
                    <w:tr2bl w:val="nil"/>
                  </w:tcBorders>
                  <w:noWrap w:val="0"/>
                  <w:tcMar>
                    <w:top w:w="0" w:type="dxa"/>
                    <w:left w:w="0" w:type="dxa"/>
                    <w:bottom w:w="0" w:type="dxa"/>
                    <w:right w:w="0" w:type="dxa"/>
                  </w:tcMar>
                  <w:vAlign w:val="center"/>
                </w:tcPr>
                <w:p w14:paraId="066011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30.8 </w:t>
                  </w:r>
                </w:p>
              </w:tc>
              <w:tc>
                <w:tcPr>
                  <w:tcW w:w="195" w:type="pct"/>
                  <w:tcBorders>
                    <w:tl2br w:val="nil"/>
                    <w:tr2bl w:val="nil"/>
                  </w:tcBorders>
                  <w:noWrap w:val="0"/>
                  <w:tcMar>
                    <w:top w:w="0" w:type="dxa"/>
                    <w:left w:w="0" w:type="dxa"/>
                    <w:bottom w:w="0" w:type="dxa"/>
                    <w:right w:w="0" w:type="dxa"/>
                  </w:tcMar>
                  <w:vAlign w:val="center"/>
                </w:tcPr>
                <w:p w14:paraId="3759176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32.8 </w:t>
                  </w:r>
                </w:p>
              </w:tc>
              <w:tc>
                <w:tcPr>
                  <w:tcW w:w="202" w:type="pct"/>
                  <w:tcBorders>
                    <w:tl2br w:val="nil"/>
                    <w:tr2bl w:val="nil"/>
                  </w:tcBorders>
                  <w:noWrap w:val="0"/>
                  <w:tcMar>
                    <w:top w:w="0" w:type="dxa"/>
                    <w:left w:w="0" w:type="dxa"/>
                    <w:bottom w:w="0" w:type="dxa"/>
                    <w:right w:w="0" w:type="dxa"/>
                  </w:tcMar>
                  <w:vAlign w:val="center"/>
                </w:tcPr>
                <w:p w14:paraId="3252C4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72FE1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57E9D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32</w:t>
                  </w:r>
                </w:p>
              </w:tc>
              <w:tc>
                <w:tcPr>
                  <w:tcW w:w="178" w:type="pct"/>
                  <w:vMerge w:val="continue"/>
                  <w:tcBorders>
                    <w:tl2br w:val="nil"/>
                    <w:tr2bl w:val="nil"/>
                  </w:tcBorders>
                  <w:noWrap w:val="0"/>
                  <w:tcMar>
                    <w:top w:w="0" w:type="dxa"/>
                    <w:left w:w="0" w:type="dxa"/>
                    <w:bottom w:w="0" w:type="dxa"/>
                    <w:right w:w="0" w:type="dxa"/>
                  </w:tcMar>
                  <w:vAlign w:val="center"/>
                </w:tcPr>
                <w:p w14:paraId="6C901E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907DCC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振动筛（8台，按点声源组计算）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07B02E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8</w:t>
                  </w:r>
                </w:p>
              </w:tc>
              <w:tc>
                <w:tcPr>
                  <w:tcW w:w="344" w:type="pct"/>
                  <w:tcBorders>
                    <w:tl2br w:val="nil"/>
                    <w:tr2bl w:val="nil"/>
                  </w:tcBorders>
                  <w:noWrap w:val="0"/>
                  <w:tcMar>
                    <w:top w:w="0" w:type="dxa"/>
                    <w:left w:w="0" w:type="dxa"/>
                    <w:bottom w:w="0" w:type="dxa"/>
                    <w:right w:w="0" w:type="dxa"/>
                  </w:tcMar>
                  <w:vAlign w:val="center"/>
                </w:tcPr>
                <w:p w14:paraId="3544E6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76071B8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D4767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15.2</w:t>
                  </w:r>
                </w:p>
              </w:tc>
              <w:tc>
                <w:tcPr>
                  <w:tcW w:w="219" w:type="pct"/>
                  <w:tcBorders>
                    <w:tl2br w:val="nil"/>
                    <w:tr2bl w:val="nil"/>
                  </w:tcBorders>
                  <w:noWrap w:val="0"/>
                  <w:tcMar>
                    <w:top w:w="0" w:type="dxa"/>
                    <w:left w:w="0" w:type="dxa"/>
                    <w:bottom w:w="0" w:type="dxa"/>
                    <w:right w:w="0" w:type="dxa"/>
                  </w:tcMar>
                  <w:vAlign w:val="center"/>
                </w:tcPr>
                <w:p w14:paraId="7EEA9E7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37.4</w:t>
                  </w:r>
                </w:p>
              </w:tc>
              <w:tc>
                <w:tcPr>
                  <w:tcW w:w="176" w:type="pct"/>
                  <w:tcBorders>
                    <w:tl2br w:val="nil"/>
                    <w:tr2bl w:val="nil"/>
                  </w:tcBorders>
                  <w:noWrap w:val="0"/>
                  <w:tcMar>
                    <w:top w:w="0" w:type="dxa"/>
                    <w:left w:w="0" w:type="dxa"/>
                    <w:bottom w:w="0" w:type="dxa"/>
                    <w:right w:w="0" w:type="dxa"/>
                  </w:tcMar>
                  <w:vAlign w:val="center"/>
                </w:tcPr>
                <w:p w14:paraId="4BB5A9F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4420CE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8.0</w:t>
                  </w:r>
                </w:p>
              </w:tc>
              <w:tc>
                <w:tcPr>
                  <w:tcW w:w="187" w:type="pct"/>
                  <w:tcBorders>
                    <w:tl2br w:val="nil"/>
                    <w:tr2bl w:val="nil"/>
                  </w:tcBorders>
                  <w:noWrap w:val="0"/>
                  <w:tcMar>
                    <w:top w:w="0" w:type="dxa"/>
                    <w:left w:w="0" w:type="dxa"/>
                    <w:bottom w:w="0" w:type="dxa"/>
                    <w:right w:w="0" w:type="dxa"/>
                  </w:tcMar>
                  <w:vAlign w:val="center"/>
                </w:tcPr>
                <w:p w14:paraId="28537A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20.2</w:t>
                  </w:r>
                </w:p>
              </w:tc>
              <w:tc>
                <w:tcPr>
                  <w:tcW w:w="205" w:type="pct"/>
                  <w:tcBorders>
                    <w:tl2br w:val="nil"/>
                    <w:tr2bl w:val="nil"/>
                  </w:tcBorders>
                  <w:shd w:val="clear" w:color="auto" w:fill="auto"/>
                  <w:noWrap w:val="0"/>
                  <w:tcMar>
                    <w:top w:w="0" w:type="dxa"/>
                    <w:left w:w="0" w:type="dxa"/>
                    <w:bottom w:w="0" w:type="dxa"/>
                    <w:right w:w="0" w:type="dxa"/>
                  </w:tcMar>
                  <w:vAlign w:val="center"/>
                </w:tcPr>
                <w:p w14:paraId="0ED2EED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15.2</w:t>
                  </w:r>
                </w:p>
              </w:tc>
              <w:tc>
                <w:tcPr>
                  <w:tcW w:w="213" w:type="pct"/>
                  <w:tcBorders>
                    <w:tl2br w:val="nil"/>
                    <w:tr2bl w:val="nil"/>
                  </w:tcBorders>
                  <w:noWrap w:val="0"/>
                  <w:tcMar>
                    <w:top w:w="0" w:type="dxa"/>
                    <w:left w:w="0" w:type="dxa"/>
                    <w:bottom w:w="0" w:type="dxa"/>
                    <w:right w:w="0" w:type="dxa"/>
                  </w:tcMar>
                  <w:vAlign w:val="center"/>
                </w:tcPr>
                <w:p w14:paraId="7F2C50B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13.3</w:t>
                  </w:r>
                </w:p>
              </w:tc>
              <w:tc>
                <w:tcPr>
                  <w:tcW w:w="192" w:type="pct"/>
                  <w:tcBorders>
                    <w:tl2br w:val="nil"/>
                    <w:tr2bl w:val="nil"/>
                  </w:tcBorders>
                  <w:noWrap w:val="0"/>
                  <w:tcMar>
                    <w:top w:w="0" w:type="dxa"/>
                    <w:left w:w="0" w:type="dxa"/>
                    <w:bottom w:w="0" w:type="dxa"/>
                    <w:right w:w="0" w:type="dxa"/>
                  </w:tcMar>
                  <w:vAlign w:val="center"/>
                </w:tcPr>
                <w:p w14:paraId="19F937C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66.9 </w:t>
                  </w:r>
                </w:p>
              </w:tc>
              <w:tc>
                <w:tcPr>
                  <w:tcW w:w="192" w:type="pct"/>
                  <w:tcBorders>
                    <w:tl2br w:val="nil"/>
                    <w:tr2bl w:val="nil"/>
                  </w:tcBorders>
                  <w:noWrap w:val="0"/>
                  <w:tcMar>
                    <w:top w:w="0" w:type="dxa"/>
                    <w:left w:w="0" w:type="dxa"/>
                    <w:bottom w:w="0" w:type="dxa"/>
                    <w:right w:w="0" w:type="dxa"/>
                  </w:tcMar>
                  <w:vAlign w:val="center"/>
                </w:tcPr>
                <w:p w14:paraId="45017E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58.9 </w:t>
                  </w:r>
                </w:p>
              </w:tc>
              <w:tc>
                <w:tcPr>
                  <w:tcW w:w="205" w:type="pct"/>
                  <w:tcBorders>
                    <w:tl2br w:val="nil"/>
                    <w:tr2bl w:val="nil"/>
                  </w:tcBorders>
                  <w:noWrap w:val="0"/>
                  <w:tcMar>
                    <w:top w:w="0" w:type="dxa"/>
                    <w:left w:w="0" w:type="dxa"/>
                    <w:bottom w:w="0" w:type="dxa"/>
                    <w:right w:w="0" w:type="dxa"/>
                  </w:tcMar>
                  <w:vAlign w:val="center"/>
                </w:tcPr>
                <w:p w14:paraId="70FA4D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61.4 </w:t>
                  </w:r>
                </w:p>
              </w:tc>
              <w:tc>
                <w:tcPr>
                  <w:tcW w:w="208" w:type="pct"/>
                  <w:tcBorders>
                    <w:tl2br w:val="nil"/>
                    <w:tr2bl w:val="nil"/>
                  </w:tcBorders>
                  <w:noWrap w:val="0"/>
                  <w:tcMar>
                    <w:top w:w="0" w:type="dxa"/>
                    <w:left w:w="0" w:type="dxa"/>
                    <w:bottom w:w="0" w:type="dxa"/>
                    <w:right w:w="0" w:type="dxa"/>
                  </w:tcMar>
                  <w:vAlign w:val="center"/>
                </w:tcPr>
                <w:p w14:paraId="6362204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62.5 </w:t>
                  </w:r>
                </w:p>
              </w:tc>
              <w:tc>
                <w:tcPr>
                  <w:tcW w:w="228" w:type="pct"/>
                  <w:vMerge w:val="continue"/>
                  <w:tcBorders>
                    <w:tl2br w:val="nil"/>
                    <w:tr2bl w:val="nil"/>
                  </w:tcBorders>
                  <w:noWrap w:val="0"/>
                  <w:tcMar>
                    <w:top w:w="0" w:type="dxa"/>
                    <w:left w:w="0" w:type="dxa"/>
                    <w:bottom w:w="0" w:type="dxa"/>
                    <w:right w:w="0" w:type="dxa"/>
                  </w:tcMar>
                  <w:vAlign w:val="center"/>
                </w:tcPr>
                <w:p w14:paraId="2798E9D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AA866F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6630E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41.9 </w:t>
                  </w:r>
                </w:p>
              </w:tc>
              <w:tc>
                <w:tcPr>
                  <w:tcW w:w="201" w:type="pct"/>
                  <w:tcBorders>
                    <w:tl2br w:val="nil"/>
                    <w:tr2bl w:val="nil"/>
                  </w:tcBorders>
                  <w:noWrap w:val="0"/>
                  <w:tcMar>
                    <w:top w:w="0" w:type="dxa"/>
                    <w:left w:w="0" w:type="dxa"/>
                    <w:bottom w:w="0" w:type="dxa"/>
                    <w:right w:w="0" w:type="dxa"/>
                  </w:tcMar>
                  <w:vAlign w:val="center"/>
                </w:tcPr>
                <w:p w14:paraId="4102819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33.9 </w:t>
                  </w:r>
                </w:p>
              </w:tc>
              <w:tc>
                <w:tcPr>
                  <w:tcW w:w="193" w:type="pct"/>
                  <w:tcBorders>
                    <w:tl2br w:val="nil"/>
                    <w:tr2bl w:val="nil"/>
                  </w:tcBorders>
                  <w:noWrap w:val="0"/>
                  <w:tcMar>
                    <w:top w:w="0" w:type="dxa"/>
                    <w:left w:w="0" w:type="dxa"/>
                    <w:bottom w:w="0" w:type="dxa"/>
                    <w:right w:w="0" w:type="dxa"/>
                  </w:tcMar>
                  <w:vAlign w:val="center"/>
                </w:tcPr>
                <w:p w14:paraId="30EA80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36.4 </w:t>
                  </w:r>
                </w:p>
              </w:tc>
              <w:tc>
                <w:tcPr>
                  <w:tcW w:w="195" w:type="pct"/>
                  <w:tcBorders>
                    <w:tl2br w:val="nil"/>
                    <w:tr2bl w:val="nil"/>
                  </w:tcBorders>
                  <w:noWrap w:val="0"/>
                  <w:tcMar>
                    <w:top w:w="0" w:type="dxa"/>
                    <w:left w:w="0" w:type="dxa"/>
                    <w:bottom w:w="0" w:type="dxa"/>
                    <w:right w:w="0" w:type="dxa"/>
                  </w:tcMar>
                  <w:vAlign w:val="center"/>
                </w:tcPr>
                <w:p w14:paraId="5AD9627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37.5 </w:t>
                  </w:r>
                </w:p>
              </w:tc>
              <w:tc>
                <w:tcPr>
                  <w:tcW w:w="202" w:type="pct"/>
                  <w:tcBorders>
                    <w:tl2br w:val="nil"/>
                    <w:tr2bl w:val="nil"/>
                  </w:tcBorders>
                  <w:noWrap w:val="0"/>
                  <w:tcMar>
                    <w:top w:w="0" w:type="dxa"/>
                    <w:left w:w="0" w:type="dxa"/>
                    <w:bottom w:w="0" w:type="dxa"/>
                    <w:right w:w="0" w:type="dxa"/>
                  </w:tcMar>
                  <w:vAlign w:val="center"/>
                </w:tcPr>
                <w:p w14:paraId="6A6BE0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8EFC0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94A8DB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33</w:t>
                  </w:r>
                </w:p>
              </w:tc>
              <w:tc>
                <w:tcPr>
                  <w:tcW w:w="178" w:type="pct"/>
                  <w:vMerge w:val="continue"/>
                  <w:tcBorders>
                    <w:tl2br w:val="nil"/>
                    <w:tr2bl w:val="nil"/>
                  </w:tcBorders>
                  <w:noWrap w:val="0"/>
                  <w:tcMar>
                    <w:top w:w="0" w:type="dxa"/>
                    <w:left w:w="0" w:type="dxa"/>
                    <w:bottom w:w="0" w:type="dxa"/>
                    <w:right w:w="0" w:type="dxa"/>
                  </w:tcMar>
                  <w:vAlign w:val="center"/>
                </w:tcPr>
                <w:p w14:paraId="6411D3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E30D15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振动给料机（6台，按点声源组计算）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85989E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6</w:t>
                  </w:r>
                </w:p>
              </w:tc>
              <w:tc>
                <w:tcPr>
                  <w:tcW w:w="344" w:type="pct"/>
                  <w:tcBorders>
                    <w:tl2br w:val="nil"/>
                    <w:tr2bl w:val="nil"/>
                  </w:tcBorders>
                  <w:noWrap w:val="0"/>
                  <w:tcMar>
                    <w:top w:w="0" w:type="dxa"/>
                    <w:left w:w="0" w:type="dxa"/>
                    <w:bottom w:w="0" w:type="dxa"/>
                    <w:right w:w="0" w:type="dxa"/>
                  </w:tcMar>
                  <w:vAlign w:val="center"/>
                </w:tcPr>
                <w:p w14:paraId="4DE6D00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6F812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7F9D72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15.5</w:t>
                  </w:r>
                </w:p>
              </w:tc>
              <w:tc>
                <w:tcPr>
                  <w:tcW w:w="219" w:type="pct"/>
                  <w:tcBorders>
                    <w:tl2br w:val="nil"/>
                    <w:tr2bl w:val="nil"/>
                  </w:tcBorders>
                  <w:noWrap w:val="0"/>
                  <w:tcMar>
                    <w:top w:w="0" w:type="dxa"/>
                    <w:left w:w="0" w:type="dxa"/>
                    <w:bottom w:w="0" w:type="dxa"/>
                    <w:right w:w="0" w:type="dxa"/>
                  </w:tcMar>
                  <w:vAlign w:val="center"/>
                </w:tcPr>
                <w:p w14:paraId="505A2A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36.4</w:t>
                  </w:r>
                </w:p>
              </w:tc>
              <w:tc>
                <w:tcPr>
                  <w:tcW w:w="176" w:type="pct"/>
                  <w:tcBorders>
                    <w:tl2br w:val="nil"/>
                    <w:tr2bl w:val="nil"/>
                  </w:tcBorders>
                  <w:noWrap w:val="0"/>
                  <w:tcMar>
                    <w:top w:w="0" w:type="dxa"/>
                    <w:left w:w="0" w:type="dxa"/>
                    <w:bottom w:w="0" w:type="dxa"/>
                    <w:right w:w="0" w:type="dxa"/>
                  </w:tcMar>
                  <w:vAlign w:val="center"/>
                </w:tcPr>
                <w:p w14:paraId="2616C84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6BCA34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5.9</w:t>
                  </w:r>
                </w:p>
              </w:tc>
              <w:tc>
                <w:tcPr>
                  <w:tcW w:w="187" w:type="pct"/>
                  <w:tcBorders>
                    <w:tl2br w:val="nil"/>
                    <w:tr2bl w:val="nil"/>
                  </w:tcBorders>
                  <w:noWrap w:val="0"/>
                  <w:tcMar>
                    <w:top w:w="0" w:type="dxa"/>
                    <w:left w:w="0" w:type="dxa"/>
                    <w:bottom w:w="0" w:type="dxa"/>
                    <w:right w:w="0" w:type="dxa"/>
                  </w:tcMar>
                  <w:vAlign w:val="center"/>
                </w:tcPr>
                <w:p w14:paraId="7F8FCA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25.4</w:t>
                  </w:r>
                </w:p>
              </w:tc>
              <w:tc>
                <w:tcPr>
                  <w:tcW w:w="205" w:type="pct"/>
                  <w:tcBorders>
                    <w:tl2br w:val="nil"/>
                    <w:tr2bl w:val="nil"/>
                  </w:tcBorders>
                  <w:shd w:val="clear" w:color="auto" w:fill="auto"/>
                  <w:noWrap w:val="0"/>
                  <w:tcMar>
                    <w:top w:w="0" w:type="dxa"/>
                    <w:left w:w="0" w:type="dxa"/>
                    <w:bottom w:w="0" w:type="dxa"/>
                    <w:right w:w="0" w:type="dxa"/>
                  </w:tcMar>
                  <w:vAlign w:val="center"/>
                </w:tcPr>
                <w:p w14:paraId="08E01DC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15.5</w:t>
                  </w:r>
                </w:p>
              </w:tc>
              <w:tc>
                <w:tcPr>
                  <w:tcW w:w="213" w:type="pct"/>
                  <w:tcBorders>
                    <w:tl2br w:val="nil"/>
                    <w:tr2bl w:val="nil"/>
                  </w:tcBorders>
                  <w:noWrap w:val="0"/>
                  <w:tcMar>
                    <w:top w:w="0" w:type="dxa"/>
                    <w:left w:w="0" w:type="dxa"/>
                    <w:bottom w:w="0" w:type="dxa"/>
                    <w:right w:w="0" w:type="dxa"/>
                  </w:tcMar>
                  <w:vAlign w:val="center"/>
                </w:tcPr>
                <w:p w14:paraId="50372E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13.8</w:t>
                  </w:r>
                </w:p>
              </w:tc>
              <w:tc>
                <w:tcPr>
                  <w:tcW w:w="192" w:type="pct"/>
                  <w:tcBorders>
                    <w:tl2br w:val="nil"/>
                    <w:tr2bl w:val="nil"/>
                  </w:tcBorders>
                  <w:noWrap w:val="0"/>
                  <w:tcMar>
                    <w:top w:w="0" w:type="dxa"/>
                    <w:left w:w="0" w:type="dxa"/>
                    <w:bottom w:w="0" w:type="dxa"/>
                    <w:right w:w="0" w:type="dxa"/>
                  </w:tcMar>
                  <w:vAlign w:val="center"/>
                </w:tcPr>
                <w:p w14:paraId="3EC303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74.6 </w:t>
                  </w:r>
                </w:p>
              </w:tc>
              <w:tc>
                <w:tcPr>
                  <w:tcW w:w="192" w:type="pct"/>
                  <w:tcBorders>
                    <w:tl2br w:val="nil"/>
                    <w:tr2bl w:val="nil"/>
                  </w:tcBorders>
                  <w:noWrap w:val="0"/>
                  <w:tcMar>
                    <w:top w:w="0" w:type="dxa"/>
                    <w:left w:w="0" w:type="dxa"/>
                    <w:bottom w:w="0" w:type="dxa"/>
                    <w:right w:w="0" w:type="dxa"/>
                  </w:tcMar>
                  <w:vAlign w:val="center"/>
                </w:tcPr>
                <w:p w14:paraId="66336F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61.9 </w:t>
                  </w:r>
                </w:p>
              </w:tc>
              <w:tc>
                <w:tcPr>
                  <w:tcW w:w="205" w:type="pct"/>
                  <w:tcBorders>
                    <w:tl2br w:val="nil"/>
                    <w:tr2bl w:val="nil"/>
                  </w:tcBorders>
                  <w:noWrap w:val="0"/>
                  <w:tcMar>
                    <w:top w:w="0" w:type="dxa"/>
                    <w:left w:w="0" w:type="dxa"/>
                    <w:bottom w:w="0" w:type="dxa"/>
                    <w:right w:w="0" w:type="dxa"/>
                  </w:tcMar>
                  <w:vAlign w:val="center"/>
                </w:tcPr>
                <w:p w14:paraId="5409A96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08" w:type="pct"/>
                  <w:tcBorders>
                    <w:tl2br w:val="nil"/>
                    <w:tr2bl w:val="nil"/>
                  </w:tcBorders>
                  <w:noWrap w:val="0"/>
                  <w:tcMar>
                    <w:top w:w="0" w:type="dxa"/>
                    <w:left w:w="0" w:type="dxa"/>
                    <w:bottom w:w="0" w:type="dxa"/>
                    <w:right w:w="0" w:type="dxa"/>
                  </w:tcMar>
                  <w:vAlign w:val="center"/>
                </w:tcPr>
                <w:p w14:paraId="0D4749C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67.2 </w:t>
                  </w:r>
                </w:p>
              </w:tc>
              <w:tc>
                <w:tcPr>
                  <w:tcW w:w="228" w:type="pct"/>
                  <w:vMerge w:val="continue"/>
                  <w:tcBorders>
                    <w:tl2br w:val="nil"/>
                    <w:tr2bl w:val="nil"/>
                  </w:tcBorders>
                  <w:noWrap w:val="0"/>
                  <w:tcMar>
                    <w:top w:w="0" w:type="dxa"/>
                    <w:left w:w="0" w:type="dxa"/>
                    <w:bottom w:w="0" w:type="dxa"/>
                    <w:right w:w="0" w:type="dxa"/>
                  </w:tcMar>
                  <w:vAlign w:val="center"/>
                </w:tcPr>
                <w:p w14:paraId="6F7A62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F42E2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51A66D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49.6 </w:t>
                  </w:r>
                </w:p>
              </w:tc>
              <w:tc>
                <w:tcPr>
                  <w:tcW w:w="201" w:type="pct"/>
                  <w:tcBorders>
                    <w:tl2br w:val="nil"/>
                    <w:tr2bl w:val="nil"/>
                  </w:tcBorders>
                  <w:noWrap w:val="0"/>
                  <w:tcMar>
                    <w:top w:w="0" w:type="dxa"/>
                    <w:left w:w="0" w:type="dxa"/>
                    <w:bottom w:w="0" w:type="dxa"/>
                    <w:right w:w="0" w:type="dxa"/>
                  </w:tcMar>
                  <w:vAlign w:val="center"/>
                </w:tcPr>
                <w:p w14:paraId="4FBEC2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36.9 </w:t>
                  </w:r>
                </w:p>
              </w:tc>
              <w:tc>
                <w:tcPr>
                  <w:tcW w:w="193" w:type="pct"/>
                  <w:tcBorders>
                    <w:tl2br w:val="nil"/>
                    <w:tr2bl w:val="nil"/>
                  </w:tcBorders>
                  <w:noWrap w:val="0"/>
                  <w:tcMar>
                    <w:top w:w="0" w:type="dxa"/>
                    <w:left w:w="0" w:type="dxa"/>
                    <w:bottom w:w="0" w:type="dxa"/>
                    <w:right w:w="0" w:type="dxa"/>
                  </w:tcMar>
                  <w:vAlign w:val="center"/>
                </w:tcPr>
                <w:p w14:paraId="68AFA8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195" w:type="pct"/>
                  <w:tcBorders>
                    <w:tl2br w:val="nil"/>
                    <w:tr2bl w:val="nil"/>
                  </w:tcBorders>
                  <w:noWrap w:val="0"/>
                  <w:tcMar>
                    <w:top w:w="0" w:type="dxa"/>
                    <w:left w:w="0" w:type="dxa"/>
                    <w:bottom w:w="0" w:type="dxa"/>
                    <w:right w:w="0" w:type="dxa"/>
                  </w:tcMar>
                  <w:vAlign w:val="center"/>
                </w:tcPr>
                <w:p w14:paraId="7F53EB9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42.2 </w:t>
                  </w:r>
                </w:p>
              </w:tc>
              <w:tc>
                <w:tcPr>
                  <w:tcW w:w="202" w:type="pct"/>
                  <w:tcBorders>
                    <w:tl2br w:val="nil"/>
                    <w:tr2bl w:val="nil"/>
                  </w:tcBorders>
                  <w:noWrap w:val="0"/>
                  <w:tcMar>
                    <w:top w:w="0" w:type="dxa"/>
                    <w:left w:w="0" w:type="dxa"/>
                    <w:bottom w:w="0" w:type="dxa"/>
                    <w:right w:w="0" w:type="dxa"/>
                  </w:tcMar>
                  <w:vAlign w:val="center"/>
                </w:tcPr>
                <w:p w14:paraId="0C7A966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49336D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EC3D62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34</w:t>
                  </w:r>
                </w:p>
              </w:tc>
              <w:tc>
                <w:tcPr>
                  <w:tcW w:w="178" w:type="pct"/>
                  <w:vMerge w:val="continue"/>
                  <w:tcBorders>
                    <w:tl2br w:val="nil"/>
                    <w:tr2bl w:val="nil"/>
                  </w:tcBorders>
                  <w:noWrap w:val="0"/>
                  <w:tcMar>
                    <w:top w:w="0" w:type="dxa"/>
                    <w:left w:w="0" w:type="dxa"/>
                    <w:bottom w:w="0" w:type="dxa"/>
                    <w:right w:w="0" w:type="dxa"/>
                  </w:tcMar>
                  <w:vAlign w:val="center"/>
                </w:tcPr>
                <w:p w14:paraId="5433EF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28F307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料仓（4台，按点声源组计算）</w:t>
                  </w:r>
                </w:p>
              </w:tc>
              <w:tc>
                <w:tcPr>
                  <w:tcW w:w="166" w:type="pct"/>
                  <w:tcBorders>
                    <w:tl2br w:val="nil"/>
                    <w:tr2bl w:val="nil"/>
                  </w:tcBorders>
                  <w:noWrap w:val="0"/>
                  <w:tcMar>
                    <w:top w:w="0" w:type="dxa"/>
                    <w:left w:w="0" w:type="dxa"/>
                    <w:bottom w:w="0" w:type="dxa"/>
                    <w:right w:w="0" w:type="dxa"/>
                  </w:tcMar>
                  <w:vAlign w:val="center"/>
                </w:tcPr>
                <w:p w14:paraId="2941C98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11342EB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81.0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371815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C0B35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14.8</w:t>
                  </w:r>
                </w:p>
              </w:tc>
              <w:tc>
                <w:tcPr>
                  <w:tcW w:w="219" w:type="pct"/>
                  <w:tcBorders>
                    <w:tl2br w:val="nil"/>
                    <w:tr2bl w:val="nil"/>
                  </w:tcBorders>
                  <w:noWrap w:val="0"/>
                  <w:tcMar>
                    <w:top w:w="0" w:type="dxa"/>
                    <w:left w:w="0" w:type="dxa"/>
                    <w:bottom w:w="0" w:type="dxa"/>
                    <w:right w:w="0" w:type="dxa"/>
                  </w:tcMar>
                  <w:vAlign w:val="center"/>
                </w:tcPr>
                <w:p w14:paraId="2DECEAB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36.1</w:t>
                  </w:r>
                </w:p>
              </w:tc>
              <w:tc>
                <w:tcPr>
                  <w:tcW w:w="176" w:type="pct"/>
                  <w:tcBorders>
                    <w:tl2br w:val="nil"/>
                    <w:tr2bl w:val="nil"/>
                  </w:tcBorders>
                  <w:noWrap w:val="0"/>
                  <w:tcMar>
                    <w:top w:w="0" w:type="dxa"/>
                    <w:left w:w="0" w:type="dxa"/>
                    <w:bottom w:w="0" w:type="dxa"/>
                    <w:right w:w="0" w:type="dxa"/>
                  </w:tcMar>
                  <w:vAlign w:val="center"/>
                </w:tcPr>
                <w:p w14:paraId="3A0F47B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7573B5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6.4</w:t>
                  </w:r>
                </w:p>
              </w:tc>
              <w:tc>
                <w:tcPr>
                  <w:tcW w:w="187" w:type="pct"/>
                  <w:tcBorders>
                    <w:tl2br w:val="nil"/>
                    <w:tr2bl w:val="nil"/>
                  </w:tcBorders>
                  <w:noWrap w:val="0"/>
                  <w:tcMar>
                    <w:top w:w="0" w:type="dxa"/>
                    <w:left w:w="0" w:type="dxa"/>
                    <w:bottom w:w="0" w:type="dxa"/>
                    <w:right w:w="0" w:type="dxa"/>
                  </w:tcMar>
                  <w:vAlign w:val="center"/>
                </w:tcPr>
                <w:p w14:paraId="411FAE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22.5</w:t>
                  </w:r>
                </w:p>
              </w:tc>
              <w:tc>
                <w:tcPr>
                  <w:tcW w:w="205" w:type="pct"/>
                  <w:tcBorders>
                    <w:tl2br w:val="nil"/>
                    <w:tr2bl w:val="nil"/>
                  </w:tcBorders>
                  <w:shd w:val="clear" w:color="auto" w:fill="auto"/>
                  <w:noWrap w:val="0"/>
                  <w:tcMar>
                    <w:top w:w="0" w:type="dxa"/>
                    <w:left w:w="0" w:type="dxa"/>
                    <w:bottom w:w="0" w:type="dxa"/>
                    <w:right w:w="0" w:type="dxa"/>
                  </w:tcMar>
                  <w:vAlign w:val="center"/>
                </w:tcPr>
                <w:p w14:paraId="3CAB81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14.8</w:t>
                  </w:r>
                </w:p>
              </w:tc>
              <w:tc>
                <w:tcPr>
                  <w:tcW w:w="213" w:type="pct"/>
                  <w:tcBorders>
                    <w:tl2br w:val="nil"/>
                    <w:tr2bl w:val="nil"/>
                  </w:tcBorders>
                  <w:noWrap w:val="0"/>
                  <w:tcMar>
                    <w:top w:w="0" w:type="dxa"/>
                    <w:left w:w="0" w:type="dxa"/>
                    <w:bottom w:w="0" w:type="dxa"/>
                    <w:right w:w="0" w:type="dxa"/>
                  </w:tcMar>
                  <w:vAlign w:val="center"/>
                </w:tcPr>
                <w:p w14:paraId="4E5BAF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14.6</w:t>
                  </w:r>
                </w:p>
              </w:tc>
              <w:tc>
                <w:tcPr>
                  <w:tcW w:w="192" w:type="pct"/>
                  <w:tcBorders>
                    <w:tl2br w:val="nil"/>
                    <w:tr2bl w:val="nil"/>
                  </w:tcBorders>
                  <w:noWrap w:val="0"/>
                  <w:tcMar>
                    <w:top w:w="0" w:type="dxa"/>
                    <w:left w:w="0" w:type="dxa"/>
                    <w:bottom w:w="0" w:type="dxa"/>
                    <w:right w:w="0" w:type="dxa"/>
                  </w:tcMar>
                  <w:vAlign w:val="center"/>
                </w:tcPr>
                <w:p w14:paraId="4E6D6A0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58.9 </w:t>
                  </w:r>
                </w:p>
              </w:tc>
              <w:tc>
                <w:tcPr>
                  <w:tcW w:w="192" w:type="pct"/>
                  <w:tcBorders>
                    <w:tl2br w:val="nil"/>
                    <w:tr2bl w:val="nil"/>
                  </w:tcBorders>
                  <w:noWrap w:val="0"/>
                  <w:tcMar>
                    <w:top w:w="0" w:type="dxa"/>
                    <w:left w:w="0" w:type="dxa"/>
                    <w:bottom w:w="0" w:type="dxa"/>
                    <w:right w:w="0" w:type="dxa"/>
                  </w:tcMar>
                  <w:vAlign w:val="center"/>
                </w:tcPr>
                <w:p w14:paraId="18D37E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48.0 </w:t>
                  </w:r>
                </w:p>
              </w:tc>
              <w:tc>
                <w:tcPr>
                  <w:tcW w:w="205" w:type="pct"/>
                  <w:tcBorders>
                    <w:tl2br w:val="nil"/>
                    <w:tr2bl w:val="nil"/>
                  </w:tcBorders>
                  <w:noWrap w:val="0"/>
                  <w:tcMar>
                    <w:top w:w="0" w:type="dxa"/>
                    <w:left w:w="0" w:type="dxa"/>
                    <w:bottom w:w="0" w:type="dxa"/>
                    <w:right w:w="0" w:type="dxa"/>
                  </w:tcMar>
                  <w:vAlign w:val="center"/>
                </w:tcPr>
                <w:p w14:paraId="5595DB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51.6 </w:t>
                  </w:r>
                </w:p>
              </w:tc>
              <w:tc>
                <w:tcPr>
                  <w:tcW w:w="208" w:type="pct"/>
                  <w:tcBorders>
                    <w:tl2br w:val="nil"/>
                    <w:tr2bl w:val="nil"/>
                  </w:tcBorders>
                  <w:noWrap w:val="0"/>
                  <w:tcMar>
                    <w:top w:w="0" w:type="dxa"/>
                    <w:left w:w="0" w:type="dxa"/>
                    <w:bottom w:w="0" w:type="dxa"/>
                    <w:right w:w="0" w:type="dxa"/>
                  </w:tcMar>
                  <w:vAlign w:val="center"/>
                </w:tcPr>
                <w:p w14:paraId="007F8B9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228" w:type="pct"/>
                  <w:vMerge w:val="continue"/>
                  <w:tcBorders>
                    <w:tl2br w:val="nil"/>
                    <w:tr2bl w:val="nil"/>
                  </w:tcBorders>
                  <w:noWrap w:val="0"/>
                  <w:tcMar>
                    <w:top w:w="0" w:type="dxa"/>
                    <w:left w:w="0" w:type="dxa"/>
                    <w:bottom w:w="0" w:type="dxa"/>
                    <w:right w:w="0" w:type="dxa"/>
                  </w:tcMar>
                  <w:vAlign w:val="center"/>
                </w:tcPr>
                <w:p w14:paraId="46F797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B6B7F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3843E9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33.9 </w:t>
                  </w:r>
                </w:p>
              </w:tc>
              <w:tc>
                <w:tcPr>
                  <w:tcW w:w="201" w:type="pct"/>
                  <w:tcBorders>
                    <w:tl2br w:val="nil"/>
                    <w:tr2bl w:val="nil"/>
                  </w:tcBorders>
                  <w:noWrap w:val="0"/>
                  <w:tcMar>
                    <w:top w:w="0" w:type="dxa"/>
                    <w:left w:w="0" w:type="dxa"/>
                    <w:bottom w:w="0" w:type="dxa"/>
                    <w:right w:w="0" w:type="dxa"/>
                  </w:tcMar>
                  <w:vAlign w:val="center"/>
                </w:tcPr>
                <w:p w14:paraId="74658D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23.0 </w:t>
                  </w:r>
                </w:p>
              </w:tc>
              <w:tc>
                <w:tcPr>
                  <w:tcW w:w="193" w:type="pct"/>
                  <w:tcBorders>
                    <w:tl2br w:val="nil"/>
                    <w:tr2bl w:val="nil"/>
                  </w:tcBorders>
                  <w:noWrap w:val="0"/>
                  <w:tcMar>
                    <w:top w:w="0" w:type="dxa"/>
                    <w:left w:w="0" w:type="dxa"/>
                    <w:bottom w:w="0" w:type="dxa"/>
                    <w:right w:w="0" w:type="dxa"/>
                  </w:tcMar>
                  <w:vAlign w:val="center"/>
                </w:tcPr>
                <w:p w14:paraId="37EB7A6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26.6 </w:t>
                  </w:r>
                </w:p>
              </w:tc>
              <w:tc>
                <w:tcPr>
                  <w:tcW w:w="195" w:type="pct"/>
                  <w:tcBorders>
                    <w:tl2br w:val="nil"/>
                    <w:tr2bl w:val="nil"/>
                  </w:tcBorders>
                  <w:noWrap w:val="0"/>
                  <w:tcMar>
                    <w:top w:w="0" w:type="dxa"/>
                    <w:left w:w="0" w:type="dxa"/>
                    <w:bottom w:w="0" w:type="dxa"/>
                    <w:right w:w="0" w:type="dxa"/>
                  </w:tcMar>
                  <w:vAlign w:val="center"/>
                </w:tcPr>
                <w:p w14:paraId="33B3719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26.7 </w:t>
                  </w:r>
                </w:p>
              </w:tc>
              <w:tc>
                <w:tcPr>
                  <w:tcW w:w="202" w:type="pct"/>
                  <w:tcBorders>
                    <w:tl2br w:val="nil"/>
                    <w:tr2bl w:val="nil"/>
                  </w:tcBorders>
                  <w:noWrap w:val="0"/>
                  <w:tcMar>
                    <w:top w:w="0" w:type="dxa"/>
                    <w:left w:w="0" w:type="dxa"/>
                    <w:bottom w:w="0" w:type="dxa"/>
                    <w:right w:w="0" w:type="dxa"/>
                  </w:tcMar>
                  <w:vAlign w:val="center"/>
                </w:tcPr>
                <w:p w14:paraId="5CC50D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EEA57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8EDB1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35</w:t>
                  </w:r>
                </w:p>
              </w:tc>
              <w:tc>
                <w:tcPr>
                  <w:tcW w:w="178" w:type="pct"/>
                  <w:vMerge w:val="continue"/>
                  <w:tcBorders>
                    <w:tl2br w:val="nil"/>
                    <w:tr2bl w:val="nil"/>
                  </w:tcBorders>
                  <w:noWrap w:val="0"/>
                  <w:tcMar>
                    <w:top w:w="0" w:type="dxa"/>
                    <w:left w:w="0" w:type="dxa"/>
                    <w:bottom w:w="0" w:type="dxa"/>
                    <w:right w:w="0" w:type="dxa"/>
                  </w:tcMar>
                  <w:vAlign w:val="center"/>
                </w:tcPr>
                <w:p w14:paraId="48266BA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FDF9EF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定量包装机</w:t>
                  </w:r>
                </w:p>
              </w:tc>
              <w:tc>
                <w:tcPr>
                  <w:tcW w:w="166" w:type="pct"/>
                  <w:tcBorders>
                    <w:tl2br w:val="nil"/>
                    <w:tr2bl w:val="nil"/>
                  </w:tcBorders>
                  <w:shd w:val="clear" w:color="auto" w:fill="auto"/>
                  <w:noWrap w:val="0"/>
                  <w:tcMar>
                    <w:top w:w="0" w:type="dxa"/>
                    <w:left w:w="0" w:type="dxa"/>
                    <w:bottom w:w="0" w:type="dxa"/>
                    <w:right w:w="0" w:type="dxa"/>
                  </w:tcMar>
                  <w:vAlign w:val="center"/>
                </w:tcPr>
                <w:p w14:paraId="7F0746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7E05F05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p>
              </w:tc>
              <w:tc>
                <w:tcPr>
                  <w:tcW w:w="219" w:type="pct"/>
                  <w:vMerge w:val="continue"/>
                  <w:tcBorders>
                    <w:tl2br w:val="nil"/>
                    <w:tr2bl w:val="nil"/>
                  </w:tcBorders>
                  <w:noWrap w:val="0"/>
                  <w:tcMar>
                    <w:top w:w="0" w:type="dxa"/>
                    <w:left w:w="0" w:type="dxa"/>
                    <w:bottom w:w="0" w:type="dxa"/>
                    <w:right w:w="0" w:type="dxa"/>
                  </w:tcMar>
                  <w:vAlign w:val="center"/>
                </w:tcPr>
                <w:p w14:paraId="1030B32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3DD431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10.2</w:t>
                  </w:r>
                </w:p>
              </w:tc>
              <w:tc>
                <w:tcPr>
                  <w:tcW w:w="219" w:type="pct"/>
                  <w:tcBorders>
                    <w:tl2br w:val="nil"/>
                    <w:tr2bl w:val="nil"/>
                  </w:tcBorders>
                  <w:noWrap w:val="0"/>
                  <w:tcMar>
                    <w:top w:w="0" w:type="dxa"/>
                    <w:left w:w="0" w:type="dxa"/>
                    <w:bottom w:w="0" w:type="dxa"/>
                    <w:right w:w="0" w:type="dxa"/>
                  </w:tcMar>
                  <w:vAlign w:val="center"/>
                </w:tcPr>
                <w:p w14:paraId="20C34AA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35.1</w:t>
                  </w:r>
                </w:p>
              </w:tc>
              <w:tc>
                <w:tcPr>
                  <w:tcW w:w="176" w:type="pct"/>
                  <w:tcBorders>
                    <w:tl2br w:val="nil"/>
                    <w:tr2bl w:val="nil"/>
                  </w:tcBorders>
                  <w:noWrap w:val="0"/>
                  <w:tcMar>
                    <w:top w:w="0" w:type="dxa"/>
                    <w:left w:w="0" w:type="dxa"/>
                    <w:bottom w:w="0" w:type="dxa"/>
                    <w:right w:w="0" w:type="dxa"/>
                  </w:tcMar>
                  <w:vAlign w:val="center"/>
                </w:tcPr>
                <w:p w14:paraId="6C44960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263D5D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7.2</w:t>
                  </w:r>
                </w:p>
              </w:tc>
              <w:tc>
                <w:tcPr>
                  <w:tcW w:w="187" w:type="pct"/>
                  <w:tcBorders>
                    <w:tl2br w:val="nil"/>
                    <w:tr2bl w:val="nil"/>
                  </w:tcBorders>
                  <w:noWrap w:val="0"/>
                  <w:tcMar>
                    <w:top w:w="0" w:type="dxa"/>
                    <w:left w:w="0" w:type="dxa"/>
                    <w:bottom w:w="0" w:type="dxa"/>
                    <w:right w:w="0" w:type="dxa"/>
                  </w:tcMar>
                  <w:vAlign w:val="center"/>
                </w:tcPr>
                <w:p w14:paraId="5F7622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22.7</w:t>
                  </w:r>
                </w:p>
              </w:tc>
              <w:tc>
                <w:tcPr>
                  <w:tcW w:w="205" w:type="pct"/>
                  <w:tcBorders>
                    <w:tl2br w:val="nil"/>
                    <w:tr2bl w:val="nil"/>
                  </w:tcBorders>
                  <w:shd w:val="clear" w:color="auto" w:fill="auto"/>
                  <w:noWrap w:val="0"/>
                  <w:tcMar>
                    <w:top w:w="0" w:type="dxa"/>
                    <w:left w:w="0" w:type="dxa"/>
                    <w:bottom w:w="0" w:type="dxa"/>
                    <w:right w:w="0" w:type="dxa"/>
                  </w:tcMar>
                  <w:vAlign w:val="center"/>
                </w:tcPr>
                <w:p w14:paraId="519715E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10.2</w:t>
                  </w:r>
                </w:p>
              </w:tc>
              <w:tc>
                <w:tcPr>
                  <w:tcW w:w="213" w:type="pct"/>
                  <w:tcBorders>
                    <w:tl2br w:val="nil"/>
                    <w:tr2bl w:val="nil"/>
                  </w:tcBorders>
                  <w:noWrap w:val="0"/>
                  <w:tcMar>
                    <w:top w:w="0" w:type="dxa"/>
                    <w:left w:w="0" w:type="dxa"/>
                    <w:bottom w:w="0" w:type="dxa"/>
                    <w:right w:w="0" w:type="dxa"/>
                  </w:tcMar>
                  <w:vAlign w:val="center"/>
                </w:tcPr>
                <w:p w14:paraId="476F75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15.7</w:t>
                  </w:r>
                </w:p>
              </w:tc>
              <w:tc>
                <w:tcPr>
                  <w:tcW w:w="192" w:type="pct"/>
                  <w:tcBorders>
                    <w:tl2br w:val="nil"/>
                    <w:tr2bl w:val="nil"/>
                  </w:tcBorders>
                  <w:noWrap w:val="0"/>
                  <w:tcMar>
                    <w:top w:w="0" w:type="dxa"/>
                    <w:left w:w="0" w:type="dxa"/>
                    <w:bottom w:w="0" w:type="dxa"/>
                    <w:right w:w="0" w:type="dxa"/>
                  </w:tcMar>
                  <w:vAlign w:val="center"/>
                </w:tcPr>
                <w:p w14:paraId="243F258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57.9 </w:t>
                  </w:r>
                </w:p>
              </w:tc>
              <w:tc>
                <w:tcPr>
                  <w:tcW w:w="192" w:type="pct"/>
                  <w:tcBorders>
                    <w:tl2br w:val="nil"/>
                    <w:tr2bl w:val="nil"/>
                  </w:tcBorders>
                  <w:noWrap w:val="0"/>
                  <w:tcMar>
                    <w:top w:w="0" w:type="dxa"/>
                    <w:left w:w="0" w:type="dxa"/>
                    <w:bottom w:w="0" w:type="dxa"/>
                    <w:right w:w="0" w:type="dxa"/>
                  </w:tcMar>
                  <w:vAlign w:val="center"/>
                </w:tcPr>
                <w:p w14:paraId="67C2E8D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47.9 </w:t>
                  </w:r>
                </w:p>
              </w:tc>
              <w:tc>
                <w:tcPr>
                  <w:tcW w:w="205" w:type="pct"/>
                  <w:tcBorders>
                    <w:tl2br w:val="nil"/>
                    <w:tr2bl w:val="nil"/>
                  </w:tcBorders>
                  <w:noWrap w:val="0"/>
                  <w:tcMar>
                    <w:top w:w="0" w:type="dxa"/>
                    <w:left w:w="0" w:type="dxa"/>
                    <w:bottom w:w="0" w:type="dxa"/>
                    <w:right w:w="0" w:type="dxa"/>
                  </w:tcMar>
                  <w:vAlign w:val="center"/>
                </w:tcPr>
                <w:p w14:paraId="3A449A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54.8 </w:t>
                  </w:r>
                </w:p>
              </w:tc>
              <w:tc>
                <w:tcPr>
                  <w:tcW w:w="208" w:type="pct"/>
                  <w:tcBorders>
                    <w:tl2br w:val="nil"/>
                    <w:tr2bl w:val="nil"/>
                  </w:tcBorders>
                  <w:noWrap w:val="0"/>
                  <w:tcMar>
                    <w:top w:w="0" w:type="dxa"/>
                    <w:left w:w="0" w:type="dxa"/>
                    <w:bottom w:w="0" w:type="dxa"/>
                    <w:right w:w="0" w:type="dxa"/>
                  </w:tcMar>
                  <w:vAlign w:val="center"/>
                </w:tcPr>
                <w:p w14:paraId="7D5AA6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51.1 </w:t>
                  </w:r>
                </w:p>
              </w:tc>
              <w:tc>
                <w:tcPr>
                  <w:tcW w:w="228" w:type="pct"/>
                  <w:vMerge w:val="continue"/>
                  <w:tcBorders>
                    <w:tl2br w:val="nil"/>
                    <w:tr2bl w:val="nil"/>
                  </w:tcBorders>
                  <w:noWrap w:val="0"/>
                  <w:tcMar>
                    <w:top w:w="0" w:type="dxa"/>
                    <w:left w:w="0" w:type="dxa"/>
                    <w:bottom w:w="0" w:type="dxa"/>
                    <w:right w:w="0" w:type="dxa"/>
                  </w:tcMar>
                  <w:vAlign w:val="center"/>
                </w:tcPr>
                <w:p w14:paraId="3A9B8F6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45351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EF3B9E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32.9 </w:t>
                  </w:r>
                </w:p>
              </w:tc>
              <w:tc>
                <w:tcPr>
                  <w:tcW w:w="201" w:type="pct"/>
                  <w:tcBorders>
                    <w:tl2br w:val="nil"/>
                    <w:tr2bl w:val="nil"/>
                  </w:tcBorders>
                  <w:noWrap w:val="0"/>
                  <w:tcMar>
                    <w:top w:w="0" w:type="dxa"/>
                    <w:left w:w="0" w:type="dxa"/>
                    <w:bottom w:w="0" w:type="dxa"/>
                    <w:right w:w="0" w:type="dxa"/>
                  </w:tcMar>
                  <w:vAlign w:val="center"/>
                </w:tcPr>
                <w:p w14:paraId="725D2AF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22.9 </w:t>
                  </w:r>
                </w:p>
              </w:tc>
              <w:tc>
                <w:tcPr>
                  <w:tcW w:w="193" w:type="pct"/>
                  <w:tcBorders>
                    <w:tl2br w:val="nil"/>
                    <w:tr2bl w:val="nil"/>
                  </w:tcBorders>
                  <w:noWrap w:val="0"/>
                  <w:tcMar>
                    <w:top w:w="0" w:type="dxa"/>
                    <w:left w:w="0" w:type="dxa"/>
                    <w:bottom w:w="0" w:type="dxa"/>
                    <w:right w:w="0" w:type="dxa"/>
                  </w:tcMar>
                  <w:vAlign w:val="center"/>
                </w:tcPr>
                <w:p w14:paraId="1239828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29.8 </w:t>
                  </w:r>
                </w:p>
              </w:tc>
              <w:tc>
                <w:tcPr>
                  <w:tcW w:w="195" w:type="pct"/>
                  <w:tcBorders>
                    <w:tl2br w:val="nil"/>
                    <w:tr2bl w:val="nil"/>
                  </w:tcBorders>
                  <w:noWrap w:val="0"/>
                  <w:tcMar>
                    <w:top w:w="0" w:type="dxa"/>
                    <w:left w:w="0" w:type="dxa"/>
                    <w:bottom w:w="0" w:type="dxa"/>
                    <w:right w:w="0" w:type="dxa"/>
                  </w:tcMar>
                  <w:vAlign w:val="center"/>
                </w:tcPr>
                <w:p w14:paraId="70A6774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26.1 </w:t>
                  </w:r>
                </w:p>
              </w:tc>
              <w:tc>
                <w:tcPr>
                  <w:tcW w:w="202" w:type="pct"/>
                  <w:tcBorders>
                    <w:tl2br w:val="nil"/>
                    <w:tr2bl w:val="nil"/>
                  </w:tcBorders>
                  <w:noWrap w:val="0"/>
                  <w:tcMar>
                    <w:top w:w="0" w:type="dxa"/>
                    <w:left w:w="0" w:type="dxa"/>
                    <w:bottom w:w="0" w:type="dxa"/>
                    <w:right w:w="0" w:type="dxa"/>
                  </w:tcMar>
                  <w:vAlign w:val="center"/>
                </w:tcPr>
                <w:p w14:paraId="47F231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8E9F1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721935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36</w:t>
                  </w:r>
                </w:p>
              </w:tc>
              <w:tc>
                <w:tcPr>
                  <w:tcW w:w="178" w:type="pct"/>
                  <w:vMerge w:val="continue"/>
                  <w:tcBorders>
                    <w:tl2br w:val="nil"/>
                    <w:tr2bl w:val="nil"/>
                  </w:tcBorders>
                  <w:noWrap w:val="0"/>
                  <w:tcMar>
                    <w:top w:w="0" w:type="dxa"/>
                    <w:left w:w="0" w:type="dxa"/>
                    <w:bottom w:w="0" w:type="dxa"/>
                    <w:right w:w="0" w:type="dxa"/>
                  </w:tcMar>
                  <w:vAlign w:val="center"/>
                </w:tcPr>
                <w:p w14:paraId="50FD65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1076E26">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布袋除尘器引风机（2台，按点声源组计算）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66E27654">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7037D8D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5C438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A3C49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10.6</w:t>
                  </w:r>
                </w:p>
              </w:tc>
              <w:tc>
                <w:tcPr>
                  <w:tcW w:w="219" w:type="pct"/>
                  <w:tcBorders>
                    <w:tl2br w:val="nil"/>
                    <w:tr2bl w:val="nil"/>
                  </w:tcBorders>
                  <w:noWrap w:val="0"/>
                  <w:tcMar>
                    <w:top w:w="0" w:type="dxa"/>
                    <w:left w:w="0" w:type="dxa"/>
                    <w:bottom w:w="0" w:type="dxa"/>
                    <w:right w:w="0" w:type="dxa"/>
                  </w:tcMar>
                  <w:vAlign w:val="center"/>
                </w:tcPr>
                <w:p w14:paraId="5E6374A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34.2</w:t>
                  </w:r>
                </w:p>
              </w:tc>
              <w:tc>
                <w:tcPr>
                  <w:tcW w:w="176" w:type="pct"/>
                  <w:tcBorders>
                    <w:tl2br w:val="nil"/>
                    <w:tr2bl w:val="nil"/>
                  </w:tcBorders>
                  <w:noWrap w:val="0"/>
                  <w:tcMar>
                    <w:top w:w="0" w:type="dxa"/>
                    <w:left w:w="0" w:type="dxa"/>
                    <w:bottom w:w="0" w:type="dxa"/>
                    <w:right w:w="0" w:type="dxa"/>
                  </w:tcMar>
                  <w:vAlign w:val="center"/>
                </w:tcPr>
                <w:p w14:paraId="2A1A61E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706B6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6.4</w:t>
                  </w:r>
                </w:p>
              </w:tc>
              <w:tc>
                <w:tcPr>
                  <w:tcW w:w="187" w:type="pct"/>
                  <w:tcBorders>
                    <w:tl2br w:val="nil"/>
                    <w:tr2bl w:val="nil"/>
                  </w:tcBorders>
                  <w:noWrap w:val="0"/>
                  <w:tcMar>
                    <w:top w:w="0" w:type="dxa"/>
                    <w:left w:w="0" w:type="dxa"/>
                    <w:bottom w:w="0" w:type="dxa"/>
                    <w:right w:w="0" w:type="dxa"/>
                  </w:tcMar>
                  <w:vAlign w:val="center"/>
                </w:tcPr>
                <w:p w14:paraId="45AAC2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21.9</w:t>
                  </w:r>
                </w:p>
              </w:tc>
              <w:tc>
                <w:tcPr>
                  <w:tcW w:w="205" w:type="pct"/>
                  <w:tcBorders>
                    <w:tl2br w:val="nil"/>
                    <w:tr2bl w:val="nil"/>
                  </w:tcBorders>
                  <w:shd w:val="clear" w:color="auto" w:fill="auto"/>
                  <w:noWrap w:val="0"/>
                  <w:tcMar>
                    <w:top w:w="0" w:type="dxa"/>
                    <w:left w:w="0" w:type="dxa"/>
                    <w:bottom w:w="0" w:type="dxa"/>
                    <w:right w:w="0" w:type="dxa"/>
                  </w:tcMar>
                  <w:vAlign w:val="center"/>
                </w:tcPr>
                <w:p w14:paraId="1CE3E52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10.6</w:t>
                  </w:r>
                </w:p>
              </w:tc>
              <w:tc>
                <w:tcPr>
                  <w:tcW w:w="213" w:type="pct"/>
                  <w:tcBorders>
                    <w:tl2br w:val="nil"/>
                    <w:tr2bl w:val="nil"/>
                  </w:tcBorders>
                  <w:noWrap w:val="0"/>
                  <w:tcMar>
                    <w:top w:w="0" w:type="dxa"/>
                    <w:left w:w="0" w:type="dxa"/>
                    <w:bottom w:w="0" w:type="dxa"/>
                    <w:right w:w="0" w:type="dxa"/>
                  </w:tcMar>
                  <w:vAlign w:val="center"/>
                </w:tcPr>
                <w:p w14:paraId="207685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12.9</w:t>
                  </w:r>
                </w:p>
              </w:tc>
              <w:tc>
                <w:tcPr>
                  <w:tcW w:w="192" w:type="pct"/>
                  <w:tcBorders>
                    <w:tl2br w:val="nil"/>
                    <w:tr2bl w:val="nil"/>
                  </w:tcBorders>
                  <w:noWrap w:val="0"/>
                  <w:tcMar>
                    <w:top w:w="0" w:type="dxa"/>
                    <w:left w:w="0" w:type="dxa"/>
                    <w:bottom w:w="0" w:type="dxa"/>
                    <w:right w:w="0" w:type="dxa"/>
                  </w:tcMar>
                  <w:vAlign w:val="center"/>
                </w:tcPr>
                <w:p w14:paraId="1F81C3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73.9 </w:t>
                  </w:r>
                </w:p>
              </w:tc>
              <w:tc>
                <w:tcPr>
                  <w:tcW w:w="192" w:type="pct"/>
                  <w:tcBorders>
                    <w:tl2br w:val="nil"/>
                    <w:tr2bl w:val="nil"/>
                  </w:tcBorders>
                  <w:noWrap w:val="0"/>
                  <w:tcMar>
                    <w:top w:w="0" w:type="dxa"/>
                    <w:left w:w="0" w:type="dxa"/>
                    <w:bottom w:w="0" w:type="dxa"/>
                    <w:right w:w="0" w:type="dxa"/>
                  </w:tcMar>
                  <w:vAlign w:val="center"/>
                </w:tcPr>
                <w:p w14:paraId="01D3CD0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63.2 </w:t>
                  </w:r>
                </w:p>
              </w:tc>
              <w:tc>
                <w:tcPr>
                  <w:tcW w:w="205" w:type="pct"/>
                  <w:tcBorders>
                    <w:tl2br w:val="nil"/>
                    <w:tr2bl w:val="nil"/>
                  </w:tcBorders>
                  <w:noWrap w:val="0"/>
                  <w:tcMar>
                    <w:top w:w="0" w:type="dxa"/>
                    <w:left w:w="0" w:type="dxa"/>
                    <w:bottom w:w="0" w:type="dxa"/>
                    <w:right w:w="0" w:type="dxa"/>
                  </w:tcMar>
                  <w:vAlign w:val="center"/>
                </w:tcPr>
                <w:p w14:paraId="447F92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79.5 </w:t>
                  </w:r>
                </w:p>
              </w:tc>
              <w:tc>
                <w:tcPr>
                  <w:tcW w:w="208" w:type="pct"/>
                  <w:tcBorders>
                    <w:tl2br w:val="nil"/>
                    <w:tr2bl w:val="nil"/>
                  </w:tcBorders>
                  <w:noWrap w:val="0"/>
                  <w:tcMar>
                    <w:top w:w="0" w:type="dxa"/>
                    <w:left w:w="0" w:type="dxa"/>
                    <w:bottom w:w="0" w:type="dxa"/>
                    <w:right w:w="0" w:type="dxa"/>
                  </w:tcMar>
                  <w:vAlign w:val="center"/>
                </w:tcPr>
                <w:p w14:paraId="76DED5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67.8 </w:t>
                  </w:r>
                </w:p>
              </w:tc>
              <w:tc>
                <w:tcPr>
                  <w:tcW w:w="228" w:type="pct"/>
                  <w:vMerge w:val="continue"/>
                  <w:tcBorders>
                    <w:tl2br w:val="nil"/>
                    <w:tr2bl w:val="nil"/>
                  </w:tcBorders>
                  <w:noWrap w:val="0"/>
                  <w:tcMar>
                    <w:top w:w="0" w:type="dxa"/>
                    <w:left w:w="0" w:type="dxa"/>
                    <w:bottom w:w="0" w:type="dxa"/>
                    <w:right w:w="0" w:type="dxa"/>
                  </w:tcMar>
                  <w:vAlign w:val="center"/>
                </w:tcPr>
                <w:p w14:paraId="6CC1107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F89935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1E80985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48.9 </w:t>
                  </w:r>
                </w:p>
              </w:tc>
              <w:tc>
                <w:tcPr>
                  <w:tcW w:w="201" w:type="pct"/>
                  <w:tcBorders>
                    <w:tl2br w:val="nil"/>
                    <w:tr2bl w:val="nil"/>
                  </w:tcBorders>
                  <w:noWrap w:val="0"/>
                  <w:tcMar>
                    <w:top w:w="0" w:type="dxa"/>
                    <w:left w:w="0" w:type="dxa"/>
                    <w:bottom w:w="0" w:type="dxa"/>
                    <w:right w:w="0" w:type="dxa"/>
                  </w:tcMar>
                  <w:vAlign w:val="center"/>
                </w:tcPr>
                <w:p w14:paraId="422EFB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38.2 </w:t>
                  </w:r>
                </w:p>
              </w:tc>
              <w:tc>
                <w:tcPr>
                  <w:tcW w:w="193" w:type="pct"/>
                  <w:tcBorders>
                    <w:tl2br w:val="nil"/>
                    <w:tr2bl w:val="nil"/>
                  </w:tcBorders>
                  <w:noWrap w:val="0"/>
                  <w:tcMar>
                    <w:top w:w="0" w:type="dxa"/>
                    <w:left w:w="0" w:type="dxa"/>
                    <w:bottom w:w="0" w:type="dxa"/>
                    <w:right w:w="0" w:type="dxa"/>
                  </w:tcMar>
                  <w:vAlign w:val="center"/>
                </w:tcPr>
                <w:p w14:paraId="6B0B2C2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54.5 </w:t>
                  </w:r>
                </w:p>
              </w:tc>
              <w:tc>
                <w:tcPr>
                  <w:tcW w:w="195" w:type="pct"/>
                  <w:tcBorders>
                    <w:tl2br w:val="nil"/>
                    <w:tr2bl w:val="nil"/>
                  </w:tcBorders>
                  <w:noWrap w:val="0"/>
                  <w:tcMar>
                    <w:top w:w="0" w:type="dxa"/>
                    <w:left w:w="0" w:type="dxa"/>
                    <w:bottom w:w="0" w:type="dxa"/>
                    <w:right w:w="0" w:type="dxa"/>
                  </w:tcMar>
                  <w:vAlign w:val="center"/>
                </w:tcPr>
                <w:p w14:paraId="5603835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42.8 </w:t>
                  </w:r>
                </w:p>
              </w:tc>
              <w:tc>
                <w:tcPr>
                  <w:tcW w:w="202" w:type="pct"/>
                  <w:tcBorders>
                    <w:tl2br w:val="nil"/>
                    <w:tr2bl w:val="nil"/>
                  </w:tcBorders>
                  <w:noWrap w:val="0"/>
                  <w:tcMar>
                    <w:top w:w="0" w:type="dxa"/>
                    <w:left w:w="0" w:type="dxa"/>
                    <w:bottom w:w="0" w:type="dxa"/>
                    <w:right w:w="0" w:type="dxa"/>
                  </w:tcMar>
                  <w:vAlign w:val="center"/>
                </w:tcPr>
                <w:p w14:paraId="041FC0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r>
            <w:tr w14:paraId="01CD13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78668D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37</w:t>
                  </w:r>
                </w:p>
              </w:tc>
              <w:tc>
                <w:tcPr>
                  <w:tcW w:w="178" w:type="pct"/>
                  <w:vMerge w:val="restart"/>
                  <w:tcBorders>
                    <w:tl2br w:val="nil"/>
                    <w:tr2bl w:val="nil"/>
                  </w:tcBorders>
                  <w:noWrap w:val="0"/>
                  <w:tcMar>
                    <w:top w:w="0" w:type="dxa"/>
                    <w:left w:w="0" w:type="dxa"/>
                    <w:bottom w:w="0" w:type="dxa"/>
                    <w:right w:w="0" w:type="dxa"/>
                  </w:tcMar>
                  <w:vAlign w:val="center"/>
                </w:tcPr>
                <w:p w14:paraId="272B979D">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四</w:t>
                  </w:r>
                </w:p>
                <w:p w14:paraId="10F99926">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车</w:t>
                  </w:r>
                </w:p>
                <w:p w14:paraId="34DBA92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间</w:t>
                  </w:r>
                </w:p>
              </w:tc>
              <w:tc>
                <w:tcPr>
                  <w:tcW w:w="326" w:type="pct"/>
                  <w:tcBorders>
                    <w:tl2br w:val="nil"/>
                    <w:tr2bl w:val="nil"/>
                  </w:tcBorders>
                  <w:noWrap w:val="0"/>
                  <w:tcMar>
                    <w:top w:w="0" w:type="dxa"/>
                    <w:left w:w="0" w:type="dxa"/>
                    <w:bottom w:w="0" w:type="dxa"/>
                    <w:right w:w="0" w:type="dxa"/>
                  </w:tcMar>
                  <w:vAlign w:val="center"/>
                </w:tcPr>
                <w:p w14:paraId="3FD6D66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颚式破碎机（3台，按点声源组计算）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52C3C98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4B240CE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05DB94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C192EA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76.5</w:t>
                  </w:r>
                </w:p>
              </w:tc>
              <w:tc>
                <w:tcPr>
                  <w:tcW w:w="219" w:type="pct"/>
                  <w:tcBorders>
                    <w:tl2br w:val="nil"/>
                    <w:tr2bl w:val="nil"/>
                  </w:tcBorders>
                  <w:shd w:val="clear" w:color="auto" w:fill="auto"/>
                  <w:noWrap w:val="0"/>
                  <w:tcMar>
                    <w:top w:w="0" w:type="dxa"/>
                    <w:left w:w="0" w:type="dxa"/>
                    <w:bottom w:w="0" w:type="dxa"/>
                    <w:right w:w="0" w:type="dxa"/>
                  </w:tcMar>
                  <w:vAlign w:val="center"/>
                </w:tcPr>
                <w:p w14:paraId="6781AC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74.3</w:t>
                  </w:r>
                </w:p>
              </w:tc>
              <w:tc>
                <w:tcPr>
                  <w:tcW w:w="176" w:type="pct"/>
                  <w:tcBorders>
                    <w:tl2br w:val="nil"/>
                    <w:tr2bl w:val="nil"/>
                  </w:tcBorders>
                  <w:noWrap w:val="0"/>
                  <w:tcMar>
                    <w:top w:w="0" w:type="dxa"/>
                    <w:left w:w="0" w:type="dxa"/>
                    <w:bottom w:w="0" w:type="dxa"/>
                    <w:right w:w="0" w:type="dxa"/>
                  </w:tcMar>
                  <w:vAlign w:val="center"/>
                </w:tcPr>
                <w:p w14:paraId="3400EF6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62725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21.5</w:t>
                  </w:r>
                </w:p>
              </w:tc>
              <w:tc>
                <w:tcPr>
                  <w:tcW w:w="187" w:type="pct"/>
                  <w:tcBorders>
                    <w:tl2br w:val="nil"/>
                    <w:tr2bl w:val="nil"/>
                  </w:tcBorders>
                  <w:noWrap w:val="0"/>
                  <w:tcMar>
                    <w:top w:w="0" w:type="dxa"/>
                    <w:left w:w="0" w:type="dxa"/>
                    <w:bottom w:w="0" w:type="dxa"/>
                    <w:right w:w="0" w:type="dxa"/>
                  </w:tcMar>
                  <w:vAlign w:val="center"/>
                </w:tcPr>
                <w:p w14:paraId="382CAA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15.6</w:t>
                  </w:r>
                </w:p>
              </w:tc>
              <w:tc>
                <w:tcPr>
                  <w:tcW w:w="205" w:type="pct"/>
                  <w:tcBorders>
                    <w:tl2br w:val="nil"/>
                    <w:tr2bl w:val="nil"/>
                  </w:tcBorders>
                  <w:noWrap w:val="0"/>
                  <w:tcMar>
                    <w:top w:w="0" w:type="dxa"/>
                    <w:left w:w="0" w:type="dxa"/>
                    <w:bottom w:w="0" w:type="dxa"/>
                    <w:right w:w="0" w:type="dxa"/>
                  </w:tcMar>
                  <w:vAlign w:val="center"/>
                </w:tcPr>
                <w:p w14:paraId="005D24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16.5</w:t>
                  </w:r>
                </w:p>
              </w:tc>
              <w:tc>
                <w:tcPr>
                  <w:tcW w:w="213" w:type="pct"/>
                  <w:tcBorders>
                    <w:tl2br w:val="nil"/>
                    <w:tr2bl w:val="nil"/>
                  </w:tcBorders>
                  <w:noWrap w:val="0"/>
                  <w:tcMar>
                    <w:top w:w="0" w:type="dxa"/>
                    <w:left w:w="0" w:type="dxa"/>
                    <w:bottom w:w="0" w:type="dxa"/>
                    <w:right w:w="0" w:type="dxa"/>
                  </w:tcMar>
                  <w:vAlign w:val="center"/>
                </w:tcPr>
                <w:p w14:paraId="1DE4C5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11.6</w:t>
                  </w:r>
                </w:p>
              </w:tc>
              <w:tc>
                <w:tcPr>
                  <w:tcW w:w="192" w:type="pct"/>
                  <w:tcBorders>
                    <w:tl2br w:val="nil"/>
                    <w:tr2bl w:val="nil"/>
                  </w:tcBorders>
                  <w:noWrap w:val="0"/>
                  <w:tcMar>
                    <w:top w:w="0" w:type="dxa"/>
                    <w:left w:w="0" w:type="dxa"/>
                    <w:bottom w:w="0" w:type="dxa"/>
                    <w:right w:w="0" w:type="dxa"/>
                  </w:tcMar>
                  <w:vAlign w:val="center"/>
                </w:tcPr>
                <w:p w14:paraId="51AE4D6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63.4 </w:t>
                  </w:r>
                </w:p>
              </w:tc>
              <w:tc>
                <w:tcPr>
                  <w:tcW w:w="192" w:type="pct"/>
                  <w:tcBorders>
                    <w:tl2br w:val="nil"/>
                    <w:tr2bl w:val="nil"/>
                  </w:tcBorders>
                  <w:noWrap w:val="0"/>
                  <w:tcMar>
                    <w:top w:w="0" w:type="dxa"/>
                    <w:left w:w="0" w:type="dxa"/>
                    <w:bottom w:w="0" w:type="dxa"/>
                    <w:right w:w="0" w:type="dxa"/>
                  </w:tcMar>
                  <w:vAlign w:val="center"/>
                </w:tcPr>
                <w:p w14:paraId="54FBCF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66.1 </w:t>
                  </w:r>
                </w:p>
              </w:tc>
              <w:tc>
                <w:tcPr>
                  <w:tcW w:w="205" w:type="pct"/>
                  <w:tcBorders>
                    <w:tl2br w:val="nil"/>
                    <w:tr2bl w:val="nil"/>
                  </w:tcBorders>
                  <w:noWrap w:val="0"/>
                  <w:tcMar>
                    <w:top w:w="0" w:type="dxa"/>
                    <w:left w:w="0" w:type="dxa"/>
                    <w:bottom w:w="0" w:type="dxa"/>
                    <w:right w:w="0" w:type="dxa"/>
                  </w:tcMar>
                  <w:vAlign w:val="center"/>
                </w:tcPr>
                <w:p w14:paraId="1AB9846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65.7 </w:t>
                  </w:r>
                </w:p>
              </w:tc>
              <w:tc>
                <w:tcPr>
                  <w:tcW w:w="208" w:type="pct"/>
                  <w:tcBorders>
                    <w:tl2br w:val="nil"/>
                    <w:tr2bl w:val="nil"/>
                  </w:tcBorders>
                  <w:noWrap w:val="0"/>
                  <w:tcMar>
                    <w:top w:w="0" w:type="dxa"/>
                    <w:left w:w="0" w:type="dxa"/>
                    <w:bottom w:w="0" w:type="dxa"/>
                    <w:right w:w="0" w:type="dxa"/>
                  </w:tcMar>
                  <w:vAlign w:val="center"/>
                </w:tcPr>
                <w:p w14:paraId="588F2B1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68.7 </w:t>
                  </w:r>
                </w:p>
              </w:tc>
              <w:tc>
                <w:tcPr>
                  <w:tcW w:w="228" w:type="pct"/>
                  <w:vMerge w:val="continue"/>
                  <w:tcBorders>
                    <w:tl2br w:val="nil"/>
                    <w:tr2bl w:val="nil"/>
                  </w:tcBorders>
                  <w:noWrap w:val="0"/>
                  <w:tcMar>
                    <w:top w:w="0" w:type="dxa"/>
                    <w:left w:w="0" w:type="dxa"/>
                    <w:bottom w:w="0" w:type="dxa"/>
                    <w:right w:w="0" w:type="dxa"/>
                  </w:tcMar>
                  <w:vAlign w:val="center"/>
                </w:tcPr>
                <w:p w14:paraId="09129A1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10A6A7E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60FE76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38.4 </w:t>
                  </w:r>
                </w:p>
              </w:tc>
              <w:tc>
                <w:tcPr>
                  <w:tcW w:w="201" w:type="pct"/>
                  <w:tcBorders>
                    <w:tl2br w:val="nil"/>
                    <w:tr2bl w:val="nil"/>
                  </w:tcBorders>
                  <w:noWrap w:val="0"/>
                  <w:tcMar>
                    <w:top w:w="0" w:type="dxa"/>
                    <w:left w:w="0" w:type="dxa"/>
                    <w:bottom w:w="0" w:type="dxa"/>
                    <w:right w:w="0" w:type="dxa"/>
                  </w:tcMar>
                  <w:vAlign w:val="center"/>
                </w:tcPr>
                <w:p w14:paraId="5A8202E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41.1 </w:t>
                  </w:r>
                </w:p>
              </w:tc>
              <w:tc>
                <w:tcPr>
                  <w:tcW w:w="193" w:type="pct"/>
                  <w:tcBorders>
                    <w:tl2br w:val="nil"/>
                    <w:tr2bl w:val="nil"/>
                  </w:tcBorders>
                  <w:noWrap w:val="0"/>
                  <w:tcMar>
                    <w:top w:w="0" w:type="dxa"/>
                    <w:left w:w="0" w:type="dxa"/>
                    <w:bottom w:w="0" w:type="dxa"/>
                    <w:right w:w="0" w:type="dxa"/>
                  </w:tcMar>
                  <w:vAlign w:val="center"/>
                </w:tcPr>
                <w:p w14:paraId="003A11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40.7 </w:t>
                  </w:r>
                </w:p>
              </w:tc>
              <w:tc>
                <w:tcPr>
                  <w:tcW w:w="195" w:type="pct"/>
                  <w:tcBorders>
                    <w:tl2br w:val="nil"/>
                    <w:tr2bl w:val="nil"/>
                  </w:tcBorders>
                  <w:noWrap w:val="0"/>
                  <w:tcMar>
                    <w:top w:w="0" w:type="dxa"/>
                    <w:left w:w="0" w:type="dxa"/>
                    <w:bottom w:w="0" w:type="dxa"/>
                    <w:right w:w="0" w:type="dxa"/>
                  </w:tcMar>
                  <w:vAlign w:val="center"/>
                </w:tcPr>
                <w:p w14:paraId="76B412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43.7 </w:t>
                  </w:r>
                </w:p>
              </w:tc>
              <w:tc>
                <w:tcPr>
                  <w:tcW w:w="202" w:type="pct"/>
                  <w:tcBorders>
                    <w:tl2br w:val="nil"/>
                    <w:tr2bl w:val="nil"/>
                  </w:tcBorders>
                  <w:noWrap w:val="0"/>
                  <w:tcMar>
                    <w:top w:w="0" w:type="dxa"/>
                    <w:left w:w="0" w:type="dxa"/>
                    <w:bottom w:w="0" w:type="dxa"/>
                    <w:right w:w="0" w:type="dxa"/>
                  </w:tcMar>
                  <w:vAlign w:val="center"/>
                </w:tcPr>
                <w:p w14:paraId="25E725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963CB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A53A2F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38</w:t>
                  </w:r>
                </w:p>
              </w:tc>
              <w:tc>
                <w:tcPr>
                  <w:tcW w:w="178" w:type="pct"/>
                  <w:vMerge w:val="continue"/>
                  <w:tcBorders>
                    <w:tl2br w:val="nil"/>
                    <w:tr2bl w:val="nil"/>
                  </w:tcBorders>
                  <w:noWrap w:val="0"/>
                  <w:tcMar>
                    <w:top w:w="0" w:type="dxa"/>
                    <w:left w:w="0" w:type="dxa"/>
                    <w:bottom w:w="0" w:type="dxa"/>
                    <w:right w:w="0" w:type="dxa"/>
                  </w:tcMar>
                  <w:vAlign w:val="center"/>
                </w:tcPr>
                <w:p w14:paraId="76425C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12EB7AB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冲击制砂机（2台，按点声源组计算）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6B4D568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4B9E0CD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177FE5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E4BA8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75.2</w:t>
                  </w:r>
                </w:p>
              </w:tc>
              <w:tc>
                <w:tcPr>
                  <w:tcW w:w="219" w:type="pct"/>
                  <w:tcBorders>
                    <w:tl2br w:val="nil"/>
                    <w:tr2bl w:val="nil"/>
                  </w:tcBorders>
                  <w:shd w:val="clear" w:color="auto" w:fill="auto"/>
                  <w:noWrap w:val="0"/>
                  <w:tcMar>
                    <w:top w:w="0" w:type="dxa"/>
                    <w:left w:w="0" w:type="dxa"/>
                    <w:bottom w:w="0" w:type="dxa"/>
                    <w:right w:w="0" w:type="dxa"/>
                  </w:tcMar>
                  <w:vAlign w:val="center"/>
                </w:tcPr>
                <w:p w14:paraId="5A2F7F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71.5</w:t>
                  </w:r>
                </w:p>
              </w:tc>
              <w:tc>
                <w:tcPr>
                  <w:tcW w:w="176" w:type="pct"/>
                  <w:tcBorders>
                    <w:tl2br w:val="nil"/>
                    <w:tr2bl w:val="nil"/>
                  </w:tcBorders>
                  <w:noWrap w:val="0"/>
                  <w:tcMar>
                    <w:top w:w="0" w:type="dxa"/>
                    <w:left w:w="0" w:type="dxa"/>
                    <w:bottom w:w="0" w:type="dxa"/>
                    <w:right w:w="0" w:type="dxa"/>
                  </w:tcMar>
                  <w:vAlign w:val="center"/>
                </w:tcPr>
                <w:p w14:paraId="425A841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66AACC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20.6</w:t>
                  </w:r>
                </w:p>
              </w:tc>
              <w:tc>
                <w:tcPr>
                  <w:tcW w:w="187" w:type="pct"/>
                  <w:tcBorders>
                    <w:tl2br w:val="nil"/>
                    <w:tr2bl w:val="nil"/>
                  </w:tcBorders>
                  <w:noWrap w:val="0"/>
                  <w:tcMar>
                    <w:top w:w="0" w:type="dxa"/>
                    <w:left w:w="0" w:type="dxa"/>
                    <w:bottom w:w="0" w:type="dxa"/>
                    <w:right w:w="0" w:type="dxa"/>
                  </w:tcMar>
                  <w:vAlign w:val="center"/>
                </w:tcPr>
                <w:p w14:paraId="1B3A86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14.6</w:t>
                  </w:r>
                </w:p>
              </w:tc>
              <w:tc>
                <w:tcPr>
                  <w:tcW w:w="205" w:type="pct"/>
                  <w:tcBorders>
                    <w:tl2br w:val="nil"/>
                    <w:tr2bl w:val="nil"/>
                  </w:tcBorders>
                  <w:noWrap w:val="0"/>
                  <w:tcMar>
                    <w:top w:w="0" w:type="dxa"/>
                    <w:left w:w="0" w:type="dxa"/>
                    <w:bottom w:w="0" w:type="dxa"/>
                    <w:right w:w="0" w:type="dxa"/>
                  </w:tcMar>
                  <w:vAlign w:val="center"/>
                </w:tcPr>
                <w:p w14:paraId="047E51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15.5</w:t>
                  </w:r>
                </w:p>
              </w:tc>
              <w:tc>
                <w:tcPr>
                  <w:tcW w:w="213" w:type="pct"/>
                  <w:tcBorders>
                    <w:tl2br w:val="nil"/>
                    <w:tr2bl w:val="nil"/>
                  </w:tcBorders>
                  <w:noWrap w:val="0"/>
                  <w:tcMar>
                    <w:top w:w="0" w:type="dxa"/>
                    <w:left w:w="0" w:type="dxa"/>
                    <w:bottom w:w="0" w:type="dxa"/>
                    <w:right w:w="0" w:type="dxa"/>
                  </w:tcMar>
                  <w:vAlign w:val="center"/>
                </w:tcPr>
                <w:p w14:paraId="713CA4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12.6</w:t>
                  </w:r>
                </w:p>
              </w:tc>
              <w:tc>
                <w:tcPr>
                  <w:tcW w:w="192" w:type="pct"/>
                  <w:tcBorders>
                    <w:tl2br w:val="nil"/>
                    <w:tr2bl w:val="nil"/>
                  </w:tcBorders>
                  <w:noWrap w:val="0"/>
                  <w:tcMar>
                    <w:top w:w="0" w:type="dxa"/>
                    <w:left w:w="0" w:type="dxa"/>
                    <w:bottom w:w="0" w:type="dxa"/>
                    <w:right w:w="0" w:type="dxa"/>
                  </w:tcMar>
                  <w:vAlign w:val="center"/>
                </w:tcPr>
                <w:p w14:paraId="5BE0C1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63.7 </w:t>
                  </w:r>
                </w:p>
              </w:tc>
              <w:tc>
                <w:tcPr>
                  <w:tcW w:w="192" w:type="pct"/>
                  <w:tcBorders>
                    <w:tl2br w:val="nil"/>
                    <w:tr2bl w:val="nil"/>
                  </w:tcBorders>
                  <w:noWrap w:val="0"/>
                  <w:tcMar>
                    <w:top w:w="0" w:type="dxa"/>
                    <w:left w:w="0" w:type="dxa"/>
                    <w:bottom w:w="0" w:type="dxa"/>
                    <w:right w:w="0" w:type="dxa"/>
                  </w:tcMar>
                  <w:vAlign w:val="center"/>
                </w:tcPr>
                <w:p w14:paraId="722ED7F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66.7 </w:t>
                  </w:r>
                </w:p>
              </w:tc>
              <w:tc>
                <w:tcPr>
                  <w:tcW w:w="205" w:type="pct"/>
                  <w:tcBorders>
                    <w:tl2br w:val="nil"/>
                    <w:tr2bl w:val="nil"/>
                  </w:tcBorders>
                  <w:noWrap w:val="0"/>
                  <w:tcMar>
                    <w:top w:w="0" w:type="dxa"/>
                    <w:left w:w="0" w:type="dxa"/>
                    <w:bottom w:w="0" w:type="dxa"/>
                    <w:right w:w="0" w:type="dxa"/>
                  </w:tcMar>
                  <w:vAlign w:val="center"/>
                </w:tcPr>
                <w:p w14:paraId="7132BC0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08" w:type="pct"/>
                  <w:tcBorders>
                    <w:tl2br w:val="nil"/>
                    <w:tr2bl w:val="nil"/>
                  </w:tcBorders>
                  <w:noWrap w:val="0"/>
                  <w:tcMar>
                    <w:top w:w="0" w:type="dxa"/>
                    <w:left w:w="0" w:type="dxa"/>
                    <w:bottom w:w="0" w:type="dxa"/>
                    <w:right w:w="0" w:type="dxa"/>
                  </w:tcMar>
                  <w:vAlign w:val="center"/>
                </w:tcPr>
                <w:p w14:paraId="63600A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68.0 </w:t>
                  </w:r>
                </w:p>
              </w:tc>
              <w:tc>
                <w:tcPr>
                  <w:tcW w:w="228" w:type="pct"/>
                  <w:vMerge w:val="continue"/>
                  <w:tcBorders>
                    <w:tl2br w:val="nil"/>
                    <w:tr2bl w:val="nil"/>
                  </w:tcBorders>
                  <w:noWrap w:val="0"/>
                  <w:tcMar>
                    <w:top w:w="0" w:type="dxa"/>
                    <w:left w:w="0" w:type="dxa"/>
                    <w:bottom w:w="0" w:type="dxa"/>
                    <w:right w:w="0" w:type="dxa"/>
                  </w:tcMar>
                  <w:vAlign w:val="center"/>
                </w:tcPr>
                <w:p w14:paraId="1E9295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CACE5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735B7B0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38.7 </w:t>
                  </w:r>
                </w:p>
              </w:tc>
              <w:tc>
                <w:tcPr>
                  <w:tcW w:w="201" w:type="pct"/>
                  <w:tcBorders>
                    <w:tl2br w:val="nil"/>
                    <w:tr2bl w:val="nil"/>
                  </w:tcBorders>
                  <w:noWrap w:val="0"/>
                  <w:tcMar>
                    <w:top w:w="0" w:type="dxa"/>
                    <w:left w:w="0" w:type="dxa"/>
                    <w:bottom w:w="0" w:type="dxa"/>
                    <w:right w:w="0" w:type="dxa"/>
                  </w:tcMar>
                  <w:vAlign w:val="center"/>
                </w:tcPr>
                <w:p w14:paraId="2F3A33D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41.7 </w:t>
                  </w:r>
                </w:p>
              </w:tc>
              <w:tc>
                <w:tcPr>
                  <w:tcW w:w="193" w:type="pct"/>
                  <w:tcBorders>
                    <w:tl2br w:val="nil"/>
                    <w:tr2bl w:val="nil"/>
                  </w:tcBorders>
                  <w:noWrap w:val="0"/>
                  <w:tcMar>
                    <w:top w:w="0" w:type="dxa"/>
                    <w:left w:w="0" w:type="dxa"/>
                    <w:bottom w:w="0" w:type="dxa"/>
                    <w:right w:w="0" w:type="dxa"/>
                  </w:tcMar>
                  <w:vAlign w:val="center"/>
                </w:tcPr>
                <w:p w14:paraId="285CF42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195" w:type="pct"/>
                  <w:tcBorders>
                    <w:tl2br w:val="nil"/>
                    <w:tr2bl w:val="nil"/>
                  </w:tcBorders>
                  <w:noWrap w:val="0"/>
                  <w:tcMar>
                    <w:top w:w="0" w:type="dxa"/>
                    <w:left w:w="0" w:type="dxa"/>
                    <w:bottom w:w="0" w:type="dxa"/>
                    <w:right w:w="0" w:type="dxa"/>
                  </w:tcMar>
                  <w:vAlign w:val="center"/>
                </w:tcPr>
                <w:p w14:paraId="4351919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43.0 </w:t>
                  </w:r>
                </w:p>
              </w:tc>
              <w:tc>
                <w:tcPr>
                  <w:tcW w:w="202" w:type="pct"/>
                  <w:tcBorders>
                    <w:tl2br w:val="nil"/>
                    <w:tr2bl w:val="nil"/>
                  </w:tcBorders>
                  <w:noWrap w:val="0"/>
                  <w:tcMar>
                    <w:top w:w="0" w:type="dxa"/>
                    <w:left w:w="0" w:type="dxa"/>
                    <w:bottom w:w="0" w:type="dxa"/>
                    <w:right w:w="0" w:type="dxa"/>
                  </w:tcMar>
                  <w:vAlign w:val="center"/>
                </w:tcPr>
                <w:p w14:paraId="31746A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D351E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0A8D8B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39</w:t>
                  </w:r>
                </w:p>
              </w:tc>
              <w:tc>
                <w:tcPr>
                  <w:tcW w:w="178" w:type="pct"/>
                  <w:vMerge w:val="continue"/>
                  <w:tcBorders>
                    <w:tl2br w:val="nil"/>
                    <w:tr2bl w:val="nil"/>
                  </w:tcBorders>
                  <w:noWrap w:val="0"/>
                  <w:tcMar>
                    <w:top w:w="0" w:type="dxa"/>
                    <w:left w:w="0" w:type="dxa"/>
                    <w:bottom w:w="0" w:type="dxa"/>
                    <w:right w:w="0" w:type="dxa"/>
                  </w:tcMar>
                  <w:vAlign w:val="center"/>
                </w:tcPr>
                <w:p w14:paraId="5FC0F7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5C5368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对辊机（2台，按点声源组计算）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7FA4F4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08E238C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2CD5A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CEC1CF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73.1</w:t>
                  </w:r>
                </w:p>
              </w:tc>
              <w:tc>
                <w:tcPr>
                  <w:tcW w:w="219" w:type="pct"/>
                  <w:tcBorders>
                    <w:tl2br w:val="nil"/>
                    <w:tr2bl w:val="nil"/>
                  </w:tcBorders>
                  <w:shd w:val="clear" w:color="auto" w:fill="auto"/>
                  <w:noWrap w:val="0"/>
                  <w:tcMar>
                    <w:top w:w="0" w:type="dxa"/>
                    <w:left w:w="0" w:type="dxa"/>
                    <w:bottom w:w="0" w:type="dxa"/>
                    <w:right w:w="0" w:type="dxa"/>
                  </w:tcMar>
                  <w:vAlign w:val="center"/>
                </w:tcPr>
                <w:p w14:paraId="201458E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72.6</w:t>
                  </w:r>
                </w:p>
              </w:tc>
              <w:tc>
                <w:tcPr>
                  <w:tcW w:w="176" w:type="pct"/>
                  <w:tcBorders>
                    <w:tl2br w:val="nil"/>
                    <w:tr2bl w:val="nil"/>
                  </w:tcBorders>
                  <w:noWrap w:val="0"/>
                  <w:tcMar>
                    <w:top w:w="0" w:type="dxa"/>
                    <w:left w:w="0" w:type="dxa"/>
                    <w:bottom w:w="0" w:type="dxa"/>
                    <w:right w:w="0" w:type="dxa"/>
                  </w:tcMar>
                  <w:vAlign w:val="center"/>
                </w:tcPr>
                <w:p w14:paraId="652E8A0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68BCEE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13.2</w:t>
                  </w:r>
                </w:p>
              </w:tc>
              <w:tc>
                <w:tcPr>
                  <w:tcW w:w="187" w:type="pct"/>
                  <w:tcBorders>
                    <w:tl2br w:val="nil"/>
                    <w:tr2bl w:val="nil"/>
                  </w:tcBorders>
                  <w:noWrap w:val="0"/>
                  <w:tcMar>
                    <w:top w:w="0" w:type="dxa"/>
                    <w:left w:w="0" w:type="dxa"/>
                    <w:bottom w:w="0" w:type="dxa"/>
                    <w:right w:w="0" w:type="dxa"/>
                  </w:tcMar>
                  <w:vAlign w:val="center"/>
                </w:tcPr>
                <w:p w14:paraId="60E34F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15.6</w:t>
                  </w:r>
                </w:p>
              </w:tc>
              <w:tc>
                <w:tcPr>
                  <w:tcW w:w="205" w:type="pct"/>
                  <w:tcBorders>
                    <w:tl2br w:val="nil"/>
                    <w:tr2bl w:val="nil"/>
                  </w:tcBorders>
                  <w:noWrap w:val="0"/>
                  <w:tcMar>
                    <w:top w:w="0" w:type="dxa"/>
                    <w:left w:w="0" w:type="dxa"/>
                    <w:bottom w:w="0" w:type="dxa"/>
                    <w:right w:w="0" w:type="dxa"/>
                  </w:tcMar>
                  <w:vAlign w:val="center"/>
                </w:tcPr>
                <w:p w14:paraId="2D1F07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19.5</w:t>
                  </w:r>
                </w:p>
              </w:tc>
              <w:tc>
                <w:tcPr>
                  <w:tcW w:w="213" w:type="pct"/>
                  <w:tcBorders>
                    <w:tl2br w:val="nil"/>
                    <w:tr2bl w:val="nil"/>
                  </w:tcBorders>
                  <w:noWrap w:val="0"/>
                  <w:tcMar>
                    <w:top w:w="0" w:type="dxa"/>
                    <w:left w:w="0" w:type="dxa"/>
                    <w:bottom w:w="0" w:type="dxa"/>
                    <w:right w:w="0" w:type="dxa"/>
                  </w:tcMar>
                  <w:vAlign w:val="center"/>
                </w:tcPr>
                <w:p w14:paraId="689604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11.2</w:t>
                  </w:r>
                </w:p>
              </w:tc>
              <w:tc>
                <w:tcPr>
                  <w:tcW w:w="192" w:type="pct"/>
                  <w:tcBorders>
                    <w:tl2br w:val="nil"/>
                    <w:tr2bl w:val="nil"/>
                  </w:tcBorders>
                  <w:noWrap w:val="0"/>
                  <w:tcMar>
                    <w:top w:w="0" w:type="dxa"/>
                    <w:left w:w="0" w:type="dxa"/>
                    <w:bottom w:w="0" w:type="dxa"/>
                    <w:right w:w="0" w:type="dxa"/>
                  </w:tcMar>
                  <w:vAlign w:val="center"/>
                </w:tcPr>
                <w:p w14:paraId="3DAD0E7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67.6 </w:t>
                  </w:r>
                </w:p>
              </w:tc>
              <w:tc>
                <w:tcPr>
                  <w:tcW w:w="192" w:type="pct"/>
                  <w:tcBorders>
                    <w:tl2br w:val="nil"/>
                    <w:tr2bl w:val="nil"/>
                  </w:tcBorders>
                  <w:noWrap w:val="0"/>
                  <w:tcMar>
                    <w:top w:w="0" w:type="dxa"/>
                    <w:left w:w="0" w:type="dxa"/>
                    <w:bottom w:w="0" w:type="dxa"/>
                    <w:right w:w="0" w:type="dxa"/>
                  </w:tcMar>
                  <w:vAlign w:val="center"/>
                </w:tcPr>
                <w:p w14:paraId="1962A8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66.1 </w:t>
                  </w:r>
                </w:p>
              </w:tc>
              <w:tc>
                <w:tcPr>
                  <w:tcW w:w="205" w:type="pct"/>
                  <w:tcBorders>
                    <w:tl2br w:val="nil"/>
                    <w:tr2bl w:val="nil"/>
                  </w:tcBorders>
                  <w:noWrap w:val="0"/>
                  <w:tcMar>
                    <w:top w:w="0" w:type="dxa"/>
                    <w:left w:w="0" w:type="dxa"/>
                    <w:bottom w:w="0" w:type="dxa"/>
                    <w:right w:w="0" w:type="dxa"/>
                  </w:tcMar>
                  <w:vAlign w:val="center"/>
                </w:tcPr>
                <w:p w14:paraId="204362C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64.2 </w:t>
                  </w:r>
                </w:p>
              </w:tc>
              <w:tc>
                <w:tcPr>
                  <w:tcW w:w="208" w:type="pct"/>
                  <w:tcBorders>
                    <w:tl2br w:val="nil"/>
                    <w:tr2bl w:val="nil"/>
                  </w:tcBorders>
                  <w:noWrap w:val="0"/>
                  <w:tcMar>
                    <w:top w:w="0" w:type="dxa"/>
                    <w:left w:w="0" w:type="dxa"/>
                    <w:bottom w:w="0" w:type="dxa"/>
                    <w:right w:w="0" w:type="dxa"/>
                  </w:tcMar>
                  <w:vAlign w:val="center"/>
                </w:tcPr>
                <w:p w14:paraId="44EF50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69.0 </w:t>
                  </w:r>
                </w:p>
              </w:tc>
              <w:tc>
                <w:tcPr>
                  <w:tcW w:w="228" w:type="pct"/>
                  <w:vMerge w:val="continue"/>
                  <w:tcBorders>
                    <w:tl2br w:val="nil"/>
                    <w:tr2bl w:val="nil"/>
                  </w:tcBorders>
                  <w:noWrap w:val="0"/>
                  <w:tcMar>
                    <w:top w:w="0" w:type="dxa"/>
                    <w:left w:w="0" w:type="dxa"/>
                    <w:bottom w:w="0" w:type="dxa"/>
                    <w:right w:w="0" w:type="dxa"/>
                  </w:tcMar>
                  <w:vAlign w:val="center"/>
                </w:tcPr>
                <w:p w14:paraId="571B8F7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6942FF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1AEAF6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42.6 </w:t>
                  </w:r>
                </w:p>
              </w:tc>
              <w:tc>
                <w:tcPr>
                  <w:tcW w:w="201" w:type="pct"/>
                  <w:tcBorders>
                    <w:tl2br w:val="nil"/>
                    <w:tr2bl w:val="nil"/>
                  </w:tcBorders>
                  <w:noWrap w:val="0"/>
                  <w:tcMar>
                    <w:top w:w="0" w:type="dxa"/>
                    <w:left w:w="0" w:type="dxa"/>
                    <w:bottom w:w="0" w:type="dxa"/>
                    <w:right w:w="0" w:type="dxa"/>
                  </w:tcMar>
                  <w:vAlign w:val="center"/>
                </w:tcPr>
                <w:p w14:paraId="5C869FF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41.1 </w:t>
                  </w:r>
                </w:p>
              </w:tc>
              <w:tc>
                <w:tcPr>
                  <w:tcW w:w="193" w:type="pct"/>
                  <w:tcBorders>
                    <w:tl2br w:val="nil"/>
                    <w:tr2bl w:val="nil"/>
                  </w:tcBorders>
                  <w:noWrap w:val="0"/>
                  <w:tcMar>
                    <w:top w:w="0" w:type="dxa"/>
                    <w:left w:w="0" w:type="dxa"/>
                    <w:bottom w:w="0" w:type="dxa"/>
                    <w:right w:w="0" w:type="dxa"/>
                  </w:tcMar>
                  <w:vAlign w:val="center"/>
                </w:tcPr>
                <w:p w14:paraId="1A9353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39.2 </w:t>
                  </w:r>
                </w:p>
              </w:tc>
              <w:tc>
                <w:tcPr>
                  <w:tcW w:w="195" w:type="pct"/>
                  <w:tcBorders>
                    <w:tl2br w:val="nil"/>
                    <w:tr2bl w:val="nil"/>
                  </w:tcBorders>
                  <w:noWrap w:val="0"/>
                  <w:tcMar>
                    <w:top w:w="0" w:type="dxa"/>
                    <w:left w:w="0" w:type="dxa"/>
                    <w:bottom w:w="0" w:type="dxa"/>
                    <w:right w:w="0" w:type="dxa"/>
                  </w:tcMar>
                  <w:vAlign w:val="center"/>
                </w:tcPr>
                <w:p w14:paraId="77A5D07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44.0 </w:t>
                  </w:r>
                </w:p>
              </w:tc>
              <w:tc>
                <w:tcPr>
                  <w:tcW w:w="202" w:type="pct"/>
                  <w:tcBorders>
                    <w:tl2br w:val="nil"/>
                    <w:tr2bl w:val="nil"/>
                  </w:tcBorders>
                  <w:noWrap w:val="0"/>
                  <w:tcMar>
                    <w:top w:w="0" w:type="dxa"/>
                    <w:left w:w="0" w:type="dxa"/>
                    <w:bottom w:w="0" w:type="dxa"/>
                    <w:right w:w="0" w:type="dxa"/>
                  </w:tcMar>
                  <w:vAlign w:val="center"/>
                </w:tcPr>
                <w:p w14:paraId="4A92A0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2C419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70E39D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40</w:t>
                  </w:r>
                </w:p>
              </w:tc>
              <w:tc>
                <w:tcPr>
                  <w:tcW w:w="178" w:type="pct"/>
                  <w:vMerge w:val="continue"/>
                  <w:tcBorders>
                    <w:tl2br w:val="nil"/>
                    <w:tr2bl w:val="nil"/>
                  </w:tcBorders>
                  <w:noWrap w:val="0"/>
                  <w:tcMar>
                    <w:top w:w="0" w:type="dxa"/>
                    <w:left w:w="0" w:type="dxa"/>
                    <w:bottom w:w="0" w:type="dxa"/>
                    <w:right w:w="0" w:type="dxa"/>
                  </w:tcMar>
                  <w:vAlign w:val="center"/>
                </w:tcPr>
                <w:p w14:paraId="4452AB5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293AC99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带筛球磨机</w:t>
                  </w:r>
                </w:p>
              </w:tc>
              <w:tc>
                <w:tcPr>
                  <w:tcW w:w="166" w:type="pct"/>
                  <w:tcBorders>
                    <w:tl2br w:val="nil"/>
                    <w:tr2bl w:val="nil"/>
                  </w:tcBorders>
                  <w:shd w:val="clear" w:color="auto" w:fill="auto"/>
                  <w:noWrap w:val="0"/>
                  <w:tcMar>
                    <w:top w:w="0" w:type="dxa"/>
                    <w:left w:w="0" w:type="dxa"/>
                    <w:bottom w:w="0" w:type="dxa"/>
                    <w:right w:w="0" w:type="dxa"/>
                  </w:tcMar>
                  <w:vAlign w:val="center"/>
                </w:tcPr>
                <w:p w14:paraId="743DAEF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3B0379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p>
              </w:tc>
              <w:tc>
                <w:tcPr>
                  <w:tcW w:w="219" w:type="pct"/>
                  <w:vMerge w:val="continue"/>
                  <w:tcBorders>
                    <w:tl2br w:val="nil"/>
                    <w:tr2bl w:val="nil"/>
                  </w:tcBorders>
                  <w:noWrap w:val="0"/>
                  <w:tcMar>
                    <w:top w:w="0" w:type="dxa"/>
                    <w:left w:w="0" w:type="dxa"/>
                    <w:bottom w:w="0" w:type="dxa"/>
                    <w:right w:w="0" w:type="dxa"/>
                  </w:tcMar>
                  <w:vAlign w:val="center"/>
                </w:tcPr>
                <w:p w14:paraId="2C49EA8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0E3B35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72.8</w:t>
                  </w:r>
                </w:p>
              </w:tc>
              <w:tc>
                <w:tcPr>
                  <w:tcW w:w="219" w:type="pct"/>
                  <w:tcBorders>
                    <w:tl2br w:val="nil"/>
                    <w:tr2bl w:val="nil"/>
                  </w:tcBorders>
                  <w:shd w:val="clear" w:color="auto" w:fill="auto"/>
                  <w:noWrap w:val="0"/>
                  <w:tcMar>
                    <w:top w:w="0" w:type="dxa"/>
                    <w:left w:w="0" w:type="dxa"/>
                    <w:bottom w:w="0" w:type="dxa"/>
                    <w:right w:w="0" w:type="dxa"/>
                  </w:tcMar>
                  <w:vAlign w:val="center"/>
                </w:tcPr>
                <w:p w14:paraId="1AB4BA1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73.5</w:t>
                  </w:r>
                </w:p>
              </w:tc>
              <w:tc>
                <w:tcPr>
                  <w:tcW w:w="176" w:type="pct"/>
                  <w:tcBorders>
                    <w:tl2br w:val="nil"/>
                    <w:tr2bl w:val="nil"/>
                  </w:tcBorders>
                  <w:noWrap w:val="0"/>
                  <w:tcMar>
                    <w:top w:w="0" w:type="dxa"/>
                    <w:left w:w="0" w:type="dxa"/>
                    <w:bottom w:w="0" w:type="dxa"/>
                    <w:right w:w="0" w:type="dxa"/>
                  </w:tcMar>
                  <w:vAlign w:val="center"/>
                </w:tcPr>
                <w:p w14:paraId="4721D7E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7D1039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15.2</w:t>
                  </w:r>
                </w:p>
              </w:tc>
              <w:tc>
                <w:tcPr>
                  <w:tcW w:w="187" w:type="pct"/>
                  <w:tcBorders>
                    <w:tl2br w:val="nil"/>
                    <w:tr2bl w:val="nil"/>
                  </w:tcBorders>
                  <w:noWrap w:val="0"/>
                  <w:tcMar>
                    <w:top w:w="0" w:type="dxa"/>
                    <w:left w:w="0" w:type="dxa"/>
                    <w:bottom w:w="0" w:type="dxa"/>
                    <w:right w:w="0" w:type="dxa"/>
                  </w:tcMar>
                  <w:vAlign w:val="center"/>
                </w:tcPr>
                <w:p w14:paraId="6BE1B2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12.3</w:t>
                  </w:r>
                </w:p>
              </w:tc>
              <w:tc>
                <w:tcPr>
                  <w:tcW w:w="205" w:type="pct"/>
                  <w:tcBorders>
                    <w:tl2br w:val="nil"/>
                    <w:tr2bl w:val="nil"/>
                  </w:tcBorders>
                  <w:noWrap w:val="0"/>
                  <w:tcMar>
                    <w:top w:w="0" w:type="dxa"/>
                    <w:left w:w="0" w:type="dxa"/>
                    <w:bottom w:w="0" w:type="dxa"/>
                    <w:right w:w="0" w:type="dxa"/>
                  </w:tcMar>
                  <w:vAlign w:val="center"/>
                </w:tcPr>
                <w:p w14:paraId="601244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18.9</w:t>
                  </w:r>
                </w:p>
              </w:tc>
              <w:tc>
                <w:tcPr>
                  <w:tcW w:w="213" w:type="pct"/>
                  <w:tcBorders>
                    <w:tl2br w:val="nil"/>
                    <w:tr2bl w:val="nil"/>
                  </w:tcBorders>
                  <w:noWrap w:val="0"/>
                  <w:tcMar>
                    <w:top w:w="0" w:type="dxa"/>
                    <w:left w:w="0" w:type="dxa"/>
                    <w:bottom w:w="0" w:type="dxa"/>
                    <w:right w:w="0" w:type="dxa"/>
                  </w:tcMar>
                  <w:vAlign w:val="center"/>
                </w:tcPr>
                <w:p w14:paraId="5E27E6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12.5</w:t>
                  </w:r>
                </w:p>
              </w:tc>
              <w:tc>
                <w:tcPr>
                  <w:tcW w:w="192" w:type="pct"/>
                  <w:tcBorders>
                    <w:tl2br w:val="nil"/>
                    <w:tr2bl w:val="nil"/>
                  </w:tcBorders>
                  <w:noWrap w:val="0"/>
                  <w:tcMar>
                    <w:top w:w="0" w:type="dxa"/>
                    <w:left w:w="0" w:type="dxa"/>
                    <w:bottom w:w="0" w:type="dxa"/>
                    <w:right w:w="0" w:type="dxa"/>
                  </w:tcMar>
                  <w:vAlign w:val="center"/>
                </w:tcPr>
                <w:p w14:paraId="4ED62C6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66.4 </w:t>
                  </w:r>
                </w:p>
              </w:tc>
              <w:tc>
                <w:tcPr>
                  <w:tcW w:w="192" w:type="pct"/>
                  <w:tcBorders>
                    <w:tl2br w:val="nil"/>
                    <w:tr2bl w:val="nil"/>
                  </w:tcBorders>
                  <w:noWrap w:val="0"/>
                  <w:tcMar>
                    <w:top w:w="0" w:type="dxa"/>
                    <w:left w:w="0" w:type="dxa"/>
                    <w:bottom w:w="0" w:type="dxa"/>
                    <w:right w:w="0" w:type="dxa"/>
                  </w:tcMar>
                  <w:vAlign w:val="center"/>
                </w:tcPr>
                <w:p w14:paraId="59042E0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68.2 </w:t>
                  </w:r>
                </w:p>
              </w:tc>
              <w:tc>
                <w:tcPr>
                  <w:tcW w:w="205" w:type="pct"/>
                  <w:tcBorders>
                    <w:tl2br w:val="nil"/>
                    <w:tr2bl w:val="nil"/>
                  </w:tcBorders>
                  <w:noWrap w:val="0"/>
                  <w:tcMar>
                    <w:top w:w="0" w:type="dxa"/>
                    <w:left w:w="0" w:type="dxa"/>
                    <w:bottom w:w="0" w:type="dxa"/>
                    <w:right w:w="0" w:type="dxa"/>
                  </w:tcMar>
                  <w:vAlign w:val="center"/>
                </w:tcPr>
                <w:p w14:paraId="25EE3CA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64.5 </w:t>
                  </w:r>
                </w:p>
              </w:tc>
              <w:tc>
                <w:tcPr>
                  <w:tcW w:w="208" w:type="pct"/>
                  <w:tcBorders>
                    <w:tl2br w:val="nil"/>
                    <w:tr2bl w:val="nil"/>
                  </w:tcBorders>
                  <w:noWrap w:val="0"/>
                  <w:tcMar>
                    <w:top w:w="0" w:type="dxa"/>
                    <w:left w:w="0" w:type="dxa"/>
                    <w:bottom w:w="0" w:type="dxa"/>
                    <w:right w:w="0" w:type="dxa"/>
                  </w:tcMar>
                  <w:vAlign w:val="center"/>
                </w:tcPr>
                <w:p w14:paraId="03A110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68.1 </w:t>
                  </w:r>
                </w:p>
              </w:tc>
              <w:tc>
                <w:tcPr>
                  <w:tcW w:w="228" w:type="pct"/>
                  <w:vMerge w:val="continue"/>
                  <w:tcBorders>
                    <w:tl2br w:val="nil"/>
                    <w:tr2bl w:val="nil"/>
                  </w:tcBorders>
                  <w:noWrap w:val="0"/>
                  <w:tcMar>
                    <w:top w:w="0" w:type="dxa"/>
                    <w:left w:w="0" w:type="dxa"/>
                    <w:bottom w:w="0" w:type="dxa"/>
                    <w:right w:w="0" w:type="dxa"/>
                  </w:tcMar>
                  <w:vAlign w:val="center"/>
                </w:tcPr>
                <w:p w14:paraId="4FF59A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B5BB8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EE35C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41.4 </w:t>
                  </w:r>
                </w:p>
              </w:tc>
              <w:tc>
                <w:tcPr>
                  <w:tcW w:w="201" w:type="pct"/>
                  <w:tcBorders>
                    <w:tl2br w:val="nil"/>
                    <w:tr2bl w:val="nil"/>
                  </w:tcBorders>
                  <w:noWrap w:val="0"/>
                  <w:tcMar>
                    <w:top w:w="0" w:type="dxa"/>
                    <w:left w:w="0" w:type="dxa"/>
                    <w:bottom w:w="0" w:type="dxa"/>
                    <w:right w:w="0" w:type="dxa"/>
                  </w:tcMar>
                  <w:vAlign w:val="center"/>
                </w:tcPr>
                <w:p w14:paraId="0DBBBDD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43.2 </w:t>
                  </w:r>
                </w:p>
              </w:tc>
              <w:tc>
                <w:tcPr>
                  <w:tcW w:w="193" w:type="pct"/>
                  <w:tcBorders>
                    <w:tl2br w:val="nil"/>
                    <w:tr2bl w:val="nil"/>
                  </w:tcBorders>
                  <w:noWrap w:val="0"/>
                  <w:tcMar>
                    <w:top w:w="0" w:type="dxa"/>
                    <w:left w:w="0" w:type="dxa"/>
                    <w:bottom w:w="0" w:type="dxa"/>
                    <w:right w:w="0" w:type="dxa"/>
                  </w:tcMar>
                  <w:vAlign w:val="center"/>
                </w:tcPr>
                <w:p w14:paraId="760ECB8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39.5 </w:t>
                  </w:r>
                </w:p>
              </w:tc>
              <w:tc>
                <w:tcPr>
                  <w:tcW w:w="195" w:type="pct"/>
                  <w:tcBorders>
                    <w:tl2br w:val="nil"/>
                    <w:tr2bl w:val="nil"/>
                  </w:tcBorders>
                  <w:noWrap w:val="0"/>
                  <w:tcMar>
                    <w:top w:w="0" w:type="dxa"/>
                    <w:left w:w="0" w:type="dxa"/>
                    <w:bottom w:w="0" w:type="dxa"/>
                    <w:right w:w="0" w:type="dxa"/>
                  </w:tcMar>
                  <w:vAlign w:val="center"/>
                </w:tcPr>
                <w:p w14:paraId="642459F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43.1 </w:t>
                  </w:r>
                </w:p>
              </w:tc>
              <w:tc>
                <w:tcPr>
                  <w:tcW w:w="202" w:type="pct"/>
                  <w:tcBorders>
                    <w:tl2br w:val="nil"/>
                    <w:tr2bl w:val="nil"/>
                  </w:tcBorders>
                  <w:noWrap w:val="0"/>
                  <w:tcMar>
                    <w:top w:w="0" w:type="dxa"/>
                    <w:left w:w="0" w:type="dxa"/>
                    <w:bottom w:w="0" w:type="dxa"/>
                    <w:right w:w="0" w:type="dxa"/>
                  </w:tcMar>
                  <w:vAlign w:val="center"/>
                </w:tcPr>
                <w:p w14:paraId="54D7997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5EA3C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0DEF960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41</w:t>
                  </w:r>
                </w:p>
              </w:tc>
              <w:tc>
                <w:tcPr>
                  <w:tcW w:w="178" w:type="pct"/>
                  <w:vMerge w:val="continue"/>
                  <w:tcBorders>
                    <w:tl2br w:val="nil"/>
                    <w:tr2bl w:val="nil"/>
                  </w:tcBorders>
                  <w:noWrap w:val="0"/>
                  <w:tcMar>
                    <w:top w:w="0" w:type="dxa"/>
                    <w:left w:w="0" w:type="dxa"/>
                    <w:bottom w:w="0" w:type="dxa"/>
                    <w:right w:w="0" w:type="dxa"/>
                  </w:tcMar>
                  <w:vAlign w:val="center"/>
                </w:tcPr>
                <w:p w14:paraId="32DAB3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273B88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磁选机（4台，按点声源组计算）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592AFA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16599FA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96.0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602FB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AEB48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74.6</w:t>
                  </w:r>
                </w:p>
              </w:tc>
              <w:tc>
                <w:tcPr>
                  <w:tcW w:w="219" w:type="pct"/>
                  <w:tcBorders>
                    <w:tl2br w:val="nil"/>
                    <w:tr2bl w:val="nil"/>
                  </w:tcBorders>
                  <w:shd w:val="clear" w:color="auto" w:fill="auto"/>
                  <w:noWrap w:val="0"/>
                  <w:tcMar>
                    <w:top w:w="0" w:type="dxa"/>
                    <w:left w:w="0" w:type="dxa"/>
                    <w:bottom w:w="0" w:type="dxa"/>
                    <w:right w:w="0" w:type="dxa"/>
                  </w:tcMar>
                  <w:vAlign w:val="center"/>
                </w:tcPr>
                <w:p w14:paraId="5256AC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71.1</w:t>
                  </w:r>
                </w:p>
              </w:tc>
              <w:tc>
                <w:tcPr>
                  <w:tcW w:w="176" w:type="pct"/>
                  <w:tcBorders>
                    <w:tl2br w:val="nil"/>
                    <w:tr2bl w:val="nil"/>
                  </w:tcBorders>
                  <w:noWrap w:val="0"/>
                  <w:tcMar>
                    <w:top w:w="0" w:type="dxa"/>
                    <w:left w:w="0" w:type="dxa"/>
                    <w:bottom w:w="0" w:type="dxa"/>
                    <w:right w:w="0" w:type="dxa"/>
                  </w:tcMar>
                  <w:vAlign w:val="center"/>
                </w:tcPr>
                <w:p w14:paraId="6B77E97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6022F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14.1</w:t>
                  </w:r>
                </w:p>
              </w:tc>
              <w:tc>
                <w:tcPr>
                  <w:tcW w:w="187" w:type="pct"/>
                  <w:tcBorders>
                    <w:tl2br w:val="nil"/>
                    <w:tr2bl w:val="nil"/>
                  </w:tcBorders>
                  <w:noWrap w:val="0"/>
                  <w:tcMar>
                    <w:top w:w="0" w:type="dxa"/>
                    <w:left w:w="0" w:type="dxa"/>
                    <w:bottom w:w="0" w:type="dxa"/>
                    <w:right w:w="0" w:type="dxa"/>
                  </w:tcMar>
                  <w:vAlign w:val="center"/>
                </w:tcPr>
                <w:p w14:paraId="702FAD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15.3</w:t>
                  </w:r>
                </w:p>
              </w:tc>
              <w:tc>
                <w:tcPr>
                  <w:tcW w:w="205" w:type="pct"/>
                  <w:tcBorders>
                    <w:tl2br w:val="nil"/>
                    <w:tr2bl w:val="nil"/>
                  </w:tcBorders>
                  <w:noWrap w:val="0"/>
                  <w:tcMar>
                    <w:top w:w="0" w:type="dxa"/>
                    <w:left w:w="0" w:type="dxa"/>
                    <w:bottom w:w="0" w:type="dxa"/>
                    <w:right w:w="0" w:type="dxa"/>
                  </w:tcMar>
                  <w:vAlign w:val="center"/>
                </w:tcPr>
                <w:p w14:paraId="67087A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15.4</w:t>
                  </w:r>
                </w:p>
              </w:tc>
              <w:tc>
                <w:tcPr>
                  <w:tcW w:w="213" w:type="pct"/>
                  <w:tcBorders>
                    <w:tl2br w:val="nil"/>
                    <w:tr2bl w:val="nil"/>
                  </w:tcBorders>
                  <w:noWrap w:val="0"/>
                  <w:tcMar>
                    <w:top w:w="0" w:type="dxa"/>
                    <w:left w:w="0" w:type="dxa"/>
                    <w:bottom w:w="0" w:type="dxa"/>
                    <w:right w:w="0" w:type="dxa"/>
                  </w:tcMar>
                  <w:vAlign w:val="center"/>
                </w:tcPr>
                <w:p w14:paraId="19DEDE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13.8</w:t>
                  </w:r>
                </w:p>
              </w:tc>
              <w:tc>
                <w:tcPr>
                  <w:tcW w:w="192" w:type="pct"/>
                  <w:tcBorders>
                    <w:tl2br w:val="nil"/>
                    <w:tr2bl w:val="nil"/>
                  </w:tcBorders>
                  <w:noWrap w:val="0"/>
                  <w:tcMar>
                    <w:top w:w="0" w:type="dxa"/>
                    <w:left w:w="0" w:type="dxa"/>
                    <w:bottom w:w="0" w:type="dxa"/>
                    <w:right w:w="0" w:type="dxa"/>
                  </w:tcMar>
                  <w:vAlign w:val="center"/>
                </w:tcPr>
                <w:p w14:paraId="419B28D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67.0 </w:t>
                  </w:r>
                </w:p>
              </w:tc>
              <w:tc>
                <w:tcPr>
                  <w:tcW w:w="192" w:type="pct"/>
                  <w:tcBorders>
                    <w:tl2br w:val="nil"/>
                    <w:tr2bl w:val="nil"/>
                  </w:tcBorders>
                  <w:noWrap w:val="0"/>
                  <w:tcMar>
                    <w:top w:w="0" w:type="dxa"/>
                    <w:left w:w="0" w:type="dxa"/>
                    <w:bottom w:w="0" w:type="dxa"/>
                    <w:right w:w="0" w:type="dxa"/>
                  </w:tcMar>
                  <w:vAlign w:val="center"/>
                </w:tcPr>
                <w:p w14:paraId="0386783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66.3 </w:t>
                  </w:r>
                </w:p>
              </w:tc>
              <w:tc>
                <w:tcPr>
                  <w:tcW w:w="205" w:type="pct"/>
                  <w:tcBorders>
                    <w:tl2br w:val="nil"/>
                    <w:tr2bl w:val="nil"/>
                  </w:tcBorders>
                  <w:noWrap w:val="0"/>
                  <w:tcMar>
                    <w:top w:w="0" w:type="dxa"/>
                    <w:left w:w="0" w:type="dxa"/>
                    <w:bottom w:w="0" w:type="dxa"/>
                    <w:right w:w="0" w:type="dxa"/>
                  </w:tcMar>
                  <w:vAlign w:val="center"/>
                </w:tcPr>
                <w:p w14:paraId="7BB434D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08" w:type="pct"/>
                  <w:tcBorders>
                    <w:tl2br w:val="nil"/>
                    <w:tr2bl w:val="nil"/>
                  </w:tcBorders>
                  <w:noWrap w:val="0"/>
                  <w:tcMar>
                    <w:top w:w="0" w:type="dxa"/>
                    <w:left w:w="0" w:type="dxa"/>
                    <w:bottom w:w="0" w:type="dxa"/>
                    <w:right w:w="0" w:type="dxa"/>
                  </w:tcMar>
                  <w:vAlign w:val="center"/>
                </w:tcPr>
                <w:p w14:paraId="5E12091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67.2 </w:t>
                  </w:r>
                </w:p>
              </w:tc>
              <w:tc>
                <w:tcPr>
                  <w:tcW w:w="228" w:type="pct"/>
                  <w:vMerge w:val="continue"/>
                  <w:tcBorders>
                    <w:tl2br w:val="nil"/>
                    <w:tr2bl w:val="nil"/>
                  </w:tcBorders>
                  <w:noWrap w:val="0"/>
                  <w:tcMar>
                    <w:top w:w="0" w:type="dxa"/>
                    <w:left w:w="0" w:type="dxa"/>
                    <w:bottom w:w="0" w:type="dxa"/>
                    <w:right w:w="0" w:type="dxa"/>
                  </w:tcMar>
                  <w:vAlign w:val="center"/>
                </w:tcPr>
                <w:p w14:paraId="11E7295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C6DA9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97590A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42.0 </w:t>
                  </w:r>
                </w:p>
              </w:tc>
              <w:tc>
                <w:tcPr>
                  <w:tcW w:w="201" w:type="pct"/>
                  <w:tcBorders>
                    <w:tl2br w:val="nil"/>
                    <w:tr2bl w:val="nil"/>
                  </w:tcBorders>
                  <w:noWrap w:val="0"/>
                  <w:tcMar>
                    <w:top w:w="0" w:type="dxa"/>
                    <w:left w:w="0" w:type="dxa"/>
                    <w:bottom w:w="0" w:type="dxa"/>
                    <w:right w:w="0" w:type="dxa"/>
                  </w:tcMar>
                  <w:vAlign w:val="center"/>
                </w:tcPr>
                <w:p w14:paraId="46263D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41.3 </w:t>
                  </w:r>
                </w:p>
              </w:tc>
              <w:tc>
                <w:tcPr>
                  <w:tcW w:w="193" w:type="pct"/>
                  <w:tcBorders>
                    <w:tl2br w:val="nil"/>
                    <w:tr2bl w:val="nil"/>
                  </w:tcBorders>
                  <w:noWrap w:val="0"/>
                  <w:tcMar>
                    <w:top w:w="0" w:type="dxa"/>
                    <w:left w:w="0" w:type="dxa"/>
                    <w:bottom w:w="0" w:type="dxa"/>
                    <w:right w:w="0" w:type="dxa"/>
                  </w:tcMar>
                  <w:vAlign w:val="center"/>
                </w:tcPr>
                <w:p w14:paraId="1E612F1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195" w:type="pct"/>
                  <w:tcBorders>
                    <w:tl2br w:val="nil"/>
                    <w:tr2bl w:val="nil"/>
                  </w:tcBorders>
                  <w:noWrap w:val="0"/>
                  <w:tcMar>
                    <w:top w:w="0" w:type="dxa"/>
                    <w:left w:w="0" w:type="dxa"/>
                    <w:bottom w:w="0" w:type="dxa"/>
                    <w:right w:w="0" w:type="dxa"/>
                  </w:tcMar>
                  <w:vAlign w:val="center"/>
                </w:tcPr>
                <w:p w14:paraId="638F1C3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42.2 </w:t>
                  </w:r>
                </w:p>
              </w:tc>
              <w:tc>
                <w:tcPr>
                  <w:tcW w:w="202" w:type="pct"/>
                  <w:tcBorders>
                    <w:tl2br w:val="nil"/>
                    <w:tr2bl w:val="nil"/>
                  </w:tcBorders>
                  <w:noWrap w:val="0"/>
                  <w:tcMar>
                    <w:top w:w="0" w:type="dxa"/>
                    <w:left w:w="0" w:type="dxa"/>
                    <w:bottom w:w="0" w:type="dxa"/>
                    <w:right w:w="0" w:type="dxa"/>
                  </w:tcMar>
                  <w:vAlign w:val="center"/>
                </w:tcPr>
                <w:p w14:paraId="588C53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BC5EF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2E4A2E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42</w:t>
                  </w:r>
                </w:p>
              </w:tc>
              <w:tc>
                <w:tcPr>
                  <w:tcW w:w="178" w:type="pct"/>
                  <w:vMerge w:val="continue"/>
                  <w:tcBorders>
                    <w:tl2br w:val="nil"/>
                    <w:tr2bl w:val="nil"/>
                  </w:tcBorders>
                  <w:noWrap w:val="0"/>
                  <w:tcMar>
                    <w:top w:w="0" w:type="dxa"/>
                    <w:left w:w="0" w:type="dxa"/>
                    <w:bottom w:w="0" w:type="dxa"/>
                    <w:right w:w="0" w:type="dxa"/>
                  </w:tcMar>
                  <w:vAlign w:val="center"/>
                </w:tcPr>
                <w:p w14:paraId="24656A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249513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提升机（6台，按点声源组计算）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6B98B4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6</w:t>
                  </w:r>
                </w:p>
              </w:tc>
              <w:tc>
                <w:tcPr>
                  <w:tcW w:w="344" w:type="pct"/>
                  <w:tcBorders>
                    <w:tl2br w:val="nil"/>
                    <w:tr2bl w:val="nil"/>
                  </w:tcBorders>
                  <w:noWrap w:val="0"/>
                  <w:tcMar>
                    <w:top w:w="0" w:type="dxa"/>
                    <w:left w:w="0" w:type="dxa"/>
                    <w:bottom w:w="0" w:type="dxa"/>
                    <w:right w:w="0" w:type="dxa"/>
                  </w:tcMar>
                  <w:vAlign w:val="center"/>
                </w:tcPr>
                <w:p w14:paraId="6CCE0E4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80（</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6E73BC6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8290B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73.5</w:t>
                  </w:r>
                </w:p>
              </w:tc>
              <w:tc>
                <w:tcPr>
                  <w:tcW w:w="219" w:type="pct"/>
                  <w:tcBorders>
                    <w:tl2br w:val="nil"/>
                    <w:tr2bl w:val="nil"/>
                  </w:tcBorders>
                  <w:noWrap w:val="0"/>
                  <w:tcMar>
                    <w:top w:w="0" w:type="dxa"/>
                    <w:left w:w="0" w:type="dxa"/>
                    <w:bottom w:w="0" w:type="dxa"/>
                    <w:right w:w="0" w:type="dxa"/>
                  </w:tcMar>
                  <w:vAlign w:val="center"/>
                </w:tcPr>
                <w:p w14:paraId="7F3018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73.5</w:t>
                  </w:r>
                </w:p>
              </w:tc>
              <w:tc>
                <w:tcPr>
                  <w:tcW w:w="176" w:type="pct"/>
                  <w:tcBorders>
                    <w:tl2br w:val="nil"/>
                    <w:tr2bl w:val="nil"/>
                  </w:tcBorders>
                  <w:noWrap w:val="0"/>
                  <w:tcMar>
                    <w:top w:w="0" w:type="dxa"/>
                    <w:left w:w="0" w:type="dxa"/>
                    <w:bottom w:w="0" w:type="dxa"/>
                    <w:right w:w="0" w:type="dxa"/>
                  </w:tcMar>
                  <w:vAlign w:val="center"/>
                </w:tcPr>
                <w:p w14:paraId="59E97A7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53E077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15.4</w:t>
                  </w:r>
                </w:p>
              </w:tc>
              <w:tc>
                <w:tcPr>
                  <w:tcW w:w="187" w:type="pct"/>
                  <w:tcBorders>
                    <w:tl2br w:val="nil"/>
                    <w:tr2bl w:val="nil"/>
                  </w:tcBorders>
                  <w:noWrap w:val="0"/>
                  <w:tcMar>
                    <w:top w:w="0" w:type="dxa"/>
                    <w:left w:w="0" w:type="dxa"/>
                    <w:bottom w:w="0" w:type="dxa"/>
                    <w:right w:w="0" w:type="dxa"/>
                  </w:tcMar>
                  <w:vAlign w:val="center"/>
                </w:tcPr>
                <w:p w14:paraId="3587EF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13.9</w:t>
                  </w:r>
                </w:p>
              </w:tc>
              <w:tc>
                <w:tcPr>
                  <w:tcW w:w="205" w:type="pct"/>
                  <w:tcBorders>
                    <w:tl2br w:val="nil"/>
                    <w:tr2bl w:val="nil"/>
                  </w:tcBorders>
                  <w:noWrap w:val="0"/>
                  <w:tcMar>
                    <w:top w:w="0" w:type="dxa"/>
                    <w:left w:w="0" w:type="dxa"/>
                    <w:bottom w:w="0" w:type="dxa"/>
                    <w:right w:w="0" w:type="dxa"/>
                  </w:tcMar>
                  <w:vAlign w:val="center"/>
                </w:tcPr>
                <w:p w14:paraId="23105B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14.2</w:t>
                  </w:r>
                </w:p>
              </w:tc>
              <w:tc>
                <w:tcPr>
                  <w:tcW w:w="213" w:type="pct"/>
                  <w:tcBorders>
                    <w:tl2br w:val="nil"/>
                    <w:tr2bl w:val="nil"/>
                  </w:tcBorders>
                  <w:noWrap w:val="0"/>
                  <w:tcMar>
                    <w:top w:w="0" w:type="dxa"/>
                    <w:left w:w="0" w:type="dxa"/>
                    <w:bottom w:w="0" w:type="dxa"/>
                    <w:right w:w="0" w:type="dxa"/>
                  </w:tcMar>
                  <w:vAlign w:val="center"/>
                </w:tcPr>
                <w:p w14:paraId="54FB63E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13.5</w:t>
                  </w:r>
                </w:p>
              </w:tc>
              <w:tc>
                <w:tcPr>
                  <w:tcW w:w="192" w:type="pct"/>
                  <w:tcBorders>
                    <w:tl2br w:val="nil"/>
                    <w:tr2bl w:val="nil"/>
                  </w:tcBorders>
                  <w:noWrap w:val="0"/>
                  <w:tcMar>
                    <w:top w:w="0" w:type="dxa"/>
                    <w:left w:w="0" w:type="dxa"/>
                    <w:bottom w:w="0" w:type="dxa"/>
                    <w:right w:w="0" w:type="dxa"/>
                  </w:tcMar>
                  <w:vAlign w:val="center"/>
                </w:tcPr>
                <w:p w14:paraId="47189C1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56.2 </w:t>
                  </w:r>
                </w:p>
              </w:tc>
              <w:tc>
                <w:tcPr>
                  <w:tcW w:w="192" w:type="pct"/>
                  <w:tcBorders>
                    <w:tl2br w:val="nil"/>
                    <w:tr2bl w:val="nil"/>
                  </w:tcBorders>
                  <w:noWrap w:val="0"/>
                  <w:tcMar>
                    <w:top w:w="0" w:type="dxa"/>
                    <w:left w:w="0" w:type="dxa"/>
                    <w:bottom w:w="0" w:type="dxa"/>
                    <w:right w:w="0" w:type="dxa"/>
                  </w:tcMar>
                  <w:vAlign w:val="center"/>
                </w:tcPr>
                <w:p w14:paraId="267D6E5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57.1 </w:t>
                  </w:r>
                </w:p>
              </w:tc>
              <w:tc>
                <w:tcPr>
                  <w:tcW w:w="205" w:type="pct"/>
                  <w:tcBorders>
                    <w:tl2br w:val="nil"/>
                    <w:tr2bl w:val="nil"/>
                  </w:tcBorders>
                  <w:noWrap w:val="0"/>
                  <w:tcMar>
                    <w:top w:w="0" w:type="dxa"/>
                    <w:left w:w="0" w:type="dxa"/>
                    <w:bottom w:w="0" w:type="dxa"/>
                    <w:right w:w="0" w:type="dxa"/>
                  </w:tcMar>
                  <w:vAlign w:val="center"/>
                </w:tcPr>
                <w:p w14:paraId="5FC90A7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57.0 </w:t>
                  </w:r>
                </w:p>
              </w:tc>
              <w:tc>
                <w:tcPr>
                  <w:tcW w:w="208" w:type="pct"/>
                  <w:tcBorders>
                    <w:tl2br w:val="nil"/>
                    <w:tr2bl w:val="nil"/>
                  </w:tcBorders>
                  <w:noWrap w:val="0"/>
                  <w:tcMar>
                    <w:top w:w="0" w:type="dxa"/>
                    <w:left w:w="0" w:type="dxa"/>
                    <w:bottom w:w="0" w:type="dxa"/>
                    <w:right w:w="0" w:type="dxa"/>
                  </w:tcMar>
                  <w:vAlign w:val="center"/>
                </w:tcPr>
                <w:p w14:paraId="5050AEC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57.4 </w:t>
                  </w:r>
                </w:p>
              </w:tc>
              <w:tc>
                <w:tcPr>
                  <w:tcW w:w="228" w:type="pct"/>
                  <w:vMerge w:val="continue"/>
                  <w:tcBorders>
                    <w:tl2br w:val="nil"/>
                    <w:tr2bl w:val="nil"/>
                  </w:tcBorders>
                  <w:noWrap w:val="0"/>
                  <w:tcMar>
                    <w:top w:w="0" w:type="dxa"/>
                    <w:left w:w="0" w:type="dxa"/>
                    <w:bottom w:w="0" w:type="dxa"/>
                    <w:right w:w="0" w:type="dxa"/>
                  </w:tcMar>
                  <w:vAlign w:val="center"/>
                </w:tcPr>
                <w:p w14:paraId="5ACD71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560FE5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19B36B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31.2 </w:t>
                  </w:r>
                </w:p>
              </w:tc>
              <w:tc>
                <w:tcPr>
                  <w:tcW w:w="201" w:type="pct"/>
                  <w:tcBorders>
                    <w:tl2br w:val="nil"/>
                    <w:tr2bl w:val="nil"/>
                  </w:tcBorders>
                  <w:noWrap w:val="0"/>
                  <w:tcMar>
                    <w:top w:w="0" w:type="dxa"/>
                    <w:left w:w="0" w:type="dxa"/>
                    <w:bottom w:w="0" w:type="dxa"/>
                    <w:right w:w="0" w:type="dxa"/>
                  </w:tcMar>
                  <w:vAlign w:val="center"/>
                </w:tcPr>
                <w:p w14:paraId="2C907E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32.1 </w:t>
                  </w:r>
                </w:p>
              </w:tc>
              <w:tc>
                <w:tcPr>
                  <w:tcW w:w="193" w:type="pct"/>
                  <w:tcBorders>
                    <w:tl2br w:val="nil"/>
                    <w:tr2bl w:val="nil"/>
                  </w:tcBorders>
                  <w:noWrap w:val="0"/>
                  <w:tcMar>
                    <w:top w:w="0" w:type="dxa"/>
                    <w:left w:w="0" w:type="dxa"/>
                    <w:bottom w:w="0" w:type="dxa"/>
                    <w:right w:w="0" w:type="dxa"/>
                  </w:tcMar>
                  <w:vAlign w:val="center"/>
                </w:tcPr>
                <w:p w14:paraId="35176C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32.0 </w:t>
                  </w:r>
                </w:p>
              </w:tc>
              <w:tc>
                <w:tcPr>
                  <w:tcW w:w="195" w:type="pct"/>
                  <w:tcBorders>
                    <w:tl2br w:val="nil"/>
                    <w:tr2bl w:val="nil"/>
                  </w:tcBorders>
                  <w:noWrap w:val="0"/>
                  <w:tcMar>
                    <w:top w:w="0" w:type="dxa"/>
                    <w:left w:w="0" w:type="dxa"/>
                    <w:bottom w:w="0" w:type="dxa"/>
                    <w:right w:w="0" w:type="dxa"/>
                  </w:tcMar>
                  <w:vAlign w:val="center"/>
                </w:tcPr>
                <w:p w14:paraId="7A1F213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32.4 </w:t>
                  </w:r>
                </w:p>
              </w:tc>
              <w:tc>
                <w:tcPr>
                  <w:tcW w:w="202" w:type="pct"/>
                  <w:tcBorders>
                    <w:tl2br w:val="nil"/>
                    <w:tr2bl w:val="nil"/>
                  </w:tcBorders>
                  <w:noWrap w:val="0"/>
                  <w:tcMar>
                    <w:top w:w="0" w:type="dxa"/>
                    <w:left w:w="0" w:type="dxa"/>
                    <w:bottom w:w="0" w:type="dxa"/>
                    <w:right w:w="0" w:type="dxa"/>
                  </w:tcMar>
                  <w:vAlign w:val="center"/>
                </w:tcPr>
                <w:p w14:paraId="515563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CA1DC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022F1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43</w:t>
                  </w:r>
                </w:p>
              </w:tc>
              <w:tc>
                <w:tcPr>
                  <w:tcW w:w="178" w:type="pct"/>
                  <w:vMerge w:val="continue"/>
                  <w:tcBorders>
                    <w:tl2br w:val="nil"/>
                    <w:tr2bl w:val="nil"/>
                  </w:tcBorders>
                  <w:noWrap w:val="0"/>
                  <w:tcMar>
                    <w:top w:w="0" w:type="dxa"/>
                    <w:left w:w="0" w:type="dxa"/>
                    <w:bottom w:w="0" w:type="dxa"/>
                    <w:right w:w="0" w:type="dxa"/>
                  </w:tcMar>
                  <w:vAlign w:val="center"/>
                </w:tcPr>
                <w:p w14:paraId="2E06ED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00E2276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球磨机（4台，按点声源组计算）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745BF03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11317E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96.0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E255D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56756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70.6</w:t>
                  </w:r>
                </w:p>
              </w:tc>
              <w:tc>
                <w:tcPr>
                  <w:tcW w:w="219" w:type="pct"/>
                  <w:tcBorders>
                    <w:tl2br w:val="nil"/>
                    <w:tr2bl w:val="nil"/>
                  </w:tcBorders>
                  <w:noWrap w:val="0"/>
                  <w:tcMar>
                    <w:top w:w="0" w:type="dxa"/>
                    <w:left w:w="0" w:type="dxa"/>
                    <w:bottom w:w="0" w:type="dxa"/>
                    <w:right w:w="0" w:type="dxa"/>
                  </w:tcMar>
                  <w:vAlign w:val="center"/>
                </w:tcPr>
                <w:p w14:paraId="5CBC0E5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71.6</w:t>
                  </w:r>
                </w:p>
              </w:tc>
              <w:tc>
                <w:tcPr>
                  <w:tcW w:w="176" w:type="pct"/>
                  <w:tcBorders>
                    <w:tl2br w:val="nil"/>
                    <w:tr2bl w:val="nil"/>
                  </w:tcBorders>
                  <w:noWrap w:val="0"/>
                  <w:tcMar>
                    <w:top w:w="0" w:type="dxa"/>
                    <w:left w:w="0" w:type="dxa"/>
                    <w:bottom w:w="0" w:type="dxa"/>
                    <w:right w:w="0" w:type="dxa"/>
                  </w:tcMar>
                  <w:vAlign w:val="center"/>
                </w:tcPr>
                <w:p w14:paraId="0610333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B02F0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15.6</w:t>
                  </w:r>
                </w:p>
              </w:tc>
              <w:tc>
                <w:tcPr>
                  <w:tcW w:w="187" w:type="pct"/>
                  <w:tcBorders>
                    <w:tl2br w:val="nil"/>
                    <w:tr2bl w:val="nil"/>
                  </w:tcBorders>
                  <w:noWrap w:val="0"/>
                  <w:tcMar>
                    <w:top w:w="0" w:type="dxa"/>
                    <w:left w:w="0" w:type="dxa"/>
                    <w:bottom w:w="0" w:type="dxa"/>
                    <w:right w:w="0" w:type="dxa"/>
                  </w:tcMar>
                  <w:vAlign w:val="center"/>
                </w:tcPr>
                <w:p w14:paraId="36FE28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20.1</w:t>
                  </w:r>
                </w:p>
              </w:tc>
              <w:tc>
                <w:tcPr>
                  <w:tcW w:w="205" w:type="pct"/>
                  <w:tcBorders>
                    <w:tl2br w:val="nil"/>
                    <w:tr2bl w:val="nil"/>
                  </w:tcBorders>
                  <w:noWrap w:val="0"/>
                  <w:tcMar>
                    <w:top w:w="0" w:type="dxa"/>
                    <w:left w:w="0" w:type="dxa"/>
                    <w:bottom w:w="0" w:type="dxa"/>
                    <w:right w:w="0" w:type="dxa"/>
                  </w:tcMar>
                  <w:vAlign w:val="center"/>
                </w:tcPr>
                <w:p w14:paraId="588D7B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15.9</w:t>
                  </w:r>
                </w:p>
              </w:tc>
              <w:tc>
                <w:tcPr>
                  <w:tcW w:w="213" w:type="pct"/>
                  <w:tcBorders>
                    <w:tl2br w:val="nil"/>
                    <w:tr2bl w:val="nil"/>
                  </w:tcBorders>
                  <w:noWrap w:val="0"/>
                  <w:tcMar>
                    <w:top w:w="0" w:type="dxa"/>
                    <w:left w:w="0" w:type="dxa"/>
                    <w:bottom w:w="0" w:type="dxa"/>
                    <w:right w:w="0" w:type="dxa"/>
                  </w:tcMar>
                  <w:vAlign w:val="center"/>
                </w:tcPr>
                <w:p w14:paraId="272F75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14.7</w:t>
                  </w:r>
                </w:p>
              </w:tc>
              <w:tc>
                <w:tcPr>
                  <w:tcW w:w="192" w:type="pct"/>
                  <w:tcBorders>
                    <w:tl2br w:val="nil"/>
                    <w:tr2bl w:val="nil"/>
                  </w:tcBorders>
                  <w:noWrap w:val="0"/>
                  <w:tcMar>
                    <w:top w:w="0" w:type="dxa"/>
                    <w:left w:w="0" w:type="dxa"/>
                    <w:bottom w:w="0" w:type="dxa"/>
                    <w:right w:w="0" w:type="dxa"/>
                  </w:tcMar>
                  <w:vAlign w:val="center"/>
                </w:tcPr>
                <w:p w14:paraId="4463A85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66.1 </w:t>
                  </w:r>
                </w:p>
              </w:tc>
              <w:tc>
                <w:tcPr>
                  <w:tcW w:w="192" w:type="pct"/>
                  <w:tcBorders>
                    <w:tl2br w:val="nil"/>
                    <w:tr2bl w:val="nil"/>
                  </w:tcBorders>
                  <w:noWrap w:val="0"/>
                  <w:tcMar>
                    <w:top w:w="0" w:type="dxa"/>
                    <w:left w:w="0" w:type="dxa"/>
                    <w:bottom w:w="0" w:type="dxa"/>
                    <w:right w:w="0" w:type="dxa"/>
                  </w:tcMar>
                  <w:vAlign w:val="center"/>
                </w:tcPr>
                <w:p w14:paraId="687A8B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63.9 </w:t>
                  </w:r>
                </w:p>
              </w:tc>
              <w:tc>
                <w:tcPr>
                  <w:tcW w:w="205" w:type="pct"/>
                  <w:tcBorders>
                    <w:tl2br w:val="nil"/>
                    <w:tr2bl w:val="nil"/>
                  </w:tcBorders>
                  <w:noWrap w:val="0"/>
                  <w:tcMar>
                    <w:top w:w="0" w:type="dxa"/>
                    <w:left w:w="0" w:type="dxa"/>
                    <w:bottom w:w="0" w:type="dxa"/>
                    <w:right w:w="0" w:type="dxa"/>
                  </w:tcMar>
                  <w:vAlign w:val="center"/>
                </w:tcPr>
                <w:p w14:paraId="343DD14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66.0 </w:t>
                  </w:r>
                </w:p>
              </w:tc>
              <w:tc>
                <w:tcPr>
                  <w:tcW w:w="208" w:type="pct"/>
                  <w:tcBorders>
                    <w:tl2br w:val="nil"/>
                    <w:tr2bl w:val="nil"/>
                  </w:tcBorders>
                  <w:noWrap w:val="0"/>
                  <w:tcMar>
                    <w:top w:w="0" w:type="dxa"/>
                    <w:left w:w="0" w:type="dxa"/>
                    <w:bottom w:w="0" w:type="dxa"/>
                    <w:right w:w="0" w:type="dxa"/>
                  </w:tcMar>
                  <w:vAlign w:val="center"/>
                </w:tcPr>
                <w:p w14:paraId="426D3E6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66.7 </w:t>
                  </w:r>
                </w:p>
              </w:tc>
              <w:tc>
                <w:tcPr>
                  <w:tcW w:w="228" w:type="pct"/>
                  <w:vMerge w:val="continue"/>
                  <w:tcBorders>
                    <w:tl2br w:val="nil"/>
                    <w:tr2bl w:val="nil"/>
                  </w:tcBorders>
                  <w:noWrap w:val="0"/>
                  <w:tcMar>
                    <w:top w:w="0" w:type="dxa"/>
                    <w:left w:w="0" w:type="dxa"/>
                    <w:bottom w:w="0" w:type="dxa"/>
                    <w:right w:w="0" w:type="dxa"/>
                  </w:tcMar>
                  <w:vAlign w:val="center"/>
                </w:tcPr>
                <w:p w14:paraId="4B7E0E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0BF398A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6291272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41.1 </w:t>
                  </w:r>
                </w:p>
              </w:tc>
              <w:tc>
                <w:tcPr>
                  <w:tcW w:w="201" w:type="pct"/>
                  <w:tcBorders>
                    <w:tl2br w:val="nil"/>
                    <w:tr2bl w:val="nil"/>
                  </w:tcBorders>
                  <w:noWrap w:val="0"/>
                  <w:tcMar>
                    <w:top w:w="0" w:type="dxa"/>
                    <w:left w:w="0" w:type="dxa"/>
                    <w:bottom w:w="0" w:type="dxa"/>
                    <w:right w:w="0" w:type="dxa"/>
                  </w:tcMar>
                  <w:vAlign w:val="center"/>
                </w:tcPr>
                <w:p w14:paraId="5D561E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38.9 </w:t>
                  </w:r>
                </w:p>
              </w:tc>
              <w:tc>
                <w:tcPr>
                  <w:tcW w:w="193" w:type="pct"/>
                  <w:tcBorders>
                    <w:tl2br w:val="nil"/>
                    <w:tr2bl w:val="nil"/>
                  </w:tcBorders>
                  <w:noWrap w:val="0"/>
                  <w:tcMar>
                    <w:top w:w="0" w:type="dxa"/>
                    <w:left w:w="0" w:type="dxa"/>
                    <w:bottom w:w="0" w:type="dxa"/>
                    <w:right w:w="0" w:type="dxa"/>
                  </w:tcMar>
                  <w:vAlign w:val="center"/>
                </w:tcPr>
                <w:p w14:paraId="40EE8A8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41.0 </w:t>
                  </w:r>
                </w:p>
              </w:tc>
              <w:tc>
                <w:tcPr>
                  <w:tcW w:w="195" w:type="pct"/>
                  <w:tcBorders>
                    <w:tl2br w:val="nil"/>
                    <w:tr2bl w:val="nil"/>
                  </w:tcBorders>
                  <w:noWrap w:val="0"/>
                  <w:tcMar>
                    <w:top w:w="0" w:type="dxa"/>
                    <w:left w:w="0" w:type="dxa"/>
                    <w:bottom w:w="0" w:type="dxa"/>
                    <w:right w:w="0" w:type="dxa"/>
                  </w:tcMar>
                  <w:vAlign w:val="center"/>
                </w:tcPr>
                <w:p w14:paraId="373908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41.7 </w:t>
                  </w:r>
                </w:p>
              </w:tc>
              <w:tc>
                <w:tcPr>
                  <w:tcW w:w="202" w:type="pct"/>
                  <w:tcBorders>
                    <w:tl2br w:val="nil"/>
                    <w:tr2bl w:val="nil"/>
                  </w:tcBorders>
                  <w:noWrap w:val="0"/>
                  <w:tcMar>
                    <w:top w:w="0" w:type="dxa"/>
                    <w:left w:w="0" w:type="dxa"/>
                    <w:bottom w:w="0" w:type="dxa"/>
                    <w:right w:w="0" w:type="dxa"/>
                  </w:tcMar>
                  <w:vAlign w:val="center"/>
                </w:tcPr>
                <w:p w14:paraId="1E8382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2F613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94F24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44</w:t>
                  </w:r>
                </w:p>
              </w:tc>
              <w:tc>
                <w:tcPr>
                  <w:tcW w:w="178" w:type="pct"/>
                  <w:vMerge w:val="continue"/>
                  <w:tcBorders>
                    <w:tl2br w:val="nil"/>
                    <w:tr2bl w:val="nil"/>
                  </w:tcBorders>
                  <w:noWrap w:val="0"/>
                  <w:tcMar>
                    <w:top w:w="0" w:type="dxa"/>
                    <w:left w:w="0" w:type="dxa"/>
                    <w:bottom w:w="0" w:type="dxa"/>
                    <w:right w:w="0" w:type="dxa"/>
                  </w:tcMar>
                  <w:vAlign w:val="center"/>
                </w:tcPr>
                <w:p w14:paraId="7EF5959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7B81A7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连续式球磨机</w:t>
                  </w:r>
                </w:p>
              </w:tc>
              <w:tc>
                <w:tcPr>
                  <w:tcW w:w="166" w:type="pct"/>
                  <w:tcBorders>
                    <w:tl2br w:val="nil"/>
                    <w:tr2bl w:val="nil"/>
                  </w:tcBorders>
                  <w:noWrap w:val="0"/>
                  <w:tcMar>
                    <w:top w:w="0" w:type="dxa"/>
                    <w:left w:w="0" w:type="dxa"/>
                    <w:bottom w:w="0" w:type="dxa"/>
                    <w:right w:w="0" w:type="dxa"/>
                  </w:tcMar>
                  <w:vAlign w:val="center"/>
                </w:tcPr>
                <w:p w14:paraId="365D98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2F9DAE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p>
              </w:tc>
              <w:tc>
                <w:tcPr>
                  <w:tcW w:w="219" w:type="pct"/>
                  <w:vMerge w:val="continue"/>
                  <w:tcBorders>
                    <w:tl2br w:val="nil"/>
                    <w:tr2bl w:val="nil"/>
                  </w:tcBorders>
                  <w:noWrap w:val="0"/>
                  <w:tcMar>
                    <w:top w:w="0" w:type="dxa"/>
                    <w:left w:w="0" w:type="dxa"/>
                    <w:bottom w:w="0" w:type="dxa"/>
                    <w:right w:w="0" w:type="dxa"/>
                  </w:tcMar>
                  <w:vAlign w:val="center"/>
                </w:tcPr>
                <w:p w14:paraId="19C39A2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380DC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71.4</w:t>
                  </w:r>
                </w:p>
              </w:tc>
              <w:tc>
                <w:tcPr>
                  <w:tcW w:w="219" w:type="pct"/>
                  <w:tcBorders>
                    <w:tl2br w:val="nil"/>
                    <w:tr2bl w:val="nil"/>
                  </w:tcBorders>
                  <w:noWrap w:val="0"/>
                  <w:tcMar>
                    <w:top w:w="0" w:type="dxa"/>
                    <w:left w:w="0" w:type="dxa"/>
                    <w:bottom w:w="0" w:type="dxa"/>
                    <w:right w:w="0" w:type="dxa"/>
                  </w:tcMar>
                  <w:vAlign w:val="center"/>
                </w:tcPr>
                <w:p w14:paraId="4FB0153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71.4</w:t>
                  </w:r>
                </w:p>
              </w:tc>
              <w:tc>
                <w:tcPr>
                  <w:tcW w:w="176" w:type="pct"/>
                  <w:tcBorders>
                    <w:tl2br w:val="nil"/>
                    <w:tr2bl w:val="nil"/>
                  </w:tcBorders>
                  <w:noWrap w:val="0"/>
                  <w:tcMar>
                    <w:top w:w="0" w:type="dxa"/>
                    <w:left w:w="0" w:type="dxa"/>
                    <w:bottom w:w="0" w:type="dxa"/>
                    <w:right w:w="0" w:type="dxa"/>
                  </w:tcMar>
                  <w:vAlign w:val="center"/>
                </w:tcPr>
                <w:p w14:paraId="4790219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09124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16.1</w:t>
                  </w:r>
                </w:p>
              </w:tc>
              <w:tc>
                <w:tcPr>
                  <w:tcW w:w="187" w:type="pct"/>
                  <w:tcBorders>
                    <w:tl2br w:val="nil"/>
                    <w:tr2bl w:val="nil"/>
                  </w:tcBorders>
                  <w:noWrap w:val="0"/>
                  <w:tcMar>
                    <w:top w:w="0" w:type="dxa"/>
                    <w:left w:w="0" w:type="dxa"/>
                    <w:bottom w:w="0" w:type="dxa"/>
                    <w:right w:w="0" w:type="dxa"/>
                  </w:tcMar>
                  <w:vAlign w:val="center"/>
                </w:tcPr>
                <w:p w14:paraId="77BC42E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17.4</w:t>
                  </w:r>
                </w:p>
              </w:tc>
              <w:tc>
                <w:tcPr>
                  <w:tcW w:w="205" w:type="pct"/>
                  <w:tcBorders>
                    <w:tl2br w:val="nil"/>
                    <w:tr2bl w:val="nil"/>
                  </w:tcBorders>
                  <w:noWrap w:val="0"/>
                  <w:tcMar>
                    <w:top w:w="0" w:type="dxa"/>
                    <w:left w:w="0" w:type="dxa"/>
                    <w:bottom w:w="0" w:type="dxa"/>
                    <w:right w:w="0" w:type="dxa"/>
                  </w:tcMar>
                  <w:vAlign w:val="center"/>
                </w:tcPr>
                <w:p w14:paraId="141C160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18.5</w:t>
                  </w:r>
                </w:p>
              </w:tc>
              <w:tc>
                <w:tcPr>
                  <w:tcW w:w="213" w:type="pct"/>
                  <w:tcBorders>
                    <w:tl2br w:val="nil"/>
                    <w:tr2bl w:val="nil"/>
                  </w:tcBorders>
                  <w:noWrap w:val="0"/>
                  <w:tcMar>
                    <w:top w:w="0" w:type="dxa"/>
                    <w:left w:w="0" w:type="dxa"/>
                    <w:bottom w:w="0" w:type="dxa"/>
                    <w:right w:w="0" w:type="dxa"/>
                  </w:tcMar>
                  <w:vAlign w:val="center"/>
                </w:tcPr>
                <w:p w14:paraId="53B0BD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15.4</w:t>
                  </w:r>
                </w:p>
              </w:tc>
              <w:tc>
                <w:tcPr>
                  <w:tcW w:w="192" w:type="pct"/>
                  <w:tcBorders>
                    <w:tl2br w:val="nil"/>
                    <w:tr2bl w:val="nil"/>
                  </w:tcBorders>
                  <w:noWrap w:val="0"/>
                  <w:tcMar>
                    <w:top w:w="0" w:type="dxa"/>
                    <w:left w:w="0" w:type="dxa"/>
                    <w:bottom w:w="0" w:type="dxa"/>
                    <w:right w:w="0" w:type="dxa"/>
                  </w:tcMar>
                  <w:vAlign w:val="center"/>
                </w:tcPr>
                <w:p w14:paraId="6BA861D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65.9 </w:t>
                  </w:r>
                </w:p>
              </w:tc>
              <w:tc>
                <w:tcPr>
                  <w:tcW w:w="192" w:type="pct"/>
                  <w:tcBorders>
                    <w:tl2br w:val="nil"/>
                    <w:tr2bl w:val="nil"/>
                  </w:tcBorders>
                  <w:noWrap w:val="0"/>
                  <w:tcMar>
                    <w:top w:w="0" w:type="dxa"/>
                    <w:left w:w="0" w:type="dxa"/>
                    <w:bottom w:w="0" w:type="dxa"/>
                    <w:right w:w="0" w:type="dxa"/>
                  </w:tcMar>
                  <w:vAlign w:val="center"/>
                </w:tcPr>
                <w:p w14:paraId="10C9D45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65.2 </w:t>
                  </w:r>
                </w:p>
              </w:tc>
              <w:tc>
                <w:tcPr>
                  <w:tcW w:w="205" w:type="pct"/>
                  <w:tcBorders>
                    <w:tl2br w:val="nil"/>
                    <w:tr2bl w:val="nil"/>
                  </w:tcBorders>
                  <w:noWrap w:val="0"/>
                  <w:tcMar>
                    <w:top w:w="0" w:type="dxa"/>
                    <w:left w:w="0" w:type="dxa"/>
                    <w:bottom w:w="0" w:type="dxa"/>
                    <w:right w:w="0" w:type="dxa"/>
                  </w:tcMar>
                  <w:vAlign w:val="center"/>
                </w:tcPr>
                <w:p w14:paraId="326F25F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64.7 </w:t>
                  </w:r>
                </w:p>
              </w:tc>
              <w:tc>
                <w:tcPr>
                  <w:tcW w:w="208" w:type="pct"/>
                  <w:tcBorders>
                    <w:tl2br w:val="nil"/>
                    <w:tr2bl w:val="nil"/>
                  </w:tcBorders>
                  <w:noWrap w:val="0"/>
                  <w:tcMar>
                    <w:top w:w="0" w:type="dxa"/>
                    <w:left w:w="0" w:type="dxa"/>
                    <w:bottom w:w="0" w:type="dxa"/>
                    <w:right w:w="0" w:type="dxa"/>
                  </w:tcMar>
                  <w:vAlign w:val="center"/>
                </w:tcPr>
                <w:p w14:paraId="000DC04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28" w:type="pct"/>
                  <w:vMerge w:val="continue"/>
                  <w:tcBorders>
                    <w:tl2br w:val="nil"/>
                    <w:tr2bl w:val="nil"/>
                  </w:tcBorders>
                  <w:noWrap w:val="0"/>
                  <w:tcMar>
                    <w:top w:w="0" w:type="dxa"/>
                    <w:left w:w="0" w:type="dxa"/>
                    <w:bottom w:w="0" w:type="dxa"/>
                    <w:right w:w="0" w:type="dxa"/>
                  </w:tcMar>
                  <w:vAlign w:val="center"/>
                </w:tcPr>
                <w:p w14:paraId="2E10D08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D482B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BEA5D8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40.9 </w:t>
                  </w:r>
                </w:p>
              </w:tc>
              <w:tc>
                <w:tcPr>
                  <w:tcW w:w="201" w:type="pct"/>
                  <w:tcBorders>
                    <w:tl2br w:val="nil"/>
                    <w:tr2bl w:val="nil"/>
                  </w:tcBorders>
                  <w:noWrap w:val="0"/>
                  <w:tcMar>
                    <w:top w:w="0" w:type="dxa"/>
                    <w:left w:w="0" w:type="dxa"/>
                    <w:bottom w:w="0" w:type="dxa"/>
                    <w:right w:w="0" w:type="dxa"/>
                  </w:tcMar>
                  <w:vAlign w:val="center"/>
                </w:tcPr>
                <w:p w14:paraId="02EB3A1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40.2 </w:t>
                  </w:r>
                </w:p>
              </w:tc>
              <w:tc>
                <w:tcPr>
                  <w:tcW w:w="193" w:type="pct"/>
                  <w:tcBorders>
                    <w:tl2br w:val="nil"/>
                    <w:tr2bl w:val="nil"/>
                  </w:tcBorders>
                  <w:noWrap w:val="0"/>
                  <w:tcMar>
                    <w:top w:w="0" w:type="dxa"/>
                    <w:left w:w="0" w:type="dxa"/>
                    <w:bottom w:w="0" w:type="dxa"/>
                    <w:right w:w="0" w:type="dxa"/>
                  </w:tcMar>
                  <w:vAlign w:val="center"/>
                </w:tcPr>
                <w:p w14:paraId="726C55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39.7 </w:t>
                  </w:r>
                </w:p>
              </w:tc>
              <w:tc>
                <w:tcPr>
                  <w:tcW w:w="195" w:type="pct"/>
                  <w:tcBorders>
                    <w:tl2br w:val="nil"/>
                    <w:tr2bl w:val="nil"/>
                  </w:tcBorders>
                  <w:noWrap w:val="0"/>
                  <w:tcMar>
                    <w:top w:w="0" w:type="dxa"/>
                    <w:left w:w="0" w:type="dxa"/>
                    <w:bottom w:w="0" w:type="dxa"/>
                    <w:right w:w="0" w:type="dxa"/>
                  </w:tcMar>
                  <w:vAlign w:val="center"/>
                </w:tcPr>
                <w:p w14:paraId="638BD0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202" w:type="pct"/>
                  <w:tcBorders>
                    <w:tl2br w:val="nil"/>
                    <w:tr2bl w:val="nil"/>
                  </w:tcBorders>
                  <w:noWrap w:val="0"/>
                  <w:tcMar>
                    <w:top w:w="0" w:type="dxa"/>
                    <w:left w:w="0" w:type="dxa"/>
                    <w:bottom w:w="0" w:type="dxa"/>
                    <w:right w:w="0" w:type="dxa"/>
                  </w:tcMar>
                  <w:vAlign w:val="center"/>
                </w:tcPr>
                <w:p w14:paraId="0DAE20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8D604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41B93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45</w:t>
                  </w:r>
                </w:p>
              </w:tc>
              <w:tc>
                <w:tcPr>
                  <w:tcW w:w="178" w:type="pct"/>
                  <w:vMerge w:val="continue"/>
                  <w:tcBorders>
                    <w:tl2br w:val="nil"/>
                    <w:tr2bl w:val="nil"/>
                  </w:tcBorders>
                  <w:noWrap w:val="0"/>
                  <w:tcMar>
                    <w:top w:w="0" w:type="dxa"/>
                    <w:left w:w="0" w:type="dxa"/>
                    <w:bottom w:w="0" w:type="dxa"/>
                    <w:right w:w="0" w:type="dxa"/>
                  </w:tcMar>
                  <w:vAlign w:val="center"/>
                </w:tcPr>
                <w:p w14:paraId="246D8E3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C29D5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振动筛（8台，按点声源组计算）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7CFF60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8</w:t>
                  </w:r>
                </w:p>
              </w:tc>
              <w:tc>
                <w:tcPr>
                  <w:tcW w:w="344" w:type="pct"/>
                  <w:tcBorders>
                    <w:tl2br w:val="nil"/>
                    <w:tr2bl w:val="nil"/>
                  </w:tcBorders>
                  <w:noWrap w:val="0"/>
                  <w:tcMar>
                    <w:top w:w="0" w:type="dxa"/>
                    <w:left w:w="0" w:type="dxa"/>
                    <w:bottom w:w="0" w:type="dxa"/>
                    <w:right w:w="0" w:type="dxa"/>
                  </w:tcMar>
                  <w:vAlign w:val="center"/>
                </w:tcPr>
                <w:p w14:paraId="32A57E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94.0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0589E34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D1ADFA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72.3</w:t>
                  </w:r>
                </w:p>
              </w:tc>
              <w:tc>
                <w:tcPr>
                  <w:tcW w:w="219" w:type="pct"/>
                  <w:tcBorders>
                    <w:tl2br w:val="nil"/>
                    <w:tr2bl w:val="nil"/>
                  </w:tcBorders>
                  <w:noWrap w:val="0"/>
                  <w:tcMar>
                    <w:top w:w="0" w:type="dxa"/>
                    <w:left w:w="0" w:type="dxa"/>
                    <w:bottom w:w="0" w:type="dxa"/>
                    <w:right w:w="0" w:type="dxa"/>
                  </w:tcMar>
                  <w:vAlign w:val="center"/>
                </w:tcPr>
                <w:p w14:paraId="5AFDCCF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70.9</w:t>
                  </w:r>
                </w:p>
              </w:tc>
              <w:tc>
                <w:tcPr>
                  <w:tcW w:w="176" w:type="pct"/>
                  <w:tcBorders>
                    <w:tl2br w:val="nil"/>
                    <w:tr2bl w:val="nil"/>
                  </w:tcBorders>
                  <w:noWrap w:val="0"/>
                  <w:tcMar>
                    <w:top w:w="0" w:type="dxa"/>
                    <w:left w:w="0" w:type="dxa"/>
                    <w:bottom w:w="0" w:type="dxa"/>
                    <w:right w:w="0" w:type="dxa"/>
                  </w:tcMar>
                  <w:vAlign w:val="center"/>
                </w:tcPr>
                <w:p w14:paraId="0FE5B18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2D04805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15.3</w:t>
                  </w:r>
                </w:p>
              </w:tc>
              <w:tc>
                <w:tcPr>
                  <w:tcW w:w="187" w:type="pct"/>
                  <w:tcBorders>
                    <w:tl2br w:val="nil"/>
                    <w:tr2bl w:val="nil"/>
                  </w:tcBorders>
                  <w:shd w:val="clear" w:color="auto" w:fill="auto"/>
                  <w:noWrap w:val="0"/>
                  <w:tcMar>
                    <w:top w:w="0" w:type="dxa"/>
                    <w:left w:w="0" w:type="dxa"/>
                    <w:bottom w:w="0" w:type="dxa"/>
                    <w:right w:w="0" w:type="dxa"/>
                  </w:tcMar>
                  <w:vAlign w:val="center"/>
                </w:tcPr>
                <w:p w14:paraId="60AD80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15.4</w:t>
                  </w:r>
                </w:p>
              </w:tc>
              <w:tc>
                <w:tcPr>
                  <w:tcW w:w="205" w:type="pct"/>
                  <w:tcBorders>
                    <w:tl2br w:val="nil"/>
                    <w:tr2bl w:val="nil"/>
                  </w:tcBorders>
                  <w:shd w:val="clear" w:color="auto" w:fill="auto"/>
                  <w:noWrap w:val="0"/>
                  <w:tcMar>
                    <w:top w:w="0" w:type="dxa"/>
                    <w:left w:w="0" w:type="dxa"/>
                    <w:bottom w:w="0" w:type="dxa"/>
                    <w:right w:w="0" w:type="dxa"/>
                  </w:tcMar>
                  <w:vAlign w:val="center"/>
                </w:tcPr>
                <w:p w14:paraId="1B1D99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14.1</w:t>
                  </w:r>
                </w:p>
              </w:tc>
              <w:tc>
                <w:tcPr>
                  <w:tcW w:w="213" w:type="pct"/>
                  <w:tcBorders>
                    <w:tl2br w:val="nil"/>
                    <w:tr2bl w:val="nil"/>
                  </w:tcBorders>
                  <w:shd w:val="clear" w:color="auto" w:fill="auto"/>
                  <w:noWrap w:val="0"/>
                  <w:tcMar>
                    <w:top w:w="0" w:type="dxa"/>
                    <w:left w:w="0" w:type="dxa"/>
                    <w:bottom w:w="0" w:type="dxa"/>
                    <w:right w:w="0" w:type="dxa"/>
                  </w:tcMar>
                  <w:vAlign w:val="center"/>
                </w:tcPr>
                <w:p w14:paraId="571D37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11.2</w:t>
                  </w:r>
                </w:p>
              </w:tc>
              <w:tc>
                <w:tcPr>
                  <w:tcW w:w="192" w:type="pct"/>
                  <w:tcBorders>
                    <w:tl2br w:val="nil"/>
                    <w:tr2bl w:val="nil"/>
                  </w:tcBorders>
                  <w:noWrap w:val="0"/>
                  <w:tcMar>
                    <w:top w:w="0" w:type="dxa"/>
                    <w:left w:w="0" w:type="dxa"/>
                    <w:bottom w:w="0" w:type="dxa"/>
                    <w:right w:w="0" w:type="dxa"/>
                  </w:tcMar>
                  <w:vAlign w:val="center"/>
                </w:tcPr>
                <w:p w14:paraId="78DC8AC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61.3 </w:t>
                  </w:r>
                </w:p>
              </w:tc>
              <w:tc>
                <w:tcPr>
                  <w:tcW w:w="192" w:type="pct"/>
                  <w:tcBorders>
                    <w:tl2br w:val="nil"/>
                    <w:tr2bl w:val="nil"/>
                  </w:tcBorders>
                  <w:noWrap w:val="0"/>
                  <w:tcMar>
                    <w:top w:w="0" w:type="dxa"/>
                    <w:left w:w="0" w:type="dxa"/>
                    <w:bottom w:w="0" w:type="dxa"/>
                    <w:right w:w="0" w:type="dxa"/>
                  </w:tcMar>
                  <w:vAlign w:val="center"/>
                </w:tcPr>
                <w:p w14:paraId="2205BDA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61.2 </w:t>
                  </w:r>
                </w:p>
              </w:tc>
              <w:tc>
                <w:tcPr>
                  <w:tcW w:w="205" w:type="pct"/>
                  <w:tcBorders>
                    <w:tl2br w:val="nil"/>
                    <w:tr2bl w:val="nil"/>
                  </w:tcBorders>
                  <w:noWrap w:val="0"/>
                  <w:tcMar>
                    <w:top w:w="0" w:type="dxa"/>
                    <w:left w:w="0" w:type="dxa"/>
                    <w:bottom w:w="0" w:type="dxa"/>
                    <w:right w:w="0" w:type="dxa"/>
                  </w:tcMar>
                  <w:vAlign w:val="center"/>
                </w:tcPr>
                <w:p w14:paraId="44B2607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62.0 </w:t>
                  </w:r>
                </w:p>
              </w:tc>
              <w:tc>
                <w:tcPr>
                  <w:tcW w:w="208" w:type="pct"/>
                  <w:tcBorders>
                    <w:tl2br w:val="nil"/>
                    <w:tr2bl w:val="nil"/>
                  </w:tcBorders>
                  <w:noWrap w:val="0"/>
                  <w:tcMar>
                    <w:top w:w="0" w:type="dxa"/>
                    <w:left w:w="0" w:type="dxa"/>
                    <w:bottom w:w="0" w:type="dxa"/>
                    <w:right w:w="0" w:type="dxa"/>
                  </w:tcMar>
                  <w:vAlign w:val="center"/>
                </w:tcPr>
                <w:p w14:paraId="60DCCDB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64.0 </w:t>
                  </w:r>
                </w:p>
              </w:tc>
              <w:tc>
                <w:tcPr>
                  <w:tcW w:w="228" w:type="pct"/>
                  <w:vMerge w:val="continue"/>
                  <w:tcBorders>
                    <w:tl2br w:val="nil"/>
                    <w:tr2bl w:val="nil"/>
                  </w:tcBorders>
                  <w:noWrap w:val="0"/>
                  <w:tcMar>
                    <w:top w:w="0" w:type="dxa"/>
                    <w:left w:w="0" w:type="dxa"/>
                    <w:bottom w:w="0" w:type="dxa"/>
                    <w:right w:w="0" w:type="dxa"/>
                  </w:tcMar>
                  <w:vAlign w:val="center"/>
                </w:tcPr>
                <w:p w14:paraId="6F08821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6BE97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25E6D4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36.3 </w:t>
                  </w:r>
                </w:p>
              </w:tc>
              <w:tc>
                <w:tcPr>
                  <w:tcW w:w="201" w:type="pct"/>
                  <w:tcBorders>
                    <w:tl2br w:val="nil"/>
                    <w:tr2bl w:val="nil"/>
                  </w:tcBorders>
                  <w:noWrap w:val="0"/>
                  <w:tcMar>
                    <w:top w:w="0" w:type="dxa"/>
                    <w:left w:w="0" w:type="dxa"/>
                    <w:bottom w:w="0" w:type="dxa"/>
                    <w:right w:w="0" w:type="dxa"/>
                  </w:tcMar>
                  <w:vAlign w:val="center"/>
                </w:tcPr>
                <w:p w14:paraId="6E0644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36.2 </w:t>
                  </w:r>
                </w:p>
              </w:tc>
              <w:tc>
                <w:tcPr>
                  <w:tcW w:w="193" w:type="pct"/>
                  <w:tcBorders>
                    <w:tl2br w:val="nil"/>
                    <w:tr2bl w:val="nil"/>
                  </w:tcBorders>
                  <w:noWrap w:val="0"/>
                  <w:tcMar>
                    <w:top w:w="0" w:type="dxa"/>
                    <w:left w:w="0" w:type="dxa"/>
                    <w:bottom w:w="0" w:type="dxa"/>
                    <w:right w:w="0" w:type="dxa"/>
                  </w:tcMar>
                  <w:vAlign w:val="center"/>
                </w:tcPr>
                <w:p w14:paraId="20BBF59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37.0 </w:t>
                  </w:r>
                </w:p>
              </w:tc>
              <w:tc>
                <w:tcPr>
                  <w:tcW w:w="195" w:type="pct"/>
                  <w:tcBorders>
                    <w:tl2br w:val="nil"/>
                    <w:tr2bl w:val="nil"/>
                  </w:tcBorders>
                  <w:noWrap w:val="0"/>
                  <w:tcMar>
                    <w:top w:w="0" w:type="dxa"/>
                    <w:left w:w="0" w:type="dxa"/>
                    <w:bottom w:w="0" w:type="dxa"/>
                    <w:right w:w="0" w:type="dxa"/>
                  </w:tcMar>
                  <w:vAlign w:val="center"/>
                </w:tcPr>
                <w:p w14:paraId="49649A2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39.0 </w:t>
                  </w:r>
                </w:p>
              </w:tc>
              <w:tc>
                <w:tcPr>
                  <w:tcW w:w="202" w:type="pct"/>
                  <w:tcBorders>
                    <w:tl2br w:val="nil"/>
                    <w:tr2bl w:val="nil"/>
                  </w:tcBorders>
                  <w:noWrap w:val="0"/>
                  <w:tcMar>
                    <w:top w:w="0" w:type="dxa"/>
                    <w:left w:w="0" w:type="dxa"/>
                    <w:bottom w:w="0" w:type="dxa"/>
                    <w:right w:w="0" w:type="dxa"/>
                  </w:tcMar>
                  <w:vAlign w:val="center"/>
                </w:tcPr>
                <w:p w14:paraId="71BC84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B4C88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7D29CD6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46</w:t>
                  </w:r>
                </w:p>
              </w:tc>
              <w:tc>
                <w:tcPr>
                  <w:tcW w:w="178" w:type="pct"/>
                  <w:vMerge w:val="continue"/>
                  <w:tcBorders>
                    <w:tl2br w:val="nil"/>
                    <w:tr2bl w:val="nil"/>
                  </w:tcBorders>
                  <w:noWrap w:val="0"/>
                  <w:tcMar>
                    <w:top w:w="0" w:type="dxa"/>
                    <w:left w:w="0" w:type="dxa"/>
                    <w:bottom w:w="0" w:type="dxa"/>
                    <w:right w:w="0" w:type="dxa"/>
                  </w:tcMar>
                  <w:vAlign w:val="center"/>
                </w:tcPr>
                <w:p w14:paraId="2945C60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4B2D1D9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振动给料机（6台，按点声源组计算）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BB7A52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6</w:t>
                  </w:r>
                </w:p>
              </w:tc>
              <w:tc>
                <w:tcPr>
                  <w:tcW w:w="344" w:type="pct"/>
                  <w:tcBorders>
                    <w:tl2br w:val="nil"/>
                    <w:tr2bl w:val="nil"/>
                  </w:tcBorders>
                  <w:noWrap w:val="0"/>
                  <w:tcMar>
                    <w:top w:w="0" w:type="dxa"/>
                    <w:left w:w="0" w:type="dxa"/>
                    <w:bottom w:w="0" w:type="dxa"/>
                    <w:right w:w="0" w:type="dxa"/>
                  </w:tcMar>
                  <w:vAlign w:val="center"/>
                </w:tcPr>
                <w:p w14:paraId="165E14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0F87F5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BDE77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73.3</w:t>
                  </w:r>
                </w:p>
              </w:tc>
              <w:tc>
                <w:tcPr>
                  <w:tcW w:w="219" w:type="pct"/>
                  <w:tcBorders>
                    <w:tl2br w:val="nil"/>
                    <w:tr2bl w:val="nil"/>
                  </w:tcBorders>
                  <w:noWrap w:val="0"/>
                  <w:tcMar>
                    <w:top w:w="0" w:type="dxa"/>
                    <w:left w:w="0" w:type="dxa"/>
                    <w:bottom w:w="0" w:type="dxa"/>
                    <w:right w:w="0" w:type="dxa"/>
                  </w:tcMar>
                  <w:vAlign w:val="center"/>
                </w:tcPr>
                <w:p w14:paraId="26A8824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70.4</w:t>
                  </w:r>
                </w:p>
              </w:tc>
              <w:tc>
                <w:tcPr>
                  <w:tcW w:w="176" w:type="pct"/>
                  <w:tcBorders>
                    <w:tl2br w:val="nil"/>
                    <w:tr2bl w:val="nil"/>
                  </w:tcBorders>
                  <w:noWrap w:val="0"/>
                  <w:tcMar>
                    <w:top w:w="0" w:type="dxa"/>
                    <w:left w:w="0" w:type="dxa"/>
                    <w:bottom w:w="0" w:type="dxa"/>
                    <w:right w:w="0" w:type="dxa"/>
                  </w:tcMar>
                  <w:vAlign w:val="center"/>
                </w:tcPr>
                <w:p w14:paraId="1031A15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49C2AF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13.9</w:t>
                  </w:r>
                </w:p>
              </w:tc>
              <w:tc>
                <w:tcPr>
                  <w:tcW w:w="187" w:type="pct"/>
                  <w:tcBorders>
                    <w:tl2br w:val="nil"/>
                    <w:tr2bl w:val="nil"/>
                  </w:tcBorders>
                  <w:shd w:val="clear" w:color="auto" w:fill="auto"/>
                  <w:noWrap w:val="0"/>
                  <w:tcMar>
                    <w:top w:w="0" w:type="dxa"/>
                    <w:left w:w="0" w:type="dxa"/>
                    <w:bottom w:w="0" w:type="dxa"/>
                    <w:right w:w="0" w:type="dxa"/>
                  </w:tcMar>
                  <w:vAlign w:val="center"/>
                </w:tcPr>
                <w:p w14:paraId="29CF07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14.2</w:t>
                  </w:r>
                </w:p>
              </w:tc>
              <w:tc>
                <w:tcPr>
                  <w:tcW w:w="205" w:type="pct"/>
                  <w:tcBorders>
                    <w:tl2br w:val="nil"/>
                    <w:tr2bl w:val="nil"/>
                  </w:tcBorders>
                  <w:shd w:val="clear" w:color="auto" w:fill="auto"/>
                  <w:noWrap w:val="0"/>
                  <w:tcMar>
                    <w:top w:w="0" w:type="dxa"/>
                    <w:left w:w="0" w:type="dxa"/>
                    <w:bottom w:w="0" w:type="dxa"/>
                    <w:right w:w="0" w:type="dxa"/>
                  </w:tcMar>
                  <w:vAlign w:val="center"/>
                </w:tcPr>
                <w:p w14:paraId="344AC5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15.4</w:t>
                  </w:r>
                </w:p>
              </w:tc>
              <w:tc>
                <w:tcPr>
                  <w:tcW w:w="213" w:type="pct"/>
                  <w:tcBorders>
                    <w:tl2br w:val="nil"/>
                    <w:tr2bl w:val="nil"/>
                  </w:tcBorders>
                  <w:shd w:val="clear" w:color="auto" w:fill="auto"/>
                  <w:noWrap w:val="0"/>
                  <w:tcMar>
                    <w:top w:w="0" w:type="dxa"/>
                    <w:left w:w="0" w:type="dxa"/>
                    <w:bottom w:w="0" w:type="dxa"/>
                    <w:right w:w="0" w:type="dxa"/>
                  </w:tcMar>
                  <w:vAlign w:val="center"/>
                </w:tcPr>
                <w:p w14:paraId="14A074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12.5</w:t>
                  </w:r>
                </w:p>
              </w:tc>
              <w:tc>
                <w:tcPr>
                  <w:tcW w:w="192" w:type="pct"/>
                  <w:tcBorders>
                    <w:tl2br w:val="nil"/>
                    <w:tr2bl w:val="nil"/>
                  </w:tcBorders>
                  <w:noWrap w:val="0"/>
                  <w:tcMar>
                    <w:top w:w="0" w:type="dxa"/>
                    <w:left w:w="0" w:type="dxa"/>
                    <w:bottom w:w="0" w:type="dxa"/>
                    <w:right w:w="0" w:type="dxa"/>
                  </w:tcMar>
                  <w:vAlign w:val="center"/>
                </w:tcPr>
                <w:p w14:paraId="2E65147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67.1 </w:t>
                  </w:r>
                </w:p>
              </w:tc>
              <w:tc>
                <w:tcPr>
                  <w:tcW w:w="192" w:type="pct"/>
                  <w:tcBorders>
                    <w:tl2br w:val="nil"/>
                    <w:tr2bl w:val="nil"/>
                  </w:tcBorders>
                  <w:noWrap w:val="0"/>
                  <w:tcMar>
                    <w:top w:w="0" w:type="dxa"/>
                    <w:left w:w="0" w:type="dxa"/>
                    <w:bottom w:w="0" w:type="dxa"/>
                    <w:right w:w="0" w:type="dxa"/>
                  </w:tcMar>
                  <w:vAlign w:val="center"/>
                </w:tcPr>
                <w:p w14:paraId="74F2431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67.0 </w:t>
                  </w:r>
                </w:p>
              </w:tc>
              <w:tc>
                <w:tcPr>
                  <w:tcW w:w="205" w:type="pct"/>
                  <w:tcBorders>
                    <w:tl2br w:val="nil"/>
                    <w:tr2bl w:val="nil"/>
                  </w:tcBorders>
                  <w:noWrap w:val="0"/>
                  <w:tcMar>
                    <w:top w:w="0" w:type="dxa"/>
                    <w:left w:w="0" w:type="dxa"/>
                    <w:bottom w:w="0" w:type="dxa"/>
                    <w:right w:w="0" w:type="dxa"/>
                  </w:tcMar>
                  <w:vAlign w:val="center"/>
                </w:tcPr>
                <w:p w14:paraId="0FE6A8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66.2 </w:t>
                  </w:r>
                </w:p>
              </w:tc>
              <w:tc>
                <w:tcPr>
                  <w:tcW w:w="208" w:type="pct"/>
                  <w:tcBorders>
                    <w:tl2br w:val="nil"/>
                    <w:tr2bl w:val="nil"/>
                  </w:tcBorders>
                  <w:noWrap w:val="0"/>
                  <w:tcMar>
                    <w:top w:w="0" w:type="dxa"/>
                    <w:left w:w="0" w:type="dxa"/>
                    <w:bottom w:w="0" w:type="dxa"/>
                    <w:right w:w="0" w:type="dxa"/>
                  </w:tcMar>
                  <w:vAlign w:val="center"/>
                </w:tcPr>
                <w:p w14:paraId="495B97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68.1 </w:t>
                  </w:r>
                </w:p>
              </w:tc>
              <w:tc>
                <w:tcPr>
                  <w:tcW w:w="228" w:type="pct"/>
                  <w:vMerge w:val="continue"/>
                  <w:tcBorders>
                    <w:tl2br w:val="nil"/>
                    <w:tr2bl w:val="nil"/>
                  </w:tcBorders>
                  <w:noWrap w:val="0"/>
                  <w:tcMar>
                    <w:top w:w="0" w:type="dxa"/>
                    <w:left w:w="0" w:type="dxa"/>
                    <w:bottom w:w="0" w:type="dxa"/>
                    <w:right w:w="0" w:type="dxa"/>
                  </w:tcMar>
                  <w:vAlign w:val="center"/>
                </w:tcPr>
                <w:p w14:paraId="62FDDC5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AA6B19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90C66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42.1 </w:t>
                  </w:r>
                </w:p>
              </w:tc>
              <w:tc>
                <w:tcPr>
                  <w:tcW w:w="201" w:type="pct"/>
                  <w:tcBorders>
                    <w:tl2br w:val="nil"/>
                    <w:tr2bl w:val="nil"/>
                  </w:tcBorders>
                  <w:noWrap w:val="0"/>
                  <w:tcMar>
                    <w:top w:w="0" w:type="dxa"/>
                    <w:left w:w="0" w:type="dxa"/>
                    <w:bottom w:w="0" w:type="dxa"/>
                    <w:right w:w="0" w:type="dxa"/>
                  </w:tcMar>
                  <w:vAlign w:val="center"/>
                </w:tcPr>
                <w:p w14:paraId="543DC4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42.0 </w:t>
                  </w:r>
                </w:p>
              </w:tc>
              <w:tc>
                <w:tcPr>
                  <w:tcW w:w="193" w:type="pct"/>
                  <w:tcBorders>
                    <w:tl2br w:val="nil"/>
                    <w:tr2bl w:val="nil"/>
                  </w:tcBorders>
                  <w:noWrap w:val="0"/>
                  <w:tcMar>
                    <w:top w:w="0" w:type="dxa"/>
                    <w:left w:w="0" w:type="dxa"/>
                    <w:bottom w:w="0" w:type="dxa"/>
                    <w:right w:w="0" w:type="dxa"/>
                  </w:tcMar>
                  <w:vAlign w:val="center"/>
                </w:tcPr>
                <w:p w14:paraId="562BBE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41.2 </w:t>
                  </w:r>
                </w:p>
              </w:tc>
              <w:tc>
                <w:tcPr>
                  <w:tcW w:w="195" w:type="pct"/>
                  <w:tcBorders>
                    <w:tl2br w:val="nil"/>
                    <w:tr2bl w:val="nil"/>
                  </w:tcBorders>
                  <w:noWrap w:val="0"/>
                  <w:tcMar>
                    <w:top w:w="0" w:type="dxa"/>
                    <w:left w:w="0" w:type="dxa"/>
                    <w:bottom w:w="0" w:type="dxa"/>
                    <w:right w:w="0" w:type="dxa"/>
                  </w:tcMar>
                  <w:vAlign w:val="center"/>
                </w:tcPr>
                <w:p w14:paraId="6FB738E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43.1 </w:t>
                  </w:r>
                </w:p>
              </w:tc>
              <w:tc>
                <w:tcPr>
                  <w:tcW w:w="202" w:type="pct"/>
                  <w:tcBorders>
                    <w:tl2br w:val="nil"/>
                    <w:tr2bl w:val="nil"/>
                  </w:tcBorders>
                  <w:noWrap w:val="0"/>
                  <w:tcMar>
                    <w:top w:w="0" w:type="dxa"/>
                    <w:left w:w="0" w:type="dxa"/>
                    <w:bottom w:w="0" w:type="dxa"/>
                    <w:right w:w="0" w:type="dxa"/>
                  </w:tcMar>
                  <w:vAlign w:val="center"/>
                </w:tcPr>
                <w:p w14:paraId="026BDF4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10DE5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461C14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47</w:t>
                  </w:r>
                </w:p>
              </w:tc>
              <w:tc>
                <w:tcPr>
                  <w:tcW w:w="178" w:type="pct"/>
                  <w:vMerge w:val="continue"/>
                  <w:tcBorders>
                    <w:tl2br w:val="nil"/>
                    <w:tr2bl w:val="nil"/>
                  </w:tcBorders>
                  <w:noWrap w:val="0"/>
                  <w:tcMar>
                    <w:top w:w="0" w:type="dxa"/>
                    <w:left w:w="0" w:type="dxa"/>
                    <w:bottom w:w="0" w:type="dxa"/>
                    <w:right w:w="0" w:type="dxa"/>
                  </w:tcMar>
                  <w:vAlign w:val="center"/>
                </w:tcPr>
                <w:p w14:paraId="488BA8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CCC9E0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料仓（4台，按点声源组计算）</w:t>
                  </w:r>
                </w:p>
              </w:tc>
              <w:tc>
                <w:tcPr>
                  <w:tcW w:w="166" w:type="pct"/>
                  <w:tcBorders>
                    <w:tl2br w:val="nil"/>
                    <w:tr2bl w:val="nil"/>
                  </w:tcBorders>
                  <w:noWrap w:val="0"/>
                  <w:tcMar>
                    <w:top w:w="0" w:type="dxa"/>
                    <w:left w:w="0" w:type="dxa"/>
                    <w:bottom w:w="0" w:type="dxa"/>
                    <w:right w:w="0" w:type="dxa"/>
                  </w:tcMar>
                  <w:vAlign w:val="center"/>
                </w:tcPr>
                <w:p w14:paraId="32DE15F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4</w:t>
                  </w:r>
                </w:p>
              </w:tc>
              <w:tc>
                <w:tcPr>
                  <w:tcW w:w="344" w:type="pct"/>
                  <w:tcBorders>
                    <w:tl2br w:val="nil"/>
                    <w:tr2bl w:val="nil"/>
                  </w:tcBorders>
                  <w:noWrap w:val="0"/>
                  <w:tcMar>
                    <w:top w:w="0" w:type="dxa"/>
                    <w:left w:w="0" w:type="dxa"/>
                    <w:bottom w:w="0" w:type="dxa"/>
                    <w:right w:w="0" w:type="dxa"/>
                  </w:tcMar>
                  <w:vAlign w:val="center"/>
                </w:tcPr>
                <w:p w14:paraId="53CB9EB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81.0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7DB583A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2C8123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72.9</w:t>
                  </w:r>
                </w:p>
              </w:tc>
              <w:tc>
                <w:tcPr>
                  <w:tcW w:w="219" w:type="pct"/>
                  <w:tcBorders>
                    <w:tl2br w:val="nil"/>
                    <w:tr2bl w:val="nil"/>
                  </w:tcBorders>
                  <w:noWrap w:val="0"/>
                  <w:tcMar>
                    <w:top w:w="0" w:type="dxa"/>
                    <w:left w:w="0" w:type="dxa"/>
                    <w:bottom w:w="0" w:type="dxa"/>
                    <w:right w:w="0" w:type="dxa"/>
                  </w:tcMar>
                  <w:vAlign w:val="center"/>
                </w:tcPr>
                <w:p w14:paraId="7176D0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71.1</w:t>
                  </w:r>
                </w:p>
              </w:tc>
              <w:tc>
                <w:tcPr>
                  <w:tcW w:w="176" w:type="pct"/>
                  <w:tcBorders>
                    <w:tl2br w:val="nil"/>
                    <w:tr2bl w:val="nil"/>
                  </w:tcBorders>
                  <w:noWrap w:val="0"/>
                  <w:tcMar>
                    <w:top w:w="0" w:type="dxa"/>
                    <w:left w:w="0" w:type="dxa"/>
                    <w:bottom w:w="0" w:type="dxa"/>
                    <w:right w:w="0" w:type="dxa"/>
                  </w:tcMar>
                  <w:vAlign w:val="center"/>
                </w:tcPr>
                <w:p w14:paraId="2A201F6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010586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14.8</w:t>
                  </w:r>
                </w:p>
              </w:tc>
              <w:tc>
                <w:tcPr>
                  <w:tcW w:w="187" w:type="pct"/>
                  <w:tcBorders>
                    <w:tl2br w:val="nil"/>
                    <w:tr2bl w:val="nil"/>
                  </w:tcBorders>
                  <w:noWrap w:val="0"/>
                  <w:tcMar>
                    <w:top w:w="0" w:type="dxa"/>
                    <w:left w:w="0" w:type="dxa"/>
                    <w:bottom w:w="0" w:type="dxa"/>
                    <w:right w:w="0" w:type="dxa"/>
                  </w:tcMar>
                  <w:vAlign w:val="center"/>
                </w:tcPr>
                <w:p w14:paraId="1EE2542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15.1</w:t>
                  </w:r>
                </w:p>
              </w:tc>
              <w:tc>
                <w:tcPr>
                  <w:tcW w:w="205" w:type="pct"/>
                  <w:tcBorders>
                    <w:tl2br w:val="nil"/>
                    <w:tr2bl w:val="nil"/>
                  </w:tcBorders>
                  <w:noWrap w:val="0"/>
                  <w:tcMar>
                    <w:top w:w="0" w:type="dxa"/>
                    <w:left w:w="0" w:type="dxa"/>
                    <w:bottom w:w="0" w:type="dxa"/>
                    <w:right w:w="0" w:type="dxa"/>
                  </w:tcMar>
                  <w:vAlign w:val="center"/>
                </w:tcPr>
                <w:p w14:paraId="3BA3598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14.9</w:t>
                  </w:r>
                </w:p>
              </w:tc>
              <w:tc>
                <w:tcPr>
                  <w:tcW w:w="213" w:type="pct"/>
                  <w:tcBorders>
                    <w:tl2br w:val="nil"/>
                    <w:tr2bl w:val="nil"/>
                  </w:tcBorders>
                  <w:noWrap w:val="0"/>
                  <w:tcMar>
                    <w:top w:w="0" w:type="dxa"/>
                    <w:left w:w="0" w:type="dxa"/>
                    <w:bottom w:w="0" w:type="dxa"/>
                    <w:right w:w="0" w:type="dxa"/>
                  </w:tcMar>
                  <w:vAlign w:val="center"/>
                </w:tcPr>
                <w:p w14:paraId="4AC274E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16.0</w:t>
                  </w:r>
                </w:p>
              </w:tc>
              <w:tc>
                <w:tcPr>
                  <w:tcW w:w="192" w:type="pct"/>
                  <w:tcBorders>
                    <w:tl2br w:val="nil"/>
                    <w:tr2bl w:val="nil"/>
                  </w:tcBorders>
                  <w:noWrap w:val="0"/>
                  <w:tcMar>
                    <w:top w:w="0" w:type="dxa"/>
                    <w:left w:w="0" w:type="dxa"/>
                    <w:bottom w:w="0" w:type="dxa"/>
                    <w:right w:w="0" w:type="dxa"/>
                  </w:tcMar>
                  <w:vAlign w:val="center"/>
                </w:tcPr>
                <w:p w14:paraId="166C3A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51.6 </w:t>
                  </w:r>
                </w:p>
              </w:tc>
              <w:tc>
                <w:tcPr>
                  <w:tcW w:w="192" w:type="pct"/>
                  <w:tcBorders>
                    <w:tl2br w:val="nil"/>
                    <w:tr2bl w:val="nil"/>
                  </w:tcBorders>
                  <w:noWrap w:val="0"/>
                  <w:tcMar>
                    <w:top w:w="0" w:type="dxa"/>
                    <w:left w:w="0" w:type="dxa"/>
                    <w:bottom w:w="0" w:type="dxa"/>
                    <w:right w:w="0" w:type="dxa"/>
                  </w:tcMar>
                  <w:vAlign w:val="center"/>
                </w:tcPr>
                <w:p w14:paraId="0233909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51.4 </w:t>
                  </w:r>
                </w:p>
              </w:tc>
              <w:tc>
                <w:tcPr>
                  <w:tcW w:w="205" w:type="pct"/>
                  <w:tcBorders>
                    <w:tl2br w:val="nil"/>
                    <w:tr2bl w:val="nil"/>
                  </w:tcBorders>
                  <w:noWrap w:val="0"/>
                  <w:tcMar>
                    <w:top w:w="0" w:type="dxa"/>
                    <w:left w:w="0" w:type="dxa"/>
                    <w:bottom w:w="0" w:type="dxa"/>
                    <w:right w:w="0" w:type="dxa"/>
                  </w:tcMar>
                  <w:vAlign w:val="center"/>
                </w:tcPr>
                <w:p w14:paraId="57E1A15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51.5 </w:t>
                  </w:r>
                </w:p>
              </w:tc>
              <w:tc>
                <w:tcPr>
                  <w:tcW w:w="208" w:type="pct"/>
                  <w:tcBorders>
                    <w:tl2br w:val="nil"/>
                    <w:tr2bl w:val="nil"/>
                  </w:tcBorders>
                  <w:noWrap w:val="0"/>
                  <w:tcMar>
                    <w:top w:w="0" w:type="dxa"/>
                    <w:left w:w="0" w:type="dxa"/>
                    <w:bottom w:w="0" w:type="dxa"/>
                    <w:right w:w="0" w:type="dxa"/>
                  </w:tcMar>
                  <w:vAlign w:val="center"/>
                </w:tcPr>
                <w:p w14:paraId="621A8A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50.9 </w:t>
                  </w:r>
                </w:p>
              </w:tc>
              <w:tc>
                <w:tcPr>
                  <w:tcW w:w="228" w:type="pct"/>
                  <w:vMerge w:val="continue"/>
                  <w:tcBorders>
                    <w:tl2br w:val="nil"/>
                    <w:tr2bl w:val="nil"/>
                  </w:tcBorders>
                  <w:noWrap w:val="0"/>
                  <w:tcMar>
                    <w:top w:w="0" w:type="dxa"/>
                    <w:left w:w="0" w:type="dxa"/>
                    <w:bottom w:w="0" w:type="dxa"/>
                    <w:right w:w="0" w:type="dxa"/>
                  </w:tcMar>
                  <w:vAlign w:val="center"/>
                </w:tcPr>
                <w:p w14:paraId="15EDD14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589CF94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746092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26.6 </w:t>
                  </w:r>
                </w:p>
              </w:tc>
              <w:tc>
                <w:tcPr>
                  <w:tcW w:w="201" w:type="pct"/>
                  <w:tcBorders>
                    <w:tl2br w:val="nil"/>
                    <w:tr2bl w:val="nil"/>
                  </w:tcBorders>
                  <w:noWrap w:val="0"/>
                  <w:tcMar>
                    <w:top w:w="0" w:type="dxa"/>
                    <w:left w:w="0" w:type="dxa"/>
                    <w:bottom w:w="0" w:type="dxa"/>
                    <w:right w:w="0" w:type="dxa"/>
                  </w:tcMar>
                  <w:vAlign w:val="center"/>
                </w:tcPr>
                <w:p w14:paraId="475FAA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26.4 </w:t>
                  </w:r>
                </w:p>
              </w:tc>
              <w:tc>
                <w:tcPr>
                  <w:tcW w:w="193" w:type="pct"/>
                  <w:tcBorders>
                    <w:tl2br w:val="nil"/>
                    <w:tr2bl w:val="nil"/>
                  </w:tcBorders>
                  <w:noWrap w:val="0"/>
                  <w:tcMar>
                    <w:top w:w="0" w:type="dxa"/>
                    <w:left w:w="0" w:type="dxa"/>
                    <w:bottom w:w="0" w:type="dxa"/>
                    <w:right w:w="0" w:type="dxa"/>
                  </w:tcMar>
                  <w:vAlign w:val="center"/>
                </w:tcPr>
                <w:p w14:paraId="773A6E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26.5 </w:t>
                  </w:r>
                </w:p>
              </w:tc>
              <w:tc>
                <w:tcPr>
                  <w:tcW w:w="195" w:type="pct"/>
                  <w:tcBorders>
                    <w:tl2br w:val="nil"/>
                    <w:tr2bl w:val="nil"/>
                  </w:tcBorders>
                  <w:noWrap w:val="0"/>
                  <w:tcMar>
                    <w:top w:w="0" w:type="dxa"/>
                    <w:left w:w="0" w:type="dxa"/>
                    <w:bottom w:w="0" w:type="dxa"/>
                    <w:right w:w="0" w:type="dxa"/>
                  </w:tcMar>
                  <w:vAlign w:val="center"/>
                </w:tcPr>
                <w:p w14:paraId="50FFA14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25.9 </w:t>
                  </w:r>
                </w:p>
              </w:tc>
              <w:tc>
                <w:tcPr>
                  <w:tcW w:w="202" w:type="pct"/>
                  <w:tcBorders>
                    <w:tl2br w:val="nil"/>
                    <w:tr2bl w:val="nil"/>
                  </w:tcBorders>
                  <w:noWrap w:val="0"/>
                  <w:tcMar>
                    <w:top w:w="0" w:type="dxa"/>
                    <w:left w:w="0" w:type="dxa"/>
                    <w:bottom w:w="0" w:type="dxa"/>
                    <w:right w:w="0" w:type="dxa"/>
                  </w:tcMar>
                  <w:vAlign w:val="center"/>
                </w:tcPr>
                <w:p w14:paraId="105504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A8256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3420BD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48</w:t>
                  </w:r>
                </w:p>
              </w:tc>
              <w:tc>
                <w:tcPr>
                  <w:tcW w:w="178" w:type="pct"/>
                  <w:vMerge w:val="continue"/>
                  <w:tcBorders>
                    <w:tl2br w:val="nil"/>
                    <w:tr2bl w:val="nil"/>
                  </w:tcBorders>
                  <w:noWrap w:val="0"/>
                  <w:tcMar>
                    <w:top w:w="0" w:type="dxa"/>
                    <w:left w:w="0" w:type="dxa"/>
                    <w:bottom w:w="0" w:type="dxa"/>
                    <w:right w:w="0" w:type="dxa"/>
                  </w:tcMar>
                  <w:vAlign w:val="center"/>
                </w:tcPr>
                <w:p w14:paraId="48F3AC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584609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精细分级设备（2台，按点声源组计算）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3AC945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p>
              </w:tc>
              <w:tc>
                <w:tcPr>
                  <w:tcW w:w="344" w:type="pct"/>
                  <w:tcBorders>
                    <w:tl2br w:val="nil"/>
                    <w:tr2bl w:val="nil"/>
                  </w:tcBorders>
                  <w:noWrap w:val="0"/>
                  <w:tcMar>
                    <w:top w:w="0" w:type="dxa"/>
                    <w:left w:w="0" w:type="dxa"/>
                    <w:bottom w:w="0" w:type="dxa"/>
                    <w:right w:w="0" w:type="dxa"/>
                  </w:tcMar>
                  <w:vAlign w:val="center"/>
                </w:tcPr>
                <w:p w14:paraId="15D69C3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6F2CB8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46E9DC5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74.7</w:t>
                  </w:r>
                </w:p>
              </w:tc>
              <w:tc>
                <w:tcPr>
                  <w:tcW w:w="219" w:type="pct"/>
                  <w:tcBorders>
                    <w:tl2br w:val="nil"/>
                    <w:tr2bl w:val="nil"/>
                  </w:tcBorders>
                  <w:noWrap w:val="0"/>
                  <w:tcMar>
                    <w:top w:w="0" w:type="dxa"/>
                    <w:left w:w="0" w:type="dxa"/>
                    <w:bottom w:w="0" w:type="dxa"/>
                    <w:right w:w="0" w:type="dxa"/>
                  </w:tcMar>
                  <w:vAlign w:val="center"/>
                </w:tcPr>
                <w:p w14:paraId="2EA2B4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70.2</w:t>
                  </w:r>
                </w:p>
              </w:tc>
              <w:tc>
                <w:tcPr>
                  <w:tcW w:w="176" w:type="pct"/>
                  <w:tcBorders>
                    <w:tl2br w:val="nil"/>
                    <w:tr2bl w:val="nil"/>
                  </w:tcBorders>
                  <w:noWrap w:val="0"/>
                  <w:tcMar>
                    <w:top w:w="0" w:type="dxa"/>
                    <w:left w:w="0" w:type="dxa"/>
                    <w:bottom w:w="0" w:type="dxa"/>
                    <w:right w:w="0" w:type="dxa"/>
                  </w:tcMar>
                  <w:vAlign w:val="center"/>
                </w:tcPr>
                <w:p w14:paraId="7061CC8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24CE7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15.1</w:t>
                  </w:r>
                </w:p>
              </w:tc>
              <w:tc>
                <w:tcPr>
                  <w:tcW w:w="187" w:type="pct"/>
                  <w:tcBorders>
                    <w:tl2br w:val="nil"/>
                    <w:tr2bl w:val="nil"/>
                  </w:tcBorders>
                  <w:noWrap w:val="0"/>
                  <w:tcMar>
                    <w:top w:w="0" w:type="dxa"/>
                    <w:left w:w="0" w:type="dxa"/>
                    <w:bottom w:w="0" w:type="dxa"/>
                    <w:right w:w="0" w:type="dxa"/>
                  </w:tcMar>
                  <w:vAlign w:val="center"/>
                </w:tcPr>
                <w:p w14:paraId="21554D5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14.7</w:t>
                  </w:r>
                </w:p>
              </w:tc>
              <w:tc>
                <w:tcPr>
                  <w:tcW w:w="205" w:type="pct"/>
                  <w:tcBorders>
                    <w:tl2br w:val="nil"/>
                    <w:tr2bl w:val="nil"/>
                  </w:tcBorders>
                  <w:noWrap w:val="0"/>
                  <w:tcMar>
                    <w:top w:w="0" w:type="dxa"/>
                    <w:left w:w="0" w:type="dxa"/>
                    <w:bottom w:w="0" w:type="dxa"/>
                    <w:right w:w="0" w:type="dxa"/>
                  </w:tcMar>
                  <w:vAlign w:val="center"/>
                </w:tcPr>
                <w:p w14:paraId="259F4F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13.2</w:t>
                  </w:r>
                </w:p>
              </w:tc>
              <w:tc>
                <w:tcPr>
                  <w:tcW w:w="213" w:type="pct"/>
                  <w:tcBorders>
                    <w:tl2br w:val="nil"/>
                    <w:tr2bl w:val="nil"/>
                  </w:tcBorders>
                  <w:noWrap w:val="0"/>
                  <w:tcMar>
                    <w:top w:w="0" w:type="dxa"/>
                    <w:left w:w="0" w:type="dxa"/>
                    <w:bottom w:w="0" w:type="dxa"/>
                    <w:right w:w="0" w:type="dxa"/>
                  </w:tcMar>
                  <w:vAlign w:val="center"/>
                </w:tcPr>
                <w:p w14:paraId="0158620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11.5</w:t>
                  </w:r>
                </w:p>
              </w:tc>
              <w:tc>
                <w:tcPr>
                  <w:tcW w:w="192" w:type="pct"/>
                  <w:tcBorders>
                    <w:tl2br w:val="nil"/>
                    <w:tr2bl w:val="nil"/>
                  </w:tcBorders>
                  <w:noWrap w:val="0"/>
                  <w:tcMar>
                    <w:top w:w="0" w:type="dxa"/>
                    <w:left w:w="0" w:type="dxa"/>
                    <w:bottom w:w="0" w:type="dxa"/>
                    <w:right w:w="0" w:type="dxa"/>
                  </w:tcMar>
                  <w:vAlign w:val="center"/>
                </w:tcPr>
                <w:p w14:paraId="7CB1CFF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61.4</w:t>
                  </w:r>
                </w:p>
              </w:tc>
              <w:tc>
                <w:tcPr>
                  <w:tcW w:w="192" w:type="pct"/>
                  <w:tcBorders>
                    <w:tl2br w:val="nil"/>
                    <w:tr2bl w:val="nil"/>
                  </w:tcBorders>
                  <w:noWrap w:val="0"/>
                  <w:tcMar>
                    <w:top w:w="0" w:type="dxa"/>
                    <w:left w:w="0" w:type="dxa"/>
                    <w:bottom w:w="0" w:type="dxa"/>
                    <w:right w:w="0" w:type="dxa"/>
                  </w:tcMar>
                  <w:vAlign w:val="center"/>
                </w:tcPr>
                <w:p w14:paraId="432DF80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61.7</w:t>
                  </w:r>
                </w:p>
              </w:tc>
              <w:tc>
                <w:tcPr>
                  <w:tcW w:w="205" w:type="pct"/>
                  <w:tcBorders>
                    <w:tl2br w:val="nil"/>
                    <w:tr2bl w:val="nil"/>
                  </w:tcBorders>
                  <w:noWrap w:val="0"/>
                  <w:tcMar>
                    <w:top w:w="0" w:type="dxa"/>
                    <w:left w:w="0" w:type="dxa"/>
                    <w:bottom w:w="0" w:type="dxa"/>
                    <w:right w:w="0" w:type="dxa"/>
                  </w:tcMar>
                  <w:vAlign w:val="center"/>
                </w:tcPr>
                <w:p w14:paraId="44CA198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62.5</w:t>
                  </w:r>
                </w:p>
              </w:tc>
              <w:tc>
                <w:tcPr>
                  <w:tcW w:w="208" w:type="pct"/>
                  <w:tcBorders>
                    <w:tl2br w:val="nil"/>
                    <w:tr2bl w:val="nil"/>
                  </w:tcBorders>
                  <w:noWrap w:val="0"/>
                  <w:tcMar>
                    <w:top w:w="0" w:type="dxa"/>
                    <w:left w:w="0" w:type="dxa"/>
                    <w:bottom w:w="0" w:type="dxa"/>
                    <w:right w:w="0" w:type="dxa"/>
                  </w:tcMar>
                  <w:vAlign w:val="center"/>
                </w:tcPr>
                <w:p w14:paraId="2E70809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61.3</w:t>
                  </w:r>
                </w:p>
              </w:tc>
              <w:tc>
                <w:tcPr>
                  <w:tcW w:w="228" w:type="pct"/>
                  <w:vMerge w:val="continue"/>
                  <w:tcBorders>
                    <w:tl2br w:val="nil"/>
                    <w:tr2bl w:val="nil"/>
                  </w:tcBorders>
                  <w:noWrap w:val="0"/>
                  <w:tcMar>
                    <w:top w:w="0" w:type="dxa"/>
                    <w:left w:w="0" w:type="dxa"/>
                    <w:bottom w:w="0" w:type="dxa"/>
                    <w:right w:w="0" w:type="dxa"/>
                  </w:tcMar>
                  <w:vAlign w:val="center"/>
                </w:tcPr>
                <w:p w14:paraId="64BD7A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151364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7D58CC5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36.4 </w:t>
                  </w:r>
                </w:p>
              </w:tc>
              <w:tc>
                <w:tcPr>
                  <w:tcW w:w="201" w:type="pct"/>
                  <w:tcBorders>
                    <w:tl2br w:val="nil"/>
                    <w:tr2bl w:val="nil"/>
                  </w:tcBorders>
                  <w:noWrap w:val="0"/>
                  <w:tcMar>
                    <w:top w:w="0" w:type="dxa"/>
                    <w:left w:w="0" w:type="dxa"/>
                    <w:bottom w:w="0" w:type="dxa"/>
                    <w:right w:w="0" w:type="dxa"/>
                  </w:tcMar>
                  <w:vAlign w:val="center"/>
                </w:tcPr>
                <w:p w14:paraId="296B4F9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36.7 </w:t>
                  </w:r>
                </w:p>
              </w:tc>
              <w:tc>
                <w:tcPr>
                  <w:tcW w:w="193" w:type="pct"/>
                  <w:tcBorders>
                    <w:tl2br w:val="nil"/>
                    <w:tr2bl w:val="nil"/>
                  </w:tcBorders>
                  <w:noWrap w:val="0"/>
                  <w:tcMar>
                    <w:top w:w="0" w:type="dxa"/>
                    <w:left w:w="0" w:type="dxa"/>
                    <w:bottom w:w="0" w:type="dxa"/>
                    <w:right w:w="0" w:type="dxa"/>
                  </w:tcMar>
                  <w:vAlign w:val="center"/>
                </w:tcPr>
                <w:p w14:paraId="486820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37.5 </w:t>
                  </w:r>
                </w:p>
              </w:tc>
              <w:tc>
                <w:tcPr>
                  <w:tcW w:w="195" w:type="pct"/>
                  <w:tcBorders>
                    <w:tl2br w:val="nil"/>
                    <w:tr2bl w:val="nil"/>
                  </w:tcBorders>
                  <w:noWrap w:val="0"/>
                  <w:tcMar>
                    <w:top w:w="0" w:type="dxa"/>
                    <w:left w:w="0" w:type="dxa"/>
                    <w:bottom w:w="0" w:type="dxa"/>
                    <w:right w:w="0" w:type="dxa"/>
                  </w:tcMar>
                  <w:vAlign w:val="center"/>
                </w:tcPr>
                <w:p w14:paraId="192BE94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36.3 </w:t>
                  </w:r>
                </w:p>
              </w:tc>
              <w:tc>
                <w:tcPr>
                  <w:tcW w:w="202" w:type="pct"/>
                  <w:tcBorders>
                    <w:tl2br w:val="nil"/>
                    <w:tr2bl w:val="nil"/>
                  </w:tcBorders>
                  <w:noWrap w:val="0"/>
                  <w:tcMar>
                    <w:top w:w="0" w:type="dxa"/>
                    <w:left w:w="0" w:type="dxa"/>
                    <w:bottom w:w="0" w:type="dxa"/>
                    <w:right w:w="0" w:type="dxa"/>
                  </w:tcMar>
                  <w:vAlign w:val="center"/>
                </w:tcPr>
                <w:p w14:paraId="6CD0FF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82CE4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09D729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49</w:t>
                  </w:r>
                </w:p>
              </w:tc>
              <w:tc>
                <w:tcPr>
                  <w:tcW w:w="178" w:type="pct"/>
                  <w:vMerge w:val="continue"/>
                  <w:tcBorders>
                    <w:tl2br w:val="nil"/>
                    <w:tr2bl w:val="nil"/>
                  </w:tcBorders>
                  <w:noWrap w:val="0"/>
                  <w:tcMar>
                    <w:top w:w="0" w:type="dxa"/>
                    <w:left w:w="0" w:type="dxa"/>
                    <w:bottom w:w="0" w:type="dxa"/>
                    <w:right w:w="0" w:type="dxa"/>
                  </w:tcMar>
                  <w:vAlign w:val="center"/>
                </w:tcPr>
                <w:p w14:paraId="47A2884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4919E9F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定量包装机</w:t>
                  </w:r>
                </w:p>
              </w:tc>
              <w:tc>
                <w:tcPr>
                  <w:tcW w:w="166" w:type="pct"/>
                  <w:tcBorders>
                    <w:tl2br w:val="nil"/>
                    <w:tr2bl w:val="nil"/>
                  </w:tcBorders>
                  <w:noWrap w:val="0"/>
                  <w:tcMar>
                    <w:top w:w="0" w:type="dxa"/>
                    <w:left w:w="0" w:type="dxa"/>
                    <w:bottom w:w="0" w:type="dxa"/>
                    <w:right w:w="0" w:type="dxa"/>
                  </w:tcMar>
                  <w:vAlign w:val="center"/>
                </w:tcPr>
                <w:p w14:paraId="52EB20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1</w:t>
                  </w:r>
                </w:p>
              </w:tc>
              <w:tc>
                <w:tcPr>
                  <w:tcW w:w="344" w:type="pct"/>
                  <w:tcBorders>
                    <w:tl2br w:val="nil"/>
                    <w:tr2bl w:val="nil"/>
                  </w:tcBorders>
                  <w:noWrap w:val="0"/>
                  <w:tcMar>
                    <w:top w:w="0" w:type="dxa"/>
                    <w:left w:w="0" w:type="dxa"/>
                    <w:bottom w:w="0" w:type="dxa"/>
                    <w:right w:w="0" w:type="dxa"/>
                  </w:tcMar>
                  <w:vAlign w:val="center"/>
                </w:tcPr>
                <w:p w14:paraId="42F170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p>
              </w:tc>
              <w:tc>
                <w:tcPr>
                  <w:tcW w:w="219" w:type="pct"/>
                  <w:vMerge w:val="continue"/>
                  <w:tcBorders>
                    <w:tl2br w:val="nil"/>
                    <w:tr2bl w:val="nil"/>
                  </w:tcBorders>
                  <w:noWrap w:val="0"/>
                  <w:tcMar>
                    <w:top w:w="0" w:type="dxa"/>
                    <w:left w:w="0" w:type="dxa"/>
                    <w:bottom w:w="0" w:type="dxa"/>
                    <w:right w:w="0" w:type="dxa"/>
                  </w:tcMar>
                  <w:vAlign w:val="center"/>
                </w:tcPr>
                <w:p w14:paraId="374E27F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76B9DF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69.8</w:t>
                  </w:r>
                </w:p>
              </w:tc>
              <w:tc>
                <w:tcPr>
                  <w:tcW w:w="219" w:type="pct"/>
                  <w:tcBorders>
                    <w:tl2br w:val="nil"/>
                    <w:tr2bl w:val="nil"/>
                  </w:tcBorders>
                  <w:noWrap w:val="0"/>
                  <w:tcMar>
                    <w:top w:w="0" w:type="dxa"/>
                    <w:left w:w="0" w:type="dxa"/>
                    <w:bottom w:w="0" w:type="dxa"/>
                    <w:right w:w="0" w:type="dxa"/>
                  </w:tcMar>
                  <w:vAlign w:val="center"/>
                </w:tcPr>
                <w:p w14:paraId="730D731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70.6</w:t>
                  </w:r>
                </w:p>
              </w:tc>
              <w:tc>
                <w:tcPr>
                  <w:tcW w:w="176" w:type="pct"/>
                  <w:tcBorders>
                    <w:tl2br w:val="nil"/>
                    <w:tr2bl w:val="nil"/>
                  </w:tcBorders>
                  <w:noWrap w:val="0"/>
                  <w:tcMar>
                    <w:top w:w="0" w:type="dxa"/>
                    <w:left w:w="0" w:type="dxa"/>
                    <w:bottom w:w="0" w:type="dxa"/>
                    <w:right w:w="0" w:type="dxa"/>
                  </w:tcMar>
                  <w:vAlign w:val="center"/>
                </w:tcPr>
                <w:p w14:paraId="5FD14CF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400400F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14.6</w:t>
                  </w:r>
                </w:p>
              </w:tc>
              <w:tc>
                <w:tcPr>
                  <w:tcW w:w="187" w:type="pct"/>
                  <w:tcBorders>
                    <w:tl2br w:val="nil"/>
                    <w:tr2bl w:val="nil"/>
                  </w:tcBorders>
                  <w:noWrap w:val="0"/>
                  <w:tcMar>
                    <w:top w:w="0" w:type="dxa"/>
                    <w:left w:w="0" w:type="dxa"/>
                    <w:bottom w:w="0" w:type="dxa"/>
                    <w:right w:w="0" w:type="dxa"/>
                  </w:tcMar>
                  <w:vAlign w:val="center"/>
                </w:tcPr>
                <w:p w14:paraId="7728DBB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14.7</w:t>
                  </w:r>
                </w:p>
              </w:tc>
              <w:tc>
                <w:tcPr>
                  <w:tcW w:w="205" w:type="pct"/>
                  <w:tcBorders>
                    <w:tl2br w:val="nil"/>
                    <w:tr2bl w:val="nil"/>
                  </w:tcBorders>
                  <w:noWrap w:val="0"/>
                  <w:tcMar>
                    <w:top w:w="0" w:type="dxa"/>
                    <w:left w:w="0" w:type="dxa"/>
                    <w:bottom w:w="0" w:type="dxa"/>
                    <w:right w:w="0" w:type="dxa"/>
                  </w:tcMar>
                  <w:vAlign w:val="center"/>
                </w:tcPr>
                <w:p w14:paraId="086CDFF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15.2</w:t>
                  </w:r>
                </w:p>
              </w:tc>
              <w:tc>
                <w:tcPr>
                  <w:tcW w:w="213" w:type="pct"/>
                  <w:tcBorders>
                    <w:tl2br w:val="nil"/>
                    <w:tr2bl w:val="nil"/>
                  </w:tcBorders>
                  <w:noWrap w:val="0"/>
                  <w:tcMar>
                    <w:top w:w="0" w:type="dxa"/>
                    <w:left w:w="0" w:type="dxa"/>
                    <w:bottom w:w="0" w:type="dxa"/>
                    <w:right w:w="0" w:type="dxa"/>
                  </w:tcMar>
                  <w:vAlign w:val="center"/>
                </w:tcPr>
                <w:p w14:paraId="4913053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192" w:type="pct"/>
                  <w:tcBorders>
                    <w:tl2br w:val="nil"/>
                    <w:tr2bl w:val="nil"/>
                  </w:tcBorders>
                  <w:noWrap w:val="0"/>
                  <w:tcMar>
                    <w:top w:w="0" w:type="dxa"/>
                    <w:left w:w="0" w:type="dxa"/>
                    <w:bottom w:w="0" w:type="dxa"/>
                    <w:right w:w="0" w:type="dxa"/>
                  </w:tcMar>
                  <w:vAlign w:val="center"/>
                </w:tcPr>
                <w:p w14:paraId="34A6F6D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192" w:type="pct"/>
                  <w:tcBorders>
                    <w:tl2br w:val="nil"/>
                    <w:tr2bl w:val="nil"/>
                  </w:tcBorders>
                  <w:noWrap w:val="0"/>
                  <w:tcMar>
                    <w:top w:w="0" w:type="dxa"/>
                    <w:left w:w="0" w:type="dxa"/>
                    <w:bottom w:w="0" w:type="dxa"/>
                    <w:right w:w="0" w:type="dxa"/>
                  </w:tcMar>
                  <w:vAlign w:val="center"/>
                </w:tcPr>
                <w:p w14:paraId="1664A4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205" w:type="pct"/>
                  <w:tcBorders>
                    <w:tl2br w:val="nil"/>
                    <w:tr2bl w:val="nil"/>
                  </w:tcBorders>
                  <w:noWrap w:val="0"/>
                  <w:tcMar>
                    <w:top w:w="0" w:type="dxa"/>
                    <w:left w:w="0" w:type="dxa"/>
                    <w:bottom w:w="0" w:type="dxa"/>
                    <w:right w:w="0" w:type="dxa"/>
                  </w:tcMar>
                  <w:vAlign w:val="center"/>
                </w:tcPr>
                <w:p w14:paraId="75313D6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51.4 </w:t>
                  </w:r>
                </w:p>
              </w:tc>
              <w:tc>
                <w:tcPr>
                  <w:tcW w:w="208" w:type="pct"/>
                  <w:tcBorders>
                    <w:tl2br w:val="nil"/>
                    <w:tr2bl w:val="nil"/>
                  </w:tcBorders>
                  <w:noWrap w:val="0"/>
                  <w:tcMar>
                    <w:top w:w="0" w:type="dxa"/>
                    <w:left w:w="0" w:type="dxa"/>
                    <w:bottom w:w="0" w:type="dxa"/>
                    <w:right w:w="0" w:type="dxa"/>
                  </w:tcMar>
                  <w:vAlign w:val="center"/>
                </w:tcPr>
                <w:p w14:paraId="7050B7F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52.1 </w:t>
                  </w:r>
                </w:p>
              </w:tc>
              <w:tc>
                <w:tcPr>
                  <w:tcW w:w="228" w:type="pct"/>
                  <w:vMerge w:val="continue"/>
                  <w:tcBorders>
                    <w:tl2br w:val="nil"/>
                    <w:tr2bl w:val="nil"/>
                  </w:tcBorders>
                  <w:noWrap w:val="0"/>
                  <w:tcMar>
                    <w:top w:w="0" w:type="dxa"/>
                    <w:left w:w="0" w:type="dxa"/>
                    <w:bottom w:w="0" w:type="dxa"/>
                    <w:right w:w="0" w:type="dxa"/>
                  </w:tcMar>
                  <w:vAlign w:val="center"/>
                </w:tcPr>
                <w:p w14:paraId="7070E60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7E4C32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745E4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26.7 </w:t>
                  </w:r>
                </w:p>
              </w:tc>
              <w:tc>
                <w:tcPr>
                  <w:tcW w:w="201" w:type="pct"/>
                  <w:tcBorders>
                    <w:tl2br w:val="nil"/>
                    <w:tr2bl w:val="nil"/>
                  </w:tcBorders>
                  <w:noWrap w:val="0"/>
                  <w:tcMar>
                    <w:top w:w="0" w:type="dxa"/>
                    <w:left w:w="0" w:type="dxa"/>
                    <w:bottom w:w="0" w:type="dxa"/>
                    <w:right w:w="0" w:type="dxa"/>
                  </w:tcMar>
                  <w:vAlign w:val="center"/>
                </w:tcPr>
                <w:p w14:paraId="174894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26.7 </w:t>
                  </w:r>
                </w:p>
              </w:tc>
              <w:tc>
                <w:tcPr>
                  <w:tcW w:w="193" w:type="pct"/>
                  <w:tcBorders>
                    <w:tl2br w:val="nil"/>
                    <w:tr2bl w:val="nil"/>
                  </w:tcBorders>
                  <w:noWrap w:val="0"/>
                  <w:tcMar>
                    <w:top w:w="0" w:type="dxa"/>
                    <w:left w:w="0" w:type="dxa"/>
                    <w:bottom w:w="0" w:type="dxa"/>
                    <w:right w:w="0" w:type="dxa"/>
                  </w:tcMar>
                  <w:vAlign w:val="center"/>
                </w:tcPr>
                <w:p w14:paraId="5D4E6F7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26.4 </w:t>
                  </w:r>
                </w:p>
              </w:tc>
              <w:tc>
                <w:tcPr>
                  <w:tcW w:w="195" w:type="pct"/>
                  <w:tcBorders>
                    <w:tl2br w:val="nil"/>
                    <w:tr2bl w:val="nil"/>
                  </w:tcBorders>
                  <w:noWrap w:val="0"/>
                  <w:tcMar>
                    <w:top w:w="0" w:type="dxa"/>
                    <w:left w:w="0" w:type="dxa"/>
                    <w:bottom w:w="0" w:type="dxa"/>
                    <w:right w:w="0" w:type="dxa"/>
                  </w:tcMar>
                  <w:vAlign w:val="center"/>
                </w:tcPr>
                <w:p w14:paraId="0D8936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27.1 </w:t>
                  </w:r>
                </w:p>
              </w:tc>
              <w:tc>
                <w:tcPr>
                  <w:tcW w:w="202" w:type="pct"/>
                  <w:tcBorders>
                    <w:tl2br w:val="nil"/>
                    <w:tr2bl w:val="nil"/>
                  </w:tcBorders>
                  <w:noWrap w:val="0"/>
                  <w:tcMar>
                    <w:top w:w="0" w:type="dxa"/>
                    <w:left w:w="0" w:type="dxa"/>
                    <w:bottom w:w="0" w:type="dxa"/>
                    <w:right w:w="0" w:type="dxa"/>
                  </w:tcMar>
                  <w:vAlign w:val="center"/>
                </w:tcPr>
                <w:p w14:paraId="653028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48EB0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550FF8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50</w:t>
                  </w:r>
                </w:p>
              </w:tc>
              <w:tc>
                <w:tcPr>
                  <w:tcW w:w="178" w:type="pct"/>
                  <w:vMerge w:val="continue"/>
                  <w:tcBorders>
                    <w:tl2br w:val="nil"/>
                    <w:tr2bl w:val="nil"/>
                  </w:tcBorders>
                  <w:noWrap w:val="0"/>
                  <w:tcMar>
                    <w:top w:w="0" w:type="dxa"/>
                    <w:left w:w="0" w:type="dxa"/>
                    <w:bottom w:w="0" w:type="dxa"/>
                    <w:right w:w="0" w:type="dxa"/>
                  </w:tcMar>
                  <w:vAlign w:val="center"/>
                </w:tcPr>
                <w:p w14:paraId="294DDD3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027D1FF">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布袋除尘器引风机（2台，按点声源组计算）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24F0A515">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7E30F4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default" w:ascii="Times New Roman" w:hAnsi="Times New Roman" w:eastAsia="宋体" w:cs="Times New Roman"/>
                      <w:color w:val="auto"/>
                      <w:sz w:val="18"/>
                      <w:szCs w:val="18"/>
                      <w:highlight w:val="none"/>
                      <w:lang w:val="en-US" w:eastAsia="zh-CN"/>
                    </w:rPr>
                    <w:t>93.0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65B85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E1F3CC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67.9</w:t>
                  </w:r>
                </w:p>
              </w:tc>
              <w:tc>
                <w:tcPr>
                  <w:tcW w:w="219" w:type="pct"/>
                  <w:tcBorders>
                    <w:tl2br w:val="nil"/>
                    <w:tr2bl w:val="nil"/>
                  </w:tcBorders>
                  <w:noWrap w:val="0"/>
                  <w:tcMar>
                    <w:top w:w="0" w:type="dxa"/>
                    <w:left w:w="0" w:type="dxa"/>
                    <w:bottom w:w="0" w:type="dxa"/>
                    <w:right w:w="0" w:type="dxa"/>
                  </w:tcMar>
                  <w:vAlign w:val="center"/>
                </w:tcPr>
                <w:p w14:paraId="416160B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71.5</w:t>
                  </w:r>
                </w:p>
              </w:tc>
              <w:tc>
                <w:tcPr>
                  <w:tcW w:w="176" w:type="pct"/>
                  <w:tcBorders>
                    <w:tl2br w:val="nil"/>
                    <w:tr2bl w:val="nil"/>
                  </w:tcBorders>
                  <w:noWrap w:val="0"/>
                  <w:tcMar>
                    <w:top w:w="0" w:type="dxa"/>
                    <w:left w:w="0" w:type="dxa"/>
                    <w:bottom w:w="0" w:type="dxa"/>
                    <w:right w:w="0" w:type="dxa"/>
                  </w:tcMar>
                  <w:vAlign w:val="center"/>
                </w:tcPr>
                <w:p w14:paraId="0765A1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5927E0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187" w:type="pct"/>
                  <w:tcBorders>
                    <w:tl2br w:val="nil"/>
                    <w:tr2bl w:val="nil"/>
                  </w:tcBorders>
                  <w:noWrap w:val="0"/>
                  <w:tcMar>
                    <w:top w:w="0" w:type="dxa"/>
                    <w:left w:w="0" w:type="dxa"/>
                    <w:bottom w:w="0" w:type="dxa"/>
                    <w:right w:w="0" w:type="dxa"/>
                  </w:tcMar>
                  <w:vAlign w:val="center"/>
                </w:tcPr>
                <w:p w14:paraId="1D04F0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15.1</w:t>
                  </w:r>
                </w:p>
              </w:tc>
              <w:tc>
                <w:tcPr>
                  <w:tcW w:w="205" w:type="pct"/>
                  <w:tcBorders>
                    <w:tl2br w:val="nil"/>
                    <w:tr2bl w:val="nil"/>
                  </w:tcBorders>
                  <w:noWrap w:val="0"/>
                  <w:tcMar>
                    <w:top w:w="0" w:type="dxa"/>
                    <w:left w:w="0" w:type="dxa"/>
                    <w:bottom w:w="0" w:type="dxa"/>
                    <w:right w:w="0" w:type="dxa"/>
                  </w:tcMar>
                  <w:vAlign w:val="center"/>
                </w:tcPr>
                <w:p w14:paraId="452367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w:t>
                  </w:r>
                </w:p>
              </w:tc>
              <w:tc>
                <w:tcPr>
                  <w:tcW w:w="213" w:type="pct"/>
                  <w:tcBorders>
                    <w:tl2br w:val="nil"/>
                    <w:tr2bl w:val="nil"/>
                  </w:tcBorders>
                  <w:noWrap w:val="0"/>
                  <w:tcMar>
                    <w:top w:w="0" w:type="dxa"/>
                    <w:left w:w="0" w:type="dxa"/>
                    <w:bottom w:w="0" w:type="dxa"/>
                    <w:right w:w="0" w:type="dxa"/>
                  </w:tcMar>
                  <w:vAlign w:val="center"/>
                </w:tcPr>
                <w:p w14:paraId="087494C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16.4</w:t>
                  </w:r>
                </w:p>
              </w:tc>
              <w:tc>
                <w:tcPr>
                  <w:tcW w:w="192" w:type="pct"/>
                  <w:tcBorders>
                    <w:tl2br w:val="nil"/>
                    <w:tr2bl w:val="nil"/>
                  </w:tcBorders>
                  <w:noWrap w:val="0"/>
                  <w:tcMar>
                    <w:top w:w="0" w:type="dxa"/>
                    <w:left w:w="0" w:type="dxa"/>
                    <w:bottom w:w="0" w:type="dxa"/>
                    <w:right w:w="0" w:type="dxa"/>
                  </w:tcMar>
                  <w:vAlign w:val="center"/>
                </w:tcPr>
                <w:p w14:paraId="247C2E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67.1 </w:t>
                  </w:r>
                </w:p>
              </w:tc>
              <w:tc>
                <w:tcPr>
                  <w:tcW w:w="192" w:type="pct"/>
                  <w:tcBorders>
                    <w:tl2br w:val="nil"/>
                    <w:tr2bl w:val="nil"/>
                  </w:tcBorders>
                  <w:noWrap w:val="0"/>
                  <w:tcMar>
                    <w:top w:w="0" w:type="dxa"/>
                    <w:left w:w="0" w:type="dxa"/>
                    <w:bottom w:w="0" w:type="dxa"/>
                    <w:right w:w="0" w:type="dxa"/>
                  </w:tcMar>
                  <w:vAlign w:val="center"/>
                </w:tcPr>
                <w:p w14:paraId="42DDEEF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83.5</w:t>
                  </w:r>
                </w:p>
              </w:tc>
              <w:tc>
                <w:tcPr>
                  <w:tcW w:w="205" w:type="pct"/>
                  <w:tcBorders>
                    <w:tl2br w:val="nil"/>
                    <w:tr2bl w:val="nil"/>
                  </w:tcBorders>
                  <w:noWrap w:val="0"/>
                  <w:tcMar>
                    <w:top w:w="0" w:type="dxa"/>
                    <w:left w:w="0" w:type="dxa"/>
                    <w:bottom w:w="0" w:type="dxa"/>
                    <w:right w:w="0" w:type="dxa"/>
                  </w:tcMar>
                  <w:vAlign w:val="center"/>
                </w:tcPr>
                <w:p w14:paraId="1DF2E0B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66.5 </w:t>
                  </w:r>
                </w:p>
              </w:tc>
              <w:tc>
                <w:tcPr>
                  <w:tcW w:w="208" w:type="pct"/>
                  <w:tcBorders>
                    <w:tl2br w:val="nil"/>
                    <w:tr2bl w:val="nil"/>
                  </w:tcBorders>
                  <w:noWrap w:val="0"/>
                  <w:tcMar>
                    <w:top w:w="0" w:type="dxa"/>
                    <w:left w:w="0" w:type="dxa"/>
                    <w:bottom w:w="0" w:type="dxa"/>
                    <w:right w:w="0" w:type="dxa"/>
                  </w:tcMar>
                  <w:vAlign w:val="center"/>
                </w:tcPr>
                <w:p w14:paraId="2AE948A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65.7 </w:t>
                  </w:r>
                </w:p>
              </w:tc>
              <w:tc>
                <w:tcPr>
                  <w:tcW w:w="228" w:type="pct"/>
                  <w:vMerge w:val="continue"/>
                  <w:tcBorders>
                    <w:tl2br w:val="nil"/>
                    <w:tr2bl w:val="nil"/>
                  </w:tcBorders>
                  <w:noWrap w:val="0"/>
                  <w:tcMar>
                    <w:top w:w="0" w:type="dxa"/>
                    <w:left w:w="0" w:type="dxa"/>
                    <w:bottom w:w="0" w:type="dxa"/>
                    <w:right w:w="0" w:type="dxa"/>
                  </w:tcMar>
                  <w:vAlign w:val="center"/>
                </w:tcPr>
                <w:p w14:paraId="3690DEF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CB3FDE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4023F19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42.1 </w:t>
                  </w:r>
                </w:p>
              </w:tc>
              <w:tc>
                <w:tcPr>
                  <w:tcW w:w="201" w:type="pct"/>
                  <w:tcBorders>
                    <w:tl2br w:val="nil"/>
                    <w:tr2bl w:val="nil"/>
                  </w:tcBorders>
                  <w:noWrap w:val="0"/>
                  <w:tcMar>
                    <w:top w:w="0" w:type="dxa"/>
                    <w:left w:w="0" w:type="dxa"/>
                    <w:bottom w:w="0" w:type="dxa"/>
                    <w:right w:w="0" w:type="dxa"/>
                  </w:tcMar>
                  <w:vAlign w:val="center"/>
                </w:tcPr>
                <w:p w14:paraId="54A76F6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58.5 </w:t>
                  </w:r>
                </w:p>
              </w:tc>
              <w:tc>
                <w:tcPr>
                  <w:tcW w:w="193" w:type="pct"/>
                  <w:tcBorders>
                    <w:tl2br w:val="nil"/>
                    <w:tr2bl w:val="nil"/>
                  </w:tcBorders>
                  <w:noWrap w:val="0"/>
                  <w:tcMar>
                    <w:top w:w="0" w:type="dxa"/>
                    <w:left w:w="0" w:type="dxa"/>
                    <w:bottom w:w="0" w:type="dxa"/>
                    <w:right w:w="0" w:type="dxa"/>
                  </w:tcMar>
                  <w:vAlign w:val="center"/>
                </w:tcPr>
                <w:p w14:paraId="52B99D0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41.5 </w:t>
                  </w:r>
                </w:p>
              </w:tc>
              <w:tc>
                <w:tcPr>
                  <w:tcW w:w="195" w:type="pct"/>
                  <w:tcBorders>
                    <w:tl2br w:val="nil"/>
                    <w:tr2bl w:val="nil"/>
                  </w:tcBorders>
                  <w:noWrap w:val="0"/>
                  <w:tcMar>
                    <w:top w:w="0" w:type="dxa"/>
                    <w:left w:w="0" w:type="dxa"/>
                    <w:bottom w:w="0" w:type="dxa"/>
                    <w:right w:w="0" w:type="dxa"/>
                  </w:tcMar>
                  <w:vAlign w:val="center"/>
                </w:tcPr>
                <w:p w14:paraId="63B796E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40.7 </w:t>
                  </w:r>
                </w:p>
              </w:tc>
              <w:tc>
                <w:tcPr>
                  <w:tcW w:w="202" w:type="pct"/>
                  <w:tcBorders>
                    <w:tl2br w:val="nil"/>
                    <w:tr2bl w:val="nil"/>
                  </w:tcBorders>
                  <w:noWrap w:val="0"/>
                  <w:tcMar>
                    <w:top w:w="0" w:type="dxa"/>
                    <w:left w:w="0" w:type="dxa"/>
                    <w:bottom w:w="0" w:type="dxa"/>
                    <w:right w:w="0" w:type="dxa"/>
                  </w:tcMar>
                  <w:vAlign w:val="center"/>
                </w:tcPr>
                <w:p w14:paraId="3A324E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9A418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97A686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51</w:t>
                  </w:r>
                </w:p>
              </w:tc>
              <w:tc>
                <w:tcPr>
                  <w:tcW w:w="178" w:type="pct"/>
                  <w:vMerge w:val="restart"/>
                  <w:tcBorders>
                    <w:tl2br w:val="nil"/>
                    <w:tr2bl w:val="nil"/>
                  </w:tcBorders>
                  <w:noWrap w:val="0"/>
                  <w:tcMar>
                    <w:top w:w="0" w:type="dxa"/>
                    <w:left w:w="0" w:type="dxa"/>
                    <w:bottom w:w="0" w:type="dxa"/>
                    <w:right w:w="0" w:type="dxa"/>
                  </w:tcMar>
                  <w:vAlign w:val="center"/>
                </w:tcPr>
                <w:p w14:paraId="221F9B3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1#清洗车间</w:t>
                  </w:r>
                </w:p>
              </w:tc>
              <w:tc>
                <w:tcPr>
                  <w:tcW w:w="326" w:type="pct"/>
                  <w:tcBorders>
                    <w:tl2br w:val="nil"/>
                    <w:tr2bl w:val="nil"/>
                  </w:tcBorders>
                  <w:noWrap w:val="0"/>
                  <w:tcMar>
                    <w:top w:w="0" w:type="dxa"/>
                    <w:left w:w="0" w:type="dxa"/>
                    <w:bottom w:w="0" w:type="dxa"/>
                    <w:right w:w="0" w:type="dxa"/>
                  </w:tcMar>
                  <w:vAlign w:val="center"/>
                </w:tcPr>
                <w:p w14:paraId="44153DE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电烘干箱（2台，按点声源组计算）</w:t>
                  </w:r>
                </w:p>
              </w:tc>
              <w:tc>
                <w:tcPr>
                  <w:tcW w:w="166" w:type="pct"/>
                  <w:tcBorders>
                    <w:tl2br w:val="nil"/>
                    <w:tr2bl w:val="nil"/>
                  </w:tcBorders>
                  <w:noWrap w:val="0"/>
                  <w:tcMar>
                    <w:top w:w="0" w:type="dxa"/>
                    <w:left w:w="0" w:type="dxa"/>
                    <w:bottom w:w="0" w:type="dxa"/>
                    <w:right w:w="0" w:type="dxa"/>
                  </w:tcMar>
                  <w:vAlign w:val="center"/>
                </w:tcPr>
                <w:p w14:paraId="0448C4E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2A081AB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15AAD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BE5B40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26.7</w:t>
                  </w:r>
                </w:p>
              </w:tc>
              <w:tc>
                <w:tcPr>
                  <w:tcW w:w="219" w:type="pct"/>
                  <w:tcBorders>
                    <w:tl2br w:val="nil"/>
                    <w:tr2bl w:val="nil"/>
                  </w:tcBorders>
                  <w:noWrap w:val="0"/>
                  <w:tcMar>
                    <w:top w:w="0" w:type="dxa"/>
                    <w:left w:w="0" w:type="dxa"/>
                    <w:bottom w:w="0" w:type="dxa"/>
                    <w:right w:w="0" w:type="dxa"/>
                  </w:tcMar>
                  <w:vAlign w:val="center"/>
                </w:tcPr>
                <w:p w14:paraId="775D7BC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2.5</w:t>
                  </w:r>
                </w:p>
              </w:tc>
              <w:tc>
                <w:tcPr>
                  <w:tcW w:w="176" w:type="pct"/>
                  <w:tcBorders>
                    <w:tl2br w:val="nil"/>
                    <w:tr2bl w:val="nil"/>
                  </w:tcBorders>
                  <w:noWrap w:val="0"/>
                  <w:tcMar>
                    <w:top w:w="0" w:type="dxa"/>
                    <w:left w:w="0" w:type="dxa"/>
                    <w:bottom w:w="0" w:type="dxa"/>
                    <w:right w:w="0" w:type="dxa"/>
                  </w:tcMar>
                  <w:vAlign w:val="center"/>
                </w:tcPr>
                <w:p w14:paraId="4EABAF8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5E6234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4.6</w:t>
                  </w:r>
                </w:p>
              </w:tc>
              <w:tc>
                <w:tcPr>
                  <w:tcW w:w="187" w:type="pct"/>
                  <w:tcBorders>
                    <w:tl2br w:val="nil"/>
                    <w:tr2bl w:val="nil"/>
                  </w:tcBorders>
                  <w:shd w:val="clear" w:color="auto" w:fill="auto"/>
                  <w:noWrap w:val="0"/>
                  <w:tcMar>
                    <w:top w:w="0" w:type="dxa"/>
                    <w:left w:w="0" w:type="dxa"/>
                    <w:bottom w:w="0" w:type="dxa"/>
                    <w:right w:w="0" w:type="dxa"/>
                  </w:tcMar>
                  <w:vAlign w:val="center"/>
                </w:tcPr>
                <w:p w14:paraId="060DD8C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21.5</w:t>
                  </w:r>
                </w:p>
              </w:tc>
              <w:tc>
                <w:tcPr>
                  <w:tcW w:w="205" w:type="pct"/>
                  <w:tcBorders>
                    <w:tl2br w:val="nil"/>
                    <w:tr2bl w:val="nil"/>
                  </w:tcBorders>
                  <w:shd w:val="clear" w:color="auto" w:fill="auto"/>
                  <w:noWrap w:val="0"/>
                  <w:tcMar>
                    <w:top w:w="0" w:type="dxa"/>
                    <w:left w:w="0" w:type="dxa"/>
                    <w:bottom w:w="0" w:type="dxa"/>
                    <w:right w:w="0" w:type="dxa"/>
                  </w:tcMar>
                  <w:vAlign w:val="center"/>
                </w:tcPr>
                <w:p w14:paraId="27212B4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17.0</w:t>
                  </w:r>
                </w:p>
              </w:tc>
              <w:tc>
                <w:tcPr>
                  <w:tcW w:w="213" w:type="pct"/>
                  <w:tcBorders>
                    <w:tl2br w:val="nil"/>
                    <w:tr2bl w:val="nil"/>
                  </w:tcBorders>
                  <w:shd w:val="clear" w:color="auto" w:fill="auto"/>
                  <w:noWrap w:val="0"/>
                  <w:tcMar>
                    <w:top w:w="0" w:type="dxa"/>
                    <w:left w:w="0" w:type="dxa"/>
                    <w:bottom w:w="0" w:type="dxa"/>
                    <w:right w:w="0" w:type="dxa"/>
                  </w:tcMar>
                  <w:vAlign w:val="center"/>
                </w:tcPr>
                <w:p w14:paraId="34A9A0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14.2</w:t>
                  </w:r>
                </w:p>
              </w:tc>
              <w:tc>
                <w:tcPr>
                  <w:tcW w:w="192" w:type="pct"/>
                  <w:tcBorders>
                    <w:tl2br w:val="nil"/>
                    <w:tr2bl w:val="nil"/>
                  </w:tcBorders>
                  <w:noWrap w:val="0"/>
                  <w:tcMar>
                    <w:top w:w="0" w:type="dxa"/>
                    <w:left w:w="0" w:type="dxa"/>
                    <w:bottom w:w="0" w:type="dxa"/>
                    <w:right w:w="0" w:type="dxa"/>
                  </w:tcMar>
                  <w:vAlign w:val="center"/>
                </w:tcPr>
                <w:p w14:paraId="494A0E4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61.7 </w:t>
                  </w:r>
                </w:p>
              </w:tc>
              <w:tc>
                <w:tcPr>
                  <w:tcW w:w="192" w:type="pct"/>
                  <w:tcBorders>
                    <w:tl2br w:val="nil"/>
                    <w:tr2bl w:val="nil"/>
                  </w:tcBorders>
                  <w:noWrap w:val="0"/>
                  <w:tcMar>
                    <w:top w:w="0" w:type="dxa"/>
                    <w:left w:w="0" w:type="dxa"/>
                    <w:bottom w:w="0" w:type="dxa"/>
                    <w:right w:w="0" w:type="dxa"/>
                  </w:tcMar>
                  <w:vAlign w:val="center"/>
                </w:tcPr>
                <w:p w14:paraId="27B0A6C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48.4 </w:t>
                  </w:r>
                </w:p>
              </w:tc>
              <w:tc>
                <w:tcPr>
                  <w:tcW w:w="205" w:type="pct"/>
                  <w:tcBorders>
                    <w:tl2br w:val="nil"/>
                    <w:tr2bl w:val="nil"/>
                  </w:tcBorders>
                  <w:noWrap w:val="0"/>
                  <w:tcMar>
                    <w:top w:w="0" w:type="dxa"/>
                    <w:left w:w="0" w:type="dxa"/>
                    <w:bottom w:w="0" w:type="dxa"/>
                    <w:right w:w="0" w:type="dxa"/>
                  </w:tcMar>
                  <w:vAlign w:val="center"/>
                </w:tcPr>
                <w:p w14:paraId="6D71B9D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50.4 </w:t>
                  </w:r>
                </w:p>
              </w:tc>
              <w:tc>
                <w:tcPr>
                  <w:tcW w:w="208" w:type="pct"/>
                  <w:tcBorders>
                    <w:tl2br w:val="nil"/>
                    <w:tr2bl w:val="nil"/>
                  </w:tcBorders>
                  <w:noWrap w:val="0"/>
                  <w:tcMar>
                    <w:top w:w="0" w:type="dxa"/>
                    <w:left w:w="0" w:type="dxa"/>
                    <w:bottom w:w="0" w:type="dxa"/>
                    <w:right w:w="0" w:type="dxa"/>
                  </w:tcMar>
                  <w:vAlign w:val="center"/>
                </w:tcPr>
                <w:p w14:paraId="5006507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52.0 </w:t>
                  </w:r>
                </w:p>
              </w:tc>
              <w:tc>
                <w:tcPr>
                  <w:tcW w:w="228" w:type="pct"/>
                  <w:vMerge w:val="continue"/>
                  <w:tcBorders>
                    <w:tl2br w:val="nil"/>
                    <w:tr2bl w:val="nil"/>
                  </w:tcBorders>
                  <w:noWrap w:val="0"/>
                  <w:tcMar>
                    <w:top w:w="0" w:type="dxa"/>
                    <w:left w:w="0" w:type="dxa"/>
                    <w:bottom w:w="0" w:type="dxa"/>
                    <w:right w:w="0" w:type="dxa"/>
                  </w:tcMar>
                  <w:vAlign w:val="center"/>
                </w:tcPr>
                <w:p w14:paraId="6C32342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AEAB8B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134BC5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36.7 </w:t>
                  </w:r>
                </w:p>
              </w:tc>
              <w:tc>
                <w:tcPr>
                  <w:tcW w:w="201" w:type="pct"/>
                  <w:tcBorders>
                    <w:tl2br w:val="nil"/>
                    <w:tr2bl w:val="nil"/>
                  </w:tcBorders>
                  <w:noWrap w:val="0"/>
                  <w:tcMar>
                    <w:top w:w="0" w:type="dxa"/>
                    <w:left w:w="0" w:type="dxa"/>
                    <w:bottom w:w="0" w:type="dxa"/>
                    <w:right w:w="0" w:type="dxa"/>
                  </w:tcMar>
                  <w:vAlign w:val="center"/>
                </w:tcPr>
                <w:p w14:paraId="1AEA902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23.4 </w:t>
                  </w:r>
                </w:p>
              </w:tc>
              <w:tc>
                <w:tcPr>
                  <w:tcW w:w="193" w:type="pct"/>
                  <w:tcBorders>
                    <w:tl2br w:val="nil"/>
                    <w:tr2bl w:val="nil"/>
                  </w:tcBorders>
                  <w:noWrap w:val="0"/>
                  <w:tcMar>
                    <w:top w:w="0" w:type="dxa"/>
                    <w:left w:w="0" w:type="dxa"/>
                    <w:bottom w:w="0" w:type="dxa"/>
                    <w:right w:w="0" w:type="dxa"/>
                  </w:tcMar>
                  <w:vAlign w:val="center"/>
                </w:tcPr>
                <w:p w14:paraId="04BBC07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25.4 </w:t>
                  </w:r>
                </w:p>
              </w:tc>
              <w:tc>
                <w:tcPr>
                  <w:tcW w:w="195" w:type="pct"/>
                  <w:tcBorders>
                    <w:tl2br w:val="nil"/>
                    <w:tr2bl w:val="nil"/>
                  </w:tcBorders>
                  <w:noWrap w:val="0"/>
                  <w:tcMar>
                    <w:top w:w="0" w:type="dxa"/>
                    <w:left w:w="0" w:type="dxa"/>
                    <w:bottom w:w="0" w:type="dxa"/>
                    <w:right w:w="0" w:type="dxa"/>
                  </w:tcMar>
                  <w:vAlign w:val="center"/>
                </w:tcPr>
                <w:p w14:paraId="71879E6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27.0 </w:t>
                  </w:r>
                </w:p>
              </w:tc>
              <w:tc>
                <w:tcPr>
                  <w:tcW w:w="202" w:type="pct"/>
                  <w:tcBorders>
                    <w:tl2br w:val="nil"/>
                    <w:tr2bl w:val="nil"/>
                  </w:tcBorders>
                  <w:noWrap w:val="0"/>
                  <w:tcMar>
                    <w:top w:w="0" w:type="dxa"/>
                    <w:left w:w="0" w:type="dxa"/>
                    <w:bottom w:w="0" w:type="dxa"/>
                    <w:right w:w="0" w:type="dxa"/>
                  </w:tcMar>
                  <w:vAlign w:val="center"/>
                </w:tcPr>
                <w:p w14:paraId="6E9A88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A53B7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142EE33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52</w:t>
                  </w:r>
                </w:p>
              </w:tc>
              <w:tc>
                <w:tcPr>
                  <w:tcW w:w="178" w:type="pct"/>
                  <w:vMerge w:val="continue"/>
                  <w:tcBorders>
                    <w:tl2br w:val="nil"/>
                    <w:tr2bl w:val="nil"/>
                  </w:tcBorders>
                  <w:noWrap w:val="0"/>
                  <w:tcMar>
                    <w:top w:w="0" w:type="dxa"/>
                    <w:left w:w="0" w:type="dxa"/>
                    <w:bottom w:w="0" w:type="dxa"/>
                    <w:right w:w="0" w:type="dxa"/>
                  </w:tcMar>
                  <w:vAlign w:val="center"/>
                </w:tcPr>
                <w:p w14:paraId="2249E6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7D6F888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搅拌清洗槽（5个，按点声源组计算）</w:t>
                  </w:r>
                </w:p>
              </w:tc>
              <w:tc>
                <w:tcPr>
                  <w:tcW w:w="166" w:type="pct"/>
                  <w:tcBorders>
                    <w:tl2br w:val="nil"/>
                    <w:tr2bl w:val="nil"/>
                  </w:tcBorders>
                  <w:noWrap w:val="0"/>
                  <w:tcMar>
                    <w:top w:w="0" w:type="dxa"/>
                    <w:left w:w="0" w:type="dxa"/>
                    <w:bottom w:w="0" w:type="dxa"/>
                    <w:right w:w="0" w:type="dxa"/>
                  </w:tcMar>
                  <w:vAlign w:val="center"/>
                </w:tcPr>
                <w:p w14:paraId="27B020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5</w:t>
                  </w:r>
                </w:p>
              </w:tc>
              <w:tc>
                <w:tcPr>
                  <w:tcW w:w="344" w:type="pct"/>
                  <w:tcBorders>
                    <w:tl2br w:val="nil"/>
                    <w:tr2bl w:val="nil"/>
                  </w:tcBorders>
                  <w:noWrap w:val="0"/>
                  <w:tcMar>
                    <w:top w:w="0" w:type="dxa"/>
                    <w:left w:w="0" w:type="dxa"/>
                    <w:bottom w:w="0" w:type="dxa"/>
                    <w:right w:w="0" w:type="dxa"/>
                  </w:tcMar>
                  <w:vAlign w:val="center"/>
                </w:tcPr>
                <w:p w14:paraId="1C1E08C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82.0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49AC89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15025B8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25.4</w:t>
                  </w:r>
                </w:p>
              </w:tc>
              <w:tc>
                <w:tcPr>
                  <w:tcW w:w="219" w:type="pct"/>
                  <w:tcBorders>
                    <w:tl2br w:val="nil"/>
                    <w:tr2bl w:val="nil"/>
                  </w:tcBorders>
                  <w:noWrap w:val="0"/>
                  <w:tcMar>
                    <w:top w:w="0" w:type="dxa"/>
                    <w:left w:w="0" w:type="dxa"/>
                    <w:bottom w:w="0" w:type="dxa"/>
                    <w:right w:w="0" w:type="dxa"/>
                  </w:tcMar>
                  <w:vAlign w:val="center"/>
                </w:tcPr>
                <w:p w14:paraId="4DE1217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3.6</w:t>
                  </w:r>
                </w:p>
              </w:tc>
              <w:tc>
                <w:tcPr>
                  <w:tcW w:w="176" w:type="pct"/>
                  <w:tcBorders>
                    <w:tl2br w:val="nil"/>
                    <w:tr2bl w:val="nil"/>
                  </w:tcBorders>
                  <w:noWrap w:val="0"/>
                  <w:tcMar>
                    <w:top w:w="0" w:type="dxa"/>
                    <w:left w:w="0" w:type="dxa"/>
                    <w:bottom w:w="0" w:type="dxa"/>
                    <w:right w:w="0" w:type="dxa"/>
                  </w:tcMar>
                  <w:vAlign w:val="center"/>
                </w:tcPr>
                <w:p w14:paraId="3C9B905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070995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6.7</w:t>
                  </w:r>
                </w:p>
              </w:tc>
              <w:tc>
                <w:tcPr>
                  <w:tcW w:w="187" w:type="pct"/>
                  <w:tcBorders>
                    <w:tl2br w:val="nil"/>
                    <w:tr2bl w:val="nil"/>
                  </w:tcBorders>
                  <w:shd w:val="clear" w:color="auto" w:fill="auto"/>
                  <w:noWrap w:val="0"/>
                  <w:tcMar>
                    <w:top w:w="0" w:type="dxa"/>
                    <w:left w:w="0" w:type="dxa"/>
                    <w:bottom w:w="0" w:type="dxa"/>
                    <w:right w:w="0" w:type="dxa"/>
                  </w:tcMar>
                  <w:vAlign w:val="center"/>
                </w:tcPr>
                <w:p w14:paraId="2E413E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20.7</w:t>
                  </w:r>
                </w:p>
              </w:tc>
              <w:tc>
                <w:tcPr>
                  <w:tcW w:w="205" w:type="pct"/>
                  <w:tcBorders>
                    <w:tl2br w:val="nil"/>
                    <w:tr2bl w:val="nil"/>
                  </w:tcBorders>
                  <w:shd w:val="clear" w:color="auto" w:fill="auto"/>
                  <w:noWrap w:val="0"/>
                  <w:tcMar>
                    <w:top w:w="0" w:type="dxa"/>
                    <w:left w:w="0" w:type="dxa"/>
                    <w:bottom w:w="0" w:type="dxa"/>
                    <w:right w:w="0" w:type="dxa"/>
                  </w:tcMar>
                  <w:vAlign w:val="center"/>
                </w:tcPr>
                <w:p w14:paraId="2DF129A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16.2</w:t>
                  </w:r>
                </w:p>
              </w:tc>
              <w:tc>
                <w:tcPr>
                  <w:tcW w:w="213" w:type="pct"/>
                  <w:tcBorders>
                    <w:tl2br w:val="nil"/>
                    <w:tr2bl w:val="nil"/>
                  </w:tcBorders>
                  <w:shd w:val="clear" w:color="auto" w:fill="auto"/>
                  <w:noWrap w:val="0"/>
                  <w:tcMar>
                    <w:top w:w="0" w:type="dxa"/>
                    <w:left w:w="0" w:type="dxa"/>
                    <w:bottom w:w="0" w:type="dxa"/>
                    <w:right w:w="0" w:type="dxa"/>
                  </w:tcMar>
                  <w:vAlign w:val="center"/>
                </w:tcPr>
                <w:p w14:paraId="5F43CC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12.9</w:t>
                  </w:r>
                </w:p>
              </w:tc>
              <w:tc>
                <w:tcPr>
                  <w:tcW w:w="192" w:type="pct"/>
                  <w:tcBorders>
                    <w:tl2br w:val="nil"/>
                    <w:tr2bl w:val="nil"/>
                  </w:tcBorders>
                  <w:noWrap w:val="0"/>
                  <w:tcMar>
                    <w:top w:w="0" w:type="dxa"/>
                    <w:left w:w="0" w:type="dxa"/>
                    <w:bottom w:w="0" w:type="dxa"/>
                    <w:right w:w="0" w:type="dxa"/>
                  </w:tcMar>
                  <w:vAlign w:val="center"/>
                </w:tcPr>
                <w:p w14:paraId="20DFB2A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58.5 </w:t>
                  </w:r>
                </w:p>
              </w:tc>
              <w:tc>
                <w:tcPr>
                  <w:tcW w:w="192" w:type="pct"/>
                  <w:tcBorders>
                    <w:tl2br w:val="nil"/>
                    <w:tr2bl w:val="nil"/>
                  </w:tcBorders>
                  <w:noWrap w:val="0"/>
                  <w:tcMar>
                    <w:top w:w="0" w:type="dxa"/>
                    <w:left w:w="0" w:type="dxa"/>
                    <w:bottom w:w="0" w:type="dxa"/>
                    <w:right w:w="0" w:type="dxa"/>
                  </w:tcMar>
                  <w:vAlign w:val="center"/>
                </w:tcPr>
                <w:p w14:paraId="1AF09E4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48.7 </w:t>
                  </w:r>
                </w:p>
              </w:tc>
              <w:tc>
                <w:tcPr>
                  <w:tcW w:w="205" w:type="pct"/>
                  <w:tcBorders>
                    <w:tl2br w:val="nil"/>
                    <w:tr2bl w:val="nil"/>
                  </w:tcBorders>
                  <w:noWrap w:val="0"/>
                  <w:tcMar>
                    <w:top w:w="0" w:type="dxa"/>
                    <w:left w:w="0" w:type="dxa"/>
                    <w:bottom w:w="0" w:type="dxa"/>
                    <w:right w:w="0" w:type="dxa"/>
                  </w:tcMar>
                  <w:vAlign w:val="center"/>
                </w:tcPr>
                <w:p w14:paraId="034104E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50.8 </w:t>
                  </w:r>
                </w:p>
              </w:tc>
              <w:tc>
                <w:tcPr>
                  <w:tcW w:w="208" w:type="pct"/>
                  <w:tcBorders>
                    <w:tl2br w:val="nil"/>
                    <w:tr2bl w:val="nil"/>
                  </w:tcBorders>
                  <w:noWrap w:val="0"/>
                  <w:tcMar>
                    <w:top w:w="0" w:type="dxa"/>
                    <w:left w:w="0" w:type="dxa"/>
                    <w:bottom w:w="0" w:type="dxa"/>
                    <w:right w:w="0" w:type="dxa"/>
                  </w:tcMar>
                  <w:vAlign w:val="center"/>
                </w:tcPr>
                <w:p w14:paraId="6003E06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52.8 </w:t>
                  </w:r>
                </w:p>
              </w:tc>
              <w:tc>
                <w:tcPr>
                  <w:tcW w:w="228" w:type="pct"/>
                  <w:vMerge w:val="continue"/>
                  <w:tcBorders>
                    <w:tl2br w:val="nil"/>
                    <w:tr2bl w:val="nil"/>
                  </w:tcBorders>
                  <w:noWrap w:val="0"/>
                  <w:tcMar>
                    <w:top w:w="0" w:type="dxa"/>
                    <w:left w:w="0" w:type="dxa"/>
                    <w:bottom w:w="0" w:type="dxa"/>
                    <w:right w:w="0" w:type="dxa"/>
                  </w:tcMar>
                  <w:vAlign w:val="center"/>
                </w:tcPr>
                <w:p w14:paraId="7D2A47C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615846C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3B5BD4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33.5 </w:t>
                  </w:r>
                </w:p>
              </w:tc>
              <w:tc>
                <w:tcPr>
                  <w:tcW w:w="201" w:type="pct"/>
                  <w:tcBorders>
                    <w:tl2br w:val="nil"/>
                    <w:tr2bl w:val="nil"/>
                  </w:tcBorders>
                  <w:noWrap w:val="0"/>
                  <w:tcMar>
                    <w:top w:w="0" w:type="dxa"/>
                    <w:left w:w="0" w:type="dxa"/>
                    <w:bottom w:w="0" w:type="dxa"/>
                    <w:right w:w="0" w:type="dxa"/>
                  </w:tcMar>
                  <w:vAlign w:val="center"/>
                </w:tcPr>
                <w:p w14:paraId="40BA724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23.7 </w:t>
                  </w:r>
                </w:p>
              </w:tc>
              <w:tc>
                <w:tcPr>
                  <w:tcW w:w="193" w:type="pct"/>
                  <w:tcBorders>
                    <w:tl2br w:val="nil"/>
                    <w:tr2bl w:val="nil"/>
                  </w:tcBorders>
                  <w:noWrap w:val="0"/>
                  <w:tcMar>
                    <w:top w:w="0" w:type="dxa"/>
                    <w:left w:w="0" w:type="dxa"/>
                    <w:bottom w:w="0" w:type="dxa"/>
                    <w:right w:w="0" w:type="dxa"/>
                  </w:tcMar>
                  <w:vAlign w:val="center"/>
                </w:tcPr>
                <w:p w14:paraId="334DBE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25.8 </w:t>
                  </w:r>
                </w:p>
              </w:tc>
              <w:tc>
                <w:tcPr>
                  <w:tcW w:w="195" w:type="pct"/>
                  <w:tcBorders>
                    <w:tl2br w:val="nil"/>
                    <w:tr2bl w:val="nil"/>
                  </w:tcBorders>
                  <w:noWrap w:val="0"/>
                  <w:tcMar>
                    <w:top w:w="0" w:type="dxa"/>
                    <w:left w:w="0" w:type="dxa"/>
                    <w:bottom w:w="0" w:type="dxa"/>
                    <w:right w:w="0" w:type="dxa"/>
                  </w:tcMar>
                  <w:vAlign w:val="center"/>
                </w:tcPr>
                <w:p w14:paraId="22EB44A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27.8 </w:t>
                  </w:r>
                </w:p>
              </w:tc>
              <w:tc>
                <w:tcPr>
                  <w:tcW w:w="202" w:type="pct"/>
                  <w:tcBorders>
                    <w:tl2br w:val="nil"/>
                    <w:tr2bl w:val="nil"/>
                  </w:tcBorders>
                  <w:noWrap w:val="0"/>
                  <w:tcMar>
                    <w:top w:w="0" w:type="dxa"/>
                    <w:left w:w="0" w:type="dxa"/>
                    <w:bottom w:w="0" w:type="dxa"/>
                    <w:right w:w="0" w:type="dxa"/>
                  </w:tcMar>
                  <w:vAlign w:val="center"/>
                </w:tcPr>
                <w:p w14:paraId="7EFBFE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42C69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6FFE0F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53</w:t>
                  </w:r>
                </w:p>
              </w:tc>
              <w:tc>
                <w:tcPr>
                  <w:tcW w:w="178" w:type="pct"/>
                  <w:vMerge w:val="continue"/>
                  <w:tcBorders>
                    <w:tl2br w:val="nil"/>
                    <w:tr2bl w:val="nil"/>
                  </w:tcBorders>
                  <w:noWrap w:val="0"/>
                  <w:tcMar>
                    <w:top w:w="0" w:type="dxa"/>
                    <w:left w:w="0" w:type="dxa"/>
                    <w:bottom w:w="0" w:type="dxa"/>
                    <w:right w:w="0" w:type="dxa"/>
                  </w:tcMar>
                  <w:vAlign w:val="center"/>
                </w:tcPr>
                <w:p w14:paraId="43D4821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5ED9DB2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高频精细脱水筛（5个，按点声源组计算）</w:t>
                  </w:r>
                </w:p>
              </w:tc>
              <w:tc>
                <w:tcPr>
                  <w:tcW w:w="166" w:type="pct"/>
                  <w:tcBorders>
                    <w:tl2br w:val="nil"/>
                    <w:tr2bl w:val="nil"/>
                  </w:tcBorders>
                  <w:noWrap w:val="0"/>
                  <w:tcMar>
                    <w:top w:w="0" w:type="dxa"/>
                    <w:left w:w="0" w:type="dxa"/>
                    <w:bottom w:w="0" w:type="dxa"/>
                    <w:right w:w="0" w:type="dxa"/>
                  </w:tcMar>
                  <w:vAlign w:val="center"/>
                </w:tcPr>
                <w:p w14:paraId="7483C53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5</w:t>
                  </w:r>
                </w:p>
              </w:tc>
              <w:tc>
                <w:tcPr>
                  <w:tcW w:w="344" w:type="pct"/>
                  <w:tcBorders>
                    <w:tl2br w:val="nil"/>
                    <w:tr2bl w:val="nil"/>
                  </w:tcBorders>
                  <w:noWrap w:val="0"/>
                  <w:tcMar>
                    <w:top w:w="0" w:type="dxa"/>
                    <w:left w:w="0" w:type="dxa"/>
                    <w:bottom w:w="0" w:type="dxa"/>
                    <w:right w:w="0" w:type="dxa"/>
                  </w:tcMar>
                  <w:vAlign w:val="center"/>
                </w:tcPr>
                <w:p w14:paraId="32C0D6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92.0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8A6218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2236B7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28.1</w:t>
                  </w:r>
                </w:p>
              </w:tc>
              <w:tc>
                <w:tcPr>
                  <w:tcW w:w="219" w:type="pct"/>
                  <w:tcBorders>
                    <w:tl2br w:val="nil"/>
                    <w:tr2bl w:val="nil"/>
                  </w:tcBorders>
                  <w:noWrap w:val="0"/>
                  <w:tcMar>
                    <w:top w:w="0" w:type="dxa"/>
                    <w:left w:w="0" w:type="dxa"/>
                    <w:bottom w:w="0" w:type="dxa"/>
                    <w:right w:w="0" w:type="dxa"/>
                  </w:tcMar>
                  <w:vAlign w:val="center"/>
                </w:tcPr>
                <w:p w14:paraId="52F0EF2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3.0</w:t>
                  </w:r>
                </w:p>
              </w:tc>
              <w:tc>
                <w:tcPr>
                  <w:tcW w:w="176" w:type="pct"/>
                  <w:tcBorders>
                    <w:tl2br w:val="nil"/>
                    <w:tr2bl w:val="nil"/>
                  </w:tcBorders>
                  <w:noWrap w:val="0"/>
                  <w:tcMar>
                    <w:top w:w="0" w:type="dxa"/>
                    <w:left w:w="0" w:type="dxa"/>
                    <w:bottom w:w="0" w:type="dxa"/>
                    <w:right w:w="0" w:type="dxa"/>
                  </w:tcMar>
                  <w:vAlign w:val="center"/>
                </w:tcPr>
                <w:p w14:paraId="5A3A8B7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50783D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8.0</w:t>
                  </w:r>
                </w:p>
              </w:tc>
              <w:tc>
                <w:tcPr>
                  <w:tcW w:w="187" w:type="pct"/>
                  <w:tcBorders>
                    <w:tl2br w:val="nil"/>
                    <w:tr2bl w:val="nil"/>
                  </w:tcBorders>
                  <w:shd w:val="clear" w:color="auto" w:fill="auto"/>
                  <w:noWrap w:val="0"/>
                  <w:tcMar>
                    <w:top w:w="0" w:type="dxa"/>
                    <w:left w:w="0" w:type="dxa"/>
                    <w:bottom w:w="0" w:type="dxa"/>
                    <w:right w:w="0" w:type="dxa"/>
                  </w:tcMar>
                  <w:vAlign w:val="center"/>
                </w:tcPr>
                <w:p w14:paraId="79EE9B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20.2</w:t>
                  </w:r>
                </w:p>
              </w:tc>
              <w:tc>
                <w:tcPr>
                  <w:tcW w:w="205" w:type="pct"/>
                  <w:tcBorders>
                    <w:tl2br w:val="nil"/>
                    <w:tr2bl w:val="nil"/>
                  </w:tcBorders>
                  <w:shd w:val="clear" w:color="auto" w:fill="auto"/>
                  <w:noWrap w:val="0"/>
                  <w:tcMar>
                    <w:top w:w="0" w:type="dxa"/>
                    <w:left w:w="0" w:type="dxa"/>
                    <w:bottom w:w="0" w:type="dxa"/>
                    <w:right w:w="0" w:type="dxa"/>
                  </w:tcMar>
                  <w:vAlign w:val="center"/>
                </w:tcPr>
                <w:p w14:paraId="087A425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15.2</w:t>
                  </w:r>
                </w:p>
              </w:tc>
              <w:tc>
                <w:tcPr>
                  <w:tcW w:w="213" w:type="pct"/>
                  <w:tcBorders>
                    <w:tl2br w:val="nil"/>
                    <w:tr2bl w:val="nil"/>
                  </w:tcBorders>
                  <w:shd w:val="clear" w:color="auto" w:fill="auto"/>
                  <w:noWrap w:val="0"/>
                  <w:tcMar>
                    <w:top w:w="0" w:type="dxa"/>
                    <w:left w:w="0" w:type="dxa"/>
                    <w:bottom w:w="0" w:type="dxa"/>
                    <w:right w:w="0" w:type="dxa"/>
                  </w:tcMar>
                  <w:vAlign w:val="center"/>
                </w:tcPr>
                <w:p w14:paraId="7DF0606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13.3</w:t>
                  </w:r>
                </w:p>
              </w:tc>
              <w:tc>
                <w:tcPr>
                  <w:tcW w:w="192" w:type="pct"/>
                  <w:tcBorders>
                    <w:tl2br w:val="nil"/>
                    <w:tr2bl w:val="nil"/>
                  </w:tcBorders>
                  <w:noWrap w:val="0"/>
                  <w:tcMar>
                    <w:top w:w="0" w:type="dxa"/>
                    <w:left w:w="0" w:type="dxa"/>
                    <w:bottom w:w="0" w:type="dxa"/>
                    <w:right w:w="0" w:type="dxa"/>
                  </w:tcMar>
                  <w:vAlign w:val="center"/>
                </w:tcPr>
                <w:p w14:paraId="699AFA2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66.9 </w:t>
                  </w:r>
                </w:p>
              </w:tc>
              <w:tc>
                <w:tcPr>
                  <w:tcW w:w="192" w:type="pct"/>
                  <w:tcBorders>
                    <w:tl2br w:val="nil"/>
                    <w:tr2bl w:val="nil"/>
                  </w:tcBorders>
                  <w:noWrap w:val="0"/>
                  <w:tcMar>
                    <w:top w:w="0" w:type="dxa"/>
                    <w:left w:w="0" w:type="dxa"/>
                    <w:bottom w:w="0" w:type="dxa"/>
                    <w:right w:w="0" w:type="dxa"/>
                  </w:tcMar>
                  <w:vAlign w:val="center"/>
                </w:tcPr>
                <w:p w14:paraId="365DF76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58.9 </w:t>
                  </w:r>
                </w:p>
              </w:tc>
              <w:tc>
                <w:tcPr>
                  <w:tcW w:w="205" w:type="pct"/>
                  <w:tcBorders>
                    <w:tl2br w:val="nil"/>
                    <w:tr2bl w:val="nil"/>
                  </w:tcBorders>
                  <w:noWrap w:val="0"/>
                  <w:tcMar>
                    <w:top w:w="0" w:type="dxa"/>
                    <w:left w:w="0" w:type="dxa"/>
                    <w:bottom w:w="0" w:type="dxa"/>
                    <w:right w:w="0" w:type="dxa"/>
                  </w:tcMar>
                  <w:vAlign w:val="center"/>
                </w:tcPr>
                <w:p w14:paraId="1DC75E8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61.4 </w:t>
                  </w:r>
                </w:p>
              </w:tc>
              <w:tc>
                <w:tcPr>
                  <w:tcW w:w="208" w:type="pct"/>
                  <w:tcBorders>
                    <w:tl2br w:val="nil"/>
                    <w:tr2bl w:val="nil"/>
                  </w:tcBorders>
                  <w:noWrap w:val="0"/>
                  <w:tcMar>
                    <w:top w:w="0" w:type="dxa"/>
                    <w:left w:w="0" w:type="dxa"/>
                    <w:bottom w:w="0" w:type="dxa"/>
                    <w:right w:w="0" w:type="dxa"/>
                  </w:tcMar>
                  <w:vAlign w:val="center"/>
                </w:tcPr>
                <w:p w14:paraId="66BBCB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62.5 </w:t>
                  </w:r>
                </w:p>
              </w:tc>
              <w:tc>
                <w:tcPr>
                  <w:tcW w:w="228" w:type="pct"/>
                  <w:vMerge w:val="continue"/>
                  <w:tcBorders>
                    <w:tl2br w:val="nil"/>
                    <w:tr2bl w:val="nil"/>
                  </w:tcBorders>
                  <w:noWrap w:val="0"/>
                  <w:tcMar>
                    <w:top w:w="0" w:type="dxa"/>
                    <w:left w:w="0" w:type="dxa"/>
                    <w:bottom w:w="0" w:type="dxa"/>
                    <w:right w:w="0" w:type="dxa"/>
                  </w:tcMar>
                  <w:vAlign w:val="center"/>
                </w:tcPr>
                <w:p w14:paraId="7AC6F9A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2FAE40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10279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41.9 </w:t>
                  </w:r>
                </w:p>
              </w:tc>
              <w:tc>
                <w:tcPr>
                  <w:tcW w:w="201" w:type="pct"/>
                  <w:tcBorders>
                    <w:tl2br w:val="nil"/>
                    <w:tr2bl w:val="nil"/>
                  </w:tcBorders>
                  <w:noWrap w:val="0"/>
                  <w:tcMar>
                    <w:top w:w="0" w:type="dxa"/>
                    <w:left w:w="0" w:type="dxa"/>
                    <w:bottom w:w="0" w:type="dxa"/>
                    <w:right w:w="0" w:type="dxa"/>
                  </w:tcMar>
                  <w:vAlign w:val="center"/>
                </w:tcPr>
                <w:p w14:paraId="135CB60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33.9 </w:t>
                  </w:r>
                </w:p>
              </w:tc>
              <w:tc>
                <w:tcPr>
                  <w:tcW w:w="193" w:type="pct"/>
                  <w:tcBorders>
                    <w:tl2br w:val="nil"/>
                    <w:tr2bl w:val="nil"/>
                  </w:tcBorders>
                  <w:noWrap w:val="0"/>
                  <w:tcMar>
                    <w:top w:w="0" w:type="dxa"/>
                    <w:left w:w="0" w:type="dxa"/>
                    <w:bottom w:w="0" w:type="dxa"/>
                    <w:right w:w="0" w:type="dxa"/>
                  </w:tcMar>
                  <w:vAlign w:val="center"/>
                </w:tcPr>
                <w:p w14:paraId="6BFEDF9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36.4 </w:t>
                  </w:r>
                </w:p>
              </w:tc>
              <w:tc>
                <w:tcPr>
                  <w:tcW w:w="195" w:type="pct"/>
                  <w:tcBorders>
                    <w:tl2br w:val="nil"/>
                    <w:tr2bl w:val="nil"/>
                  </w:tcBorders>
                  <w:noWrap w:val="0"/>
                  <w:tcMar>
                    <w:top w:w="0" w:type="dxa"/>
                    <w:left w:w="0" w:type="dxa"/>
                    <w:bottom w:w="0" w:type="dxa"/>
                    <w:right w:w="0" w:type="dxa"/>
                  </w:tcMar>
                  <w:vAlign w:val="center"/>
                </w:tcPr>
                <w:p w14:paraId="267A1FB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37.5 </w:t>
                  </w:r>
                </w:p>
              </w:tc>
              <w:tc>
                <w:tcPr>
                  <w:tcW w:w="202" w:type="pct"/>
                  <w:tcBorders>
                    <w:tl2br w:val="nil"/>
                    <w:tr2bl w:val="nil"/>
                  </w:tcBorders>
                  <w:noWrap w:val="0"/>
                  <w:tcMar>
                    <w:top w:w="0" w:type="dxa"/>
                    <w:left w:w="0" w:type="dxa"/>
                    <w:bottom w:w="0" w:type="dxa"/>
                    <w:right w:w="0" w:type="dxa"/>
                  </w:tcMar>
                  <w:vAlign w:val="center"/>
                </w:tcPr>
                <w:p w14:paraId="7C14B1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6A0A48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3743058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54</w:t>
                  </w:r>
                </w:p>
              </w:tc>
              <w:tc>
                <w:tcPr>
                  <w:tcW w:w="178" w:type="pct"/>
                  <w:vMerge w:val="continue"/>
                  <w:tcBorders>
                    <w:tl2br w:val="nil"/>
                    <w:tr2bl w:val="nil"/>
                  </w:tcBorders>
                  <w:noWrap w:val="0"/>
                  <w:tcMar>
                    <w:top w:w="0" w:type="dxa"/>
                    <w:left w:w="0" w:type="dxa"/>
                    <w:bottom w:w="0" w:type="dxa"/>
                    <w:right w:w="0" w:type="dxa"/>
                  </w:tcMar>
                  <w:vAlign w:val="center"/>
                </w:tcPr>
                <w:p w14:paraId="66BF1E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noWrap w:val="0"/>
                  <w:tcMar>
                    <w:top w:w="0" w:type="dxa"/>
                    <w:left w:w="0" w:type="dxa"/>
                    <w:bottom w:w="0" w:type="dxa"/>
                    <w:right w:w="0" w:type="dxa"/>
                  </w:tcMar>
                  <w:vAlign w:val="center"/>
                </w:tcPr>
                <w:p w14:paraId="35700A0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锥形沉淀罐（3个，按点声源组计算）</w:t>
                  </w:r>
                </w:p>
              </w:tc>
              <w:tc>
                <w:tcPr>
                  <w:tcW w:w="166" w:type="pct"/>
                  <w:tcBorders>
                    <w:tl2br w:val="nil"/>
                    <w:tr2bl w:val="nil"/>
                  </w:tcBorders>
                  <w:noWrap w:val="0"/>
                  <w:tcMar>
                    <w:top w:w="0" w:type="dxa"/>
                    <w:left w:w="0" w:type="dxa"/>
                    <w:bottom w:w="0" w:type="dxa"/>
                    <w:right w:w="0" w:type="dxa"/>
                  </w:tcMar>
                  <w:vAlign w:val="center"/>
                </w:tcPr>
                <w:p w14:paraId="0F651A5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69580C2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74.8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36FAD3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6A2F97F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23.9</w:t>
                  </w:r>
                </w:p>
              </w:tc>
              <w:tc>
                <w:tcPr>
                  <w:tcW w:w="219" w:type="pct"/>
                  <w:tcBorders>
                    <w:tl2br w:val="nil"/>
                    <w:tr2bl w:val="nil"/>
                  </w:tcBorders>
                  <w:noWrap w:val="0"/>
                  <w:tcMar>
                    <w:top w:w="0" w:type="dxa"/>
                    <w:left w:w="0" w:type="dxa"/>
                    <w:bottom w:w="0" w:type="dxa"/>
                    <w:right w:w="0" w:type="dxa"/>
                  </w:tcMar>
                  <w:vAlign w:val="center"/>
                </w:tcPr>
                <w:p w14:paraId="502DCD4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2.8</w:t>
                  </w:r>
                </w:p>
              </w:tc>
              <w:tc>
                <w:tcPr>
                  <w:tcW w:w="176" w:type="pct"/>
                  <w:tcBorders>
                    <w:tl2br w:val="nil"/>
                    <w:tr2bl w:val="nil"/>
                  </w:tcBorders>
                  <w:noWrap w:val="0"/>
                  <w:tcMar>
                    <w:top w:w="0" w:type="dxa"/>
                    <w:left w:w="0" w:type="dxa"/>
                    <w:bottom w:w="0" w:type="dxa"/>
                    <w:right w:w="0" w:type="dxa"/>
                  </w:tcMar>
                  <w:vAlign w:val="center"/>
                </w:tcPr>
                <w:p w14:paraId="07F754F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shd w:val="clear" w:color="auto" w:fill="auto"/>
                  <w:noWrap w:val="0"/>
                  <w:tcMar>
                    <w:top w:w="0" w:type="dxa"/>
                    <w:left w:w="0" w:type="dxa"/>
                    <w:bottom w:w="0" w:type="dxa"/>
                    <w:right w:w="0" w:type="dxa"/>
                  </w:tcMar>
                  <w:vAlign w:val="center"/>
                </w:tcPr>
                <w:p w14:paraId="0EFF56B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5.9</w:t>
                  </w:r>
                </w:p>
              </w:tc>
              <w:tc>
                <w:tcPr>
                  <w:tcW w:w="187" w:type="pct"/>
                  <w:tcBorders>
                    <w:tl2br w:val="nil"/>
                    <w:tr2bl w:val="nil"/>
                  </w:tcBorders>
                  <w:shd w:val="clear" w:color="auto" w:fill="auto"/>
                  <w:noWrap w:val="0"/>
                  <w:tcMar>
                    <w:top w:w="0" w:type="dxa"/>
                    <w:left w:w="0" w:type="dxa"/>
                    <w:bottom w:w="0" w:type="dxa"/>
                    <w:right w:w="0" w:type="dxa"/>
                  </w:tcMar>
                  <w:vAlign w:val="center"/>
                </w:tcPr>
                <w:p w14:paraId="6C8D137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25.4</w:t>
                  </w:r>
                </w:p>
              </w:tc>
              <w:tc>
                <w:tcPr>
                  <w:tcW w:w="205" w:type="pct"/>
                  <w:tcBorders>
                    <w:tl2br w:val="nil"/>
                    <w:tr2bl w:val="nil"/>
                  </w:tcBorders>
                  <w:shd w:val="clear" w:color="auto" w:fill="auto"/>
                  <w:noWrap w:val="0"/>
                  <w:tcMar>
                    <w:top w:w="0" w:type="dxa"/>
                    <w:left w:w="0" w:type="dxa"/>
                    <w:bottom w:w="0" w:type="dxa"/>
                    <w:right w:w="0" w:type="dxa"/>
                  </w:tcMar>
                  <w:vAlign w:val="center"/>
                </w:tcPr>
                <w:p w14:paraId="627FC93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sz w:val="18"/>
                      <w:szCs w:val="18"/>
                      <w:highlight w:val="none"/>
                      <w:lang w:val="en-US" w:eastAsia="zh-CN"/>
                    </w:rPr>
                    <w:t>15.5</w:t>
                  </w:r>
                </w:p>
              </w:tc>
              <w:tc>
                <w:tcPr>
                  <w:tcW w:w="213" w:type="pct"/>
                  <w:tcBorders>
                    <w:tl2br w:val="nil"/>
                    <w:tr2bl w:val="nil"/>
                  </w:tcBorders>
                  <w:shd w:val="clear" w:color="auto" w:fill="auto"/>
                  <w:noWrap w:val="0"/>
                  <w:tcMar>
                    <w:top w:w="0" w:type="dxa"/>
                    <w:left w:w="0" w:type="dxa"/>
                    <w:bottom w:w="0" w:type="dxa"/>
                    <w:right w:w="0" w:type="dxa"/>
                  </w:tcMar>
                  <w:vAlign w:val="center"/>
                </w:tcPr>
                <w:p w14:paraId="7684947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13.8</w:t>
                  </w:r>
                </w:p>
              </w:tc>
              <w:tc>
                <w:tcPr>
                  <w:tcW w:w="192" w:type="pct"/>
                  <w:tcBorders>
                    <w:tl2br w:val="nil"/>
                    <w:tr2bl w:val="nil"/>
                  </w:tcBorders>
                  <w:noWrap w:val="0"/>
                  <w:tcMar>
                    <w:top w:w="0" w:type="dxa"/>
                    <w:left w:w="0" w:type="dxa"/>
                    <w:bottom w:w="0" w:type="dxa"/>
                    <w:right w:w="0" w:type="dxa"/>
                  </w:tcMar>
                  <w:vAlign w:val="center"/>
                </w:tcPr>
                <w:p w14:paraId="2FC5A82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54.6 </w:t>
                  </w:r>
                </w:p>
              </w:tc>
              <w:tc>
                <w:tcPr>
                  <w:tcW w:w="192" w:type="pct"/>
                  <w:tcBorders>
                    <w:tl2br w:val="nil"/>
                    <w:tr2bl w:val="nil"/>
                  </w:tcBorders>
                  <w:noWrap w:val="0"/>
                  <w:tcMar>
                    <w:top w:w="0" w:type="dxa"/>
                    <w:left w:w="0" w:type="dxa"/>
                    <w:bottom w:w="0" w:type="dxa"/>
                    <w:right w:w="0" w:type="dxa"/>
                  </w:tcMar>
                  <w:vAlign w:val="center"/>
                </w:tcPr>
                <w:p w14:paraId="61EA44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41.9 </w:t>
                  </w:r>
                </w:p>
              </w:tc>
              <w:tc>
                <w:tcPr>
                  <w:tcW w:w="205" w:type="pct"/>
                  <w:tcBorders>
                    <w:tl2br w:val="nil"/>
                    <w:tr2bl w:val="nil"/>
                  </w:tcBorders>
                  <w:noWrap w:val="0"/>
                  <w:tcMar>
                    <w:top w:w="0" w:type="dxa"/>
                    <w:left w:w="0" w:type="dxa"/>
                    <w:bottom w:w="0" w:type="dxa"/>
                    <w:right w:w="0" w:type="dxa"/>
                  </w:tcMar>
                  <w:vAlign w:val="center"/>
                </w:tcPr>
                <w:p w14:paraId="1C229E1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46.2 </w:t>
                  </w:r>
                </w:p>
              </w:tc>
              <w:tc>
                <w:tcPr>
                  <w:tcW w:w="208" w:type="pct"/>
                  <w:tcBorders>
                    <w:tl2br w:val="nil"/>
                    <w:tr2bl w:val="nil"/>
                  </w:tcBorders>
                  <w:noWrap w:val="0"/>
                  <w:tcMar>
                    <w:top w:w="0" w:type="dxa"/>
                    <w:left w:w="0" w:type="dxa"/>
                    <w:bottom w:w="0" w:type="dxa"/>
                    <w:right w:w="0" w:type="dxa"/>
                  </w:tcMar>
                  <w:vAlign w:val="center"/>
                </w:tcPr>
                <w:p w14:paraId="5CA5F34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47.2 </w:t>
                  </w:r>
                </w:p>
              </w:tc>
              <w:tc>
                <w:tcPr>
                  <w:tcW w:w="228" w:type="pct"/>
                  <w:vMerge w:val="continue"/>
                  <w:tcBorders>
                    <w:tl2br w:val="nil"/>
                    <w:tr2bl w:val="nil"/>
                  </w:tcBorders>
                  <w:noWrap w:val="0"/>
                  <w:tcMar>
                    <w:top w:w="0" w:type="dxa"/>
                    <w:left w:w="0" w:type="dxa"/>
                    <w:bottom w:w="0" w:type="dxa"/>
                    <w:right w:w="0" w:type="dxa"/>
                  </w:tcMar>
                  <w:vAlign w:val="center"/>
                </w:tcPr>
                <w:p w14:paraId="54F1357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183081A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BC80C0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29.6 </w:t>
                  </w:r>
                </w:p>
              </w:tc>
              <w:tc>
                <w:tcPr>
                  <w:tcW w:w="201" w:type="pct"/>
                  <w:tcBorders>
                    <w:tl2br w:val="nil"/>
                    <w:tr2bl w:val="nil"/>
                  </w:tcBorders>
                  <w:noWrap w:val="0"/>
                  <w:tcMar>
                    <w:top w:w="0" w:type="dxa"/>
                    <w:left w:w="0" w:type="dxa"/>
                    <w:bottom w:w="0" w:type="dxa"/>
                    <w:right w:w="0" w:type="dxa"/>
                  </w:tcMar>
                  <w:vAlign w:val="center"/>
                </w:tcPr>
                <w:p w14:paraId="1114FCF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16.9 </w:t>
                  </w:r>
                </w:p>
              </w:tc>
              <w:tc>
                <w:tcPr>
                  <w:tcW w:w="193" w:type="pct"/>
                  <w:tcBorders>
                    <w:tl2br w:val="nil"/>
                    <w:tr2bl w:val="nil"/>
                  </w:tcBorders>
                  <w:noWrap w:val="0"/>
                  <w:tcMar>
                    <w:top w:w="0" w:type="dxa"/>
                    <w:left w:w="0" w:type="dxa"/>
                    <w:bottom w:w="0" w:type="dxa"/>
                    <w:right w:w="0" w:type="dxa"/>
                  </w:tcMar>
                  <w:vAlign w:val="center"/>
                </w:tcPr>
                <w:p w14:paraId="46EF7D5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21.2 </w:t>
                  </w:r>
                </w:p>
              </w:tc>
              <w:tc>
                <w:tcPr>
                  <w:tcW w:w="195" w:type="pct"/>
                  <w:tcBorders>
                    <w:tl2br w:val="nil"/>
                    <w:tr2bl w:val="nil"/>
                  </w:tcBorders>
                  <w:noWrap w:val="0"/>
                  <w:tcMar>
                    <w:top w:w="0" w:type="dxa"/>
                    <w:left w:w="0" w:type="dxa"/>
                    <w:bottom w:w="0" w:type="dxa"/>
                    <w:right w:w="0" w:type="dxa"/>
                  </w:tcMar>
                  <w:vAlign w:val="center"/>
                </w:tcPr>
                <w:p w14:paraId="6D0380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22.2 </w:t>
                  </w:r>
                </w:p>
              </w:tc>
              <w:tc>
                <w:tcPr>
                  <w:tcW w:w="202" w:type="pct"/>
                  <w:tcBorders>
                    <w:tl2br w:val="nil"/>
                    <w:tr2bl w:val="nil"/>
                  </w:tcBorders>
                  <w:noWrap w:val="0"/>
                  <w:tcMar>
                    <w:top w:w="0" w:type="dxa"/>
                    <w:left w:w="0" w:type="dxa"/>
                    <w:bottom w:w="0" w:type="dxa"/>
                    <w:right w:w="0" w:type="dxa"/>
                  </w:tcMar>
                  <w:vAlign w:val="center"/>
                </w:tcPr>
                <w:p w14:paraId="34A1D8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2683E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1103DB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55</w:t>
                  </w:r>
                </w:p>
              </w:tc>
              <w:tc>
                <w:tcPr>
                  <w:tcW w:w="178" w:type="pct"/>
                  <w:vMerge w:val="restart"/>
                  <w:tcBorders>
                    <w:tl2br w:val="nil"/>
                    <w:tr2bl w:val="nil"/>
                  </w:tcBorders>
                  <w:noWrap w:val="0"/>
                  <w:tcMar>
                    <w:top w:w="0" w:type="dxa"/>
                    <w:left w:w="0" w:type="dxa"/>
                    <w:bottom w:w="0" w:type="dxa"/>
                    <w:right w:w="0" w:type="dxa"/>
                  </w:tcMar>
                  <w:vAlign w:val="center"/>
                </w:tcPr>
                <w:p w14:paraId="6017CA2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2#清洗车间</w:t>
                  </w:r>
                </w:p>
              </w:tc>
              <w:tc>
                <w:tcPr>
                  <w:tcW w:w="326" w:type="pct"/>
                  <w:tcBorders>
                    <w:tl2br w:val="nil"/>
                    <w:tr2bl w:val="nil"/>
                  </w:tcBorders>
                  <w:shd w:val="clear" w:color="auto" w:fill="auto"/>
                  <w:noWrap w:val="0"/>
                  <w:tcMar>
                    <w:top w:w="0" w:type="dxa"/>
                    <w:left w:w="0" w:type="dxa"/>
                    <w:bottom w:w="0" w:type="dxa"/>
                    <w:right w:w="0" w:type="dxa"/>
                  </w:tcMar>
                  <w:vAlign w:val="center"/>
                </w:tcPr>
                <w:p w14:paraId="07920FA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电烘干箱（2台，按点声源组计算）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7C02BC4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2</w:t>
                  </w:r>
                </w:p>
              </w:tc>
              <w:tc>
                <w:tcPr>
                  <w:tcW w:w="344" w:type="pct"/>
                  <w:tcBorders>
                    <w:tl2br w:val="nil"/>
                    <w:tr2bl w:val="nil"/>
                  </w:tcBorders>
                  <w:noWrap w:val="0"/>
                  <w:tcMar>
                    <w:top w:w="0" w:type="dxa"/>
                    <w:left w:w="0" w:type="dxa"/>
                    <w:bottom w:w="0" w:type="dxa"/>
                    <w:right w:w="0" w:type="dxa"/>
                  </w:tcMar>
                  <w:vAlign w:val="center"/>
                </w:tcPr>
                <w:p w14:paraId="28CB31C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78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B6A4D4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67E12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59.1</w:t>
                  </w:r>
                </w:p>
              </w:tc>
              <w:tc>
                <w:tcPr>
                  <w:tcW w:w="219" w:type="pct"/>
                  <w:tcBorders>
                    <w:tl2br w:val="nil"/>
                    <w:tr2bl w:val="nil"/>
                  </w:tcBorders>
                  <w:noWrap w:val="0"/>
                  <w:tcMar>
                    <w:top w:w="0" w:type="dxa"/>
                    <w:left w:w="0" w:type="dxa"/>
                    <w:bottom w:w="0" w:type="dxa"/>
                    <w:right w:w="0" w:type="dxa"/>
                  </w:tcMar>
                  <w:vAlign w:val="center"/>
                </w:tcPr>
                <w:p w14:paraId="4B24DE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4.2</w:t>
                  </w:r>
                </w:p>
              </w:tc>
              <w:tc>
                <w:tcPr>
                  <w:tcW w:w="176" w:type="pct"/>
                  <w:tcBorders>
                    <w:tl2br w:val="nil"/>
                    <w:tr2bl w:val="nil"/>
                  </w:tcBorders>
                  <w:noWrap w:val="0"/>
                  <w:tcMar>
                    <w:top w:w="0" w:type="dxa"/>
                    <w:left w:w="0" w:type="dxa"/>
                    <w:bottom w:w="0" w:type="dxa"/>
                    <w:right w:w="0" w:type="dxa"/>
                  </w:tcMar>
                  <w:vAlign w:val="center"/>
                </w:tcPr>
                <w:p w14:paraId="1F46824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230BA2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12.5</w:t>
                  </w:r>
                </w:p>
              </w:tc>
              <w:tc>
                <w:tcPr>
                  <w:tcW w:w="187" w:type="pct"/>
                  <w:tcBorders>
                    <w:tl2br w:val="nil"/>
                    <w:tr2bl w:val="nil"/>
                  </w:tcBorders>
                  <w:noWrap w:val="0"/>
                  <w:tcMar>
                    <w:top w:w="0" w:type="dxa"/>
                    <w:left w:w="0" w:type="dxa"/>
                    <w:bottom w:w="0" w:type="dxa"/>
                    <w:right w:w="0" w:type="dxa"/>
                  </w:tcMar>
                  <w:vAlign w:val="center"/>
                </w:tcPr>
                <w:p w14:paraId="65E0A1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14.5</w:t>
                  </w:r>
                </w:p>
              </w:tc>
              <w:tc>
                <w:tcPr>
                  <w:tcW w:w="205" w:type="pct"/>
                  <w:tcBorders>
                    <w:tl2br w:val="nil"/>
                    <w:tr2bl w:val="nil"/>
                  </w:tcBorders>
                  <w:noWrap w:val="0"/>
                  <w:tcMar>
                    <w:top w:w="0" w:type="dxa"/>
                    <w:left w:w="0" w:type="dxa"/>
                    <w:bottom w:w="0" w:type="dxa"/>
                    <w:right w:w="0" w:type="dxa"/>
                  </w:tcMar>
                  <w:vAlign w:val="center"/>
                </w:tcPr>
                <w:p w14:paraId="56D3F2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15.6</w:t>
                  </w:r>
                </w:p>
              </w:tc>
              <w:tc>
                <w:tcPr>
                  <w:tcW w:w="213" w:type="pct"/>
                  <w:tcBorders>
                    <w:tl2br w:val="nil"/>
                    <w:tr2bl w:val="nil"/>
                  </w:tcBorders>
                  <w:noWrap w:val="0"/>
                  <w:tcMar>
                    <w:top w:w="0" w:type="dxa"/>
                    <w:left w:w="0" w:type="dxa"/>
                    <w:bottom w:w="0" w:type="dxa"/>
                    <w:right w:w="0" w:type="dxa"/>
                  </w:tcMar>
                  <w:vAlign w:val="center"/>
                </w:tcPr>
                <w:p w14:paraId="4F9B1A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14.8</w:t>
                  </w:r>
                </w:p>
              </w:tc>
              <w:tc>
                <w:tcPr>
                  <w:tcW w:w="192" w:type="pct"/>
                  <w:tcBorders>
                    <w:tl2br w:val="nil"/>
                    <w:tr2bl w:val="nil"/>
                  </w:tcBorders>
                  <w:noWrap w:val="0"/>
                  <w:tcMar>
                    <w:top w:w="0" w:type="dxa"/>
                    <w:left w:w="0" w:type="dxa"/>
                    <w:bottom w:w="0" w:type="dxa"/>
                    <w:right w:w="0" w:type="dxa"/>
                  </w:tcMar>
                  <w:vAlign w:val="center"/>
                </w:tcPr>
                <w:p w14:paraId="32E0559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53.1 </w:t>
                  </w:r>
                </w:p>
              </w:tc>
              <w:tc>
                <w:tcPr>
                  <w:tcW w:w="192" w:type="pct"/>
                  <w:tcBorders>
                    <w:tl2br w:val="nil"/>
                    <w:tr2bl w:val="nil"/>
                  </w:tcBorders>
                  <w:noWrap w:val="0"/>
                  <w:tcMar>
                    <w:top w:w="0" w:type="dxa"/>
                    <w:left w:w="0" w:type="dxa"/>
                    <w:bottom w:w="0" w:type="dxa"/>
                    <w:right w:w="0" w:type="dxa"/>
                  </w:tcMar>
                  <w:vAlign w:val="center"/>
                </w:tcPr>
                <w:p w14:paraId="0252CEA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51.8 </w:t>
                  </w:r>
                </w:p>
              </w:tc>
              <w:tc>
                <w:tcPr>
                  <w:tcW w:w="205" w:type="pct"/>
                  <w:tcBorders>
                    <w:tl2br w:val="nil"/>
                    <w:tr2bl w:val="nil"/>
                  </w:tcBorders>
                  <w:noWrap w:val="0"/>
                  <w:tcMar>
                    <w:top w:w="0" w:type="dxa"/>
                    <w:left w:w="0" w:type="dxa"/>
                    <w:bottom w:w="0" w:type="dxa"/>
                    <w:right w:w="0" w:type="dxa"/>
                  </w:tcMar>
                  <w:vAlign w:val="center"/>
                </w:tcPr>
                <w:p w14:paraId="4F1727A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51.1 </w:t>
                  </w:r>
                </w:p>
              </w:tc>
              <w:tc>
                <w:tcPr>
                  <w:tcW w:w="208" w:type="pct"/>
                  <w:tcBorders>
                    <w:tl2br w:val="nil"/>
                    <w:tr2bl w:val="nil"/>
                  </w:tcBorders>
                  <w:noWrap w:val="0"/>
                  <w:tcMar>
                    <w:top w:w="0" w:type="dxa"/>
                    <w:left w:w="0" w:type="dxa"/>
                    <w:bottom w:w="0" w:type="dxa"/>
                    <w:right w:w="0" w:type="dxa"/>
                  </w:tcMar>
                  <w:vAlign w:val="center"/>
                </w:tcPr>
                <w:p w14:paraId="07D4580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51.6 </w:t>
                  </w:r>
                </w:p>
              </w:tc>
              <w:tc>
                <w:tcPr>
                  <w:tcW w:w="228" w:type="pct"/>
                  <w:vMerge w:val="continue"/>
                  <w:tcBorders>
                    <w:tl2br w:val="nil"/>
                    <w:tr2bl w:val="nil"/>
                  </w:tcBorders>
                  <w:noWrap w:val="0"/>
                  <w:tcMar>
                    <w:top w:w="0" w:type="dxa"/>
                    <w:left w:w="0" w:type="dxa"/>
                    <w:bottom w:w="0" w:type="dxa"/>
                    <w:right w:w="0" w:type="dxa"/>
                  </w:tcMar>
                  <w:vAlign w:val="center"/>
                </w:tcPr>
                <w:p w14:paraId="2ED0B63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5A204B1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11B8F0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28.1 </w:t>
                  </w:r>
                </w:p>
              </w:tc>
              <w:tc>
                <w:tcPr>
                  <w:tcW w:w="201" w:type="pct"/>
                  <w:tcBorders>
                    <w:tl2br w:val="nil"/>
                    <w:tr2bl w:val="nil"/>
                  </w:tcBorders>
                  <w:noWrap w:val="0"/>
                  <w:tcMar>
                    <w:top w:w="0" w:type="dxa"/>
                    <w:left w:w="0" w:type="dxa"/>
                    <w:bottom w:w="0" w:type="dxa"/>
                    <w:right w:w="0" w:type="dxa"/>
                  </w:tcMar>
                  <w:vAlign w:val="center"/>
                </w:tcPr>
                <w:p w14:paraId="28FF8107">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26.8 </w:t>
                  </w:r>
                </w:p>
              </w:tc>
              <w:tc>
                <w:tcPr>
                  <w:tcW w:w="193" w:type="pct"/>
                  <w:tcBorders>
                    <w:tl2br w:val="nil"/>
                    <w:tr2bl w:val="nil"/>
                  </w:tcBorders>
                  <w:noWrap w:val="0"/>
                  <w:tcMar>
                    <w:top w:w="0" w:type="dxa"/>
                    <w:left w:w="0" w:type="dxa"/>
                    <w:bottom w:w="0" w:type="dxa"/>
                    <w:right w:w="0" w:type="dxa"/>
                  </w:tcMar>
                  <w:vAlign w:val="center"/>
                </w:tcPr>
                <w:p w14:paraId="33ECCEB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26.1 </w:t>
                  </w:r>
                </w:p>
              </w:tc>
              <w:tc>
                <w:tcPr>
                  <w:tcW w:w="195" w:type="pct"/>
                  <w:tcBorders>
                    <w:tl2br w:val="nil"/>
                    <w:tr2bl w:val="nil"/>
                  </w:tcBorders>
                  <w:noWrap w:val="0"/>
                  <w:tcMar>
                    <w:top w:w="0" w:type="dxa"/>
                    <w:left w:w="0" w:type="dxa"/>
                    <w:bottom w:w="0" w:type="dxa"/>
                    <w:right w:w="0" w:type="dxa"/>
                  </w:tcMar>
                  <w:vAlign w:val="center"/>
                </w:tcPr>
                <w:p w14:paraId="2139822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26.6 </w:t>
                  </w:r>
                </w:p>
              </w:tc>
              <w:tc>
                <w:tcPr>
                  <w:tcW w:w="202" w:type="pct"/>
                  <w:tcBorders>
                    <w:tl2br w:val="nil"/>
                    <w:tr2bl w:val="nil"/>
                  </w:tcBorders>
                  <w:noWrap w:val="0"/>
                  <w:tcMar>
                    <w:top w:w="0" w:type="dxa"/>
                    <w:left w:w="0" w:type="dxa"/>
                    <w:bottom w:w="0" w:type="dxa"/>
                    <w:right w:w="0" w:type="dxa"/>
                  </w:tcMar>
                  <w:vAlign w:val="center"/>
                </w:tcPr>
                <w:p w14:paraId="365A54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7A28E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6E3B15E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56</w:t>
                  </w:r>
                </w:p>
              </w:tc>
              <w:tc>
                <w:tcPr>
                  <w:tcW w:w="178" w:type="pct"/>
                  <w:vMerge w:val="continue"/>
                  <w:tcBorders>
                    <w:tl2br w:val="nil"/>
                    <w:tr2bl w:val="nil"/>
                  </w:tcBorders>
                  <w:noWrap w:val="0"/>
                  <w:tcMar>
                    <w:top w:w="0" w:type="dxa"/>
                    <w:left w:w="0" w:type="dxa"/>
                    <w:bottom w:w="0" w:type="dxa"/>
                    <w:right w:w="0" w:type="dxa"/>
                  </w:tcMar>
                  <w:vAlign w:val="center"/>
                </w:tcPr>
                <w:p w14:paraId="79B4E55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83A9C3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搅拌清洗槽（5个，按点声源组计算）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62D7929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5</w:t>
                  </w:r>
                </w:p>
              </w:tc>
              <w:tc>
                <w:tcPr>
                  <w:tcW w:w="344" w:type="pct"/>
                  <w:tcBorders>
                    <w:tl2br w:val="nil"/>
                    <w:tr2bl w:val="nil"/>
                  </w:tcBorders>
                  <w:noWrap w:val="0"/>
                  <w:tcMar>
                    <w:top w:w="0" w:type="dxa"/>
                    <w:left w:w="0" w:type="dxa"/>
                    <w:bottom w:w="0" w:type="dxa"/>
                    <w:right w:w="0" w:type="dxa"/>
                  </w:tcMar>
                  <w:vAlign w:val="center"/>
                </w:tcPr>
                <w:p w14:paraId="7E5AD0B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82.0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5083EAA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7E3B3D5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54.7</w:t>
                  </w:r>
                </w:p>
              </w:tc>
              <w:tc>
                <w:tcPr>
                  <w:tcW w:w="219" w:type="pct"/>
                  <w:tcBorders>
                    <w:tl2br w:val="nil"/>
                    <w:tr2bl w:val="nil"/>
                  </w:tcBorders>
                  <w:noWrap w:val="0"/>
                  <w:tcMar>
                    <w:top w:w="0" w:type="dxa"/>
                    <w:left w:w="0" w:type="dxa"/>
                    <w:bottom w:w="0" w:type="dxa"/>
                    <w:right w:w="0" w:type="dxa"/>
                  </w:tcMar>
                  <w:vAlign w:val="center"/>
                </w:tcPr>
                <w:p w14:paraId="000C5DE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3.8</w:t>
                  </w:r>
                </w:p>
              </w:tc>
              <w:tc>
                <w:tcPr>
                  <w:tcW w:w="176" w:type="pct"/>
                  <w:tcBorders>
                    <w:tl2br w:val="nil"/>
                    <w:tr2bl w:val="nil"/>
                  </w:tcBorders>
                  <w:noWrap w:val="0"/>
                  <w:tcMar>
                    <w:top w:w="0" w:type="dxa"/>
                    <w:left w:w="0" w:type="dxa"/>
                    <w:bottom w:w="0" w:type="dxa"/>
                    <w:right w:w="0" w:type="dxa"/>
                  </w:tcMar>
                  <w:vAlign w:val="center"/>
                </w:tcPr>
                <w:p w14:paraId="5194AB1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52700E7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13.5</w:t>
                  </w:r>
                </w:p>
              </w:tc>
              <w:tc>
                <w:tcPr>
                  <w:tcW w:w="187" w:type="pct"/>
                  <w:tcBorders>
                    <w:tl2br w:val="nil"/>
                    <w:tr2bl w:val="nil"/>
                  </w:tcBorders>
                  <w:noWrap w:val="0"/>
                  <w:tcMar>
                    <w:top w:w="0" w:type="dxa"/>
                    <w:left w:w="0" w:type="dxa"/>
                    <w:bottom w:w="0" w:type="dxa"/>
                    <w:right w:w="0" w:type="dxa"/>
                  </w:tcMar>
                  <w:vAlign w:val="center"/>
                </w:tcPr>
                <w:p w14:paraId="651AC96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14.7</w:t>
                  </w:r>
                </w:p>
              </w:tc>
              <w:tc>
                <w:tcPr>
                  <w:tcW w:w="205" w:type="pct"/>
                  <w:tcBorders>
                    <w:tl2br w:val="nil"/>
                    <w:tr2bl w:val="nil"/>
                  </w:tcBorders>
                  <w:noWrap w:val="0"/>
                  <w:tcMar>
                    <w:top w:w="0" w:type="dxa"/>
                    <w:left w:w="0" w:type="dxa"/>
                    <w:bottom w:w="0" w:type="dxa"/>
                    <w:right w:w="0" w:type="dxa"/>
                  </w:tcMar>
                  <w:vAlign w:val="center"/>
                </w:tcPr>
                <w:p w14:paraId="2BCFEB4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213" w:type="pct"/>
                  <w:tcBorders>
                    <w:tl2br w:val="nil"/>
                    <w:tr2bl w:val="nil"/>
                  </w:tcBorders>
                  <w:noWrap w:val="0"/>
                  <w:tcMar>
                    <w:top w:w="0" w:type="dxa"/>
                    <w:left w:w="0" w:type="dxa"/>
                    <w:bottom w:w="0" w:type="dxa"/>
                    <w:right w:w="0" w:type="dxa"/>
                  </w:tcMar>
                  <w:vAlign w:val="center"/>
                </w:tcPr>
                <w:p w14:paraId="6A3290C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14.6</w:t>
                  </w:r>
                </w:p>
              </w:tc>
              <w:tc>
                <w:tcPr>
                  <w:tcW w:w="192" w:type="pct"/>
                  <w:tcBorders>
                    <w:tl2br w:val="nil"/>
                    <w:tr2bl w:val="nil"/>
                  </w:tcBorders>
                  <w:noWrap w:val="0"/>
                  <w:tcMar>
                    <w:top w:w="0" w:type="dxa"/>
                    <w:left w:w="0" w:type="dxa"/>
                    <w:bottom w:w="0" w:type="dxa"/>
                    <w:right w:w="0" w:type="dxa"/>
                  </w:tcMar>
                  <w:vAlign w:val="center"/>
                </w:tcPr>
                <w:p w14:paraId="349B972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52.4 </w:t>
                  </w:r>
                </w:p>
              </w:tc>
              <w:tc>
                <w:tcPr>
                  <w:tcW w:w="192" w:type="pct"/>
                  <w:tcBorders>
                    <w:tl2br w:val="nil"/>
                    <w:tr2bl w:val="nil"/>
                  </w:tcBorders>
                  <w:noWrap w:val="0"/>
                  <w:tcMar>
                    <w:top w:w="0" w:type="dxa"/>
                    <w:left w:w="0" w:type="dxa"/>
                    <w:bottom w:w="0" w:type="dxa"/>
                    <w:right w:w="0" w:type="dxa"/>
                  </w:tcMar>
                  <w:vAlign w:val="center"/>
                </w:tcPr>
                <w:p w14:paraId="6FD2171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205" w:type="pct"/>
                  <w:tcBorders>
                    <w:tl2br w:val="nil"/>
                    <w:tr2bl w:val="nil"/>
                  </w:tcBorders>
                  <w:noWrap w:val="0"/>
                  <w:tcMar>
                    <w:top w:w="0" w:type="dxa"/>
                    <w:left w:w="0" w:type="dxa"/>
                    <w:bottom w:w="0" w:type="dxa"/>
                    <w:right w:w="0" w:type="dxa"/>
                  </w:tcMar>
                  <w:vAlign w:val="center"/>
                </w:tcPr>
                <w:p w14:paraId="42F03B0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52.1 </w:t>
                  </w:r>
                </w:p>
              </w:tc>
              <w:tc>
                <w:tcPr>
                  <w:tcW w:w="208" w:type="pct"/>
                  <w:tcBorders>
                    <w:tl2br w:val="nil"/>
                    <w:tr2bl w:val="nil"/>
                  </w:tcBorders>
                  <w:noWrap w:val="0"/>
                  <w:tcMar>
                    <w:top w:w="0" w:type="dxa"/>
                    <w:left w:w="0" w:type="dxa"/>
                    <w:bottom w:w="0" w:type="dxa"/>
                    <w:right w:w="0" w:type="dxa"/>
                  </w:tcMar>
                  <w:vAlign w:val="center"/>
                </w:tcPr>
                <w:p w14:paraId="7B678BF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51.7 </w:t>
                  </w:r>
                </w:p>
              </w:tc>
              <w:tc>
                <w:tcPr>
                  <w:tcW w:w="228" w:type="pct"/>
                  <w:vMerge w:val="continue"/>
                  <w:tcBorders>
                    <w:tl2br w:val="nil"/>
                    <w:tr2bl w:val="nil"/>
                  </w:tcBorders>
                  <w:noWrap w:val="0"/>
                  <w:tcMar>
                    <w:top w:w="0" w:type="dxa"/>
                    <w:left w:w="0" w:type="dxa"/>
                    <w:bottom w:w="0" w:type="dxa"/>
                    <w:right w:w="0" w:type="dxa"/>
                  </w:tcMar>
                  <w:vAlign w:val="center"/>
                </w:tcPr>
                <w:p w14:paraId="2DD9D6C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11086E38">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03B513E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27.4 </w:t>
                  </w:r>
                </w:p>
              </w:tc>
              <w:tc>
                <w:tcPr>
                  <w:tcW w:w="201" w:type="pct"/>
                  <w:tcBorders>
                    <w:tl2br w:val="nil"/>
                    <w:tr2bl w:val="nil"/>
                  </w:tcBorders>
                  <w:noWrap w:val="0"/>
                  <w:tcMar>
                    <w:top w:w="0" w:type="dxa"/>
                    <w:left w:w="0" w:type="dxa"/>
                    <w:bottom w:w="0" w:type="dxa"/>
                    <w:right w:w="0" w:type="dxa"/>
                  </w:tcMar>
                  <w:vAlign w:val="center"/>
                </w:tcPr>
                <w:p w14:paraId="42F8651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26.7 </w:t>
                  </w:r>
                </w:p>
              </w:tc>
              <w:tc>
                <w:tcPr>
                  <w:tcW w:w="193" w:type="pct"/>
                  <w:tcBorders>
                    <w:tl2br w:val="nil"/>
                    <w:tr2bl w:val="nil"/>
                  </w:tcBorders>
                  <w:noWrap w:val="0"/>
                  <w:tcMar>
                    <w:top w:w="0" w:type="dxa"/>
                    <w:left w:w="0" w:type="dxa"/>
                    <w:bottom w:w="0" w:type="dxa"/>
                    <w:right w:w="0" w:type="dxa"/>
                  </w:tcMar>
                  <w:vAlign w:val="center"/>
                </w:tcPr>
                <w:p w14:paraId="21ED5EC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27.1 </w:t>
                  </w:r>
                </w:p>
              </w:tc>
              <w:tc>
                <w:tcPr>
                  <w:tcW w:w="195" w:type="pct"/>
                  <w:tcBorders>
                    <w:tl2br w:val="nil"/>
                    <w:tr2bl w:val="nil"/>
                  </w:tcBorders>
                  <w:noWrap w:val="0"/>
                  <w:tcMar>
                    <w:top w:w="0" w:type="dxa"/>
                    <w:left w:w="0" w:type="dxa"/>
                    <w:bottom w:w="0" w:type="dxa"/>
                    <w:right w:w="0" w:type="dxa"/>
                  </w:tcMar>
                  <w:vAlign w:val="center"/>
                </w:tcPr>
                <w:p w14:paraId="5FCE048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26.7 </w:t>
                  </w:r>
                </w:p>
              </w:tc>
              <w:tc>
                <w:tcPr>
                  <w:tcW w:w="202" w:type="pct"/>
                  <w:tcBorders>
                    <w:tl2br w:val="nil"/>
                    <w:tr2bl w:val="nil"/>
                  </w:tcBorders>
                  <w:noWrap w:val="0"/>
                  <w:tcMar>
                    <w:top w:w="0" w:type="dxa"/>
                    <w:left w:w="0" w:type="dxa"/>
                    <w:bottom w:w="0" w:type="dxa"/>
                    <w:right w:w="0" w:type="dxa"/>
                  </w:tcMar>
                  <w:vAlign w:val="center"/>
                </w:tcPr>
                <w:p w14:paraId="4000A4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3B1A48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25E915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57</w:t>
                  </w:r>
                </w:p>
              </w:tc>
              <w:tc>
                <w:tcPr>
                  <w:tcW w:w="178" w:type="pct"/>
                  <w:vMerge w:val="continue"/>
                  <w:tcBorders>
                    <w:tl2br w:val="nil"/>
                    <w:tr2bl w:val="nil"/>
                  </w:tcBorders>
                  <w:noWrap w:val="0"/>
                  <w:tcMar>
                    <w:top w:w="0" w:type="dxa"/>
                    <w:left w:w="0" w:type="dxa"/>
                    <w:bottom w:w="0" w:type="dxa"/>
                    <w:right w:w="0" w:type="dxa"/>
                  </w:tcMar>
                  <w:vAlign w:val="center"/>
                </w:tcPr>
                <w:p w14:paraId="2CE9A72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6CD245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高频精细脱水筛（5个，按点声源组计算）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1F8DBE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5</w:t>
                  </w:r>
                </w:p>
              </w:tc>
              <w:tc>
                <w:tcPr>
                  <w:tcW w:w="344" w:type="pct"/>
                  <w:tcBorders>
                    <w:tl2br w:val="nil"/>
                    <w:tr2bl w:val="nil"/>
                  </w:tcBorders>
                  <w:noWrap w:val="0"/>
                  <w:tcMar>
                    <w:top w:w="0" w:type="dxa"/>
                    <w:left w:w="0" w:type="dxa"/>
                    <w:bottom w:w="0" w:type="dxa"/>
                    <w:right w:w="0" w:type="dxa"/>
                  </w:tcMar>
                  <w:vAlign w:val="center"/>
                </w:tcPr>
                <w:p w14:paraId="23643CA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85</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92.0</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2EBD9A1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3ABDAA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53.6</w:t>
                  </w:r>
                </w:p>
              </w:tc>
              <w:tc>
                <w:tcPr>
                  <w:tcW w:w="219" w:type="pct"/>
                  <w:tcBorders>
                    <w:tl2br w:val="nil"/>
                    <w:tr2bl w:val="nil"/>
                  </w:tcBorders>
                  <w:noWrap w:val="0"/>
                  <w:tcMar>
                    <w:top w:w="0" w:type="dxa"/>
                    <w:left w:w="0" w:type="dxa"/>
                    <w:bottom w:w="0" w:type="dxa"/>
                    <w:right w:w="0" w:type="dxa"/>
                  </w:tcMar>
                  <w:vAlign w:val="center"/>
                </w:tcPr>
                <w:p w14:paraId="40577D1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3.2</w:t>
                  </w:r>
                </w:p>
              </w:tc>
              <w:tc>
                <w:tcPr>
                  <w:tcW w:w="176" w:type="pct"/>
                  <w:tcBorders>
                    <w:tl2br w:val="nil"/>
                    <w:tr2bl w:val="nil"/>
                  </w:tcBorders>
                  <w:noWrap w:val="0"/>
                  <w:tcMar>
                    <w:top w:w="0" w:type="dxa"/>
                    <w:left w:w="0" w:type="dxa"/>
                    <w:bottom w:w="0" w:type="dxa"/>
                    <w:right w:w="0" w:type="dxa"/>
                  </w:tcMar>
                  <w:vAlign w:val="center"/>
                </w:tcPr>
                <w:p w14:paraId="7B875C7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3C05867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14.5</w:t>
                  </w:r>
                </w:p>
              </w:tc>
              <w:tc>
                <w:tcPr>
                  <w:tcW w:w="187" w:type="pct"/>
                  <w:tcBorders>
                    <w:tl2br w:val="nil"/>
                    <w:tr2bl w:val="nil"/>
                  </w:tcBorders>
                  <w:noWrap w:val="0"/>
                  <w:tcMar>
                    <w:top w:w="0" w:type="dxa"/>
                    <w:left w:w="0" w:type="dxa"/>
                    <w:bottom w:w="0" w:type="dxa"/>
                    <w:right w:w="0" w:type="dxa"/>
                  </w:tcMar>
                  <w:vAlign w:val="center"/>
                </w:tcPr>
                <w:p w14:paraId="7AC918B2">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15.8</w:t>
                  </w:r>
                </w:p>
              </w:tc>
              <w:tc>
                <w:tcPr>
                  <w:tcW w:w="205" w:type="pct"/>
                  <w:tcBorders>
                    <w:tl2br w:val="nil"/>
                    <w:tr2bl w:val="nil"/>
                  </w:tcBorders>
                  <w:noWrap w:val="0"/>
                  <w:tcMar>
                    <w:top w:w="0" w:type="dxa"/>
                    <w:left w:w="0" w:type="dxa"/>
                    <w:bottom w:w="0" w:type="dxa"/>
                    <w:right w:w="0" w:type="dxa"/>
                  </w:tcMar>
                  <w:vAlign w:val="center"/>
                </w:tcPr>
                <w:p w14:paraId="588C100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16.4</w:t>
                  </w:r>
                </w:p>
              </w:tc>
              <w:tc>
                <w:tcPr>
                  <w:tcW w:w="213" w:type="pct"/>
                  <w:tcBorders>
                    <w:tl2br w:val="nil"/>
                    <w:tr2bl w:val="nil"/>
                  </w:tcBorders>
                  <w:noWrap w:val="0"/>
                  <w:tcMar>
                    <w:top w:w="0" w:type="dxa"/>
                    <w:left w:w="0" w:type="dxa"/>
                    <w:bottom w:w="0" w:type="dxa"/>
                    <w:right w:w="0" w:type="dxa"/>
                  </w:tcMar>
                  <w:vAlign w:val="center"/>
                </w:tcPr>
                <w:p w14:paraId="11561EA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17.4</w:t>
                  </w:r>
                </w:p>
              </w:tc>
              <w:tc>
                <w:tcPr>
                  <w:tcW w:w="192" w:type="pct"/>
                  <w:tcBorders>
                    <w:tl2br w:val="nil"/>
                    <w:tr2bl w:val="nil"/>
                  </w:tcBorders>
                  <w:noWrap w:val="0"/>
                  <w:tcMar>
                    <w:top w:w="0" w:type="dxa"/>
                    <w:left w:w="0" w:type="dxa"/>
                    <w:bottom w:w="0" w:type="dxa"/>
                    <w:right w:w="0" w:type="dxa"/>
                  </w:tcMar>
                  <w:vAlign w:val="center"/>
                </w:tcPr>
                <w:p w14:paraId="79BAFE9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61.8 </w:t>
                  </w:r>
                </w:p>
              </w:tc>
              <w:tc>
                <w:tcPr>
                  <w:tcW w:w="192" w:type="pct"/>
                  <w:tcBorders>
                    <w:tl2br w:val="nil"/>
                    <w:tr2bl w:val="nil"/>
                  </w:tcBorders>
                  <w:noWrap w:val="0"/>
                  <w:tcMar>
                    <w:top w:w="0" w:type="dxa"/>
                    <w:left w:w="0" w:type="dxa"/>
                    <w:bottom w:w="0" w:type="dxa"/>
                    <w:right w:w="0" w:type="dxa"/>
                  </w:tcMar>
                  <w:vAlign w:val="center"/>
                </w:tcPr>
                <w:p w14:paraId="12DBE53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61.0 </w:t>
                  </w:r>
                </w:p>
              </w:tc>
              <w:tc>
                <w:tcPr>
                  <w:tcW w:w="205" w:type="pct"/>
                  <w:tcBorders>
                    <w:tl2br w:val="nil"/>
                    <w:tr2bl w:val="nil"/>
                  </w:tcBorders>
                  <w:noWrap w:val="0"/>
                  <w:tcMar>
                    <w:top w:w="0" w:type="dxa"/>
                    <w:left w:w="0" w:type="dxa"/>
                    <w:bottom w:w="0" w:type="dxa"/>
                    <w:right w:w="0" w:type="dxa"/>
                  </w:tcMar>
                  <w:vAlign w:val="center"/>
                </w:tcPr>
                <w:p w14:paraId="204CD53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60.7 </w:t>
                  </w:r>
                </w:p>
              </w:tc>
              <w:tc>
                <w:tcPr>
                  <w:tcW w:w="208" w:type="pct"/>
                  <w:tcBorders>
                    <w:tl2br w:val="nil"/>
                    <w:tr2bl w:val="nil"/>
                  </w:tcBorders>
                  <w:noWrap w:val="0"/>
                  <w:tcMar>
                    <w:top w:w="0" w:type="dxa"/>
                    <w:left w:w="0" w:type="dxa"/>
                    <w:bottom w:w="0" w:type="dxa"/>
                    <w:right w:w="0" w:type="dxa"/>
                  </w:tcMar>
                  <w:vAlign w:val="center"/>
                </w:tcPr>
                <w:p w14:paraId="394FA7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60.2 </w:t>
                  </w:r>
                </w:p>
              </w:tc>
              <w:tc>
                <w:tcPr>
                  <w:tcW w:w="228" w:type="pct"/>
                  <w:vMerge w:val="continue"/>
                  <w:tcBorders>
                    <w:tl2br w:val="nil"/>
                    <w:tr2bl w:val="nil"/>
                  </w:tcBorders>
                  <w:noWrap w:val="0"/>
                  <w:tcMar>
                    <w:top w:w="0" w:type="dxa"/>
                    <w:left w:w="0" w:type="dxa"/>
                    <w:bottom w:w="0" w:type="dxa"/>
                    <w:right w:w="0" w:type="dxa"/>
                  </w:tcMar>
                  <w:vAlign w:val="center"/>
                </w:tcPr>
                <w:p w14:paraId="43F7C68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4B644CD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81D5074">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36.8 </w:t>
                  </w:r>
                </w:p>
              </w:tc>
              <w:tc>
                <w:tcPr>
                  <w:tcW w:w="201" w:type="pct"/>
                  <w:tcBorders>
                    <w:tl2br w:val="nil"/>
                    <w:tr2bl w:val="nil"/>
                  </w:tcBorders>
                  <w:noWrap w:val="0"/>
                  <w:tcMar>
                    <w:top w:w="0" w:type="dxa"/>
                    <w:left w:w="0" w:type="dxa"/>
                    <w:bottom w:w="0" w:type="dxa"/>
                    <w:right w:w="0" w:type="dxa"/>
                  </w:tcMar>
                  <w:vAlign w:val="center"/>
                </w:tcPr>
                <w:p w14:paraId="483CF87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36.0 </w:t>
                  </w:r>
                </w:p>
              </w:tc>
              <w:tc>
                <w:tcPr>
                  <w:tcW w:w="193" w:type="pct"/>
                  <w:tcBorders>
                    <w:tl2br w:val="nil"/>
                    <w:tr2bl w:val="nil"/>
                  </w:tcBorders>
                  <w:noWrap w:val="0"/>
                  <w:tcMar>
                    <w:top w:w="0" w:type="dxa"/>
                    <w:left w:w="0" w:type="dxa"/>
                    <w:bottom w:w="0" w:type="dxa"/>
                    <w:right w:w="0" w:type="dxa"/>
                  </w:tcMar>
                  <w:vAlign w:val="center"/>
                </w:tcPr>
                <w:p w14:paraId="3D377EBA">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35.7 </w:t>
                  </w:r>
                </w:p>
              </w:tc>
              <w:tc>
                <w:tcPr>
                  <w:tcW w:w="195" w:type="pct"/>
                  <w:tcBorders>
                    <w:tl2br w:val="nil"/>
                    <w:tr2bl w:val="nil"/>
                  </w:tcBorders>
                  <w:noWrap w:val="0"/>
                  <w:tcMar>
                    <w:top w:w="0" w:type="dxa"/>
                    <w:left w:w="0" w:type="dxa"/>
                    <w:bottom w:w="0" w:type="dxa"/>
                    <w:right w:w="0" w:type="dxa"/>
                  </w:tcMar>
                  <w:vAlign w:val="center"/>
                </w:tcPr>
                <w:p w14:paraId="412B50E1">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35.2 </w:t>
                  </w:r>
                </w:p>
              </w:tc>
              <w:tc>
                <w:tcPr>
                  <w:tcW w:w="202" w:type="pct"/>
                  <w:tcBorders>
                    <w:tl2br w:val="nil"/>
                    <w:tr2bl w:val="nil"/>
                  </w:tcBorders>
                  <w:noWrap w:val="0"/>
                  <w:tcMar>
                    <w:top w:w="0" w:type="dxa"/>
                    <w:left w:w="0" w:type="dxa"/>
                    <w:bottom w:w="0" w:type="dxa"/>
                    <w:right w:w="0" w:type="dxa"/>
                  </w:tcMar>
                  <w:vAlign w:val="center"/>
                </w:tcPr>
                <w:p w14:paraId="5A2A2F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D06C8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61" w:type="pct"/>
                  <w:tcBorders>
                    <w:tl2br w:val="nil"/>
                    <w:tr2bl w:val="nil"/>
                  </w:tcBorders>
                  <w:noWrap w:val="0"/>
                  <w:tcMar>
                    <w:top w:w="0" w:type="dxa"/>
                    <w:left w:w="0" w:type="dxa"/>
                    <w:bottom w:w="0" w:type="dxa"/>
                    <w:right w:w="0" w:type="dxa"/>
                  </w:tcMar>
                  <w:vAlign w:val="center"/>
                </w:tcPr>
                <w:p w14:paraId="536E57E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58</w:t>
                  </w:r>
                </w:p>
              </w:tc>
              <w:tc>
                <w:tcPr>
                  <w:tcW w:w="178" w:type="pct"/>
                  <w:vMerge w:val="continue"/>
                  <w:tcBorders>
                    <w:tl2br w:val="nil"/>
                    <w:tr2bl w:val="nil"/>
                  </w:tcBorders>
                  <w:noWrap w:val="0"/>
                  <w:tcMar>
                    <w:top w:w="0" w:type="dxa"/>
                    <w:left w:w="0" w:type="dxa"/>
                    <w:bottom w:w="0" w:type="dxa"/>
                    <w:right w:w="0" w:type="dxa"/>
                  </w:tcMar>
                  <w:vAlign w:val="center"/>
                </w:tcPr>
                <w:p w14:paraId="556A547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4489C1D3">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锥形沉淀罐（3个，按点声源组计算）</w:t>
                  </w:r>
                </w:p>
              </w:tc>
              <w:tc>
                <w:tcPr>
                  <w:tcW w:w="166" w:type="pct"/>
                  <w:tcBorders>
                    <w:tl2br w:val="nil"/>
                    <w:tr2bl w:val="nil"/>
                  </w:tcBorders>
                  <w:shd w:val="clear" w:color="auto" w:fill="auto"/>
                  <w:noWrap w:val="0"/>
                  <w:tcMar>
                    <w:top w:w="0" w:type="dxa"/>
                    <w:left w:w="0" w:type="dxa"/>
                    <w:bottom w:w="0" w:type="dxa"/>
                    <w:right w:w="0" w:type="dxa"/>
                  </w:tcMar>
                  <w:vAlign w:val="center"/>
                </w:tcPr>
                <w:p w14:paraId="42033CFB">
                  <w:pPr>
                    <w:pStyle w:val="82"/>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3</w:t>
                  </w:r>
                </w:p>
              </w:tc>
              <w:tc>
                <w:tcPr>
                  <w:tcW w:w="344" w:type="pct"/>
                  <w:tcBorders>
                    <w:tl2br w:val="nil"/>
                    <w:tr2bl w:val="nil"/>
                  </w:tcBorders>
                  <w:noWrap w:val="0"/>
                  <w:tcMar>
                    <w:top w:w="0" w:type="dxa"/>
                    <w:left w:w="0" w:type="dxa"/>
                    <w:bottom w:w="0" w:type="dxa"/>
                    <w:right w:w="0" w:type="dxa"/>
                  </w:tcMar>
                  <w:vAlign w:val="center"/>
                </w:tcPr>
                <w:p w14:paraId="29694D9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 w:val="18"/>
                      <w:szCs w:val="18"/>
                      <w:highlight w:val="none"/>
                      <w:lang w:val="en-US" w:eastAsia="zh-CN"/>
                    </w:rPr>
                  </w:pPr>
                  <w:r>
                    <w:rPr>
                      <w:rFonts w:hint="eastAsia" w:ascii="Times New Roman" w:hAnsi="Times New Roman" w:cs="Times New Roman"/>
                      <w:sz w:val="18"/>
                      <w:szCs w:val="18"/>
                      <w:highlight w:val="none"/>
                      <w:lang w:val="en-US" w:eastAsia="zh-CN"/>
                    </w:rPr>
                    <w:t>70</w:t>
                  </w:r>
                  <w:r>
                    <w:rPr>
                      <w:rFonts w:hint="default" w:ascii="Times New Roman" w:hAnsi="Times New Roman" w:cs="Times New Roman"/>
                      <w:sz w:val="18"/>
                      <w:szCs w:val="18"/>
                      <w:highlight w:val="none"/>
                      <w:lang w:val="en-US" w:eastAsia="zh-CN"/>
                    </w:rPr>
                    <w:t>（</w:t>
                  </w:r>
                  <w:r>
                    <w:rPr>
                      <w:rFonts w:hint="default" w:ascii="Times New Roman" w:hAnsi="Times New Roman" w:cs="Times New Roman"/>
                      <w:sz w:val="18"/>
                      <w:szCs w:val="18"/>
                      <w:highlight w:val="none"/>
                      <w:lang w:eastAsia="zh-CN"/>
                    </w:rPr>
                    <w:t>等效后</w:t>
                  </w:r>
                  <w:r>
                    <w:rPr>
                      <w:rFonts w:hint="eastAsia" w:ascii="Times New Roman" w:hAnsi="Times New Roman" w:cs="Times New Roman"/>
                      <w:color w:val="auto"/>
                      <w:sz w:val="18"/>
                      <w:szCs w:val="18"/>
                      <w:highlight w:val="none"/>
                      <w:lang w:val="en-US" w:eastAsia="zh-CN"/>
                    </w:rPr>
                    <w:t>74.8</w:t>
                  </w:r>
                  <w:r>
                    <w:rPr>
                      <w:rFonts w:hint="default" w:ascii="Times New Roman" w:hAnsi="Times New Roman" w:cs="Times New Roman"/>
                      <w:sz w:val="18"/>
                      <w:szCs w:val="18"/>
                      <w:highlight w:val="none"/>
                      <w:lang w:val="en-US" w:eastAsia="zh-CN"/>
                    </w:rPr>
                    <w:t>）</w:t>
                  </w:r>
                </w:p>
              </w:tc>
              <w:tc>
                <w:tcPr>
                  <w:tcW w:w="219" w:type="pct"/>
                  <w:vMerge w:val="continue"/>
                  <w:tcBorders>
                    <w:tl2br w:val="nil"/>
                    <w:tr2bl w:val="nil"/>
                  </w:tcBorders>
                  <w:noWrap w:val="0"/>
                  <w:tcMar>
                    <w:top w:w="0" w:type="dxa"/>
                    <w:left w:w="0" w:type="dxa"/>
                    <w:bottom w:w="0" w:type="dxa"/>
                    <w:right w:w="0" w:type="dxa"/>
                  </w:tcMar>
                  <w:vAlign w:val="center"/>
                </w:tcPr>
                <w:p w14:paraId="1110E5D0">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p>
              </w:tc>
              <w:tc>
                <w:tcPr>
                  <w:tcW w:w="201" w:type="pct"/>
                  <w:tcBorders>
                    <w:tl2br w:val="nil"/>
                    <w:tr2bl w:val="nil"/>
                  </w:tcBorders>
                  <w:noWrap w:val="0"/>
                  <w:tcMar>
                    <w:top w:w="0" w:type="dxa"/>
                    <w:left w:w="0" w:type="dxa"/>
                    <w:bottom w:w="0" w:type="dxa"/>
                    <w:right w:w="0" w:type="dxa"/>
                  </w:tcMar>
                  <w:vAlign w:val="center"/>
                </w:tcPr>
                <w:p w14:paraId="563BB73F">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55.9</w:t>
                  </w:r>
                </w:p>
              </w:tc>
              <w:tc>
                <w:tcPr>
                  <w:tcW w:w="219" w:type="pct"/>
                  <w:tcBorders>
                    <w:tl2br w:val="nil"/>
                    <w:tr2bl w:val="nil"/>
                  </w:tcBorders>
                  <w:noWrap w:val="0"/>
                  <w:tcMar>
                    <w:top w:w="0" w:type="dxa"/>
                    <w:left w:w="0" w:type="dxa"/>
                    <w:bottom w:w="0" w:type="dxa"/>
                    <w:right w:w="0" w:type="dxa"/>
                  </w:tcMar>
                  <w:vAlign w:val="center"/>
                </w:tcPr>
                <w:p w14:paraId="4540101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2.9</w:t>
                  </w:r>
                </w:p>
              </w:tc>
              <w:tc>
                <w:tcPr>
                  <w:tcW w:w="176" w:type="pct"/>
                  <w:tcBorders>
                    <w:tl2br w:val="nil"/>
                    <w:tr2bl w:val="nil"/>
                  </w:tcBorders>
                  <w:noWrap w:val="0"/>
                  <w:tcMar>
                    <w:top w:w="0" w:type="dxa"/>
                    <w:left w:w="0" w:type="dxa"/>
                    <w:bottom w:w="0" w:type="dxa"/>
                    <w:right w:w="0" w:type="dxa"/>
                  </w:tcMar>
                  <w:vAlign w:val="center"/>
                </w:tcPr>
                <w:p w14:paraId="77F1FF4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196" w:type="pct"/>
                  <w:tcBorders>
                    <w:tl2br w:val="nil"/>
                    <w:tr2bl w:val="nil"/>
                  </w:tcBorders>
                  <w:noWrap w:val="0"/>
                  <w:tcMar>
                    <w:top w:w="0" w:type="dxa"/>
                    <w:left w:w="0" w:type="dxa"/>
                    <w:bottom w:w="0" w:type="dxa"/>
                    <w:right w:w="0" w:type="dxa"/>
                  </w:tcMar>
                  <w:vAlign w:val="center"/>
                </w:tcPr>
                <w:p w14:paraId="0D4134D9">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13.9</w:t>
                  </w:r>
                </w:p>
              </w:tc>
              <w:tc>
                <w:tcPr>
                  <w:tcW w:w="187" w:type="pct"/>
                  <w:tcBorders>
                    <w:tl2br w:val="nil"/>
                    <w:tr2bl w:val="nil"/>
                  </w:tcBorders>
                  <w:noWrap w:val="0"/>
                  <w:tcMar>
                    <w:top w:w="0" w:type="dxa"/>
                    <w:left w:w="0" w:type="dxa"/>
                    <w:bottom w:w="0" w:type="dxa"/>
                    <w:right w:w="0" w:type="dxa"/>
                  </w:tcMar>
                  <w:vAlign w:val="center"/>
                </w:tcPr>
                <w:p w14:paraId="31D46565">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14.9</w:t>
                  </w:r>
                </w:p>
              </w:tc>
              <w:tc>
                <w:tcPr>
                  <w:tcW w:w="205" w:type="pct"/>
                  <w:tcBorders>
                    <w:tl2br w:val="nil"/>
                    <w:tr2bl w:val="nil"/>
                  </w:tcBorders>
                  <w:noWrap w:val="0"/>
                  <w:tcMar>
                    <w:top w:w="0" w:type="dxa"/>
                    <w:left w:w="0" w:type="dxa"/>
                    <w:bottom w:w="0" w:type="dxa"/>
                    <w:right w:w="0" w:type="dxa"/>
                  </w:tcMar>
                  <w:vAlign w:val="center"/>
                </w:tcPr>
                <w:p w14:paraId="10F1C3D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15.5</w:t>
                  </w:r>
                </w:p>
              </w:tc>
              <w:tc>
                <w:tcPr>
                  <w:tcW w:w="213" w:type="pct"/>
                  <w:tcBorders>
                    <w:tl2br w:val="nil"/>
                    <w:tr2bl w:val="nil"/>
                  </w:tcBorders>
                  <w:noWrap w:val="0"/>
                  <w:tcMar>
                    <w:top w:w="0" w:type="dxa"/>
                    <w:left w:w="0" w:type="dxa"/>
                    <w:bottom w:w="0" w:type="dxa"/>
                    <w:right w:w="0" w:type="dxa"/>
                  </w:tcMar>
                  <w:vAlign w:val="center"/>
                </w:tcPr>
                <w:p w14:paraId="123EE5C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15.8</w:t>
                  </w:r>
                </w:p>
              </w:tc>
              <w:tc>
                <w:tcPr>
                  <w:tcW w:w="192" w:type="pct"/>
                  <w:tcBorders>
                    <w:tl2br w:val="nil"/>
                    <w:tr2bl w:val="nil"/>
                  </w:tcBorders>
                  <w:noWrap w:val="0"/>
                  <w:tcMar>
                    <w:top w:w="0" w:type="dxa"/>
                    <w:left w:w="0" w:type="dxa"/>
                    <w:bottom w:w="0" w:type="dxa"/>
                    <w:right w:w="0" w:type="dxa"/>
                  </w:tcMar>
                  <w:vAlign w:val="center"/>
                </w:tcPr>
                <w:p w14:paraId="5B620B9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47.1 </w:t>
                  </w:r>
                </w:p>
              </w:tc>
              <w:tc>
                <w:tcPr>
                  <w:tcW w:w="192" w:type="pct"/>
                  <w:tcBorders>
                    <w:tl2br w:val="nil"/>
                    <w:tr2bl w:val="nil"/>
                  </w:tcBorders>
                  <w:noWrap w:val="0"/>
                  <w:tcMar>
                    <w:top w:w="0" w:type="dxa"/>
                    <w:left w:w="0" w:type="dxa"/>
                    <w:bottom w:w="0" w:type="dxa"/>
                    <w:right w:w="0" w:type="dxa"/>
                  </w:tcMar>
                  <w:vAlign w:val="center"/>
                </w:tcPr>
                <w:p w14:paraId="30FC79FE">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46.5 </w:t>
                  </w:r>
                </w:p>
              </w:tc>
              <w:tc>
                <w:tcPr>
                  <w:tcW w:w="205" w:type="pct"/>
                  <w:tcBorders>
                    <w:tl2br w:val="nil"/>
                    <w:tr2bl w:val="nil"/>
                  </w:tcBorders>
                  <w:noWrap w:val="0"/>
                  <w:tcMar>
                    <w:top w:w="0" w:type="dxa"/>
                    <w:left w:w="0" w:type="dxa"/>
                    <w:bottom w:w="0" w:type="dxa"/>
                    <w:right w:w="0" w:type="dxa"/>
                  </w:tcMar>
                  <w:vAlign w:val="center"/>
                </w:tcPr>
                <w:p w14:paraId="4ECFCFF6">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46.2 </w:t>
                  </w:r>
                </w:p>
              </w:tc>
              <w:tc>
                <w:tcPr>
                  <w:tcW w:w="208" w:type="pct"/>
                  <w:tcBorders>
                    <w:tl2br w:val="nil"/>
                    <w:tr2bl w:val="nil"/>
                  </w:tcBorders>
                  <w:noWrap w:val="0"/>
                  <w:tcMar>
                    <w:top w:w="0" w:type="dxa"/>
                    <w:left w:w="0" w:type="dxa"/>
                    <w:bottom w:w="0" w:type="dxa"/>
                    <w:right w:w="0" w:type="dxa"/>
                  </w:tcMar>
                  <w:vAlign w:val="center"/>
                </w:tcPr>
                <w:p w14:paraId="4E8453A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46.0 </w:t>
                  </w:r>
                </w:p>
              </w:tc>
              <w:tc>
                <w:tcPr>
                  <w:tcW w:w="228" w:type="pct"/>
                  <w:vMerge w:val="continue"/>
                  <w:tcBorders>
                    <w:tl2br w:val="nil"/>
                    <w:tr2bl w:val="nil"/>
                  </w:tcBorders>
                  <w:noWrap w:val="0"/>
                  <w:tcMar>
                    <w:top w:w="0" w:type="dxa"/>
                    <w:left w:w="0" w:type="dxa"/>
                    <w:bottom w:w="0" w:type="dxa"/>
                    <w:right w:w="0" w:type="dxa"/>
                  </w:tcMar>
                  <w:vAlign w:val="center"/>
                </w:tcPr>
                <w:p w14:paraId="3017683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216" w:type="pct"/>
                  <w:vMerge w:val="continue"/>
                  <w:tcBorders>
                    <w:tl2br w:val="nil"/>
                    <w:tr2bl w:val="nil"/>
                  </w:tcBorders>
                  <w:noWrap w:val="0"/>
                  <w:tcMar>
                    <w:top w:w="0" w:type="dxa"/>
                    <w:left w:w="0" w:type="dxa"/>
                    <w:bottom w:w="0" w:type="dxa"/>
                    <w:right w:w="0" w:type="dxa"/>
                  </w:tcMar>
                  <w:vAlign w:val="center"/>
                </w:tcPr>
                <w:p w14:paraId="37D78463">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p>
              </w:tc>
              <w:tc>
                <w:tcPr>
                  <w:tcW w:w="167" w:type="pct"/>
                  <w:tcBorders>
                    <w:tl2br w:val="nil"/>
                    <w:tr2bl w:val="nil"/>
                  </w:tcBorders>
                  <w:noWrap w:val="0"/>
                  <w:tcMar>
                    <w:top w:w="0" w:type="dxa"/>
                    <w:left w:w="0" w:type="dxa"/>
                    <w:bottom w:w="0" w:type="dxa"/>
                    <w:right w:w="0" w:type="dxa"/>
                  </w:tcMar>
                  <w:vAlign w:val="center"/>
                </w:tcPr>
                <w:p w14:paraId="3574B51C">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22.1 </w:t>
                  </w:r>
                </w:p>
              </w:tc>
              <w:tc>
                <w:tcPr>
                  <w:tcW w:w="201" w:type="pct"/>
                  <w:tcBorders>
                    <w:tl2br w:val="nil"/>
                    <w:tr2bl w:val="nil"/>
                  </w:tcBorders>
                  <w:noWrap w:val="0"/>
                  <w:tcMar>
                    <w:top w:w="0" w:type="dxa"/>
                    <w:left w:w="0" w:type="dxa"/>
                    <w:bottom w:w="0" w:type="dxa"/>
                    <w:right w:w="0" w:type="dxa"/>
                  </w:tcMar>
                  <w:vAlign w:val="center"/>
                </w:tcPr>
                <w:p w14:paraId="581EF70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21.5 </w:t>
                  </w:r>
                </w:p>
              </w:tc>
              <w:tc>
                <w:tcPr>
                  <w:tcW w:w="193" w:type="pct"/>
                  <w:tcBorders>
                    <w:tl2br w:val="nil"/>
                    <w:tr2bl w:val="nil"/>
                  </w:tcBorders>
                  <w:noWrap w:val="0"/>
                  <w:tcMar>
                    <w:top w:w="0" w:type="dxa"/>
                    <w:left w:w="0" w:type="dxa"/>
                    <w:bottom w:w="0" w:type="dxa"/>
                    <w:right w:w="0" w:type="dxa"/>
                  </w:tcMar>
                  <w:vAlign w:val="center"/>
                </w:tcPr>
                <w:p w14:paraId="2B52E2EB">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21.2 </w:t>
                  </w:r>
                </w:p>
              </w:tc>
              <w:tc>
                <w:tcPr>
                  <w:tcW w:w="195" w:type="pct"/>
                  <w:tcBorders>
                    <w:tl2br w:val="nil"/>
                    <w:tr2bl w:val="nil"/>
                  </w:tcBorders>
                  <w:noWrap w:val="0"/>
                  <w:tcMar>
                    <w:top w:w="0" w:type="dxa"/>
                    <w:left w:w="0" w:type="dxa"/>
                    <w:bottom w:w="0" w:type="dxa"/>
                    <w:right w:w="0" w:type="dxa"/>
                  </w:tcMar>
                  <w:vAlign w:val="center"/>
                </w:tcPr>
                <w:p w14:paraId="1A36142D">
                  <w:pPr>
                    <w:pStyle w:val="82"/>
                    <w:keepNext w:val="0"/>
                    <w:keepLines w:val="0"/>
                    <w:pageBreakBefore w:val="0"/>
                    <w:kinsoku/>
                    <w:wordWrap/>
                    <w:overflowPunct/>
                    <w:topLinePunct w:val="0"/>
                    <w:autoSpaceDE/>
                    <w:autoSpaceDN/>
                    <w:bidi w:val="0"/>
                    <w:adjustRightInd/>
                    <w:snapToGrid/>
                    <w:spacing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 xml:space="preserve">21.0 </w:t>
                  </w:r>
                </w:p>
              </w:tc>
              <w:tc>
                <w:tcPr>
                  <w:tcW w:w="202" w:type="pct"/>
                  <w:tcBorders>
                    <w:tl2br w:val="nil"/>
                    <w:tr2bl w:val="nil"/>
                  </w:tcBorders>
                  <w:noWrap w:val="0"/>
                  <w:tcMar>
                    <w:top w:w="0" w:type="dxa"/>
                    <w:left w:w="0" w:type="dxa"/>
                    <w:bottom w:w="0" w:type="dxa"/>
                    <w:right w:w="0" w:type="dxa"/>
                  </w:tcMar>
                  <w:vAlign w:val="center"/>
                </w:tcPr>
                <w:p w14:paraId="01669B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bl>
          <w:p w14:paraId="1C033F9E">
            <w:pPr>
              <w:pStyle w:val="2"/>
              <w:spacing w:before="120"/>
              <w:jc w:val="both"/>
              <w:rPr>
                <w:rFonts w:hint="eastAsia" w:ascii="Times New Roman" w:hAnsi="Times New Roman" w:eastAsia="宋体" w:cs="Times New Roman"/>
                <w:color w:val="auto"/>
                <w:sz w:val="21"/>
                <w:szCs w:val="21"/>
                <w:highlight w:val="yellow"/>
                <w:lang w:eastAsia="zh-CN"/>
              </w:rPr>
            </w:pPr>
          </w:p>
        </w:tc>
      </w:tr>
    </w:tbl>
    <w:p w14:paraId="2ACDB450">
      <w:pPr>
        <w:adjustRightInd w:val="0"/>
        <w:snapToGrid w:val="0"/>
        <w:jc w:val="center"/>
        <w:rPr>
          <w:rFonts w:ascii="宋体" w:hAnsi="宋体" w:cs="宋体"/>
          <w:bCs/>
          <w:sz w:val="24"/>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35"/>
        <w:tblW w:w="5044"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8495"/>
      </w:tblGrid>
      <w:tr w14:paraId="2422A2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3" w:hRule="atLeast"/>
        </w:trPr>
        <w:tc>
          <w:tcPr>
            <w:tcW w:w="312" w:type="pct"/>
            <w:tcMar>
              <w:left w:w="28" w:type="dxa"/>
              <w:right w:w="28" w:type="dxa"/>
            </w:tcMar>
            <w:vAlign w:val="center"/>
          </w:tcPr>
          <w:p w14:paraId="63744013">
            <w:pPr>
              <w:rPr>
                <w:sz w:val="21"/>
                <w:szCs w:val="21"/>
              </w:rPr>
            </w:pPr>
          </w:p>
        </w:tc>
        <w:tc>
          <w:tcPr>
            <w:tcW w:w="4687" w:type="pct"/>
          </w:tcPr>
          <w:p w14:paraId="32E8A500">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）声环境影响分析</w:t>
            </w:r>
          </w:p>
          <w:p w14:paraId="333554FA">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本次评价采用《环境影响评价技术导则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eastAsia="zh-CN"/>
              </w:rPr>
              <w:t>声环境》（HJ2.4-2021）中推荐的模式进行预测，</w:t>
            </w:r>
            <w:r>
              <w:rPr>
                <w:rFonts w:hint="eastAsia" w:cs="Times New Roman"/>
                <w:color w:val="auto"/>
                <w:highlight w:val="none"/>
                <w:lang w:val="en-US" w:eastAsia="zh-CN"/>
              </w:rPr>
              <w:t>采</w:t>
            </w:r>
            <w:r>
              <w:rPr>
                <w:rFonts w:hint="default" w:ascii="Times New Roman" w:hAnsi="Times New Roman" w:eastAsia="宋体" w:cs="Times New Roman"/>
                <w:color w:val="auto"/>
                <w:highlight w:val="none"/>
                <w:lang w:eastAsia="zh-CN"/>
              </w:rPr>
              <w:t>用 A 声级计算，模式如下：</w:t>
            </w:r>
          </w:p>
          <w:p w14:paraId="66DBB7C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室外声源在预测点的声压级计算：</w:t>
            </w:r>
          </w:p>
          <w:p w14:paraId="76D4771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lang w:eastAsia="zh-CN"/>
              </w:rPr>
              <w:t>（</w:t>
            </w:r>
            <w:r>
              <w:rPr>
                <w:rFonts w:hint="default" w:ascii="Times New Roman" w:hAnsi="Times New Roman" w:cs="Times New Roman"/>
                <w:color w:val="auto"/>
                <w:sz w:val="21"/>
                <w:szCs w:val="21"/>
              </w:rPr>
              <w:t>r</w:t>
            </w:r>
            <w:r>
              <w:rPr>
                <w:rFonts w:hint="eastAsia" w:cs="Times New Roman"/>
                <w:color w:val="auto"/>
                <w:sz w:val="21"/>
                <w:szCs w:val="21"/>
                <w:lang w:eastAsia="zh-CN"/>
              </w:rPr>
              <w:t>）</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vertAlign w:val="subscript"/>
              </w:rPr>
              <w:t>ro</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rPr>
              <w:t>+D</w:t>
            </w:r>
            <w:r>
              <w:rPr>
                <w:rFonts w:hint="default" w:ascii="Times New Roman" w:hAnsi="Times New Roman" w:cs="Times New Roman"/>
                <w:color w:val="auto"/>
                <w:sz w:val="21"/>
                <w:szCs w:val="21"/>
                <w:vertAlign w:val="subscript"/>
              </w:rPr>
              <w:t>c</w:t>
            </w:r>
            <w:r>
              <w:rPr>
                <w:rFonts w:hint="default" w:ascii="Times New Roman" w:hAnsi="Times New Roman" w:cs="Times New Roman"/>
                <w:color w:val="auto"/>
                <w:sz w:val="21"/>
                <w:szCs w:val="21"/>
              </w:rPr>
              <w:t>–</w:t>
            </w:r>
            <w:r>
              <w:rPr>
                <w:rFonts w:hint="eastAsia"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eastAsia" w:cs="Times New Roman"/>
                <w:color w:val="auto"/>
                <w:sz w:val="21"/>
                <w:szCs w:val="21"/>
                <w:lang w:eastAsia="zh-CN"/>
              </w:rPr>
              <w:t>）</w:t>
            </w:r>
          </w:p>
          <w:p w14:paraId="01FE9A55">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w:t>
            </w:r>
            <w:r>
              <w:rPr>
                <w:rFonts w:hint="default" w:ascii="Times New Roman" w:hAnsi="Times New Roman" w:cs="Times New Roman"/>
                <w:color w:val="auto"/>
                <w:sz w:val="21"/>
                <w:szCs w:val="21"/>
              </w:rPr>
              <w:t>（r）—预测点处的声压级，dB；</w:t>
            </w:r>
          </w:p>
          <w:p w14:paraId="7C6D316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p（ro）</w:t>
            </w:r>
            <w:r>
              <w:rPr>
                <w:rFonts w:hint="default" w:ascii="Times New Roman" w:hAnsi="Times New Roman" w:cs="Times New Roman"/>
                <w:color w:val="auto"/>
                <w:sz w:val="21"/>
                <w:szCs w:val="21"/>
              </w:rPr>
              <w:t>—参考位置ro处声压级，dB；</w:t>
            </w:r>
          </w:p>
          <w:p w14:paraId="5411A09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—几何发散引起的衰减，dB；</w:t>
            </w:r>
          </w:p>
          <w:p w14:paraId="42CCFB6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—障碍物屏蔽引起的衰减，dB；</w:t>
            </w:r>
          </w:p>
          <w:p w14:paraId="1990E96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—大气吸收引起的衰减，dB；</w:t>
            </w:r>
          </w:p>
          <w:p w14:paraId="07019D3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—地面效应引起的衰减，dB；</w:t>
            </w:r>
          </w:p>
          <w:p w14:paraId="727F57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default" w:ascii="Times New Roman" w:hAnsi="Times New Roman" w:cs="Times New Roman"/>
                <w:color w:val="auto"/>
                <w:sz w:val="21"/>
                <w:szCs w:val="21"/>
              </w:rPr>
              <w:t>—其他多方面效应引起的衰减，dB</w:t>
            </w:r>
            <w:r>
              <w:rPr>
                <w:rFonts w:hint="default" w:ascii="Times New Roman" w:hAnsi="Times New Roman" w:cs="Times New Roman"/>
                <w:color w:val="auto"/>
                <w:sz w:val="21"/>
                <w:szCs w:val="21"/>
                <w:lang w:eastAsia="zh-CN"/>
              </w:rPr>
              <w:t>。</w:t>
            </w:r>
          </w:p>
          <w:p w14:paraId="7C2AE08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室内声源在预测点的声压级计算：</w:t>
            </w:r>
          </w:p>
          <w:p w14:paraId="5121515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a、首先计算某个室内声源在靠近围护结构处的声压级：</w:t>
            </w:r>
          </w:p>
          <w:p w14:paraId="1BAAE0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+10lg（Q/4πr</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+4/R）</w:t>
            </w:r>
          </w:p>
          <w:p w14:paraId="31A41D9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—靠近开口处（或窗户）室内某倍频带的声压级或A声级；</w:t>
            </w:r>
          </w:p>
          <w:p w14:paraId="2BE28F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—点声源声功率级（A计权或倍频带），dB；</w:t>
            </w:r>
          </w:p>
          <w:p w14:paraId="02183E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r—声源与靠近围护结构某点处的距离，m；</w:t>
            </w:r>
          </w:p>
          <w:p w14:paraId="16A284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R—房间常数；R=Sa/（1-a），S为房间内表面积，m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，a为平均吸声系数；</w:t>
            </w:r>
          </w:p>
          <w:p w14:paraId="483B39E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指向性因数；通常对无指向性声源，当声源放在房间中心时，Q=1；当放在一面墙的中心时，Q=2；当放在两面墙夹角处时，Q=4；当放在三面墙夹角处时，Q=8。b、计算所有室内声源在围护结构处产生的i倍频带叠加声压级：</w:t>
            </w:r>
          </w:p>
          <w:p w14:paraId="24ADB96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290955" cy="381000"/>
                  <wp:effectExtent l="0" t="0" r="4445" b="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3"/>
                          <a:stretch>
                            <a:fillRect/>
                          </a:stretch>
                        </pic:blipFill>
                        <pic:spPr>
                          <a:xfrm>
                            <a:off x="0" y="0"/>
                            <a:ext cx="1290955" cy="381000"/>
                          </a:xfrm>
                          <a:prstGeom prst="rect">
                            <a:avLst/>
                          </a:prstGeom>
                          <a:noFill/>
                          <a:ln>
                            <a:noFill/>
                          </a:ln>
                        </pic:spPr>
                      </pic:pic>
                    </a:graphicData>
                  </a:graphic>
                </wp:inline>
              </w:drawing>
            </w:r>
          </w:p>
          <w:p w14:paraId="510F50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pli</w:t>
            </w:r>
            <w:r>
              <w:rPr>
                <w:rFonts w:hint="default" w:ascii="Times New Roman" w:hAnsi="Times New Roman" w:cs="Times New Roman"/>
                <w:color w:val="auto"/>
                <w:sz w:val="21"/>
                <w:szCs w:val="21"/>
              </w:rPr>
              <w:t>（T）—靠近围护结构处室外N个声源i倍频带的叠加声压级，dB;</w:t>
            </w:r>
          </w:p>
          <w:p w14:paraId="1073E8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1ij</w:t>
            </w:r>
            <w:r>
              <w:rPr>
                <w:rFonts w:hint="default" w:ascii="Times New Roman" w:hAnsi="Times New Roman" w:cs="Times New Roman"/>
                <w:color w:val="auto"/>
                <w:sz w:val="21"/>
                <w:szCs w:val="21"/>
              </w:rPr>
              <w:t>—室内声源i倍频带的声压级，dB；</w:t>
            </w:r>
          </w:p>
          <w:p w14:paraId="38A3D51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N—室内声源总数。</w:t>
            </w:r>
          </w:p>
          <w:p w14:paraId="2D0CEC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c、将室外声源的声压级和透过面积换算成等效的室外声源，计算出中心位置位于透声面积（S）处的等效声源的倍频带声功率级。</w:t>
            </w:r>
          </w:p>
          <w:p w14:paraId="6C24F1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＝L</w:t>
            </w:r>
            <w:r>
              <w:rPr>
                <w:rFonts w:hint="eastAsia" w:cs="Times New Roman"/>
                <w:color w:val="auto"/>
                <w:sz w:val="21"/>
                <w:szCs w:val="21"/>
                <w:vertAlign w:val="subscript"/>
                <w:lang w:eastAsia="zh-CN"/>
              </w:rPr>
              <w:t>DA002</w:t>
            </w:r>
            <w:r>
              <w:rPr>
                <w:rFonts w:hint="default" w:ascii="Times New Roman" w:hAnsi="Times New Roman" w:cs="Times New Roman"/>
                <w:color w:val="auto"/>
                <w:sz w:val="21"/>
                <w:szCs w:val="21"/>
              </w:rPr>
              <w:t>（T）+10lgS</w:t>
            </w:r>
          </w:p>
          <w:p w14:paraId="31345E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—中心位置位于透声面积（S）处的等效声源的倍频带声功率级，dB;</w:t>
            </w:r>
          </w:p>
          <w:p w14:paraId="038C6F4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eastAsia" w:cs="Times New Roman"/>
                <w:color w:val="auto"/>
                <w:sz w:val="21"/>
                <w:szCs w:val="21"/>
                <w:vertAlign w:val="subscript"/>
                <w:lang w:eastAsia="zh-CN"/>
              </w:rPr>
              <w:t>DA002</w:t>
            </w:r>
            <w:r>
              <w:rPr>
                <w:rFonts w:hint="default" w:ascii="Times New Roman" w:hAnsi="Times New Roman" w:cs="Times New Roman"/>
                <w:color w:val="auto"/>
                <w:sz w:val="21"/>
                <w:szCs w:val="21"/>
              </w:rPr>
              <w:t>（T）—靠近围护结构处室外声源的声压级，dB</w:t>
            </w:r>
          </w:p>
          <w:p w14:paraId="529635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S—透声面积，m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p w14:paraId="022B1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总声级的计算</w:t>
            </w:r>
          </w:p>
          <w:p w14:paraId="59000B5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设第i个室外声源在预测点产生的A声级为L</w:t>
            </w:r>
            <w:r>
              <w:rPr>
                <w:rFonts w:hint="default" w:ascii="Times New Roman" w:hAnsi="Times New Roman" w:cs="Times New Roman"/>
                <w:color w:val="auto"/>
                <w:sz w:val="21"/>
                <w:szCs w:val="21"/>
                <w:vertAlign w:val="subscript"/>
              </w:rPr>
              <w:t>Ai</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i</w:t>
            </w:r>
            <w:r>
              <w:rPr>
                <w:rFonts w:hint="default" w:ascii="Times New Roman" w:hAnsi="Times New Roman" w:cs="Times New Roman"/>
                <w:color w:val="auto"/>
                <w:sz w:val="21"/>
                <w:szCs w:val="21"/>
              </w:rPr>
              <w:t>；第j个等效室外声源在预测点产生的A声级为L</w:t>
            </w:r>
            <w:r>
              <w:rPr>
                <w:rFonts w:hint="default" w:ascii="Times New Roman" w:hAnsi="Times New Roman" w:cs="Times New Roman"/>
                <w:color w:val="auto"/>
                <w:sz w:val="21"/>
                <w:szCs w:val="21"/>
                <w:vertAlign w:val="subscript"/>
              </w:rPr>
              <w:t>Aj</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j</w:t>
            </w:r>
            <w:r>
              <w:rPr>
                <w:rFonts w:hint="default" w:ascii="Times New Roman" w:hAnsi="Times New Roman" w:cs="Times New Roman"/>
                <w:color w:val="auto"/>
                <w:sz w:val="21"/>
                <w:szCs w:val="21"/>
              </w:rPr>
              <w:t>，则预测点的总有效声级为：</w:t>
            </w:r>
          </w:p>
          <w:p w14:paraId="45098BE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2363470" cy="358140"/>
                  <wp:effectExtent l="0" t="0" r="13970" b="7620"/>
                  <wp:docPr id="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1"/>
                          </pic:cNvPicPr>
                        </pic:nvPicPr>
                        <pic:blipFill>
                          <a:blip r:embed="rId14"/>
                          <a:stretch>
                            <a:fillRect/>
                          </a:stretch>
                        </pic:blipFill>
                        <pic:spPr>
                          <a:xfrm>
                            <a:off x="0" y="0"/>
                            <a:ext cx="2363470" cy="358140"/>
                          </a:xfrm>
                          <a:prstGeom prst="rect">
                            <a:avLst/>
                          </a:prstGeom>
                          <a:noFill/>
                          <a:ln>
                            <a:noFill/>
                          </a:ln>
                        </pic:spPr>
                      </pic:pic>
                    </a:graphicData>
                  </a:graphic>
                </wp:inline>
              </w:drawing>
            </w:r>
          </w:p>
          <w:p w14:paraId="22B4875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式中：T—计算等效声级的时间，s；</w:t>
            </w:r>
          </w:p>
          <w:p w14:paraId="1EE2A1A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N—室外声源个数；</w:t>
            </w:r>
          </w:p>
          <w:p w14:paraId="68E2453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M—等效室外声源个数；</w:t>
            </w:r>
          </w:p>
          <w:p w14:paraId="30DFFD3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Leqg—建设项目声源在预测点产生的噪声贡献值，dB</w:t>
            </w:r>
            <w:r>
              <w:rPr>
                <w:rFonts w:hint="default" w:ascii="Times New Roman" w:hAnsi="Times New Roman" w:cs="Times New Roman"/>
                <w:color w:val="auto"/>
                <w:sz w:val="21"/>
                <w:szCs w:val="21"/>
                <w:lang w:eastAsia="zh-CN"/>
              </w:rPr>
              <w:t>。</w:t>
            </w:r>
          </w:p>
          <w:p w14:paraId="55EF8AB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4）参数确定</w:t>
            </w:r>
          </w:p>
          <w:p w14:paraId="190001AB">
            <w:pPr>
              <w:adjustRightInd w:val="0"/>
              <w:snapToGrid w:val="0"/>
              <w:spacing w:line="360" w:lineRule="auto"/>
              <w:ind w:firstLine="420" w:firstLineChars="200"/>
              <w:rPr>
                <w:rFonts w:hint="eastAsia" w:cs="Times New Roman"/>
                <w:color w:val="auto"/>
                <w:highlight w:val="none"/>
                <w:lang w:val="en-US" w:eastAsia="zh-CN"/>
              </w:rPr>
            </w:pPr>
            <w:r>
              <w:rPr>
                <w:rFonts w:hint="eastAsia" w:cs="Times New Roman"/>
                <w:color w:val="auto"/>
                <w:highlight w:val="none"/>
                <w:lang w:val="en-US" w:eastAsia="zh-CN"/>
              </w:rPr>
              <w:t>①TL：门窗关闭时取20dB(A)；开启时取15dB(A)；无门窗墙体取25dB(A)；室外声源取0。</w:t>
            </w:r>
          </w:p>
          <w:p w14:paraId="7511EB68">
            <w:pPr>
              <w:adjustRightInd w:val="0"/>
              <w:snapToGrid w:val="0"/>
              <w:spacing w:line="360" w:lineRule="auto"/>
              <w:ind w:firstLine="420" w:firstLineChars="200"/>
              <w:rPr>
                <w:rFonts w:hint="eastAsia" w:cs="Times New Roman"/>
                <w:color w:val="auto"/>
                <w:highlight w:val="none"/>
                <w:lang w:val="en-US" w:eastAsia="zh-CN"/>
              </w:rPr>
            </w:pPr>
            <w:r>
              <w:rPr>
                <w:rFonts w:hint="eastAsia" w:cs="Times New Roman"/>
                <w:color w:val="auto"/>
                <w:highlight w:val="none"/>
                <w:lang w:val="en-US" w:eastAsia="zh-CN"/>
              </w:rPr>
              <w:t>②</w:t>
            </w:r>
            <w:r>
              <w:rPr>
                <w:rFonts w:hint="default" w:ascii="Times New Roman" w:hAnsi="Times New Roman" w:cs="Times New Roman"/>
                <w:color w:val="auto"/>
                <w:sz w:val="21"/>
                <w:szCs w:val="21"/>
              </w:rPr>
              <w:t>声波几何发散引起的A声级衰减量（Adiv）</w:t>
            </w:r>
            <w:r>
              <w:rPr>
                <w:rFonts w:hint="eastAsia" w:cs="Times New Roman"/>
                <w:color w:val="auto"/>
                <w:highlight w:val="none"/>
                <w:lang w:val="en-US" w:eastAsia="zh-CN"/>
              </w:rPr>
              <w:t xml:space="preserve"> ：</w:t>
            </w:r>
          </w:p>
          <w:p w14:paraId="018D35B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a、点声源：Adiv=20lg（r/ro）</w:t>
            </w:r>
          </w:p>
          <w:p w14:paraId="4019777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式中：r—预测点到噪声源距离，m；</w:t>
            </w:r>
          </w:p>
          <w:p w14:paraId="63F20DF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—参考点到噪声源距离，m。</w:t>
            </w:r>
          </w:p>
          <w:p w14:paraId="328CB82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b、有限长线声源（设线声源长为Lo）</w:t>
            </w:r>
          </w:p>
          <w:p w14:paraId="124C282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当r&gt;Lo，且ro&gt;Lo时：Adiv=20lg（r/ro）</w:t>
            </w:r>
          </w:p>
          <w:p w14:paraId="2E66612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当r&lt;Lo/3，且ro&lt;Lo/3时：Adiv=10lg（r/ro）</w:t>
            </w:r>
          </w:p>
          <w:p w14:paraId="69C886E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当Lo/3&lt;r&lt;Lo，且Lo/3&lt;ro&lt;Lo时：Adiv=15lg（r/ro）</w:t>
            </w:r>
          </w:p>
          <w:p w14:paraId="101B0F2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c、面声源（设面声源高度为a，长度为b，且a＜b）</w:t>
            </w:r>
          </w:p>
          <w:p w14:paraId="3EBB03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w:t>
            </w:r>
            <w:r>
              <w:rPr>
                <w:rFonts w:hint="default" w:ascii="Times New Roman" w:hAnsi="Times New Roman" w:eastAsia="宋体" w:cs="Times New Roman"/>
                <w:color w:val="auto"/>
                <w:sz w:val="21"/>
                <w:szCs w:val="21"/>
                <w:lang w:val="en-US" w:eastAsia="zh-CN"/>
              </w:rPr>
              <w:t>r＜a/π时，几乎不衰减（Adiv≈0）；</w:t>
            </w:r>
          </w:p>
          <w:p w14:paraId="0736F43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w:t>
            </w:r>
            <w:r>
              <w:rPr>
                <w:rFonts w:hint="default" w:ascii="Times New Roman" w:hAnsi="Times New Roman" w:eastAsia="宋体" w:cs="Times New Roman"/>
                <w:color w:val="auto"/>
                <w:sz w:val="21"/>
                <w:szCs w:val="21"/>
                <w:lang w:val="en-US" w:eastAsia="zh-CN"/>
              </w:rPr>
              <w:t>a/π＜r＜b/π，距离加倍衰减3dB左右，类似线声源衰减特性Adiv≈10lg（r/r0）；</w:t>
            </w:r>
          </w:p>
          <w:p w14:paraId="3CEAAFA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当</w:t>
            </w:r>
            <w:r>
              <w:rPr>
                <w:rFonts w:hint="default" w:ascii="Times New Roman" w:hAnsi="Times New Roman" w:eastAsia="宋体" w:cs="Times New Roman"/>
                <w:color w:val="auto"/>
                <w:sz w:val="21"/>
                <w:szCs w:val="21"/>
                <w:lang w:val="en-US" w:eastAsia="zh-CN"/>
              </w:rPr>
              <w:t>r＞b/π时，距离加倍衰减趋近于6dB，类似点声源衰减特性Adiv≈20lg（r/r0）</w:t>
            </w:r>
            <w:r>
              <w:rPr>
                <w:rFonts w:hint="eastAsia" w:ascii="Times New Roman" w:hAnsi="Times New Roman" w:eastAsia="宋体" w:cs="Times New Roman"/>
                <w:color w:val="auto"/>
                <w:sz w:val="21"/>
                <w:szCs w:val="21"/>
                <w:lang w:val="en-US" w:eastAsia="zh-CN"/>
              </w:rPr>
              <w:t>。</w:t>
            </w:r>
          </w:p>
          <w:p w14:paraId="60D087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③其他类型的衰减忽略不计。</w:t>
            </w:r>
          </w:p>
          <w:p w14:paraId="0C51B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 xml:space="preserve">7 </w:t>
            </w:r>
            <w:r>
              <w:rPr>
                <w:rFonts w:hint="default" w:ascii="Times New Roman" w:hAnsi="Times New Roman" w:eastAsia="宋体" w:cs="Times New Roman"/>
                <w:b/>
                <w:color w:val="auto"/>
                <w:kern w:val="0"/>
                <w:sz w:val="21"/>
                <w:szCs w:val="21"/>
                <w:highlight w:val="none"/>
                <w:lang w:val="en-US" w:eastAsia="zh-CN"/>
              </w:rPr>
              <w:t>厂界噪声预测结果统计表（单位：dB</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A</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w:t>
            </w:r>
          </w:p>
          <w:tbl>
            <w:tblPr>
              <w:tblStyle w:val="35"/>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834"/>
              <w:gridCol w:w="1382"/>
              <w:gridCol w:w="1259"/>
              <w:gridCol w:w="1259"/>
              <w:gridCol w:w="1259"/>
              <w:gridCol w:w="1264"/>
            </w:tblGrid>
            <w:tr w14:paraId="4CB453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1" w:type="pct"/>
                  <w:tcBorders>
                    <w:tl2br w:val="nil"/>
                    <w:tr2bl w:val="nil"/>
                  </w:tcBorders>
                  <w:noWrap w:val="0"/>
                  <w:vAlign w:val="center"/>
                </w:tcPr>
                <w:p w14:paraId="356124C8">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w:t>
                  </w:r>
                </w:p>
              </w:tc>
              <w:tc>
                <w:tcPr>
                  <w:tcW w:w="837" w:type="pct"/>
                  <w:tcBorders>
                    <w:tl2br w:val="nil"/>
                    <w:tr2bl w:val="nil"/>
                  </w:tcBorders>
                  <w:noWrap w:val="0"/>
                  <w:vAlign w:val="center"/>
                </w:tcPr>
                <w:p w14:paraId="62A5D88B">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时段</w:t>
                  </w:r>
                </w:p>
              </w:tc>
              <w:tc>
                <w:tcPr>
                  <w:tcW w:w="762" w:type="pct"/>
                  <w:tcBorders>
                    <w:tl2br w:val="nil"/>
                    <w:tr2bl w:val="nil"/>
                  </w:tcBorders>
                  <w:noWrap w:val="0"/>
                  <w:vAlign w:val="center"/>
                </w:tcPr>
                <w:p w14:paraId="0EA8A13E">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东厂界</w:t>
                  </w:r>
                </w:p>
              </w:tc>
              <w:tc>
                <w:tcPr>
                  <w:tcW w:w="762" w:type="pct"/>
                  <w:tcBorders>
                    <w:tl2br w:val="nil"/>
                    <w:tr2bl w:val="nil"/>
                  </w:tcBorders>
                  <w:noWrap w:val="0"/>
                  <w:vAlign w:val="center"/>
                </w:tcPr>
                <w:p w14:paraId="154FDE3B">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南厂界</w:t>
                  </w:r>
                </w:p>
              </w:tc>
              <w:tc>
                <w:tcPr>
                  <w:tcW w:w="762" w:type="pct"/>
                  <w:tcBorders>
                    <w:tl2br w:val="nil"/>
                    <w:tr2bl w:val="nil"/>
                  </w:tcBorders>
                  <w:noWrap w:val="0"/>
                  <w:vAlign w:val="center"/>
                </w:tcPr>
                <w:p w14:paraId="2BFB6E7D">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西厂界</w:t>
                  </w:r>
                </w:p>
              </w:tc>
              <w:tc>
                <w:tcPr>
                  <w:tcW w:w="764" w:type="pct"/>
                  <w:tcBorders>
                    <w:tl2br w:val="nil"/>
                    <w:tr2bl w:val="nil"/>
                  </w:tcBorders>
                  <w:noWrap w:val="0"/>
                  <w:vAlign w:val="center"/>
                </w:tcPr>
                <w:p w14:paraId="6BB9183B">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北厂界</w:t>
                  </w:r>
                </w:p>
              </w:tc>
            </w:tr>
            <w:tr w14:paraId="035E74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1" w:type="pct"/>
                  <w:tcBorders>
                    <w:tl2br w:val="nil"/>
                    <w:tr2bl w:val="nil"/>
                  </w:tcBorders>
                  <w:noWrap w:val="0"/>
                  <w:vAlign w:val="center"/>
                </w:tcPr>
                <w:p w14:paraId="4E39C445">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本项目贡献值</w:t>
                  </w:r>
                </w:p>
              </w:tc>
              <w:tc>
                <w:tcPr>
                  <w:tcW w:w="837" w:type="pct"/>
                  <w:tcBorders>
                    <w:tl2br w:val="nil"/>
                    <w:tr2bl w:val="nil"/>
                  </w:tcBorders>
                  <w:noWrap w:val="0"/>
                  <w:vAlign w:val="center"/>
                </w:tcPr>
                <w:p w14:paraId="489DB4FE">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762" w:type="pct"/>
                  <w:tcBorders>
                    <w:tl2br w:val="nil"/>
                    <w:tr2bl w:val="nil"/>
                  </w:tcBorders>
                  <w:noWrap w:val="0"/>
                  <w:vAlign w:val="center"/>
                </w:tcPr>
                <w:p w14:paraId="1717A32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51.1</w:t>
                  </w:r>
                </w:p>
              </w:tc>
              <w:tc>
                <w:tcPr>
                  <w:tcW w:w="762" w:type="pct"/>
                  <w:tcBorders>
                    <w:tl2br w:val="nil"/>
                    <w:tr2bl w:val="nil"/>
                  </w:tcBorders>
                  <w:noWrap w:val="0"/>
                  <w:vAlign w:val="center"/>
                </w:tcPr>
                <w:p w14:paraId="1D96D27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59.2</w:t>
                  </w:r>
                </w:p>
              </w:tc>
              <w:tc>
                <w:tcPr>
                  <w:tcW w:w="762" w:type="pct"/>
                  <w:tcBorders>
                    <w:tl2br w:val="nil"/>
                    <w:tr2bl w:val="nil"/>
                  </w:tcBorders>
                  <w:noWrap w:val="0"/>
                  <w:vAlign w:val="center"/>
                </w:tcPr>
                <w:p w14:paraId="44F681A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59.6</w:t>
                  </w:r>
                </w:p>
              </w:tc>
              <w:tc>
                <w:tcPr>
                  <w:tcW w:w="764" w:type="pct"/>
                  <w:tcBorders>
                    <w:tl2br w:val="nil"/>
                    <w:tr2bl w:val="nil"/>
                  </w:tcBorders>
                  <w:noWrap w:val="0"/>
                  <w:vAlign w:val="center"/>
                </w:tcPr>
                <w:p w14:paraId="5A8C931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52.8</w:t>
                  </w:r>
                </w:p>
              </w:tc>
            </w:tr>
            <w:tr w14:paraId="101716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1" w:type="pct"/>
                  <w:tcBorders>
                    <w:tl2br w:val="nil"/>
                    <w:tr2bl w:val="nil"/>
                  </w:tcBorders>
                  <w:noWrap w:val="0"/>
                  <w:vAlign w:val="center"/>
                </w:tcPr>
                <w:p w14:paraId="39F4A887">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标准值</w:t>
                  </w:r>
                </w:p>
              </w:tc>
              <w:tc>
                <w:tcPr>
                  <w:tcW w:w="837" w:type="pct"/>
                  <w:tcBorders>
                    <w:tl2br w:val="nil"/>
                    <w:tr2bl w:val="nil"/>
                  </w:tcBorders>
                  <w:noWrap w:val="0"/>
                  <w:vAlign w:val="center"/>
                </w:tcPr>
                <w:p w14:paraId="66353795">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3051" w:type="pct"/>
                  <w:gridSpan w:val="4"/>
                  <w:tcBorders>
                    <w:tl2br w:val="nil"/>
                    <w:tr2bl w:val="nil"/>
                  </w:tcBorders>
                  <w:noWrap w:val="0"/>
                  <w:vAlign w:val="center"/>
                </w:tcPr>
                <w:p w14:paraId="2916047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0</w:t>
                  </w:r>
                </w:p>
              </w:tc>
            </w:tr>
            <w:tr w14:paraId="600BC8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1" w:type="pct"/>
                  <w:tcBorders>
                    <w:tl2br w:val="nil"/>
                    <w:tr2bl w:val="nil"/>
                  </w:tcBorders>
                  <w:noWrap w:val="0"/>
                  <w:vAlign w:val="center"/>
                </w:tcPr>
                <w:p w14:paraId="7AD9B9D6">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达标情况</w:t>
                  </w:r>
                </w:p>
              </w:tc>
              <w:tc>
                <w:tcPr>
                  <w:tcW w:w="837" w:type="pct"/>
                  <w:tcBorders>
                    <w:tl2br w:val="nil"/>
                    <w:tr2bl w:val="nil"/>
                  </w:tcBorders>
                  <w:noWrap w:val="0"/>
                  <w:vAlign w:val="center"/>
                </w:tcPr>
                <w:p w14:paraId="21D3C4C6">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3051" w:type="pct"/>
                  <w:gridSpan w:val="4"/>
                  <w:tcBorders>
                    <w:tl2br w:val="nil"/>
                    <w:tr2bl w:val="nil"/>
                  </w:tcBorders>
                  <w:noWrap w:val="0"/>
                  <w:vAlign w:val="center"/>
                </w:tcPr>
                <w:p w14:paraId="7DB242B5">
                  <w:pPr>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14:paraId="29438B7B">
            <w:pPr>
              <w:spacing w:line="360" w:lineRule="auto"/>
              <w:ind w:firstLine="420" w:firstLineChars="200"/>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bidi="ar"/>
              </w:rPr>
              <w:t>经</w:t>
            </w:r>
            <w:r>
              <w:rPr>
                <w:rFonts w:hint="default" w:ascii="Times New Roman" w:hAnsi="Times New Roman" w:eastAsia="宋体" w:cs="Times New Roman"/>
                <w:color w:val="auto"/>
                <w:sz w:val="21"/>
                <w:szCs w:val="21"/>
              </w:rPr>
              <w:t>过预测，本项目厂区设备噪声采用上述设备</w:t>
            </w:r>
            <w:r>
              <w:rPr>
                <w:rFonts w:hint="eastAsia" w:ascii="Times New Roman" w:hAnsi="Times New Roman" w:eastAsia="宋体" w:cs="Times New Roman"/>
                <w:color w:val="auto"/>
                <w:sz w:val="21"/>
                <w:szCs w:val="21"/>
                <w:lang w:val="en-US" w:eastAsia="zh-CN"/>
              </w:rPr>
              <w:t>减振</w:t>
            </w:r>
            <w:r>
              <w:rPr>
                <w:rFonts w:hint="default" w:ascii="Times New Roman" w:hAnsi="Times New Roman" w:eastAsia="宋体" w:cs="Times New Roman"/>
                <w:color w:val="auto"/>
                <w:sz w:val="21"/>
                <w:szCs w:val="21"/>
              </w:rPr>
              <w:t>厂房隔声后，</w:t>
            </w:r>
            <w:r>
              <w:rPr>
                <w:rFonts w:hint="eastAsia" w:ascii="Times New Roman" w:hAnsi="Times New Roman" w:eastAsia="宋体" w:cs="Times New Roman"/>
                <w:color w:val="auto"/>
                <w:sz w:val="21"/>
                <w:szCs w:val="21"/>
                <w:lang w:val="en-US" w:eastAsia="zh-CN"/>
              </w:rPr>
              <w:t>各厂界噪声</w:t>
            </w:r>
            <w:r>
              <w:rPr>
                <w:rFonts w:hint="default" w:ascii="Times New Roman" w:hAnsi="Times New Roman" w:eastAsia="宋体" w:cs="Times New Roman"/>
                <w:color w:val="auto"/>
                <w:sz w:val="21"/>
                <w:szCs w:val="21"/>
              </w:rPr>
              <w:t>满足《工业企业厂界环境噪声排放标准》（GB12348-2008）</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类</w:t>
            </w:r>
            <w:r>
              <w:rPr>
                <w:rFonts w:hint="default" w:ascii="Times New Roman" w:hAnsi="Times New Roman" w:eastAsia="宋体" w:cs="Times New Roman"/>
                <w:color w:val="auto"/>
                <w:sz w:val="21"/>
                <w:szCs w:val="21"/>
              </w:rPr>
              <w:t>标准</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因此，本项目在做好噪声治理措施后，设备噪声对</w:t>
            </w:r>
            <w:r>
              <w:rPr>
                <w:rFonts w:hint="default" w:ascii="Times New Roman" w:hAnsi="Times New Roman" w:eastAsia="宋体" w:cs="Times New Roman"/>
                <w:color w:val="auto"/>
                <w:sz w:val="21"/>
                <w:szCs w:val="21"/>
                <w:highlight w:val="none"/>
                <w:lang w:bidi="ar"/>
              </w:rPr>
              <w:t>周围环境不会造成太大影响</w:t>
            </w:r>
            <w:r>
              <w:rPr>
                <w:rFonts w:hint="default" w:ascii="Times New Roman" w:hAnsi="Times New Roman" w:cs="Times New Roman"/>
                <w:color w:val="auto"/>
                <w:sz w:val="21"/>
                <w:szCs w:val="21"/>
                <w:highlight w:val="none"/>
                <w:lang w:eastAsia="zh-CN" w:bidi="ar"/>
              </w:rPr>
              <w:t>。</w:t>
            </w:r>
          </w:p>
          <w:p w14:paraId="28D5B03E">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eastAsia="zh-CN"/>
              </w:rPr>
              <w:t>监测要求</w:t>
            </w:r>
          </w:p>
          <w:p w14:paraId="595D353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根据《排污许可证申请与核发技术规范 工业噪声》（HJ 1301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2023）要求及本项目实际情况，制定监测计划</w:t>
            </w:r>
            <w:r>
              <w:rPr>
                <w:rFonts w:hint="default" w:ascii="Times New Roman" w:hAnsi="Times New Roman" w:cs="Times New Roman"/>
                <w:color w:val="auto"/>
                <w:sz w:val="21"/>
                <w:szCs w:val="21"/>
                <w:highlight w:val="none"/>
                <w:lang w:eastAsia="zh-CN"/>
              </w:rPr>
              <w:t>。</w:t>
            </w:r>
          </w:p>
          <w:p w14:paraId="0499C154">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kern w:val="16"/>
                <w:sz w:val="21"/>
                <w:szCs w:val="21"/>
                <w:highlight w:val="none"/>
              </w:rPr>
              <w:t>表</w:t>
            </w:r>
            <w:r>
              <w:rPr>
                <w:rFonts w:hint="default" w:ascii="Times New Roman" w:hAnsi="Times New Roman" w:cs="Times New Roman"/>
                <w:b/>
                <w:color w:val="auto"/>
                <w:kern w:val="16"/>
                <w:sz w:val="21"/>
                <w:szCs w:val="21"/>
                <w:highlight w:val="none"/>
                <w:lang w:val="en-US" w:eastAsia="zh-CN"/>
              </w:rPr>
              <w:t>4-</w:t>
            </w:r>
            <w:r>
              <w:rPr>
                <w:rFonts w:hint="eastAsia" w:cs="Times New Roman"/>
                <w:b/>
                <w:color w:val="auto"/>
                <w:kern w:val="16"/>
                <w:sz w:val="21"/>
                <w:szCs w:val="21"/>
                <w:highlight w:val="none"/>
                <w:lang w:val="en-US" w:eastAsia="zh-CN"/>
              </w:rPr>
              <w:t>8 厂界噪声</w:t>
            </w:r>
            <w:r>
              <w:rPr>
                <w:rFonts w:hint="default" w:ascii="Times New Roman" w:hAnsi="Times New Roman" w:cs="Times New Roman"/>
                <w:b/>
                <w:color w:val="auto"/>
                <w:kern w:val="16"/>
                <w:sz w:val="21"/>
                <w:szCs w:val="21"/>
                <w:highlight w:val="none"/>
              </w:rPr>
              <w:t>自行监测方案一</w:t>
            </w:r>
            <w:r>
              <w:rPr>
                <w:rFonts w:hint="default" w:ascii="Times New Roman" w:hAnsi="Times New Roman" w:cs="Times New Roman"/>
                <w:b/>
                <w:color w:val="auto"/>
                <w:sz w:val="21"/>
                <w:szCs w:val="21"/>
                <w:highlight w:val="none"/>
              </w:rPr>
              <w:t>览表</w:t>
            </w:r>
          </w:p>
          <w:tbl>
            <w:tblPr>
              <w:tblStyle w:val="35"/>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654"/>
              <w:gridCol w:w="1288"/>
              <w:gridCol w:w="1167"/>
              <w:gridCol w:w="1289"/>
              <w:gridCol w:w="3863"/>
            </w:tblGrid>
            <w:tr w14:paraId="61D199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6" w:type="pct"/>
                  <w:tcBorders>
                    <w:tl2br w:val="nil"/>
                    <w:tr2bl w:val="nil"/>
                  </w:tcBorders>
                  <w:noWrap w:val="0"/>
                  <w:vAlign w:val="center"/>
                </w:tcPr>
                <w:p w14:paraId="689BB7DB">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内容</w:t>
                  </w:r>
                </w:p>
              </w:tc>
              <w:tc>
                <w:tcPr>
                  <w:tcW w:w="779" w:type="pct"/>
                  <w:tcBorders>
                    <w:tl2br w:val="nil"/>
                    <w:tr2bl w:val="nil"/>
                  </w:tcBorders>
                  <w:noWrap w:val="0"/>
                  <w:vAlign w:val="center"/>
                </w:tcPr>
                <w:p w14:paraId="052FD1B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监测项目</w:t>
                  </w:r>
                </w:p>
              </w:tc>
              <w:tc>
                <w:tcPr>
                  <w:tcW w:w="706" w:type="pct"/>
                  <w:tcBorders>
                    <w:tl2br w:val="nil"/>
                    <w:tr2bl w:val="nil"/>
                  </w:tcBorders>
                  <w:noWrap w:val="0"/>
                  <w:vAlign w:val="center"/>
                </w:tcPr>
                <w:p w14:paraId="45C73319">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监测点</w:t>
                  </w:r>
                </w:p>
              </w:tc>
              <w:tc>
                <w:tcPr>
                  <w:tcW w:w="780" w:type="pct"/>
                  <w:tcBorders>
                    <w:tl2br w:val="nil"/>
                    <w:tr2bl w:val="nil"/>
                  </w:tcBorders>
                  <w:noWrap w:val="0"/>
                  <w:vAlign w:val="center"/>
                </w:tcPr>
                <w:p w14:paraId="0E0BFF36">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监测频次</w:t>
                  </w:r>
                </w:p>
              </w:tc>
              <w:tc>
                <w:tcPr>
                  <w:tcW w:w="2337" w:type="pct"/>
                  <w:tcBorders>
                    <w:tl2br w:val="nil"/>
                    <w:tr2bl w:val="nil"/>
                  </w:tcBorders>
                  <w:noWrap w:val="0"/>
                  <w:vAlign w:val="center"/>
                </w:tcPr>
                <w:p w14:paraId="7967F8F2">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执行标准</w:t>
                  </w:r>
                </w:p>
              </w:tc>
            </w:tr>
            <w:tr w14:paraId="76BD59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6" w:type="pct"/>
                  <w:tcBorders>
                    <w:tl2br w:val="nil"/>
                    <w:tr2bl w:val="nil"/>
                  </w:tcBorders>
                  <w:noWrap w:val="0"/>
                  <w:vAlign w:val="center"/>
                </w:tcPr>
                <w:p w14:paraId="0FBB577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噪声监测</w:t>
                  </w:r>
                </w:p>
              </w:tc>
              <w:tc>
                <w:tcPr>
                  <w:tcW w:w="779" w:type="pct"/>
                  <w:tcBorders>
                    <w:tl2br w:val="nil"/>
                    <w:tr2bl w:val="nil"/>
                  </w:tcBorders>
                  <w:noWrap w:val="0"/>
                  <w:vAlign w:val="center"/>
                </w:tcPr>
                <w:p w14:paraId="7B37C04F">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sz w:val="21"/>
                      <w:szCs w:val="21"/>
                      <w:highlight w:val="none"/>
                      <w:lang w:val="en-US" w:eastAsia="zh-CN"/>
                    </w:rPr>
                    <w:t>等效连续A声级</w:t>
                  </w:r>
                </w:p>
              </w:tc>
              <w:tc>
                <w:tcPr>
                  <w:tcW w:w="706" w:type="pct"/>
                  <w:tcBorders>
                    <w:tl2br w:val="nil"/>
                    <w:tr2bl w:val="nil"/>
                  </w:tcBorders>
                  <w:noWrap w:val="0"/>
                  <w:vAlign w:val="center"/>
                </w:tcPr>
                <w:p w14:paraId="341226C5">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项目厂界</w:t>
                  </w:r>
                </w:p>
              </w:tc>
              <w:tc>
                <w:tcPr>
                  <w:tcW w:w="780" w:type="pct"/>
                  <w:tcBorders>
                    <w:tl2br w:val="nil"/>
                    <w:tr2bl w:val="nil"/>
                  </w:tcBorders>
                  <w:noWrap w:val="0"/>
                  <w:vAlign w:val="center"/>
                </w:tcPr>
                <w:p w14:paraId="39CC1B00">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szCs w:val="21"/>
                      <w:highlight w:val="none"/>
                      <w:lang w:val="en-US" w:eastAsia="zh-CN"/>
                    </w:rPr>
                    <w:t>1次/季度</w:t>
                  </w:r>
                </w:p>
              </w:tc>
              <w:tc>
                <w:tcPr>
                  <w:tcW w:w="2337" w:type="pct"/>
                  <w:tcBorders>
                    <w:tl2br w:val="nil"/>
                    <w:tr2bl w:val="nil"/>
                  </w:tcBorders>
                  <w:noWrap w:val="0"/>
                  <w:vAlign w:val="center"/>
                </w:tcPr>
                <w:p w14:paraId="06596B91">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《工业企业厂界环境噪声排放标准》</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GB12348</w:t>
                  </w:r>
                  <w:r>
                    <w:rPr>
                      <w:rFonts w:hint="default" w:ascii="Times New Roman" w:hAnsi="Times New Roman" w:cs="Times New Roman"/>
                      <w:bCs/>
                      <w:color w:val="auto"/>
                      <w:szCs w:val="21"/>
                      <w:highlight w:val="none"/>
                      <w:lang w:val="en-US" w:eastAsia="zh-CN"/>
                    </w:rPr>
                    <w:t>-</w:t>
                  </w:r>
                  <w:r>
                    <w:rPr>
                      <w:rFonts w:hint="default" w:ascii="Times New Roman" w:hAnsi="Times New Roman" w:cs="Times New Roman"/>
                      <w:bCs/>
                      <w:color w:val="auto"/>
                      <w:szCs w:val="21"/>
                      <w:highlight w:val="none"/>
                    </w:rPr>
                    <w:t>2008</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中</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类标准限值要求</w:t>
                  </w:r>
                </w:p>
              </w:tc>
            </w:tr>
          </w:tbl>
          <w:p w14:paraId="610A6F54">
            <w:pPr>
              <w:spacing w:line="360" w:lineRule="auto"/>
              <w:ind w:firstLine="422" w:firstLineChars="200"/>
              <w:rPr>
                <w:rFonts w:hint="default" w:ascii="Times New Roman" w:cs="Times New Roman"/>
                <w:color w:val="auto"/>
                <w:sz w:val="21"/>
                <w:szCs w:val="21"/>
                <w:highlight w:val="none"/>
              </w:rPr>
            </w:pPr>
            <w:r>
              <w:rPr>
                <w:rFonts w:hint="eastAsia"/>
                <w:b/>
                <w:bCs/>
                <w:color w:val="auto"/>
                <w:sz w:val="21"/>
                <w:szCs w:val="21"/>
              </w:rPr>
              <w:t>四、</w:t>
            </w:r>
            <w:r>
              <w:rPr>
                <w:b/>
                <w:bCs/>
                <w:color w:val="auto"/>
                <w:sz w:val="21"/>
                <w:szCs w:val="21"/>
              </w:rPr>
              <w:t>固废</w:t>
            </w:r>
            <w:r>
              <w:rPr>
                <w:rFonts w:ascii="Times New Roman" w:cs="Times New Roman"/>
                <w:color w:val="auto"/>
                <w:sz w:val="21"/>
                <w:szCs w:val="21"/>
                <w:highlight w:val="none"/>
              </w:rPr>
              <w:t xml:space="preserve">                           </w:t>
            </w:r>
          </w:p>
          <w:p w14:paraId="0B57CA8A">
            <w:pPr>
              <w:pStyle w:val="74"/>
              <w:spacing w:before="0" w:after="0"/>
              <w:ind w:firstLine="482"/>
              <w:rPr>
                <w:rFonts w:hint="default"/>
                <w:color w:val="000000"/>
                <w:sz w:val="21"/>
                <w:szCs w:val="21"/>
                <w:highlight w:val="none"/>
              </w:rPr>
            </w:pPr>
            <w:r>
              <w:rPr>
                <w:color w:val="000000"/>
                <w:sz w:val="21"/>
                <w:szCs w:val="21"/>
                <w:highlight w:val="none"/>
              </w:rPr>
              <w:t>（1）固废产生情况</w:t>
            </w:r>
          </w:p>
          <w:p w14:paraId="4C5E3146">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本项目固体废物主要为生活垃圾、废包装袋、</w:t>
            </w:r>
            <w:r>
              <w:rPr>
                <w:rFonts w:hint="eastAsia" w:ascii="Times New Roman" w:hAnsi="Times New Roman" w:cs="Times New Roman"/>
                <w:color w:val="auto"/>
                <w:highlight w:val="none"/>
                <w:lang w:val="en-US" w:eastAsia="zh-CN"/>
              </w:rPr>
              <w:t>布袋除尘器</w:t>
            </w:r>
            <w:r>
              <w:rPr>
                <w:rFonts w:hint="default" w:ascii="Times New Roman" w:hAnsi="Times New Roman" w:cs="Times New Roman"/>
                <w:color w:val="auto"/>
                <w:highlight w:val="none"/>
                <w:lang w:val="en-US" w:eastAsia="zh-CN"/>
              </w:rPr>
              <w:t>收集尘、含铁物料。</w:t>
            </w:r>
          </w:p>
          <w:p w14:paraId="6ABF8472">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1、</w:t>
            </w:r>
            <w:r>
              <w:rPr>
                <w:rFonts w:hint="eastAsia" w:ascii="Times New Roman" w:hAnsi="Times New Roman" w:cs="Times New Roman"/>
                <w:color w:val="auto"/>
                <w:highlight w:val="none"/>
                <w:lang w:val="en-US" w:eastAsia="zh-CN"/>
              </w:rPr>
              <w:t>生活垃圾</w:t>
            </w:r>
          </w:p>
          <w:p w14:paraId="74611F77">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val="en-US" w:eastAsia="zh-CN"/>
              </w:rPr>
              <w:t>职工定员</w:t>
            </w:r>
            <w:r>
              <w:rPr>
                <w:rFonts w:hint="eastAsia" w:cs="Times New Roman"/>
                <w:color w:val="auto"/>
                <w:highlight w:val="none"/>
                <w:lang w:val="en-US" w:eastAsia="zh-CN"/>
              </w:rPr>
              <w:t>16</w:t>
            </w:r>
            <w:r>
              <w:rPr>
                <w:rFonts w:hint="default" w:ascii="Times New Roman" w:hAnsi="Times New Roman" w:cs="Times New Roman"/>
                <w:color w:val="auto"/>
                <w:highlight w:val="none"/>
                <w:lang w:val="en-US" w:eastAsia="zh-CN"/>
              </w:rPr>
              <w:t>人，年工作300天，生活垃圾产生量按照0.5kg/人•d计，则</w:t>
            </w:r>
            <w:r>
              <w:rPr>
                <w:rFonts w:hint="eastAsia"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val="en-US" w:eastAsia="zh-CN"/>
              </w:rPr>
              <w:t>生活垃圾产生量为</w:t>
            </w:r>
            <w:r>
              <w:rPr>
                <w:rFonts w:hint="eastAsia" w:cs="Times New Roman"/>
                <w:color w:val="auto"/>
                <w:highlight w:val="none"/>
                <w:lang w:val="en-US" w:eastAsia="zh-CN"/>
              </w:rPr>
              <w:t>2.4</w:t>
            </w:r>
            <w:r>
              <w:rPr>
                <w:rFonts w:hint="eastAsia" w:ascii="Times New Roman" w:hAnsi="Times New Roman" w:cs="Times New Roman"/>
                <w:color w:val="auto"/>
                <w:highlight w:val="none"/>
                <w:lang w:val="en-US" w:eastAsia="zh-CN"/>
              </w:rPr>
              <w:t>t/a，由环卫部门定期清运</w:t>
            </w:r>
            <w:r>
              <w:rPr>
                <w:rFonts w:hint="default" w:ascii="Times New Roman" w:hAnsi="Times New Roman" w:cs="Times New Roman"/>
                <w:color w:val="auto"/>
                <w:highlight w:val="none"/>
                <w:lang w:val="en-US" w:eastAsia="zh-CN"/>
              </w:rPr>
              <w:t>。</w:t>
            </w:r>
          </w:p>
          <w:p w14:paraId="3FE3AA58">
            <w:pPr>
              <w:spacing w:line="360" w:lineRule="auto"/>
              <w:ind w:firstLine="420" w:firstLineChars="200"/>
              <w:rPr>
                <w:sz w:val="21"/>
                <w:szCs w:val="21"/>
                <w:highlight w:val="none"/>
              </w:rPr>
            </w:pPr>
            <w:r>
              <w:rPr>
                <w:rFonts w:hint="eastAsia"/>
                <w:sz w:val="21"/>
                <w:szCs w:val="21"/>
                <w:highlight w:val="none"/>
                <w:lang w:val="en-US" w:eastAsia="zh-CN"/>
              </w:rPr>
              <w:t>2</w:t>
            </w:r>
            <w:r>
              <w:rPr>
                <w:rFonts w:hint="eastAsia"/>
                <w:sz w:val="21"/>
                <w:szCs w:val="21"/>
                <w:highlight w:val="none"/>
              </w:rPr>
              <w:t>、</w:t>
            </w:r>
            <w:r>
              <w:rPr>
                <w:rFonts w:hint="eastAsia"/>
                <w:sz w:val="21"/>
                <w:szCs w:val="21"/>
                <w:highlight w:val="none"/>
                <w:lang w:eastAsia="zh-CN"/>
              </w:rPr>
              <w:t>布袋</w:t>
            </w:r>
            <w:r>
              <w:rPr>
                <w:rFonts w:hint="eastAsia"/>
                <w:sz w:val="21"/>
                <w:szCs w:val="21"/>
                <w:highlight w:val="none"/>
              </w:rPr>
              <w:t>除尘器收集尘</w:t>
            </w:r>
          </w:p>
          <w:p w14:paraId="389294CD">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eastAsia="宋体"/>
                <w:sz w:val="21"/>
                <w:szCs w:val="21"/>
                <w:highlight w:val="none"/>
              </w:rPr>
              <w:t>由前文计算，</w:t>
            </w:r>
            <w:r>
              <w:rPr>
                <w:rFonts w:hint="eastAsia" w:ascii="Times New Roman" w:hAnsi="Times New Roman" w:eastAsia="宋体" w:cs="Times New Roman"/>
                <w:color w:val="auto"/>
                <w:sz w:val="21"/>
                <w:szCs w:val="21"/>
                <w:highlight w:val="none"/>
                <w:lang w:eastAsia="zh-CN"/>
              </w:rPr>
              <w:t>项目一车间、二车间投料、破碎、粉碎、筛分、球磨工序</w:t>
            </w:r>
            <w:r>
              <w:rPr>
                <w:rFonts w:hint="eastAsia" w:cs="Times New Roman"/>
                <w:color w:val="auto"/>
                <w:sz w:val="21"/>
                <w:szCs w:val="21"/>
                <w:highlight w:val="none"/>
                <w:lang w:eastAsia="zh-CN"/>
              </w:rPr>
              <w:t>有组织</w:t>
            </w:r>
            <w:r>
              <w:rPr>
                <w:rFonts w:hint="eastAsia" w:ascii="Times New Roman" w:hAnsi="Times New Roman" w:eastAsia="宋体" w:cs="Times New Roman"/>
                <w:color w:val="auto"/>
                <w:sz w:val="21"/>
                <w:szCs w:val="21"/>
                <w:highlight w:val="none"/>
                <w:lang w:eastAsia="zh-CN"/>
              </w:rPr>
              <w:t>颗粒物产生量为</w:t>
            </w:r>
            <w:r>
              <w:rPr>
                <w:rFonts w:hint="eastAsia" w:cs="Times New Roman"/>
                <w:color w:val="auto"/>
                <w:sz w:val="21"/>
                <w:szCs w:val="21"/>
                <w:highlight w:val="none"/>
                <w:lang w:val="en-US" w:eastAsia="zh-CN"/>
              </w:rPr>
              <w:t>11.678</w:t>
            </w:r>
            <w:r>
              <w:rPr>
                <w:rFonts w:hint="eastAsia" w:ascii="Times New Roman" w:hAnsi="Times New Roman" w:eastAsia="宋体" w:cs="Times New Roman"/>
                <w:color w:val="auto"/>
                <w:sz w:val="21"/>
                <w:szCs w:val="21"/>
                <w:highlight w:val="none"/>
                <w:lang w:val="en-US" w:eastAsia="zh-CN"/>
              </w:rPr>
              <w:t>t/a，</w:t>
            </w:r>
            <w:r>
              <w:rPr>
                <w:rFonts w:hint="eastAsia" w:eastAsia="宋体"/>
                <w:sz w:val="21"/>
                <w:szCs w:val="21"/>
                <w:highlight w:val="none"/>
              </w:rPr>
              <w:t>布袋除尘器处理效率为</w:t>
            </w:r>
            <w:r>
              <w:rPr>
                <w:rFonts w:hint="eastAsia"/>
                <w:sz w:val="21"/>
                <w:szCs w:val="21"/>
                <w:highlight w:val="none"/>
                <w:lang w:val="en-US" w:eastAsia="zh-CN"/>
              </w:rPr>
              <w:t>95</w:t>
            </w:r>
            <w:r>
              <w:rPr>
                <w:rFonts w:hint="eastAsia" w:eastAsia="宋体"/>
                <w:sz w:val="21"/>
                <w:szCs w:val="21"/>
                <w:highlight w:val="none"/>
              </w:rPr>
              <w:t>%，则收集尘量为</w:t>
            </w:r>
            <w:r>
              <w:rPr>
                <w:rFonts w:hint="eastAsia"/>
                <w:sz w:val="21"/>
                <w:szCs w:val="21"/>
                <w:highlight w:val="none"/>
                <w:lang w:val="en-US" w:eastAsia="zh-CN"/>
              </w:rPr>
              <w:t>10.094</w:t>
            </w:r>
            <w:r>
              <w:rPr>
                <w:rFonts w:hint="eastAsia" w:eastAsia="宋体"/>
                <w:sz w:val="21"/>
                <w:szCs w:val="21"/>
                <w:highlight w:val="none"/>
              </w:rPr>
              <w:t>t/a</w:t>
            </w:r>
            <w:r>
              <w:rPr>
                <w:rFonts w:hint="eastAsia"/>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项目三车间投料、破碎、粉碎、筛分、球磨工序</w:t>
            </w:r>
            <w:r>
              <w:rPr>
                <w:rFonts w:hint="eastAsia" w:cs="Times New Roman"/>
                <w:color w:val="auto"/>
                <w:sz w:val="21"/>
                <w:szCs w:val="21"/>
                <w:highlight w:val="none"/>
                <w:lang w:eastAsia="zh-CN"/>
              </w:rPr>
              <w:t>有组织</w:t>
            </w:r>
            <w:r>
              <w:rPr>
                <w:rFonts w:hint="eastAsia" w:ascii="Times New Roman" w:hAnsi="Times New Roman" w:eastAsia="宋体" w:cs="Times New Roman"/>
                <w:color w:val="auto"/>
                <w:sz w:val="21"/>
                <w:szCs w:val="21"/>
                <w:highlight w:val="none"/>
                <w:lang w:eastAsia="zh-CN"/>
              </w:rPr>
              <w:t>颗粒物产生量为</w:t>
            </w:r>
            <w:r>
              <w:rPr>
                <w:rFonts w:hint="eastAsia" w:cs="Times New Roman"/>
                <w:color w:val="auto"/>
                <w:sz w:val="21"/>
                <w:szCs w:val="21"/>
                <w:highlight w:val="none"/>
                <w:lang w:val="en-US" w:eastAsia="zh-CN"/>
              </w:rPr>
              <w:t>2.75</w:t>
            </w:r>
            <w:r>
              <w:rPr>
                <w:rFonts w:hint="eastAsia" w:ascii="Times New Roman" w:hAnsi="Times New Roman" w:eastAsia="宋体" w:cs="Times New Roman"/>
                <w:color w:val="auto"/>
                <w:sz w:val="21"/>
                <w:szCs w:val="21"/>
                <w:highlight w:val="none"/>
                <w:lang w:val="en-US" w:eastAsia="zh-CN"/>
              </w:rPr>
              <w:t>t/a，</w:t>
            </w:r>
            <w:r>
              <w:rPr>
                <w:rFonts w:hint="eastAsia" w:eastAsia="宋体"/>
                <w:sz w:val="21"/>
                <w:szCs w:val="21"/>
                <w:highlight w:val="none"/>
              </w:rPr>
              <w:t>布袋除尘器处理效率为</w:t>
            </w:r>
            <w:r>
              <w:rPr>
                <w:rFonts w:hint="eastAsia"/>
                <w:sz w:val="21"/>
                <w:szCs w:val="21"/>
                <w:highlight w:val="none"/>
                <w:lang w:val="en-US" w:eastAsia="zh-CN"/>
              </w:rPr>
              <w:t>95</w:t>
            </w:r>
            <w:r>
              <w:rPr>
                <w:rFonts w:hint="eastAsia" w:eastAsia="宋体"/>
                <w:sz w:val="21"/>
                <w:szCs w:val="21"/>
                <w:highlight w:val="none"/>
              </w:rPr>
              <w:t>%，则收集尘量为</w:t>
            </w:r>
            <w:r>
              <w:rPr>
                <w:rFonts w:hint="eastAsia"/>
                <w:sz w:val="21"/>
                <w:szCs w:val="21"/>
                <w:highlight w:val="none"/>
                <w:lang w:val="en-US" w:eastAsia="zh-CN"/>
              </w:rPr>
              <w:t>2.613</w:t>
            </w:r>
            <w:r>
              <w:rPr>
                <w:rFonts w:hint="eastAsia" w:eastAsia="宋体"/>
                <w:sz w:val="21"/>
                <w:szCs w:val="21"/>
                <w:highlight w:val="none"/>
              </w:rPr>
              <w:t>t/a</w:t>
            </w:r>
            <w:r>
              <w:rPr>
                <w:rFonts w:hint="eastAsia"/>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项目</w:t>
            </w:r>
            <w:r>
              <w:rPr>
                <w:rFonts w:hint="eastAsia" w:ascii="Times New Roman" w:cs="Times New Roman"/>
                <w:color w:val="auto"/>
                <w:sz w:val="21"/>
                <w:szCs w:val="21"/>
                <w:highlight w:val="none"/>
                <w:lang w:eastAsia="zh-CN"/>
              </w:rPr>
              <w:t>四车间</w:t>
            </w:r>
            <w:r>
              <w:rPr>
                <w:rFonts w:hint="eastAsia" w:ascii="Times New Roman" w:hAnsi="Times New Roman" w:eastAsia="宋体" w:cs="Times New Roman"/>
                <w:color w:val="auto"/>
                <w:sz w:val="21"/>
                <w:szCs w:val="21"/>
                <w:highlight w:val="none"/>
                <w:lang w:eastAsia="zh-CN"/>
              </w:rPr>
              <w:t>投料、破碎、粉碎、筛分、球磨工序</w:t>
            </w:r>
            <w:r>
              <w:rPr>
                <w:rFonts w:hint="eastAsia" w:cs="Times New Roman"/>
                <w:color w:val="auto"/>
                <w:sz w:val="21"/>
                <w:szCs w:val="21"/>
                <w:highlight w:val="none"/>
                <w:lang w:eastAsia="zh-CN"/>
              </w:rPr>
              <w:t>有组织</w:t>
            </w:r>
            <w:r>
              <w:rPr>
                <w:rFonts w:hint="eastAsia" w:ascii="Times New Roman" w:hAnsi="Times New Roman" w:eastAsia="宋体" w:cs="Times New Roman"/>
                <w:color w:val="auto"/>
                <w:sz w:val="21"/>
                <w:szCs w:val="21"/>
                <w:highlight w:val="none"/>
                <w:lang w:eastAsia="zh-CN"/>
              </w:rPr>
              <w:t>颗粒物产生量为</w:t>
            </w:r>
            <w:r>
              <w:rPr>
                <w:rFonts w:hint="eastAsia" w:cs="Times New Roman"/>
                <w:color w:val="auto"/>
                <w:sz w:val="21"/>
                <w:szCs w:val="21"/>
                <w:highlight w:val="none"/>
                <w:lang w:val="en-US" w:eastAsia="zh-CN"/>
              </w:rPr>
              <w:t>2.75</w:t>
            </w:r>
            <w:r>
              <w:rPr>
                <w:rFonts w:hint="eastAsia" w:ascii="Times New Roman" w:hAnsi="Times New Roman" w:eastAsia="宋体" w:cs="Times New Roman"/>
                <w:color w:val="auto"/>
                <w:sz w:val="21"/>
                <w:szCs w:val="21"/>
                <w:highlight w:val="none"/>
                <w:lang w:val="en-US" w:eastAsia="zh-CN"/>
              </w:rPr>
              <w:t>t/a，</w:t>
            </w:r>
            <w:r>
              <w:rPr>
                <w:rFonts w:hint="eastAsia" w:eastAsia="宋体"/>
                <w:sz w:val="21"/>
                <w:szCs w:val="21"/>
                <w:highlight w:val="none"/>
              </w:rPr>
              <w:t>布袋除尘器处理效率为</w:t>
            </w:r>
            <w:r>
              <w:rPr>
                <w:rFonts w:hint="eastAsia"/>
                <w:sz w:val="21"/>
                <w:szCs w:val="21"/>
                <w:highlight w:val="none"/>
                <w:lang w:val="en-US" w:eastAsia="zh-CN"/>
              </w:rPr>
              <w:t>95</w:t>
            </w:r>
            <w:r>
              <w:rPr>
                <w:rFonts w:hint="eastAsia" w:eastAsia="宋体"/>
                <w:sz w:val="21"/>
                <w:szCs w:val="21"/>
                <w:highlight w:val="none"/>
              </w:rPr>
              <w:t>%，则收集尘量为</w:t>
            </w:r>
            <w:r>
              <w:rPr>
                <w:rFonts w:hint="eastAsia"/>
                <w:sz w:val="21"/>
                <w:szCs w:val="21"/>
                <w:highlight w:val="none"/>
                <w:lang w:val="en-US" w:eastAsia="zh-CN"/>
              </w:rPr>
              <w:t>2.613</w:t>
            </w:r>
            <w:r>
              <w:rPr>
                <w:rFonts w:hint="eastAsia" w:eastAsia="宋体"/>
                <w:sz w:val="21"/>
                <w:szCs w:val="21"/>
                <w:highlight w:val="none"/>
              </w:rPr>
              <w:t>t/a</w:t>
            </w:r>
            <w:r>
              <w:rPr>
                <w:rFonts w:hint="eastAsia"/>
                <w:sz w:val="21"/>
                <w:szCs w:val="21"/>
                <w:highlight w:val="none"/>
                <w:lang w:val="en-US" w:eastAsia="zh-CN"/>
              </w:rPr>
              <w:t>，则布袋除尘器收集尘总</w:t>
            </w:r>
            <w:r>
              <w:rPr>
                <w:rFonts w:hint="eastAsia" w:ascii="Times New Roman" w:hAnsi="Times New Roman" w:eastAsia="宋体" w:cs="Times New Roman"/>
                <w:color w:val="auto"/>
                <w:sz w:val="21"/>
                <w:szCs w:val="21"/>
                <w:highlight w:val="none"/>
                <w:lang w:val="en-US" w:eastAsia="zh-CN"/>
              </w:rPr>
              <w:t>量为15.32t/a，作为产品外售。</w:t>
            </w:r>
          </w:p>
          <w:p w14:paraId="3FB0FF4A">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2、废布袋</w:t>
            </w:r>
          </w:p>
          <w:p w14:paraId="55C88884">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布袋除尘器运行一段时间后，需对过滤布袋进行更换，根据企业提供的资料，废布袋产生量为0.05t/a，集中收集后，定期外售。</w:t>
            </w:r>
          </w:p>
          <w:p w14:paraId="5517D077">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3、废包装材料    </w:t>
            </w:r>
          </w:p>
          <w:p w14:paraId="06B7776F">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项目部分原料采用吨包，废包装袋产生量为0.5t/a，属于一般工业固废，定期收集后外售。</w:t>
            </w:r>
          </w:p>
          <w:p w14:paraId="64BAA07D">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4、含铁物料</w:t>
            </w:r>
          </w:p>
          <w:p w14:paraId="43B18611">
            <w:pPr>
              <w:pStyle w:val="3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项目在磁选过程中会产生部分含铁物料，根据企业提供资料，含铁物料产生量为0.6t/a，集中收集后外售。</w:t>
            </w:r>
          </w:p>
          <w:p w14:paraId="01EEEE75">
            <w:pPr>
              <w:jc w:val="center"/>
              <w:rPr>
                <w:b/>
                <w:bCs/>
                <w:sz w:val="21"/>
                <w:szCs w:val="21"/>
                <w:highlight w:val="none"/>
              </w:rPr>
            </w:pPr>
            <w:r>
              <w:rPr>
                <w:b/>
                <w:bCs/>
                <w:sz w:val="21"/>
                <w:szCs w:val="21"/>
                <w:highlight w:val="none"/>
              </w:rPr>
              <w:t>表</w:t>
            </w:r>
            <w:r>
              <w:rPr>
                <w:rFonts w:hint="eastAsia"/>
                <w:b/>
                <w:bCs/>
                <w:sz w:val="21"/>
                <w:szCs w:val="21"/>
                <w:highlight w:val="none"/>
              </w:rPr>
              <w:t>4-</w:t>
            </w:r>
            <w:r>
              <w:rPr>
                <w:rFonts w:hint="eastAsia"/>
                <w:b/>
                <w:bCs/>
                <w:sz w:val="21"/>
                <w:szCs w:val="21"/>
                <w:highlight w:val="none"/>
                <w:lang w:val="en-US" w:eastAsia="zh-CN"/>
              </w:rPr>
              <w:t>9</w:t>
            </w:r>
            <w:r>
              <w:rPr>
                <w:b/>
                <w:bCs/>
                <w:sz w:val="21"/>
                <w:szCs w:val="21"/>
                <w:highlight w:val="none"/>
              </w:rPr>
              <w:t xml:space="preserve"> 固体废物产生情况汇总表</w:t>
            </w:r>
          </w:p>
          <w:tbl>
            <w:tblPr>
              <w:tblStyle w:val="3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330"/>
              <w:gridCol w:w="1277"/>
              <w:gridCol w:w="686"/>
              <w:gridCol w:w="1485"/>
              <w:gridCol w:w="1287"/>
              <w:gridCol w:w="1517"/>
            </w:tblGrid>
            <w:tr w14:paraId="4CB13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14D2E138">
                  <w:pPr>
                    <w:jc w:val="center"/>
                    <w:rPr>
                      <w:b/>
                      <w:bCs/>
                      <w:sz w:val="21"/>
                      <w:szCs w:val="21"/>
                      <w:highlight w:val="none"/>
                    </w:rPr>
                  </w:pPr>
                  <w:r>
                    <w:rPr>
                      <w:b/>
                      <w:bCs/>
                      <w:sz w:val="21"/>
                      <w:szCs w:val="21"/>
                      <w:highlight w:val="none"/>
                    </w:rPr>
                    <w:t>序号</w:t>
                  </w:r>
                </w:p>
              </w:tc>
              <w:tc>
                <w:tcPr>
                  <w:tcW w:w="804" w:type="pct"/>
                  <w:vAlign w:val="center"/>
                </w:tcPr>
                <w:p w14:paraId="6C5A7E98">
                  <w:pPr>
                    <w:jc w:val="center"/>
                    <w:rPr>
                      <w:b/>
                      <w:bCs/>
                      <w:sz w:val="21"/>
                      <w:szCs w:val="21"/>
                      <w:highlight w:val="none"/>
                    </w:rPr>
                  </w:pPr>
                  <w:r>
                    <w:rPr>
                      <w:b/>
                      <w:bCs/>
                      <w:sz w:val="21"/>
                      <w:szCs w:val="21"/>
                      <w:highlight w:val="none"/>
                    </w:rPr>
                    <w:t>固废名称</w:t>
                  </w:r>
                </w:p>
              </w:tc>
              <w:tc>
                <w:tcPr>
                  <w:tcW w:w="772" w:type="pct"/>
                  <w:vAlign w:val="center"/>
                </w:tcPr>
                <w:p w14:paraId="2E63C861">
                  <w:pPr>
                    <w:jc w:val="center"/>
                    <w:rPr>
                      <w:b/>
                      <w:bCs/>
                      <w:sz w:val="21"/>
                      <w:szCs w:val="21"/>
                      <w:highlight w:val="none"/>
                    </w:rPr>
                  </w:pPr>
                  <w:r>
                    <w:rPr>
                      <w:b/>
                      <w:bCs/>
                      <w:sz w:val="21"/>
                      <w:szCs w:val="21"/>
                      <w:highlight w:val="none"/>
                    </w:rPr>
                    <w:t>产生工序</w:t>
                  </w:r>
                </w:p>
              </w:tc>
              <w:tc>
                <w:tcPr>
                  <w:tcW w:w="415" w:type="pct"/>
                  <w:vAlign w:val="center"/>
                </w:tcPr>
                <w:p w14:paraId="6D217C0B">
                  <w:pPr>
                    <w:jc w:val="center"/>
                    <w:rPr>
                      <w:b/>
                      <w:bCs/>
                      <w:sz w:val="21"/>
                      <w:szCs w:val="21"/>
                      <w:highlight w:val="none"/>
                    </w:rPr>
                  </w:pPr>
                  <w:r>
                    <w:rPr>
                      <w:b/>
                      <w:bCs/>
                      <w:sz w:val="21"/>
                      <w:szCs w:val="21"/>
                      <w:highlight w:val="none"/>
                    </w:rPr>
                    <w:t>形态</w:t>
                  </w:r>
                </w:p>
              </w:tc>
              <w:tc>
                <w:tcPr>
                  <w:tcW w:w="898" w:type="pct"/>
                  <w:vAlign w:val="center"/>
                </w:tcPr>
                <w:p w14:paraId="1E19470F">
                  <w:pPr>
                    <w:jc w:val="center"/>
                    <w:rPr>
                      <w:b/>
                      <w:bCs/>
                      <w:sz w:val="21"/>
                      <w:szCs w:val="21"/>
                      <w:highlight w:val="none"/>
                    </w:rPr>
                  </w:pPr>
                  <w:r>
                    <w:rPr>
                      <w:b/>
                      <w:bCs/>
                      <w:sz w:val="21"/>
                      <w:szCs w:val="21"/>
                      <w:highlight w:val="none"/>
                    </w:rPr>
                    <w:t>属性</w:t>
                  </w:r>
                </w:p>
              </w:tc>
              <w:tc>
                <w:tcPr>
                  <w:tcW w:w="778" w:type="pct"/>
                  <w:vAlign w:val="center"/>
                </w:tcPr>
                <w:p w14:paraId="5DC3AC50">
                  <w:pPr>
                    <w:jc w:val="center"/>
                    <w:rPr>
                      <w:b/>
                      <w:bCs/>
                      <w:sz w:val="21"/>
                      <w:szCs w:val="21"/>
                      <w:highlight w:val="none"/>
                    </w:rPr>
                  </w:pPr>
                  <w:r>
                    <w:rPr>
                      <w:b/>
                      <w:bCs/>
                      <w:sz w:val="21"/>
                      <w:szCs w:val="21"/>
                      <w:highlight w:val="none"/>
                    </w:rPr>
                    <w:t>预计产生量</w:t>
                  </w:r>
                </w:p>
              </w:tc>
              <w:tc>
                <w:tcPr>
                  <w:tcW w:w="917" w:type="pct"/>
                  <w:vAlign w:val="center"/>
                </w:tcPr>
                <w:p w14:paraId="7C15C62C">
                  <w:pPr>
                    <w:jc w:val="center"/>
                    <w:rPr>
                      <w:b/>
                      <w:bCs/>
                      <w:sz w:val="21"/>
                      <w:szCs w:val="21"/>
                      <w:highlight w:val="none"/>
                    </w:rPr>
                  </w:pPr>
                  <w:r>
                    <w:rPr>
                      <w:b/>
                      <w:bCs/>
                      <w:sz w:val="21"/>
                      <w:szCs w:val="21"/>
                      <w:highlight w:val="none"/>
                    </w:rPr>
                    <w:t>处置措施</w:t>
                  </w:r>
                </w:p>
              </w:tc>
            </w:tr>
            <w:tr w14:paraId="3000D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7D5B1350">
                  <w:pPr>
                    <w:jc w:val="center"/>
                    <w:rPr>
                      <w:rFonts w:hint="eastAsia"/>
                      <w:sz w:val="21"/>
                      <w:szCs w:val="21"/>
                      <w:highlight w:val="none"/>
                      <w:lang w:eastAsia="zh-CN"/>
                    </w:rPr>
                  </w:pPr>
                  <w:r>
                    <w:rPr>
                      <w:rFonts w:hint="eastAsia"/>
                      <w:sz w:val="21"/>
                      <w:szCs w:val="21"/>
                      <w:highlight w:val="none"/>
                      <w:lang w:val="en-US" w:eastAsia="zh-CN"/>
                    </w:rPr>
                    <w:t>1</w:t>
                  </w:r>
                </w:p>
              </w:tc>
              <w:tc>
                <w:tcPr>
                  <w:tcW w:w="804" w:type="pct"/>
                  <w:vAlign w:val="center"/>
                </w:tcPr>
                <w:p w14:paraId="1D80430B">
                  <w:pPr>
                    <w:jc w:val="center"/>
                    <w:rPr>
                      <w:rFonts w:hint="eastAsia"/>
                      <w:sz w:val="21"/>
                      <w:szCs w:val="21"/>
                      <w:highlight w:val="none"/>
                      <w:lang w:eastAsia="zh-CN"/>
                    </w:rPr>
                  </w:pPr>
                  <w:r>
                    <w:rPr>
                      <w:rFonts w:hint="eastAsia"/>
                      <w:sz w:val="21"/>
                      <w:szCs w:val="21"/>
                      <w:highlight w:val="none"/>
                      <w:lang w:eastAsia="zh-CN"/>
                    </w:rPr>
                    <w:t>布袋除尘器收集尘</w:t>
                  </w:r>
                </w:p>
              </w:tc>
              <w:tc>
                <w:tcPr>
                  <w:tcW w:w="772" w:type="pct"/>
                  <w:vAlign w:val="center"/>
                </w:tcPr>
                <w:p w14:paraId="615892A6">
                  <w:pPr>
                    <w:jc w:val="center"/>
                    <w:rPr>
                      <w:rFonts w:hint="eastAsia"/>
                      <w:sz w:val="21"/>
                      <w:szCs w:val="21"/>
                      <w:highlight w:val="none"/>
                    </w:rPr>
                  </w:pPr>
                  <w:r>
                    <w:rPr>
                      <w:rFonts w:hint="eastAsia"/>
                      <w:sz w:val="21"/>
                      <w:szCs w:val="21"/>
                      <w:highlight w:val="none"/>
                    </w:rPr>
                    <w:t>布袋除尘器</w:t>
                  </w:r>
                </w:p>
              </w:tc>
              <w:tc>
                <w:tcPr>
                  <w:tcW w:w="415" w:type="pct"/>
                  <w:vAlign w:val="center"/>
                </w:tcPr>
                <w:p w14:paraId="2A7B2375">
                  <w:pPr>
                    <w:jc w:val="center"/>
                    <w:rPr>
                      <w:rFonts w:hint="eastAsia"/>
                      <w:sz w:val="21"/>
                      <w:szCs w:val="21"/>
                      <w:highlight w:val="none"/>
                    </w:rPr>
                  </w:pPr>
                  <w:r>
                    <w:rPr>
                      <w:rFonts w:hint="eastAsia"/>
                      <w:sz w:val="21"/>
                      <w:szCs w:val="21"/>
                      <w:highlight w:val="none"/>
                    </w:rPr>
                    <w:t>固态</w:t>
                  </w:r>
                </w:p>
              </w:tc>
              <w:tc>
                <w:tcPr>
                  <w:tcW w:w="898" w:type="pct"/>
                  <w:vAlign w:val="center"/>
                </w:tcPr>
                <w:p w14:paraId="2FD66B92">
                  <w:pPr>
                    <w:jc w:val="center"/>
                    <w:rPr>
                      <w:rFonts w:hint="eastAsia"/>
                      <w:sz w:val="21"/>
                      <w:szCs w:val="21"/>
                      <w:highlight w:val="none"/>
                    </w:rPr>
                  </w:pPr>
                  <w:r>
                    <w:rPr>
                      <w:rFonts w:hint="eastAsia"/>
                      <w:sz w:val="21"/>
                      <w:szCs w:val="21"/>
                      <w:highlight w:val="none"/>
                    </w:rPr>
                    <w:t>一般工业固废</w:t>
                  </w:r>
                </w:p>
              </w:tc>
              <w:tc>
                <w:tcPr>
                  <w:tcW w:w="778" w:type="pct"/>
                  <w:vAlign w:val="center"/>
                </w:tcPr>
                <w:p w14:paraId="13DF8875">
                  <w:pPr>
                    <w:jc w:val="center"/>
                    <w:rPr>
                      <w:rFonts w:hint="default"/>
                      <w:sz w:val="21"/>
                      <w:szCs w:val="21"/>
                      <w:highlight w:val="none"/>
                      <w:lang w:val="en-US"/>
                    </w:rPr>
                  </w:pPr>
                  <w:r>
                    <w:rPr>
                      <w:rFonts w:hint="eastAsia"/>
                      <w:sz w:val="21"/>
                      <w:szCs w:val="21"/>
                      <w:highlight w:val="none"/>
                      <w:lang w:val="en-US" w:eastAsia="zh-CN"/>
                    </w:rPr>
                    <w:t>15.32t/a</w:t>
                  </w:r>
                </w:p>
              </w:tc>
              <w:tc>
                <w:tcPr>
                  <w:tcW w:w="917" w:type="pct"/>
                  <w:vAlign w:val="center"/>
                </w:tcPr>
                <w:p w14:paraId="5C864FD6">
                  <w:pPr>
                    <w:jc w:val="center"/>
                    <w:rPr>
                      <w:rFonts w:hint="eastAsia"/>
                      <w:sz w:val="21"/>
                      <w:szCs w:val="21"/>
                      <w:highlight w:val="none"/>
                      <w:lang w:eastAsia="zh-CN"/>
                    </w:rPr>
                  </w:pPr>
                  <w:r>
                    <w:rPr>
                      <w:rFonts w:hint="eastAsia"/>
                      <w:sz w:val="21"/>
                      <w:szCs w:val="21"/>
                      <w:highlight w:val="none"/>
                      <w:lang w:eastAsia="zh-CN"/>
                    </w:rPr>
                    <w:t>作为产品外售</w:t>
                  </w:r>
                </w:p>
              </w:tc>
            </w:tr>
            <w:tr w14:paraId="3B0E7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71F074D3">
                  <w:pPr>
                    <w:jc w:val="center"/>
                    <w:rPr>
                      <w:rFonts w:hint="eastAsia"/>
                      <w:sz w:val="21"/>
                      <w:szCs w:val="21"/>
                      <w:highlight w:val="none"/>
                      <w:lang w:eastAsia="zh-CN"/>
                    </w:rPr>
                  </w:pPr>
                  <w:r>
                    <w:rPr>
                      <w:rFonts w:hint="eastAsia"/>
                      <w:sz w:val="21"/>
                      <w:szCs w:val="21"/>
                      <w:highlight w:val="none"/>
                      <w:lang w:val="en-US" w:eastAsia="zh-CN"/>
                    </w:rPr>
                    <w:t>2</w:t>
                  </w:r>
                </w:p>
              </w:tc>
              <w:tc>
                <w:tcPr>
                  <w:tcW w:w="804" w:type="pct"/>
                  <w:vAlign w:val="center"/>
                </w:tcPr>
                <w:p w14:paraId="06A02C38">
                  <w:pPr>
                    <w:jc w:val="center"/>
                    <w:rPr>
                      <w:rFonts w:hint="eastAsia"/>
                      <w:sz w:val="21"/>
                      <w:szCs w:val="21"/>
                      <w:highlight w:val="none"/>
                      <w:lang w:eastAsia="zh-CN"/>
                    </w:rPr>
                  </w:pPr>
                  <w:r>
                    <w:rPr>
                      <w:rFonts w:hint="eastAsia"/>
                      <w:sz w:val="21"/>
                      <w:szCs w:val="21"/>
                      <w:highlight w:val="none"/>
                      <w:lang w:eastAsia="zh-CN"/>
                    </w:rPr>
                    <w:t>废布袋</w:t>
                  </w:r>
                </w:p>
              </w:tc>
              <w:tc>
                <w:tcPr>
                  <w:tcW w:w="772" w:type="pct"/>
                  <w:vAlign w:val="center"/>
                </w:tcPr>
                <w:p w14:paraId="5A6CC16A">
                  <w:pPr>
                    <w:jc w:val="center"/>
                    <w:rPr>
                      <w:rFonts w:hint="eastAsia"/>
                      <w:sz w:val="21"/>
                      <w:szCs w:val="21"/>
                      <w:highlight w:val="none"/>
                      <w:lang w:eastAsia="zh-CN"/>
                    </w:rPr>
                  </w:pPr>
                  <w:r>
                    <w:rPr>
                      <w:rFonts w:hint="eastAsia"/>
                      <w:sz w:val="21"/>
                      <w:szCs w:val="21"/>
                      <w:highlight w:val="none"/>
                    </w:rPr>
                    <w:t>布袋除尘器</w:t>
                  </w:r>
                </w:p>
              </w:tc>
              <w:tc>
                <w:tcPr>
                  <w:tcW w:w="415" w:type="pct"/>
                  <w:vAlign w:val="center"/>
                </w:tcPr>
                <w:p w14:paraId="2A26F9F0">
                  <w:pPr>
                    <w:jc w:val="center"/>
                    <w:rPr>
                      <w:rFonts w:hint="eastAsia"/>
                      <w:sz w:val="21"/>
                      <w:szCs w:val="21"/>
                      <w:highlight w:val="none"/>
                    </w:rPr>
                  </w:pPr>
                  <w:r>
                    <w:rPr>
                      <w:rFonts w:hint="eastAsia"/>
                      <w:sz w:val="21"/>
                      <w:szCs w:val="21"/>
                      <w:highlight w:val="none"/>
                    </w:rPr>
                    <w:t>固态</w:t>
                  </w:r>
                </w:p>
              </w:tc>
              <w:tc>
                <w:tcPr>
                  <w:tcW w:w="898" w:type="pct"/>
                  <w:vAlign w:val="center"/>
                </w:tcPr>
                <w:p w14:paraId="63028C78">
                  <w:pPr>
                    <w:jc w:val="center"/>
                    <w:rPr>
                      <w:rFonts w:hint="eastAsia"/>
                      <w:sz w:val="21"/>
                      <w:szCs w:val="21"/>
                      <w:highlight w:val="none"/>
                    </w:rPr>
                  </w:pPr>
                  <w:r>
                    <w:rPr>
                      <w:rFonts w:hint="eastAsia"/>
                      <w:sz w:val="21"/>
                      <w:szCs w:val="21"/>
                      <w:highlight w:val="none"/>
                    </w:rPr>
                    <w:t>一般工业固废</w:t>
                  </w:r>
                </w:p>
              </w:tc>
              <w:tc>
                <w:tcPr>
                  <w:tcW w:w="778" w:type="pct"/>
                  <w:vAlign w:val="center"/>
                </w:tcPr>
                <w:p w14:paraId="5E72D098">
                  <w:pPr>
                    <w:jc w:val="center"/>
                    <w:rPr>
                      <w:rFonts w:hint="default"/>
                      <w:sz w:val="21"/>
                      <w:szCs w:val="21"/>
                      <w:highlight w:val="none"/>
                      <w:lang w:val="en-US"/>
                    </w:rPr>
                  </w:pPr>
                  <w:r>
                    <w:rPr>
                      <w:rFonts w:hint="eastAsia"/>
                      <w:sz w:val="21"/>
                      <w:szCs w:val="21"/>
                      <w:highlight w:val="none"/>
                      <w:lang w:val="en-US" w:eastAsia="zh-CN"/>
                    </w:rPr>
                    <w:t>0.05t/a</w:t>
                  </w:r>
                </w:p>
              </w:tc>
              <w:tc>
                <w:tcPr>
                  <w:tcW w:w="917" w:type="pct"/>
                  <w:vAlign w:val="center"/>
                </w:tcPr>
                <w:p w14:paraId="1E95D9EB">
                  <w:pPr>
                    <w:jc w:val="center"/>
                    <w:rPr>
                      <w:rFonts w:hint="eastAsia"/>
                      <w:sz w:val="21"/>
                      <w:szCs w:val="21"/>
                      <w:highlight w:val="none"/>
                      <w:lang w:eastAsia="zh-CN"/>
                    </w:rPr>
                  </w:pPr>
                  <w:r>
                    <w:rPr>
                      <w:rFonts w:hint="eastAsia"/>
                      <w:sz w:val="21"/>
                      <w:szCs w:val="21"/>
                      <w:highlight w:val="none"/>
                      <w:lang w:eastAsia="zh-CN"/>
                    </w:rPr>
                    <w:t>外售</w:t>
                  </w:r>
                </w:p>
              </w:tc>
            </w:tr>
            <w:tr w14:paraId="6693A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2E61D04E">
                  <w:pPr>
                    <w:jc w:val="center"/>
                    <w:rPr>
                      <w:rFonts w:hint="default"/>
                      <w:sz w:val="21"/>
                      <w:szCs w:val="21"/>
                      <w:highlight w:val="none"/>
                      <w:lang w:val="en-US" w:eastAsia="zh-CN"/>
                    </w:rPr>
                  </w:pPr>
                  <w:r>
                    <w:rPr>
                      <w:rFonts w:hint="eastAsia"/>
                      <w:sz w:val="21"/>
                      <w:szCs w:val="21"/>
                      <w:highlight w:val="none"/>
                      <w:lang w:val="en-US" w:eastAsia="zh-CN"/>
                    </w:rPr>
                    <w:t>3</w:t>
                  </w:r>
                </w:p>
              </w:tc>
              <w:tc>
                <w:tcPr>
                  <w:tcW w:w="804" w:type="pct"/>
                  <w:vAlign w:val="center"/>
                </w:tcPr>
                <w:p w14:paraId="24F20FAE">
                  <w:pPr>
                    <w:jc w:val="center"/>
                    <w:rPr>
                      <w:rFonts w:hint="eastAsia"/>
                      <w:sz w:val="21"/>
                      <w:szCs w:val="21"/>
                      <w:highlight w:val="none"/>
                      <w:lang w:eastAsia="zh-CN"/>
                    </w:rPr>
                  </w:pPr>
                  <w:r>
                    <w:rPr>
                      <w:rFonts w:hint="eastAsia"/>
                      <w:sz w:val="21"/>
                      <w:szCs w:val="21"/>
                      <w:highlight w:val="none"/>
                      <w:lang w:eastAsia="zh-CN"/>
                    </w:rPr>
                    <w:t>废包装材料</w:t>
                  </w:r>
                </w:p>
              </w:tc>
              <w:tc>
                <w:tcPr>
                  <w:tcW w:w="772" w:type="pct"/>
                  <w:vAlign w:val="center"/>
                </w:tcPr>
                <w:p w14:paraId="33D89FF7">
                  <w:pPr>
                    <w:jc w:val="center"/>
                    <w:rPr>
                      <w:rFonts w:hint="eastAsia"/>
                      <w:sz w:val="21"/>
                      <w:szCs w:val="21"/>
                      <w:highlight w:val="none"/>
                      <w:lang w:eastAsia="zh-CN"/>
                    </w:rPr>
                  </w:pPr>
                  <w:r>
                    <w:rPr>
                      <w:rFonts w:hint="eastAsia"/>
                      <w:sz w:val="21"/>
                      <w:szCs w:val="21"/>
                      <w:highlight w:val="none"/>
                      <w:lang w:eastAsia="zh-CN"/>
                    </w:rPr>
                    <w:t>原材料包装</w:t>
                  </w:r>
                </w:p>
              </w:tc>
              <w:tc>
                <w:tcPr>
                  <w:tcW w:w="415" w:type="pct"/>
                  <w:shd w:val="clear" w:color="auto" w:fill="auto"/>
                  <w:vAlign w:val="center"/>
                </w:tcPr>
                <w:p w14:paraId="7B2E6BBE">
                  <w:pPr>
                    <w:jc w:val="center"/>
                    <w:rPr>
                      <w:rFonts w:hint="eastAsia"/>
                      <w:sz w:val="21"/>
                      <w:szCs w:val="21"/>
                      <w:highlight w:val="none"/>
                      <w:lang w:val="en-US" w:eastAsia="zh-CN"/>
                    </w:rPr>
                  </w:pPr>
                  <w:r>
                    <w:rPr>
                      <w:rFonts w:hint="eastAsia"/>
                      <w:sz w:val="21"/>
                      <w:szCs w:val="21"/>
                      <w:highlight w:val="none"/>
                    </w:rPr>
                    <w:t>固态</w:t>
                  </w:r>
                </w:p>
              </w:tc>
              <w:tc>
                <w:tcPr>
                  <w:tcW w:w="898" w:type="pct"/>
                  <w:shd w:val="clear" w:color="auto" w:fill="auto"/>
                  <w:vAlign w:val="center"/>
                </w:tcPr>
                <w:p w14:paraId="545CF6C0">
                  <w:pPr>
                    <w:jc w:val="center"/>
                    <w:rPr>
                      <w:rFonts w:hint="eastAsia"/>
                      <w:sz w:val="21"/>
                      <w:szCs w:val="21"/>
                      <w:highlight w:val="none"/>
                      <w:lang w:val="en-US" w:eastAsia="zh-CN"/>
                    </w:rPr>
                  </w:pPr>
                  <w:r>
                    <w:rPr>
                      <w:rFonts w:hint="eastAsia"/>
                      <w:sz w:val="21"/>
                      <w:szCs w:val="21"/>
                      <w:highlight w:val="none"/>
                    </w:rPr>
                    <w:t>一般工业固废</w:t>
                  </w:r>
                </w:p>
              </w:tc>
              <w:tc>
                <w:tcPr>
                  <w:tcW w:w="778" w:type="pct"/>
                  <w:vAlign w:val="center"/>
                </w:tcPr>
                <w:p w14:paraId="53526D8E">
                  <w:pPr>
                    <w:jc w:val="center"/>
                    <w:rPr>
                      <w:rFonts w:hint="default"/>
                      <w:sz w:val="21"/>
                      <w:szCs w:val="21"/>
                      <w:highlight w:val="none"/>
                      <w:lang w:val="en-US" w:eastAsia="zh-CN"/>
                    </w:rPr>
                  </w:pPr>
                  <w:r>
                    <w:rPr>
                      <w:rFonts w:hint="eastAsia"/>
                      <w:sz w:val="21"/>
                      <w:szCs w:val="21"/>
                      <w:highlight w:val="none"/>
                      <w:lang w:val="en-US" w:eastAsia="zh-CN"/>
                    </w:rPr>
                    <w:t>0.5t/a</w:t>
                  </w:r>
                </w:p>
              </w:tc>
              <w:tc>
                <w:tcPr>
                  <w:tcW w:w="917" w:type="pct"/>
                  <w:vAlign w:val="center"/>
                </w:tcPr>
                <w:p w14:paraId="10C36554">
                  <w:pPr>
                    <w:jc w:val="center"/>
                    <w:rPr>
                      <w:rFonts w:hint="eastAsia"/>
                      <w:sz w:val="21"/>
                      <w:szCs w:val="21"/>
                      <w:highlight w:val="none"/>
                      <w:lang w:eastAsia="zh-CN"/>
                    </w:rPr>
                  </w:pPr>
                  <w:r>
                    <w:rPr>
                      <w:rFonts w:hint="eastAsia"/>
                      <w:sz w:val="21"/>
                      <w:szCs w:val="21"/>
                      <w:highlight w:val="none"/>
                      <w:lang w:eastAsia="zh-CN"/>
                    </w:rPr>
                    <w:t>外售</w:t>
                  </w:r>
                </w:p>
              </w:tc>
            </w:tr>
            <w:tr w14:paraId="48806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574B56F7">
                  <w:pPr>
                    <w:jc w:val="center"/>
                    <w:rPr>
                      <w:rFonts w:hint="default"/>
                      <w:sz w:val="21"/>
                      <w:szCs w:val="21"/>
                      <w:highlight w:val="none"/>
                      <w:lang w:val="en-US" w:eastAsia="zh-CN"/>
                    </w:rPr>
                  </w:pPr>
                  <w:r>
                    <w:rPr>
                      <w:rFonts w:hint="eastAsia"/>
                      <w:sz w:val="21"/>
                      <w:szCs w:val="21"/>
                      <w:highlight w:val="none"/>
                      <w:lang w:val="en-US" w:eastAsia="zh-CN"/>
                    </w:rPr>
                    <w:t>4</w:t>
                  </w:r>
                </w:p>
              </w:tc>
              <w:tc>
                <w:tcPr>
                  <w:tcW w:w="804" w:type="pct"/>
                  <w:vAlign w:val="center"/>
                </w:tcPr>
                <w:p w14:paraId="27F298B9">
                  <w:pPr>
                    <w:jc w:val="center"/>
                    <w:rPr>
                      <w:rFonts w:hint="eastAsia"/>
                      <w:sz w:val="21"/>
                      <w:szCs w:val="21"/>
                      <w:highlight w:val="none"/>
                      <w:lang w:eastAsia="zh-CN"/>
                    </w:rPr>
                  </w:pPr>
                  <w:r>
                    <w:rPr>
                      <w:rFonts w:hint="eastAsia"/>
                      <w:sz w:val="21"/>
                      <w:szCs w:val="21"/>
                      <w:highlight w:val="none"/>
                      <w:lang w:eastAsia="zh-CN"/>
                    </w:rPr>
                    <w:t>含铁物料</w:t>
                  </w:r>
                </w:p>
              </w:tc>
              <w:tc>
                <w:tcPr>
                  <w:tcW w:w="772" w:type="pct"/>
                  <w:vAlign w:val="center"/>
                </w:tcPr>
                <w:p w14:paraId="0D652FBC">
                  <w:pPr>
                    <w:jc w:val="center"/>
                    <w:rPr>
                      <w:rFonts w:hint="eastAsia"/>
                      <w:sz w:val="21"/>
                      <w:szCs w:val="21"/>
                      <w:highlight w:val="none"/>
                      <w:lang w:eastAsia="zh-CN"/>
                    </w:rPr>
                  </w:pPr>
                  <w:r>
                    <w:rPr>
                      <w:rFonts w:hint="eastAsia"/>
                      <w:sz w:val="21"/>
                      <w:szCs w:val="21"/>
                      <w:highlight w:val="none"/>
                      <w:lang w:eastAsia="zh-CN"/>
                    </w:rPr>
                    <w:t>磁选</w:t>
                  </w:r>
                </w:p>
              </w:tc>
              <w:tc>
                <w:tcPr>
                  <w:tcW w:w="415" w:type="pct"/>
                  <w:shd w:val="clear" w:color="auto" w:fill="auto"/>
                  <w:vAlign w:val="center"/>
                </w:tcPr>
                <w:p w14:paraId="305CF7DC">
                  <w:pPr>
                    <w:jc w:val="center"/>
                    <w:rPr>
                      <w:rFonts w:hint="eastAsia"/>
                      <w:sz w:val="21"/>
                      <w:szCs w:val="21"/>
                      <w:highlight w:val="none"/>
                      <w:lang w:val="en-US" w:eastAsia="zh-CN"/>
                    </w:rPr>
                  </w:pPr>
                  <w:r>
                    <w:rPr>
                      <w:rFonts w:hint="eastAsia"/>
                      <w:sz w:val="21"/>
                      <w:szCs w:val="21"/>
                      <w:highlight w:val="none"/>
                    </w:rPr>
                    <w:t>固态</w:t>
                  </w:r>
                </w:p>
              </w:tc>
              <w:tc>
                <w:tcPr>
                  <w:tcW w:w="898" w:type="pct"/>
                  <w:shd w:val="clear" w:color="auto" w:fill="auto"/>
                  <w:vAlign w:val="center"/>
                </w:tcPr>
                <w:p w14:paraId="2670A535">
                  <w:pPr>
                    <w:jc w:val="center"/>
                    <w:rPr>
                      <w:rFonts w:hint="eastAsia"/>
                      <w:sz w:val="21"/>
                      <w:szCs w:val="21"/>
                      <w:highlight w:val="none"/>
                      <w:lang w:val="en-US" w:eastAsia="zh-CN"/>
                    </w:rPr>
                  </w:pPr>
                  <w:r>
                    <w:rPr>
                      <w:rFonts w:hint="eastAsia"/>
                      <w:sz w:val="21"/>
                      <w:szCs w:val="21"/>
                      <w:highlight w:val="none"/>
                    </w:rPr>
                    <w:t>一般工业固废</w:t>
                  </w:r>
                </w:p>
              </w:tc>
              <w:tc>
                <w:tcPr>
                  <w:tcW w:w="778" w:type="pct"/>
                  <w:vAlign w:val="center"/>
                </w:tcPr>
                <w:p w14:paraId="5AC34A19">
                  <w:pPr>
                    <w:jc w:val="center"/>
                    <w:rPr>
                      <w:rFonts w:hint="default"/>
                      <w:sz w:val="21"/>
                      <w:szCs w:val="21"/>
                      <w:highlight w:val="none"/>
                      <w:lang w:val="en-US" w:eastAsia="zh-CN"/>
                    </w:rPr>
                  </w:pPr>
                  <w:r>
                    <w:rPr>
                      <w:rFonts w:hint="eastAsia"/>
                      <w:sz w:val="21"/>
                      <w:szCs w:val="21"/>
                      <w:highlight w:val="none"/>
                      <w:lang w:val="en-US" w:eastAsia="zh-CN"/>
                    </w:rPr>
                    <w:t>0.6t/a</w:t>
                  </w:r>
                </w:p>
              </w:tc>
              <w:tc>
                <w:tcPr>
                  <w:tcW w:w="917" w:type="pct"/>
                  <w:vAlign w:val="center"/>
                </w:tcPr>
                <w:p w14:paraId="754AD7E1">
                  <w:pPr>
                    <w:jc w:val="center"/>
                    <w:rPr>
                      <w:rFonts w:hint="eastAsia"/>
                      <w:sz w:val="21"/>
                      <w:szCs w:val="21"/>
                      <w:highlight w:val="none"/>
                      <w:lang w:eastAsia="zh-CN"/>
                    </w:rPr>
                  </w:pPr>
                  <w:r>
                    <w:rPr>
                      <w:rFonts w:hint="eastAsia"/>
                      <w:sz w:val="21"/>
                      <w:szCs w:val="21"/>
                      <w:highlight w:val="none"/>
                      <w:lang w:eastAsia="zh-CN"/>
                    </w:rPr>
                    <w:t>外售</w:t>
                  </w:r>
                </w:p>
              </w:tc>
            </w:tr>
            <w:tr w14:paraId="6932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11" w:type="pct"/>
                  <w:vAlign w:val="center"/>
                </w:tcPr>
                <w:p w14:paraId="29A76013">
                  <w:pPr>
                    <w:jc w:val="center"/>
                    <w:rPr>
                      <w:rFonts w:hint="default"/>
                      <w:sz w:val="21"/>
                      <w:szCs w:val="21"/>
                      <w:highlight w:val="none"/>
                      <w:lang w:val="en-US" w:eastAsia="zh-CN"/>
                    </w:rPr>
                  </w:pPr>
                  <w:r>
                    <w:rPr>
                      <w:rFonts w:hint="eastAsia"/>
                      <w:sz w:val="21"/>
                      <w:szCs w:val="21"/>
                      <w:highlight w:val="none"/>
                      <w:lang w:val="en-US" w:eastAsia="zh-CN"/>
                    </w:rPr>
                    <w:t>5</w:t>
                  </w:r>
                </w:p>
              </w:tc>
              <w:tc>
                <w:tcPr>
                  <w:tcW w:w="804" w:type="pct"/>
                  <w:vAlign w:val="center"/>
                </w:tcPr>
                <w:p w14:paraId="39BA0166">
                  <w:pPr>
                    <w:jc w:val="center"/>
                    <w:rPr>
                      <w:rFonts w:hint="eastAsia"/>
                      <w:sz w:val="21"/>
                      <w:szCs w:val="21"/>
                      <w:highlight w:val="none"/>
                      <w:lang w:eastAsia="zh-CN"/>
                    </w:rPr>
                  </w:pPr>
                  <w:r>
                    <w:rPr>
                      <w:rFonts w:hint="eastAsia"/>
                      <w:sz w:val="21"/>
                      <w:szCs w:val="21"/>
                      <w:highlight w:val="none"/>
                      <w:lang w:eastAsia="zh-CN"/>
                    </w:rPr>
                    <w:t>生活垃圾</w:t>
                  </w:r>
                </w:p>
              </w:tc>
              <w:tc>
                <w:tcPr>
                  <w:tcW w:w="772" w:type="pct"/>
                  <w:vAlign w:val="center"/>
                </w:tcPr>
                <w:p w14:paraId="4394956A">
                  <w:pPr>
                    <w:jc w:val="center"/>
                    <w:rPr>
                      <w:rFonts w:hint="eastAsia"/>
                      <w:sz w:val="21"/>
                      <w:szCs w:val="21"/>
                      <w:highlight w:val="none"/>
                      <w:lang w:eastAsia="zh-CN"/>
                    </w:rPr>
                  </w:pPr>
                  <w:r>
                    <w:rPr>
                      <w:rFonts w:hint="eastAsia"/>
                      <w:sz w:val="21"/>
                      <w:szCs w:val="21"/>
                      <w:highlight w:val="none"/>
                      <w:lang w:eastAsia="zh-CN"/>
                    </w:rPr>
                    <w:t>职工生活</w:t>
                  </w:r>
                </w:p>
              </w:tc>
              <w:tc>
                <w:tcPr>
                  <w:tcW w:w="415" w:type="pct"/>
                  <w:shd w:val="clear" w:color="auto" w:fill="auto"/>
                  <w:vAlign w:val="center"/>
                </w:tcPr>
                <w:p w14:paraId="73D4DE0E">
                  <w:pPr>
                    <w:jc w:val="center"/>
                    <w:rPr>
                      <w:rFonts w:hint="eastAsia"/>
                      <w:sz w:val="21"/>
                      <w:szCs w:val="21"/>
                      <w:highlight w:val="none"/>
                      <w:lang w:val="en-US" w:eastAsia="zh-CN"/>
                    </w:rPr>
                  </w:pPr>
                  <w:r>
                    <w:rPr>
                      <w:rFonts w:hint="eastAsia"/>
                      <w:sz w:val="21"/>
                      <w:szCs w:val="21"/>
                      <w:highlight w:val="none"/>
                    </w:rPr>
                    <w:t>固态</w:t>
                  </w:r>
                </w:p>
              </w:tc>
              <w:tc>
                <w:tcPr>
                  <w:tcW w:w="898" w:type="pct"/>
                  <w:shd w:val="clear" w:color="auto" w:fill="auto"/>
                  <w:vAlign w:val="center"/>
                </w:tcPr>
                <w:p w14:paraId="154E4F41">
                  <w:pPr>
                    <w:jc w:val="center"/>
                    <w:rPr>
                      <w:rFonts w:hint="eastAsia"/>
                      <w:sz w:val="21"/>
                      <w:szCs w:val="21"/>
                      <w:highlight w:val="none"/>
                      <w:lang w:val="en-US" w:eastAsia="zh-CN"/>
                    </w:rPr>
                  </w:pPr>
                  <w:r>
                    <w:rPr>
                      <w:rFonts w:hint="eastAsia"/>
                      <w:sz w:val="21"/>
                      <w:szCs w:val="21"/>
                      <w:highlight w:val="none"/>
                      <w:lang w:val="en-US" w:eastAsia="zh-CN"/>
                    </w:rPr>
                    <w:t>/</w:t>
                  </w:r>
                </w:p>
              </w:tc>
              <w:tc>
                <w:tcPr>
                  <w:tcW w:w="778" w:type="pct"/>
                  <w:vAlign w:val="center"/>
                </w:tcPr>
                <w:p w14:paraId="1B6F6378">
                  <w:pPr>
                    <w:jc w:val="center"/>
                    <w:rPr>
                      <w:rFonts w:hint="default"/>
                      <w:sz w:val="21"/>
                      <w:szCs w:val="21"/>
                      <w:highlight w:val="none"/>
                      <w:lang w:val="en-US" w:eastAsia="zh-CN"/>
                    </w:rPr>
                  </w:pPr>
                  <w:r>
                    <w:rPr>
                      <w:rFonts w:hint="eastAsia"/>
                      <w:sz w:val="21"/>
                      <w:szCs w:val="21"/>
                      <w:highlight w:val="none"/>
                      <w:lang w:val="en-US" w:eastAsia="zh-CN"/>
                    </w:rPr>
                    <w:t>2.4t/a</w:t>
                  </w:r>
                </w:p>
              </w:tc>
              <w:tc>
                <w:tcPr>
                  <w:tcW w:w="917" w:type="pct"/>
                  <w:vAlign w:val="center"/>
                </w:tcPr>
                <w:p w14:paraId="0A867756">
                  <w:pPr>
                    <w:jc w:val="center"/>
                    <w:rPr>
                      <w:rFonts w:hint="eastAsia"/>
                      <w:sz w:val="21"/>
                      <w:szCs w:val="21"/>
                      <w:highlight w:val="none"/>
                      <w:lang w:eastAsia="zh-CN"/>
                    </w:rPr>
                  </w:pPr>
                  <w:r>
                    <w:rPr>
                      <w:rFonts w:hint="eastAsia"/>
                      <w:sz w:val="21"/>
                      <w:szCs w:val="21"/>
                      <w:highlight w:val="none"/>
                      <w:lang w:eastAsia="zh-CN"/>
                    </w:rPr>
                    <w:t>由环卫部门定期清运</w:t>
                  </w:r>
                </w:p>
              </w:tc>
            </w:tr>
          </w:tbl>
          <w:p w14:paraId="5B6C2537">
            <w:pPr>
              <w:pStyle w:val="74"/>
              <w:spacing w:before="0" w:after="0"/>
              <w:ind w:firstLine="482"/>
              <w:rPr>
                <w:rFonts w:hint="default"/>
                <w:sz w:val="21"/>
                <w:szCs w:val="21"/>
                <w:highlight w:val="none"/>
              </w:rPr>
            </w:pPr>
            <w:r>
              <w:rPr>
                <w:sz w:val="21"/>
                <w:szCs w:val="21"/>
                <w:highlight w:val="none"/>
              </w:rPr>
              <w:t>（2）环境管理要求</w:t>
            </w:r>
          </w:p>
          <w:p w14:paraId="766D8C77">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一般固废堆放场所选址、运行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暂存</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符合《中华人民共和国固体废物污染环境防治法》</w:t>
            </w:r>
            <w:r>
              <w:rPr>
                <w:rFonts w:hint="eastAsia" w:ascii="Times New Roman" w:hAnsi="Times New Roman" w:cs="Times New Roman"/>
                <w:color w:val="auto"/>
                <w:highlight w:val="none"/>
                <w:lang w:eastAsia="zh-CN"/>
              </w:rPr>
              <w:t>及</w:t>
            </w:r>
            <w:r>
              <w:rPr>
                <w:rFonts w:hint="eastAsia"/>
                <w:sz w:val="21"/>
                <w:szCs w:val="21"/>
                <w:lang w:val="zh-CN"/>
              </w:rPr>
              <w:t>《一般工业固体废物贮存和填埋污染控制标准》(GB18599-2020）</w:t>
            </w:r>
            <w:r>
              <w:rPr>
                <w:rFonts w:hint="default" w:ascii="Times New Roman" w:hAnsi="Times New Roman" w:cs="Times New Roman"/>
                <w:color w:val="auto"/>
                <w:highlight w:val="none"/>
              </w:rPr>
              <w:t>相关要求，采取防扬散、防流失、防渗漏或者其他防止污染环境的措施，不得擅自倾倒、堆放、丢弃、遗撒。</w:t>
            </w:r>
          </w:p>
          <w:p w14:paraId="4D46D4C5">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一般固废储存过程中应满足以下要求：</w:t>
            </w:r>
          </w:p>
          <w:p w14:paraId="71E8C531">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①</w:t>
            </w:r>
            <w:r>
              <w:rPr>
                <w:rFonts w:hint="default" w:ascii="Times New Roman" w:hAnsi="Times New Roman" w:cs="Times New Roman"/>
                <w:color w:val="auto"/>
                <w:highlight w:val="none"/>
              </w:rPr>
              <w:t>建立电子/纸质台账，记录固废种类、数量、去向及交接凭证，保存至少5年</w:t>
            </w:r>
            <w:r>
              <w:rPr>
                <w:rFonts w:hint="eastAsia" w:cs="Times New Roman"/>
                <w:color w:val="auto"/>
                <w:highlight w:val="none"/>
                <w:lang w:eastAsia="zh-CN"/>
              </w:rPr>
              <w:t>；</w:t>
            </w:r>
          </w:p>
          <w:p w14:paraId="69ACB384">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②</w:t>
            </w:r>
            <w:r>
              <w:rPr>
                <w:rFonts w:hint="default" w:ascii="Times New Roman" w:hAnsi="Times New Roman" w:cs="Times New Roman"/>
                <w:color w:val="auto"/>
                <w:highlight w:val="none"/>
              </w:rPr>
              <w:t>硬化防渗地面</w:t>
            </w:r>
            <w:r>
              <w:rPr>
                <w:rFonts w:hint="eastAsia" w:cs="Times New Roman"/>
                <w:color w:val="auto"/>
                <w:highlight w:val="none"/>
                <w:lang w:eastAsia="zh-CN"/>
              </w:rPr>
              <w:t>，</w:t>
            </w:r>
            <w:r>
              <w:rPr>
                <w:rFonts w:hint="default" w:ascii="Times New Roman" w:hAnsi="Times New Roman" w:cs="Times New Roman"/>
                <w:color w:val="auto"/>
                <w:highlight w:val="none"/>
              </w:rPr>
              <w:t>配置挡雨棚、围挡</w:t>
            </w:r>
            <w:r>
              <w:rPr>
                <w:rFonts w:hint="eastAsia" w:cs="Times New Roman"/>
                <w:color w:val="auto"/>
                <w:highlight w:val="none"/>
                <w:lang w:eastAsia="zh-CN"/>
              </w:rPr>
              <w:t>；</w:t>
            </w:r>
          </w:p>
          <w:p w14:paraId="618B8619">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③</w:t>
            </w:r>
            <w:r>
              <w:rPr>
                <w:rFonts w:hint="default" w:ascii="Times New Roman" w:hAnsi="Times New Roman" w:cs="Times New Roman"/>
                <w:color w:val="auto"/>
                <w:highlight w:val="none"/>
              </w:rPr>
              <w:t>转移时查验处置单位营业执照</w:t>
            </w:r>
            <w:r>
              <w:rPr>
                <w:rFonts w:hint="eastAsia" w:cs="Times New Roman"/>
                <w:color w:val="auto"/>
                <w:highlight w:val="none"/>
                <w:lang w:val="en-US" w:eastAsia="zh-CN"/>
              </w:rPr>
              <w:t>等相关手续；</w:t>
            </w:r>
          </w:p>
          <w:p w14:paraId="72E7B3CB">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rPr>
              <w:t>指定专职管理员负责</w:t>
            </w:r>
            <w:r>
              <w:rPr>
                <w:rFonts w:hint="eastAsia" w:cs="Times New Roman"/>
                <w:color w:val="auto"/>
                <w:highlight w:val="none"/>
                <w:lang w:val="en-US" w:eastAsia="zh-CN"/>
              </w:rPr>
              <w:t>一般固废</w:t>
            </w:r>
            <w:r>
              <w:rPr>
                <w:rFonts w:hint="default" w:ascii="Times New Roman" w:hAnsi="Times New Roman" w:cs="Times New Roman"/>
                <w:color w:val="auto"/>
                <w:highlight w:val="none"/>
              </w:rPr>
              <w:t>台账与现场</w:t>
            </w:r>
            <w:r>
              <w:rPr>
                <w:rFonts w:hint="eastAsia" w:cs="Times New Roman"/>
                <w:color w:val="auto"/>
                <w:highlight w:val="none"/>
                <w:lang w:val="en-US" w:eastAsia="zh-CN"/>
              </w:rPr>
              <w:t>管理。</w:t>
            </w:r>
          </w:p>
          <w:p w14:paraId="682B5077">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left"/>
              <w:textAlignment w:val="auto"/>
              <w:rPr>
                <w:rFonts w:ascii="Times New Roman" w:hAnsi="Times New Roman"/>
                <w:color w:val="auto"/>
                <w:highlight w:val="none"/>
              </w:rPr>
            </w:pPr>
            <w:r>
              <w:rPr>
                <w:rFonts w:ascii="Times New Roman" w:hAnsi="Times New Roman"/>
                <w:color w:val="auto"/>
                <w:highlight w:val="none"/>
              </w:rPr>
              <w:t>经采取上述措施后，</w:t>
            </w:r>
            <w:r>
              <w:rPr>
                <w:rFonts w:hint="eastAsia"/>
                <w:color w:val="auto"/>
                <w:highlight w:val="none"/>
                <w:lang w:val="en-US" w:eastAsia="zh-CN"/>
              </w:rPr>
              <w:t>本项目</w:t>
            </w:r>
            <w:r>
              <w:rPr>
                <w:rFonts w:hint="default" w:ascii="Times New Roman" w:hAnsi="Times New Roman" w:eastAsia="宋体" w:cs="Times New Roman"/>
                <w:color w:val="auto"/>
                <w:sz w:val="21"/>
                <w:szCs w:val="21"/>
                <w:highlight w:val="none"/>
                <w:lang w:val="en-US" w:eastAsia="zh-CN"/>
              </w:rPr>
              <w:t>一般工业固体废弃物处理措施和处置方案满足</w:t>
            </w:r>
            <w:r>
              <w:rPr>
                <w:rFonts w:hint="eastAsia" w:ascii="Times New Roman" w:hAnsi="Times New Roman"/>
                <w:color w:val="auto"/>
                <w:highlight w:val="none"/>
              </w:rPr>
              <w:t>《中华人民共和国固体废物污染环境防治法》</w:t>
            </w:r>
            <w:r>
              <w:rPr>
                <w:rFonts w:hint="eastAsia"/>
                <w:color w:val="auto"/>
                <w:highlight w:val="none"/>
                <w:lang w:val="en-US" w:eastAsia="zh-CN"/>
              </w:rPr>
              <w:t>及</w:t>
            </w:r>
            <w:r>
              <w:rPr>
                <w:rFonts w:hint="eastAsia"/>
                <w:sz w:val="21"/>
                <w:szCs w:val="21"/>
                <w:lang w:val="zh-CN"/>
              </w:rPr>
              <w:t>《一般工业固体废物贮存和填埋污染控制标准》(GB18599-2020）</w:t>
            </w:r>
            <w:r>
              <w:rPr>
                <w:rFonts w:hint="eastAsia" w:ascii="Times New Roman" w:hAnsi="Times New Roman"/>
                <w:color w:val="auto"/>
                <w:highlight w:val="none"/>
              </w:rPr>
              <w:t>相关要求</w:t>
            </w:r>
            <w:r>
              <w:rPr>
                <w:rFonts w:hint="default" w:ascii="Times New Roman" w:hAnsi="Times New Roman" w:eastAsia="宋体" w:cs="Times New Roman"/>
                <w:color w:val="auto"/>
                <w:sz w:val="21"/>
                <w:szCs w:val="21"/>
                <w:highlight w:val="none"/>
                <w:lang w:val="en-US" w:eastAsia="zh-CN"/>
              </w:rPr>
              <w:t>，不会对周围环境产生不利影响</w:t>
            </w:r>
            <w:r>
              <w:rPr>
                <w:rFonts w:ascii="Times New Roman" w:hAnsi="Times New Roman"/>
                <w:color w:val="auto"/>
                <w:highlight w:val="none"/>
              </w:rPr>
              <w:t>。</w:t>
            </w:r>
          </w:p>
          <w:p w14:paraId="607F9D62">
            <w:pPr>
              <w:widowControl/>
              <w:spacing w:line="360" w:lineRule="auto"/>
              <w:ind w:firstLine="422" w:firstLineChars="200"/>
              <w:rPr>
                <w:b/>
                <w:bCs/>
                <w:sz w:val="21"/>
                <w:szCs w:val="21"/>
              </w:rPr>
            </w:pPr>
            <w:r>
              <w:rPr>
                <w:b/>
                <w:bCs/>
                <w:sz w:val="21"/>
                <w:szCs w:val="21"/>
              </w:rPr>
              <w:t xml:space="preserve">五、地下水、土壤 </w:t>
            </w:r>
          </w:p>
          <w:p w14:paraId="5728ED7F">
            <w:pPr>
              <w:pStyle w:val="69"/>
              <w:spacing w:line="360" w:lineRule="auto"/>
              <w:ind w:firstLine="422" w:firstLineChars="200"/>
              <w:jc w:val="both"/>
              <w:rPr>
                <w:sz w:val="21"/>
                <w:szCs w:val="21"/>
              </w:rPr>
            </w:pPr>
            <w:r>
              <w:rPr>
                <w:rFonts w:hint="eastAsia"/>
                <w:b/>
                <w:bCs/>
                <w:sz w:val="21"/>
                <w:szCs w:val="21"/>
              </w:rPr>
              <w:t>1、污染源、污染途径及污染防控措施</w:t>
            </w:r>
          </w:p>
          <w:p w14:paraId="20D8C02A">
            <w:pPr>
              <w:pStyle w:val="69"/>
              <w:spacing w:line="360" w:lineRule="auto"/>
              <w:ind w:firstLine="420" w:firstLineChars="200"/>
              <w:jc w:val="both"/>
              <w:rPr>
                <w:sz w:val="21"/>
                <w:szCs w:val="21"/>
              </w:rPr>
            </w:pPr>
            <w:r>
              <w:rPr>
                <w:sz w:val="21"/>
                <w:szCs w:val="21"/>
              </w:rPr>
              <w:t>本项目位于</w:t>
            </w:r>
            <w:r>
              <w:rPr>
                <w:rFonts w:hint="eastAsia"/>
                <w:sz w:val="21"/>
                <w:szCs w:val="21"/>
                <w:lang w:eastAsia="zh-CN"/>
              </w:rPr>
              <w:t>山东省淄博市文昌湖区萌水镇龙口村村委北150米</w:t>
            </w:r>
            <w:r>
              <w:rPr>
                <w:sz w:val="21"/>
                <w:szCs w:val="21"/>
              </w:rPr>
              <w:t>，不属于地下水水源地补给区，土壤环境敏感程度为不敏感。本项目为</w:t>
            </w:r>
            <w:r>
              <w:rPr>
                <w:rFonts w:hint="eastAsia"/>
                <w:sz w:val="21"/>
                <w:szCs w:val="21"/>
              </w:rPr>
              <w:t>日用</w:t>
            </w:r>
            <w:r>
              <w:rPr>
                <w:rFonts w:hint="eastAsia"/>
                <w:sz w:val="21"/>
                <w:szCs w:val="21"/>
                <w:lang w:eastAsia="zh-CN"/>
              </w:rPr>
              <w:t>其他非金属矿物制品制造</w:t>
            </w:r>
            <w:r>
              <w:rPr>
                <w:sz w:val="21"/>
                <w:szCs w:val="21"/>
              </w:rPr>
              <w:t>，</w:t>
            </w:r>
            <w:r>
              <w:rPr>
                <w:rFonts w:hint="eastAsia"/>
                <w:sz w:val="21"/>
                <w:szCs w:val="21"/>
              </w:rPr>
              <w:t>对</w:t>
            </w:r>
            <w:r>
              <w:rPr>
                <w:sz w:val="21"/>
                <w:szCs w:val="21"/>
              </w:rPr>
              <w:t>环境影响小。为防止项目建成运营后对周围地下水、土壤环境造成污染，企业应加强对生产设施的管理和维护，制定环境管理制度，强化风险防范意识，加强环境保护工作。</w:t>
            </w:r>
          </w:p>
          <w:p w14:paraId="501B3C6D">
            <w:pPr>
              <w:pStyle w:val="69"/>
              <w:spacing w:line="360" w:lineRule="auto"/>
              <w:ind w:firstLine="420" w:firstLineChars="200"/>
              <w:jc w:val="both"/>
              <w:rPr>
                <w:b/>
                <w:bCs/>
                <w:sz w:val="21"/>
                <w:szCs w:val="21"/>
              </w:rPr>
            </w:pPr>
            <w:r>
              <w:rPr>
                <w:sz w:val="21"/>
                <w:szCs w:val="21"/>
              </w:rPr>
              <w:t>各区域采取的具体防渗措施见下表</w:t>
            </w:r>
            <w:r>
              <w:rPr>
                <w:rFonts w:hint="eastAsia"/>
                <w:sz w:val="21"/>
                <w:szCs w:val="21"/>
              </w:rPr>
              <w:t>：</w:t>
            </w:r>
          </w:p>
          <w:p w14:paraId="399092A5">
            <w:pPr>
              <w:pStyle w:val="69"/>
              <w:spacing w:line="240" w:lineRule="auto"/>
              <w:ind w:firstLine="422" w:firstLineChars="200"/>
              <w:jc w:val="center"/>
              <w:rPr>
                <w:b/>
                <w:bCs/>
                <w:sz w:val="21"/>
                <w:szCs w:val="21"/>
              </w:rPr>
            </w:pPr>
            <w:r>
              <w:rPr>
                <w:b/>
                <w:bCs/>
                <w:sz w:val="21"/>
                <w:szCs w:val="21"/>
              </w:rPr>
              <w:t>表</w:t>
            </w:r>
            <w:r>
              <w:rPr>
                <w:rFonts w:hint="eastAsia"/>
                <w:b/>
                <w:bCs/>
                <w:sz w:val="21"/>
                <w:szCs w:val="21"/>
              </w:rPr>
              <w:t>4-</w:t>
            </w:r>
            <w:r>
              <w:rPr>
                <w:rFonts w:hint="eastAsia"/>
                <w:b/>
                <w:bCs/>
                <w:sz w:val="21"/>
                <w:szCs w:val="21"/>
                <w:lang w:val="en-US" w:eastAsia="zh-CN"/>
              </w:rPr>
              <w:t>10</w:t>
            </w:r>
            <w:r>
              <w:rPr>
                <w:b/>
                <w:bCs/>
                <w:sz w:val="21"/>
                <w:szCs w:val="21"/>
              </w:rPr>
              <w:t xml:space="preserve"> 项目</w:t>
            </w:r>
            <w:r>
              <w:rPr>
                <w:rFonts w:hint="eastAsia"/>
                <w:b/>
                <w:bCs/>
                <w:sz w:val="21"/>
                <w:szCs w:val="21"/>
              </w:rPr>
              <w:t>防治区防渗措施</w:t>
            </w:r>
            <w:r>
              <w:rPr>
                <w:b/>
                <w:bCs/>
                <w:sz w:val="21"/>
                <w:szCs w:val="21"/>
              </w:rPr>
              <w:t>一览</w:t>
            </w:r>
            <w:r>
              <w:rPr>
                <w:rFonts w:hint="eastAsia"/>
                <w:b/>
                <w:bCs/>
                <w:sz w:val="21"/>
                <w:szCs w:val="21"/>
              </w:rPr>
              <w:t>表</w:t>
            </w:r>
          </w:p>
          <w:tbl>
            <w:tblPr>
              <w:tblStyle w:val="3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2025"/>
              <w:gridCol w:w="4953"/>
            </w:tblGrid>
            <w:tr w14:paraId="28890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76" w:type="pct"/>
                  <w:vAlign w:val="center"/>
                </w:tcPr>
                <w:p w14:paraId="277EA8E7">
                  <w:pPr>
                    <w:pStyle w:val="69"/>
                    <w:spacing w:line="240" w:lineRule="auto"/>
                    <w:jc w:val="center"/>
                    <w:rPr>
                      <w:sz w:val="21"/>
                      <w:szCs w:val="21"/>
                    </w:rPr>
                  </w:pPr>
                  <w:r>
                    <w:rPr>
                      <w:rFonts w:hint="eastAsia"/>
                      <w:sz w:val="21"/>
                      <w:szCs w:val="21"/>
                    </w:rPr>
                    <w:t>防渗分区</w:t>
                  </w:r>
                </w:p>
              </w:tc>
              <w:tc>
                <w:tcPr>
                  <w:tcW w:w="1225" w:type="pct"/>
                  <w:vAlign w:val="center"/>
                </w:tcPr>
                <w:p w14:paraId="5FD47C3D">
                  <w:pPr>
                    <w:pStyle w:val="69"/>
                    <w:spacing w:line="240" w:lineRule="auto"/>
                    <w:jc w:val="center"/>
                    <w:rPr>
                      <w:sz w:val="21"/>
                      <w:szCs w:val="21"/>
                    </w:rPr>
                  </w:pPr>
                  <w:r>
                    <w:rPr>
                      <w:rFonts w:hint="eastAsia"/>
                      <w:sz w:val="21"/>
                      <w:szCs w:val="21"/>
                    </w:rPr>
                    <w:t>位置</w:t>
                  </w:r>
                </w:p>
              </w:tc>
              <w:tc>
                <w:tcPr>
                  <w:tcW w:w="2997" w:type="pct"/>
                  <w:vAlign w:val="center"/>
                </w:tcPr>
                <w:p w14:paraId="71708B94">
                  <w:pPr>
                    <w:pStyle w:val="69"/>
                    <w:spacing w:line="240" w:lineRule="auto"/>
                    <w:jc w:val="center"/>
                    <w:rPr>
                      <w:sz w:val="21"/>
                      <w:szCs w:val="21"/>
                    </w:rPr>
                  </w:pPr>
                  <w:r>
                    <w:rPr>
                      <w:rFonts w:hint="eastAsia"/>
                      <w:sz w:val="21"/>
                      <w:szCs w:val="21"/>
                    </w:rPr>
                    <w:t>采取的防渗结构形式</w:t>
                  </w:r>
                </w:p>
              </w:tc>
            </w:tr>
            <w:tr w14:paraId="70761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76" w:type="pct"/>
                  <w:vAlign w:val="center"/>
                </w:tcPr>
                <w:p w14:paraId="736CE62F">
                  <w:pPr>
                    <w:pStyle w:val="69"/>
                    <w:spacing w:line="240" w:lineRule="auto"/>
                    <w:jc w:val="center"/>
                    <w:rPr>
                      <w:sz w:val="21"/>
                      <w:szCs w:val="21"/>
                    </w:rPr>
                  </w:pPr>
                  <w:r>
                    <w:rPr>
                      <w:rFonts w:hint="eastAsia"/>
                      <w:sz w:val="21"/>
                      <w:szCs w:val="21"/>
                    </w:rPr>
                    <w:t>一般污染防治区</w:t>
                  </w:r>
                </w:p>
              </w:tc>
              <w:tc>
                <w:tcPr>
                  <w:tcW w:w="1225" w:type="pct"/>
                  <w:vAlign w:val="center"/>
                </w:tcPr>
                <w:p w14:paraId="5339DB61">
                  <w:pPr>
                    <w:pStyle w:val="69"/>
                    <w:spacing w:line="240" w:lineRule="auto"/>
                    <w:jc w:val="center"/>
                    <w:rPr>
                      <w:sz w:val="21"/>
                      <w:szCs w:val="21"/>
                    </w:rPr>
                  </w:pPr>
                  <w:r>
                    <w:rPr>
                      <w:rFonts w:hint="eastAsia"/>
                      <w:sz w:val="21"/>
                      <w:szCs w:val="21"/>
                      <w:lang w:eastAsia="zh-CN"/>
                    </w:rPr>
                    <w:t>一车间、二车间、三车间、四车间、</w:t>
                  </w:r>
                  <w:r>
                    <w:rPr>
                      <w:rFonts w:hint="eastAsia"/>
                      <w:sz w:val="21"/>
                      <w:szCs w:val="21"/>
                    </w:rPr>
                    <w:t>仓库</w:t>
                  </w:r>
                </w:p>
              </w:tc>
              <w:tc>
                <w:tcPr>
                  <w:tcW w:w="2997" w:type="pct"/>
                  <w:vAlign w:val="center"/>
                </w:tcPr>
                <w:p w14:paraId="32D9BF80">
                  <w:pPr>
                    <w:pStyle w:val="69"/>
                    <w:spacing w:line="240" w:lineRule="auto"/>
                    <w:jc w:val="center"/>
                    <w:rPr>
                      <w:sz w:val="21"/>
                      <w:szCs w:val="21"/>
                    </w:rPr>
                  </w:pPr>
                  <w:r>
                    <w:rPr>
                      <w:sz w:val="21"/>
                      <w:szCs w:val="21"/>
                    </w:rPr>
                    <w:t>地面防渗方案自上而下：①水泥砂浆结合层一道：②100mm厚c15混凝土随打随抹光；③3：7水泥土夯实。</w:t>
                  </w:r>
                </w:p>
              </w:tc>
            </w:tr>
            <w:tr w14:paraId="0D421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76" w:type="pct"/>
                  <w:vAlign w:val="center"/>
                </w:tcPr>
                <w:p w14:paraId="39F843C9">
                  <w:pPr>
                    <w:pStyle w:val="69"/>
                    <w:spacing w:line="240" w:lineRule="auto"/>
                    <w:jc w:val="center"/>
                    <w:rPr>
                      <w:sz w:val="21"/>
                      <w:szCs w:val="21"/>
                    </w:rPr>
                  </w:pPr>
                  <w:r>
                    <w:rPr>
                      <w:rFonts w:hint="eastAsia"/>
                      <w:sz w:val="21"/>
                      <w:szCs w:val="21"/>
                    </w:rPr>
                    <w:t>简单污染防治区</w:t>
                  </w:r>
                </w:p>
              </w:tc>
              <w:tc>
                <w:tcPr>
                  <w:tcW w:w="1225" w:type="pct"/>
                  <w:vAlign w:val="center"/>
                </w:tcPr>
                <w:p w14:paraId="024C4044">
                  <w:pPr>
                    <w:pStyle w:val="69"/>
                    <w:spacing w:line="240" w:lineRule="auto"/>
                    <w:jc w:val="center"/>
                    <w:rPr>
                      <w:rFonts w:hint="eastAsia" w:eastAsia="宋体"/>
                      <w:sz w:val="21"/>
                      <w:szCs w:val="21"/>
                      <w:lang w:eastAsia="zh-CN"/>
                    </w:rPr>
                  </w:pPr>
                  <w:r>
                    <w:rPr>
                      <w:rFonts w:hint="eastAsia"/>
                      <w:sz w:val="21"/>
                      <w:szCs w:val="21"/>
                      <w:lang w:eastAsia="zh-CN"/>
                    </w:rPr>
                    <w:t>办公楼</w:t>
                  </w:r>
                </w:p>
              </w:tc>
              <w:tc>
                <w:tcPr>
                  <w:tcW w:w="2997" w:type="pct"/>
                  <w:vAlign w:val="center"/>
                </w:tcPr>
                <w:p w14:paraId="402BA31D">
                  <w:pPr>
                    <w:pStyle w:val="69"/>
                    <w:spacing w:line="240" w:lineRule="auto"/>
                    <w:jc w:val="center"/>
                    <w:rPr>
                      <w:sz w:val="21"/>
                      <w:szCs w:val="21"/>
                    </w:rPr>
                  </w:pPr>
                  <w:r>
                    <w:rPr>
                      <w:sz w:val="21"/>
                      <w:szCs w:val="21"/>
                    </w:rPr>
                    <w:t>混凝土硬化</w:t>
                  </w:r>
                </w:p>
              </w:tc>
            </w:tr>
            <w:tr w14:paraId="2096F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76" w:type="pct"/>
                  <w:shd w:val="clear" w:color="auto" w:fill="auto"/>
                  <w:vAlign w:val="center"/>
                </w:tcPr>
                <w:p w14:paraId="078B3C50">
                  <w:pPr>
                    <w:pStyle w:val="69"/>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rPr>
                    <w:t>重点污染防治区</w:t>
                  </w:r>
                </w:p>
              </w:tc>
              <w:tc>
                <w:tcPr>
                  <w:tcW w:w="1225" w:type="pct"/>
                  <w:shd w:val="clear" w:color="auto" w:fill="auto"/>
                  <w:vAlign w:val="center"/>
                </w:tcPr>
                <w:p w14:paraId="63D823BA">
                  <w:pPr>
                    <w:pStyle w:val="69"/>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rPr>
                    <w:t>化粪池</w:t>
                  </w:r>
                  <w:r>
                    <w:rPr>
                      <w:rFonts w:hint="eastAsia" w:cs="Times New Roman"/>
                      <w:sz w:val="21"/>
                      <w:szCs w:val="21"/>
                      <w:lang w:eastAsia="zh-CN"/>
                    </w:rPr>
                    <w:t>、</w:t>
                  </w:r>
                  <w:r>
                    <w:rPr>
                      <w:rFonts w:hint="eastAsia" w:cs="Times New Roman"/>
                      <w:sz w:val="21"/>
                      <w:szCs w:val="21"/>
                      <w:lang w:val="en-US" w:eastAsia="zh-CN"/>
                    </w:rPr>
                    <w:t>1#清洗车间、2#清洗车间</w:t>
                  </w:r>
                </w:p>
              </w:tc>
              <w:tc>
                <w:tcPr>
                  <w:tcW w:w="2997" w:type="pct"/>
                  <w:shd w:val="clear" w:color="auto" w:fill="auto"/>
                  <w:vAlign w:val="center"/>
                </w:tcPr>
                <w:p w14:paraId="79EC4404">
                  <w:pPr>
                    <w:pStyle w:val="69"/>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rPr>
                    <w:t>混凝土厚度不小于4cm，分层利用压路机碾压或夯实。混凝土结构致密，其渗透系数小于1×10</w:t>
                  </w:r>
                  <w:r>
                    <w:rPr>
                      <w:rFonts w:hint="default" w:ascii="Times New Roman" w:hAnsi="Times New Roman" w:cs="Times New Roman"/>
                      <w:sz w:val="21"/>
                      <w:szCs w:val="21"/>
                      <w:vertAlign w:val="superscript"/>
                    </w:rPr>
                    <w:t>-9</w:t>
                  </w:r>
                  <w:r>
                    <w:rPr>
                      <w:rFonts w:hint="default" w:ascii="Times New Roman" w:hAnsi="Times New Roman" w:cs="Times New Roman"/>
                      <w:sz w:val="21"/>
                      <w:szCs w:val="21"/>
                    </w:rPr>
                    <w:t>~1×10</w:t>
                  </w:r>
                  <w:r>
                    <w:rPr>
                      <w:rFonts w:hint="default" w:ascii="Times New Roman" w:hAnsi="Times New Roman" w:cs="Times New Roman"/>
                      <w:sz w:val="21"/>
                      <w:szCs w:val="21"/>
                      <w:vertAlign w:val="superscript"/>
                    </w:rPr>
                    <w:t>-11</w:t>
                  </w:r>
                  <w:r>
                    <w:rPr>
                      <w:rFonts w:hint="default" w:ascii="Times New Roman" w:hAnsi="Times New Roman" w:cs="Times New Roman"/>
                      <w:sz w:val="21"/>
                      <w:szCs w:val="21"/>
                    </w:rPr>
                    <w:t xml:space="preserve"> cm/s，之上再敷设厚2cm的花岗岩作为地表防渗层。整个地面渗透系数小于1×10</w:t>
                  </w:r>
                  <w:r>
                    <w:rPr>
                      <w:rFonts w:hint="default" w:ascii="Times New Roman" w:hAnsi="Times New Roman" w:cs="Times New Roman"/>
                      <w:sz w:val="21"/>
                      <w:szCs w:val="21"/>
                      <w:vertAlign w:val="superscript"/>
                    </w:rPr>
                    <w:t>-11</w:t>
                  </w:r>
                  <w:r>
                    <w:rPr>
                      <w:rFonts w:hint="default" w:ascii="Times New Roman" w:hAnsi="Times New Roman" w:cs="Times New Roman"/>
                      <w:sz w:val="21"/>
                      <w:szCs w:val="21"/>
                    </w:rPr>
                    <w:t xml:space="preserve"> cm/s。</w:t>
                  </w:r>
                </w:p>
              </w:tc>
            </w:tr>
          </w:tbl>
          <w:p w14:paraId="1C60E93B">
            <w:pPr>
              <w:spacing w:line="360" w:lineRule="auto"/>
              <w:ind w:firstLine="422" w:firstLineChars="200"/>
              <w:rPr>
                <w:b/>
                <w:bCs/>
                <w:color w:val="auto"/>
                <w:sz w:val="21"/>
                <w:szCs w:val="21"/>
              </w:rPr>
            </w:pPr>
            <w:r>
              <w:rPr>
                <w:rFonts w:hint="eastAsia"/>
                <w:b/>
                <w:bCs/>
                <w:color w:val="auto"/>
                <w:sz w:val="21"/>
                <w:szCs w:val="21"/>
              </w:rPr>
              <w:t xml:space="preserve">2、跟踪监测要求 </w:t>
            </w:r>
          </w:p>
          <w:p w14:paraId="2F6BD53D">
            <w:pPr>
              <w:widowControl/>
              <w:spacing w:line="360" w:lineRule="auto"/>
              <w:ind w:firstLine="420" w:firstLineChars="200"/>
              <w:rPr>
                <w:color w:val="auto"/>
                <w:kern w:val="0"/>
                <w:sz w:val="21"/>
                <w:szCs w:val="21"/>
                <w:lang w:bidi="ar"/>
              </w:rPr>
            </w:pPr>
            <w:r>
              <w:rPr>
                <w:color w:val="auto"/>
                <w:kern w:val="0"/>
                <w:sz w:val="21"/>
                <w:szCs w:val="21"/>
                <w:lang w:bidi="ar"/>
              </w:rPr>
              <w:t>项目对地下水、土壤环境影响途径主要为大气沉降和垂直入渗，在贯彻落实上述分区防控措施的前提下，对地下水、土壤环境影响较小。根据《山东省生态环境厅山东省自然资源厅关于进一步加强土壤污染重点监管单位管理工作的通知》（鲁环发[2020]5号），“有色金属矿采选、有色金属冶炼、石油开采加工、化工、医药、焦化、制革、电镀、危险废物经营、固体废物填埋等行业中纳入排污许可重点管理的企业事业单位，应当列入土壤污染重点监管单位名录”，本单位不属于土壤污染重点监管单位，可不开展土壤跟踪监测。</w:t>
            </w:r>
          </w:p>
          <w:p w14:paraId="174FC86D">
            <w:pPr>
              <w:widowControl/>
              <w:spacing w:line="360" w:lineRule="auto"/>
              <w:ind w:firstLine="422" w:firstLineChars="200"/>
              <w:rPr>
                <w:color w:val="auto"/>
                <w:sz w:val="21"/>
                <w:szCs w:val="21"/>
              </w:rPr>
            </w:pPr>
            <w:r>
              <w:rPr>
                <w:rFonts w:hint="eastAsia"/>
                <w:b/>
                <w:bCs/>
                <w:color w:val="auto"/>
                <w:kern w:val="0"/>
                <w:sz w:val="21"/>
                <w:szCs w:val="21"/>
                <w:lang w:bidi="ar"/>
              </w:rPr>
              <w:t>六、</w:t>
            </w:r>
            <w:r>
              <w:rPr>
                <w:rFonts w:hint="eastAsia" w:ascii="宋体" w:hAnsi="宋体" w:cs="宋体"/>
                <w:b/>
                <w:bCs/>
                <w:color w:val="auto"/>
                <w:kern w:val="0"/>
                <w:sz w:val="21"/>
                <w:szCs w:val="21"/>
                <w:lang w:bidi="ar"/>
              </w:rPr>
              <w:t xml:space="preserve">生态环境影响 </w:t>
            </w:r>
          </w:p>
          <w:p w14:paraId="0BB96735">
            <w:pPr>
              <w:widowControl/>
              <w:spacing w:line="360" w:lineRule="auto"/>
              <w:ind w:firstLine="420" w:firstLineChars="200"/>
              <w:rPr>
                <w:color w:val="auto"/>
                <w:sz w:val="21"/>
                <w:szCs w:val="21"/>
                <w:highlight w:val="none"/>
              </w:rPr>
            </w:pPr>
            <w:r>
              <w:rPr>
                <w:rFonts w:hint="eastAsia"/>
                <w:color w:val="auto"/>
                <w:sz w:val="21"/>
                <w:szCs w:val="21"/>
              </w:rPr>
              <w:t>建设项目租赁现有厂房进行生产</w:t>
            </w:r>
            <w:r>
              <w:rPr>
                <w:rFonts w:hint="eastAsia" w:ascii="宋体" w:hAnsi="宋体" w:cs="宋体"/>
                <w:color w:val="auto"/>
                <w:kern w:val="0"/>
                <w:sz w:val="21"/>
                <w:szCs w:val="21"/>
                <w:lang w:bidi="ar"/>
              </w:rPr>
              <w:t>，且用地范围内无生态环境保护目标，对周边生态基</w:t>
            </w:r>
            <w:r>
              <w:rPr>
                <w:rFonts w:hint="eastAsia" w:ascii="宋体" w:hAnsi="宋体" w:cs="宋体"/>
                <w:color w:val="auto"/>
                <w:kern w:val="0"/>
                <w:sz w:val="21"/>
                <w:szCs w:val="21"/>
                <w:highlight w:val="none"/>
                <w:lang w:bidi="ar"/>
              </w:rPr>
              <w:t>本无影响，本评价不再开展生态环境影响分析。</w:t>
            </w:r>
          </w:p>
          <w:p w14:paraId="38D4367D">
            <w:pPr>
              <w:spacing w:line="360" w:lineRule="auto"/>
              <w:ind w:firstLine="422" w:firstLineChars="200"/>
              <w:rPr>
                <w:b/>
                <w:bCs/>
                <w:color w:val="auto"/>
                <w:sz w:val="21"/>
                <w:szCs w:val="21"/>
                <w:highlight w:val="none"/>
              </w:rPr>
            </w:pPr>
            <w:r>
              <w:rPr>
                <w:rFonts w:hint="eastAsia"/>
                <w:b/>
                <w:bCs/>
                <w:color w:val="auto"/>
                <w:sz w:val="21"/>
                <w:szCs w:val="21"/>
                <w:highlight w:val="none"/>
              </w:rPr>
              <w:t>七、</w:t>
            </w:r>
            <w:r>
              <w:rPr>
                <w:b/>
                <w:bCs/>
                <w:color w:val="auto"/>
                <w:sz w:val="21"/>
                <w:szCs w:val="21"/>
                <w:highlight w:val="none"/>
              </w:rPr>
              <w:t>环境风险</w:t>
            </w:r>
          </w:p>
          <w:p w14:paraId="04D8CB11">
            <w:pPr>
              <w:widowControl/>
              <w:spacing w:line="360" w:lineRule="auto"/>
              <w:ind w:firstLine="420" w:firstLineChars="200"/>
              <w:rPr>
                <w:rFonts w:hint="default"/>
                <w:color w:val="auto"/>
                <w:sz w:val="21"/>
                <w:szCs w:val="21"/>
              </w:rPr>
            </w:pPr>
            <w:bookmarkStart w:id="2" w:name="_Toc25705"/>
            <w:r>
              <w:rPr>
                <w:rFonts w:hint="default"/>
                <w:color w:val="auto"/>
                <w:sz w:val="21"/>
                <w:szCs w:val="21"/>
                <w:lang w:val="en-US" w:eastAsia="zh-CN"/>
              </w:rPr>
              <w:t>根据</w:t>
            </w:r>
            <w:r>
              <w:rPr>
                <w:rFonts w:hint="default"/>
                <w:color w:val="auto"/>
                <w:sz w:val="21"/>
                <w:szCs w:val="21"/>
              </w:rPr>
              <w:t>《建设项目环境风险评价技术导则》（HJ169-2018）</w:t>
            </w:r>
            <w:r>
              <w:rPr>
                <w:rFonts w:hint="eastAsia"/>
                <w:color w:val="auto"/>
                <w:sz w:val="21"/>
                <w:szCs w:val="21"/>
                <w:lang w:eastAsia="zh-CN"/>
              </w:rPr>
              <w:t>，项</w:t>
            </w:r>
            <w:r>
              <w:rPr>
                <w:rFonts w:hint="eastAsia"/>
                <w:color w:val="auto"/>
                <w:sz w:val="21"/>
                <w:szCs w:val="21"/>
              </w:rPr>
              <w:t>目原辅材料</w:t>
            </w:r>
            <w:r>
              <w:rPr>
                <w:rFonts w:hint="eastAsia"/>
                <w:color w:val="auto"/>
                <w:sz w:val="21"/>
                <w:szCs w:val="21"/>
                <w:lang w:eastAsia="zh-CN"/>
              </w:rPr>
              <w:t>不</w:t>
            </w:r>
            <w:r>
              <w:rPr>
                <w:rFonts w:hint="eastAsia"/>
                <w:color w:val="auto"/>
                <w:sz w:val="21"/>
                <w:szCs w:val="21"/>
              </w:rPr>
              <w:t>涉及《建设项目环境风险评价技术导则》（HJ169-2018）附录B.1中规定的</w:t>
            </w:r>
            <w:r>
              <w:rPr>
                <w:rFonts w:hint="eastAsia"/>
                <w:color w:val="auto"/>
                <w:sz w:val="21"/>
                <w:szCs w:val="21"/>
                <w:lang w:eastAsia="zh-CN"/>
              </w:rPr>
              <w:t>风险</w:t>
            </w:r>
            <w:r>
              <w:rPr>
                <w:rFonts w:hint="eastAsia"/>
                <w:color w:val="auto"/>
                <w:sz w:val="21"/>
                <w:szCs w:val="21"/>
              </w:rPr>
              <w:t>物质</w:t>
            </w:r>
            <w:r>
              <w:rPr>
                <w:rFonts w:hint="eastAsia"/>
                <w:color w:val="auto"/>
                <w:sz w:val="21"/>
                <w:szCs w:val="21"/>
                <w:lang w:eastAsia="zh-CN"/>
              </w:rPr>
              <w:t>，</w:t>
            </w:r>
            <w:r>
              <w:rPr>
                <w:rFonts w:hint="default"/>
                <w:color w:val="auto"/>
                <w:sz w:val="21"/>
                <w:szCs w:val="21"/>
              </w:rPr>
              <w:t>本项目Q＜1，环境风险潜势为</w:t>
            </w:r>
            <w:r>
              <w:rPr>
                <w:rFonts w:hint="eastAsia"/>
                <w:color w:val="auto"/>
                <w:sz w:val="21"/>
                <w:szCs w:val="21"/>
                <w:lang w:val="en-US" w:eastAsia="zh-CN"/>
              </w:rPr>
              <w:t>I</w:t>
            </w:r>
            <w:r>
              <w:rPr>
                <w:rFonts w:hint="default"/>
                <w:color w:val="auto"/>
                <w:sz w:val="21"/>
                <w:szCs w:val="21"/>
                <w:lang w:eastAsia="zh-CN"/>
              </w:rPr>
              <w:t>，评价工作等级为简单分析</w:t>
            </w:r>
            <w:r>
              <w:rPr>
                <w:rFonts w:hint="default"/>
                <w:color w:val="auto"/>
                <w:sz w:val="21"/>
                <w:szCs w:val="21"/>
              </w:rPr>
              <w:t>。</w:t>
            </w:r>
          </w:p>
          <w:bookmarkEnd w:id="2"/>
          <w:p w14:paraId="5928DA05">
            <w:pPr>
              <w:spacing w:line="360" w:lineRule="auto"/>
              <w:ind w:firstLine="420" w:firstLineChars="200"/>
              <w:rPr>
                <w:rFonts w:hint="eastAsia" w:eastAsia="宋体"/>
                <w:b w:val="0"/>
                <w:bCs/>
                <w:color w:val="auto"/>
                <w:szCs w:val="21"/>
                <w:highlight w:val="none"/>
                <w:lang w:val="en-US" w:eastAsia="zh-CN"/>
              </w:rPr>
            </w:pPr>
            <w:r>
              <w:rPr>
                <w:rFonts w:hint="eastAsia"/>
                <w:b w:val="0"/>
                <w:bCs/>
                <w:color w:val="auto"/>
                <w:szCs w:val="21"/>
                <w:highlight w:val="none"/>
                <w:lang w:val="en-US" w:eastAsia="zh-CN"/>
              </w:rPr>
              <w:t>（2）</w:t>
            </w:r>
            <w:r>
              <w:rPr>
                <w:b w:val="0"/>
                <w:bCs/>
                <w:color w:val="auto"/>
                <w:szCs w:val="21"/>
                <w:highlight w:val="none"/>
              </w:rPr>
              <w:t>环境风险识别</w:t>
            </w:r>
            <w:r>
              <w:rPr>
                <w:rFonts w:hint="eastAsia"/>
                <w:b w:val="0"/>
                <w:bCs/>
                <w:color w:val="auto"/>
                <w:szCs w:val="21"/>
                <w:highlight w:val="none"/>
                <w:lang w:val="en-US" w:eastAsia="zh-CN"/>
              </w:rPr>
              <w:t>及分析</w:t>
            </w:r>
          </w:p>
          <w:p w14:paraId="6D652936">
            <w:pPr>
              <w:widowControl/>
              <w:spacing w:line="360" w:lineRule="auto"/>
              <w:ind w:firstLine="420" w:firstLineChars="200"/>
              <w:rPr>
                <w:rFonts w:hint="default"/>
                <w:color w:val="auto"/>
                <w:sz w:val="21"/>
                <w:szCs w:val="21"/>
                <w:lang w:val="en-US" w:eastAsia="zh-CN"/>
              </w:rPr>
            </w:pPr>
            <w:r>
              <w:rPr>
                <w:rFonts w:hint="default"/>
                <w:color w:val="auto"/>
                <w:sz w:val="21"/>
                <w:szCs w:val="21"/>
                <w:lang w:val="en-US" w:eastAsia="zh-CN"/>
              </w:rPr>
              <w:t>本项目为</w:t>
            </w:r>
            <w:r>
              <w:rPr>
                <w:rFonts w:hint="eastAsia"/>
                <w:color w:val="auto"/>
                <w:sz w:val="21"/>
                <w:szCs w:val="21"/>
                <w:lang w:val="en-US" w:eastAsia="zh-CN"/>
              </w:rPr>
              <w:t>“C3099其他非金属矿物制品制造”，</w:t>
            </w:r>
            <w:r>
              <w:rPr>
                <w:rFonts w:hint="default"/>
                <w:color w:val="auto"/>
                <w:sz w:val="21"/>
                <w:szCs w:val="21"/>
                <w:lang w:val="en-US" w:eastAsia="zh-CN"/>
              </w:rPr>
              <w:t>在生产中涉及的</w:t>
            </w:r>
            <w:r>
              <w:rPr>
                <w:rFonts w:hint="eastAsia"/>
                <w:color w:val="auto"/>
                <w:sz w:val="21"/>
                <w:szCs w:val="21"/>
                <w:lang w:val="en-US" w:eastAsia="zh-CN"/>
              </w:rPr>
              <w:t>原辅材料不属于可燃物质</w:t>
            </w:r>
            <w:r>
              <w:rPr>
                <w:rFonts w:hint="default"/>
                <w:color w:val="auto"/>
                <w:sz w:val="21"/>
                <w:szCs w:val="21"/>
                <w:lang w:val="en-US" w:eastAsia="zh-CN"/>
              </w:rPr>
              <w:t>，</w:t>
            </w:r>
            <w:r>
              <w:rPr>
                <w:rFonts w:hint="eastAsia"/>
                <w:color w:val="auto"/>
                <w:sz w:val="21"/>
                <w:szCs w:val="21"/>
                <w:lang w:val="en-US" w:eastAsia="zh-CN"/>
              </w:rPr>
              <w:t>项目</w:t>
            </w:r>
            <w:r>
              <w:rPr>
                <w:rFonts w:hint="default"/>
                <w:color w:val="auto"/>
                <w:sz w:val="21"/>
                <w:szCs w:val="21"/>
                <w:lang w:val="en-US" w:eastAsia="zh-CN"/>
              </w:rPr>
              <w:t>电气设备等维护管理和使用不当会引起火灾事故。火灾事故发生后可导致对周边大气环境的烟气污染、CO污染和热辐射，产生的消防废水若处理不当将会污染水环境。</w:t>
            </w:r>
          </w:p>
          <w:p w14:paraId="0094A7EF">
            <w:pPr>
              <w:adjustRightInd w:val="0"/>
              <w:snapToGrid w:val="0"/>
              <w:spacing w:line="360" w:lineRule="auto"/>
              <w:ind w:firstLine="420" w:firstLineChars="20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（3）环境风险防范措施及应急要求</w:t>
            </w:r>
          </w:p>
          <w:p w14:paraId="62535780">
            <w:pPr>
              <w:adjustRightInd w:val="0"/>
              <w:snapToGrid w:val="0"/>
              <w:spacing w:line="360" w:lineRule="auto"/>
              <w:ind w:firstLine="420" w:firstLineChars="20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为了避免在生产过程中发生火灾事故，建设单位需做出相应的防范措施。</w:t>
            </w:r>
          </w:p>
          <w:p w14:paraId="4F530C67">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1）加强日常巡检工作，定期对环保设备进行检修，及时发现、处理故障，严格落实各项安全与环保措施，防止事故造成的环境污染。</w:t>
            </w:r>
          </w:p>
          <w:p w14:paraId="0944D252">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2）严禁烟火，加强管理，严格操作规范，制定一系列的防火规章制度。</w:t>
            </w:r>
          </w:p>
          <w:p w14:paraId="4550120E">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3）严格执行劳动部《生产设备安全卫生设计总则》等有关法规。</w:t>
            </w:r>
          </w:p>
          <w:p w14:paraId="7C4E787B">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4）厂区按《建筑灭火器配置设计规范》配置手提式干粉灭火器和推车式干粉灭火器。</w:t>
            </w:r>
          </w:p>
          <w:p w14:paraId="17921C30">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5）操作人员必须经过专门培训，做到持证上岗，并且严格遵守操作规程。</w:t>
            </w:r>
          </w:p>
          <w:p w14:paraId="5DBAE552">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6）各种生产设备应定期检修保养，确保设备正常运行。</w:t>
            </w:r>
          </w:p>
          <w:p w14:paraId="2B8C8367">
            <w:pPr>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7）对安全及环保管理人员进行安全与环保知识培训，熟悉国家安全生产方针、政策、法规、标准，增强安全意识和法制观念，掌握安全卫生基本知识，具有一定的安全管理和决策能力。</w:t>
            </w:r>
          </w:p>
          <w:p w14:paraId="78C392B0">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8）发生火灾事故应立即上报企业</w:t>
            </w:r>
            <w:r>
              <w:rPr>
                <w:rFonts w:hint="eastAsia"/>
                <w:color w:val="auto"/>
                <w:sz w:val="21"/>
                <w:szCs w:val="21"/>
                <w:highlight w:val="none"/>
              </w:rPr>
              <w:t>负责人，切断火源，隔离现场，疏散周围群众。需要紧急撤离的情况，应按照统一的撤退信号和方法及时撤退。通过消防灭火，采用干粉、二氧化碳等灭火器灭火，降低燃烧强度。扑灭火灾后，应继续洒水降温、消灭余火，同时需对火灾现场进行保护，接受事故调查。</w:t>
            </w:r>
          </w:p>
          <w:p w14:paraId="3C9AF608">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firstLine="420" w:firstLineChars="200"/>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val="en-US" w:eastAsia="zh-CN"/>
              </w:rPr>
              <w:t>环境风险事故应急预案</w:t>
            </w:r>
          </w:p>
          <w:p w14:paraId="668BFA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 xml:space="preserve">11 </w:t>
            </w:r>
            <w:r>
              <w:rPr>
                <w:rFonts w:hint="default" w:ascii="Times New Roman" w:hAnsi="Times New Roman" w:eastAsia="宋体" w:cs="Times New Roman"/>
                <w:b/>
                <w:color w:val="auto"/>
                <w:kern w:val="0"/>
                <w:sz w:val="21"/>
                <w:szCs w:val="21"/>
                <w:highlight w:val="none"/>
                <w:lang w:val="zh-CN" w:eastAsia="zh-CN"/>
              </w:rPr>
              <w:t xml:space="preserve"> 项目应急预案一览表</w:t>
            </w:r>
          </w:p>
          <w:tbl>
            <w:tblPr>
              <w:tblStyle w:val="35"/>
              <w:tblW w:w="498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7"/>
              <w:gridCol w:w="2169"/>
              <w:gridCol w:w="5430"/>
            </w:tblGrid>
            <w:tr w14:paraId="4A2F5A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7326EF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315" w:type="pct"/>
                  <w:tcBorders>
                    <w:tl2br w:val="nil"/>
                    <w:tr2bl w:val="nil"/>
                  </w:tcBorders>
                  <w:noWrap w:val="0"/>
                  <w:vAlign w:val="center"/>
                </w:tcPr>
                <w:p w14:paraId="265FF4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3292" w:type="pct"/>
                  <w:tcBorders>
                    <w:tl2br w:val="nil"/>
                    <w:tr2bl w:val="nil"/>
                  </w:tcBorders>
                  <w:noWrap w:val="0"/>
                  <w:vAlign w:val="center"/>
                </w:tcPr>
                <w:p w14:paraId="48A1C1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内容及要求</w:t>
                  </w:r>
                </w:p>
              </w:tc>
            </w:tr>
            <w:tr w14:paraId="01E104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593C28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15" w:type="pct"/>
                  <w:tcBorders>
                    <w:tl2br w:val="nil"/>
                    <w:tr2bl w:val="nil"/>
                  </w:tcBorders>
                  <w:noWrap w:val="0"/>
                  <w:vAlign w:val="center"/>
                </w:tcPr>
                <w:p w14:paraId="45D2A9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3292" w:type="pct"/>
                  <w:tcBorders>
                    <w:tl2br w:val="nil"/>
                    <w:tr2bl w:val="nil"/>
                  </w:tcBorders>
                  <w:noWrap w:val="0"/>
                  <w:vAlign w:val="center"/>
                </w:tcPr>
                <w:p w14:paraId="6D264F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设立事故应急机构，人员由企业主要领导、安全负责人、环保负责人等主要人员组成</w:t>
                  </w:r>
                </w:p>
              </w:tc>
            </w:tr>
            <w:tr w14:paraId="42607B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018ACB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315" w:type="pct"/>
                  <w:tcBorders>
                    <w:tl2br w:val="nil"/>
                    <w:tr2bl w:val="nil"/>
                  </w:tcBorders>
                  <w:noWrap w:val="0"/>
                  <w:vAlign w:val="center"/>
                </w:tcPr>
                <w:p w14:paraId="7C25E1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w:t>
                  </w:r>
                </w:p>
              </w:tc>
              <w:tc>
                <w:tcPr>
                  <w:tcW w:w="3292" w:type="pct"/>
                  <w:tcBorders>
                    <w:tl2br w:val="nil"/>
                    <w:tr2bl w:val="nil"/>
                  </w:tcBorders>
                  <w:noWrap w:val="0"/>
                  <w:vAlign w:val="center"/>
                </w:tcPr>
                <w:p w14:paraId="50D599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企业应配备必要的应急设施及设备和器材；事故易发的工作岗位配备必需的防护用品等</w:t>
                  </w:r>
                </w:p>
              </w:tc>
            </w:tr>
            <w:tr w14:paraId="15D186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3159FD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315" w:type="pct"/>
                  <w:tcBorders>
                    <w:tl2br w:val="nil"/>
                    <w:tr2bl w:val="nil"/>
                  </w:tcBorders>
                  <w:noWrap w:val="0"/>
                  <w:vAlign w:val="center"/>
                </w:tcPr>
                <w:p w14:paraId="73A2E3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报警、通讯联络方式</w:t>
                  </w:r>
                </w:p>
              </w:tc>
              <w:tc>
                <w:tcPr>
                  <w:tcW w:w="3292" w:type="pct"/>
                  <w:tcBorders>
                    <w:tl2br w:val="nil"/>
                    <w:tr2bl w:val="nil"/>
                  </w:tcBorders>
                  <w:noWrap w:val="0"/>
                  <w:vAlign w:val="center"/>
                </w:tcPr>
                <w:p w14:paraId="480C3B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建立专用的报警和通讯线路，并保持其畅通</w:t>
                  </w:r>
                </w:p>
              </w:tc>
            </w:tr>
            <w:tr w14:paraId="22D199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0F2757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315" w:type="pct"/>
                  <w:tcBorders>
                    <w:tl2br w:val="nil"/>
                    <w:tr2bl w:val="nil"/>
                  </w:tcBorders>
                  <w:noWrap w:val="0"/>
                  <w:vAlign w:val="center"/>
                </w:tcPr>
                <w:p w14:paraId="5038DB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应急环境监测、抢救、救援及控制措施</w:t>
                  </w:r>
                </w:p>
              </w:tc>
              <w:tc>
                <w:tcPr>
                  <w:tcW w:w="3292" w:type="pct"/>
                  <w:tcBorders>
                    <w:tl2br w:val="nil"/>
                    <w:tr2bl w:val="nil"/>
                  </w:tcBorders>
                  <w:noWrap w:val="0"/>
                  <w:vAlign w:val="center"/>
                </w:tcPr>
                <w:p w14:paraId="09C13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发生事故时，要保证现场的事故处理设施和全厂的应急处理系统能够紧急启动，并对事故产生的污染物进行有效的控制，同时启动当地的环境应急监测系统</w:t>
                  </w:r>
                </w:p>
              </w:tc>
            </w:tr>
            <w:tr w14:paraId="506B6B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14AEA6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315" w:type="pct"/>
                  <w:tcBorders>
                    <w:tl2br w:val="nil"/>
                    <w:tr2bl w:val="nil"/>
                  </w:tcBorders>
                  <w:noWrap w:val="0"/>
                  <w:vAlign w:val="center"/>
                </w:tcPr>
                <w:p w14:paraId="1A81DE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应急监测、防护措施、清除泄漏措施和器材</w:t>
                  </w:r>
                </w:p>
              </w:tc>
              <w:tc>
                <w:tcPr>
                  <w:tcW w:w="3292" w:type="pct"/>
                  <w:tcBorders>
                    <w:tl2br w:val="nil"/>
                    <w:tr2bl w:val="nil"/>
                  </w:tcBorders>
                  <w:noWrap w:val="0"/>
                  <w:vAlign w:val="center"/>
                </w:tcPr>
                <w:p w14:paraId="3A47FE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设立必要地控制和清除污染的相应措施。事故发生时，要及时发现事故发生地点和环节，并利用已有的防护措施减少污染物的排放</w:t>
                  </w:r>
                </w:p>
              </w:tc>
            </w:tr>
            <w:tr w14:paraId="606731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576A50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315" w:type="pct"/>
                  <w:tcBorders>
                    <w:tl2br w:val="nil"/>
                    <w:tr2bl w:val="nil"/>
                  </w:tcBorders>
                  <w:noWrap w:val="0"/>
                  <w:vAlign w:val="center"/>
                </w:tcPr>
                <w:p w14:paraId="2412C9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3292" w:type="pct"/>
                  <w:tcBorders>
                    <w:tl2br w:val="nil"/>
                    <w:tr2bl w:val="nil"/>
                  </w:tcBorders>
                  <w:noWrap w:val="0"/>
                  <w:vAlign w:val="center"/>
                </w:tcPr>
                <w:p w14:paraId="7C4C61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企业要注意</w:t>
                  </w:r>
                  <w:r>
                    <w:rPr>
                      <w:rFonts w:hint="eastAsia" w:cs="Times New Roman"/>
                      <w:color w:val="auto"/>
                      <w:sz w:val="21"/>
                      <w:szCs w:val="21"/>
                      <w:highlight w:val="none"/>
                      <w:lang w:eastAsia="zh-CN"/>
                    </w:rPr>
                    <w:t>日常</w:t>
                  </w:r>
                  <w:r>
                    <w:rPr>
                      <w:rFonts w:hint="default" w:ascii="Times New Roman" w:hAnsi="Times New Roman" w:eastAsia="宋体" w:cs="Times New Roman"/>
                      <w:color w:val="auto"/>
                      <w:sz w:val="21"/>
                      <w:szCs w:val="21"/>
                      <w:highlight w:val="none"/>
                    </w:rPr>
                    <w:t>工作中对事故应急处理的培训，以提高职工的安全防范意识</w:t>
                  </w:r>
                </w:p>
              </w:tc>
            </w:tr>
            <w:tr w14:paraId="168B9D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2" w:type="pct"/>
                  <w:tcBorders>
                    <w:tl2br w:val="nil"/>
                    <w:tr2bl w:val="nil"/>
                  </w:tcBorders>
                  <w:noWrap w:val="0"/>
                  <w:vAlign w:val="center"/>
                </w:tcPr>
                <w:p w14:paraId="7F1C56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315" w:type="pct"/>
                  <w:tcBorders>
                    <w:tl2br w:val="nil"/>
                    <w:tr2bl w:val="nil"/>
                  </w:tcBorders>
                  <w:noWrap w:val="0"/>
                  <w:vAlign w:val="center"/>
                </w:tcPr>
                <w:p w14:paraId="6FC34F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3292" w:type="pct"/>
                  <w:tcBorders>
                    <w:tl2br w:val="nil"/>
                    <w:tr2bl w:val="nil"/>
                  </w:tcBorders>
                  <w:noWrap w:val="0"/>
                  <w:vAlign w:val="center"/>
                </w:tcPr>
                <w:p w14:paraId="4DAA45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通过各种方式，对周围居民等进行事故防范宣传</w:t>
                  </w:r>
                </w:p>
              </w:tc>
            </w:tr>
          </w:tbl>
          <w:p w14:paraId="6348D92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分析结论</w:t>
            </w:r>
          </w:p>
          <w:p w14:paraId="0A874B47">
            <w:pPr>
              <w:adjustRightInd w:val="0"/>
              <w:snapToGrid w:val="0"/>
              <w:spacing w:line="360" w:lineRule="auto"/>
              <w:ind w:firstLine="420" w:firstLineChars="200"/>
              <w:rPr>
                <w:rFonts w:hint="default" w:ascii="Times New Roman" w:hAnsi="Times New Roman" w:cs="Times New Roman"/>
                <w:color w:val="0000FF"/>
                <w:sz w:val="21"/>
                <w:szCs w:val="21"/>
                <w:highlight w:val="none"/>
              </w:rPr>
            </w:pPr>
            <w:r>
              <w:rPr>
                <w:rFonts w:hint="eastAsia"/>
                <w:color w:val="auto"/>
                <w:sz w:val="21"/>
                <w:szCs w:val="21"/>
                <w:highlight w:val="none"/>
              </w:rPr>
              <w:t>在落实好本次环评提出的风险防范措施的前提下，</w:t>
            </w:r>
            <w:r>
              <w:rPr>
                <w:rFonts w:hint="eastAsia" w:cs="Times New Roman"/>
                <w:b w:val="0"/>
                <w:bCs w:val="0"/>
                <w:color w:val="auto"/>
                <w:sz w:val="21"/>
                <w:szCs w:val="21"/>
                <w:highlight w:val="none"/>
                <w:lang w:val="en-US" w:eastAsia="zh-CN"/>
              </w:rPr>
              <w:t>本项目</w:t>
            </w:r>
            <w:r>
              <w:rPr>
                <w:rFonts w:hint="eastAsia"/>
                <w:color w:val="auto"/>
                <w:sz w:val="21"/>
                <w:szCs w:val="21"/>
                <w:highlight w:val="none"/>
              </w:rPr>
              <w:t>存在的风险较小。该项目环境风险可以接受</w:t>
            </w:r>
            <w:r>
              <w:rPr>
                <w:rFonts w:hint="default" w:ascii="Times New Roman" w:hAnsi="Times New Roman" w:eastAsia="宋体" w:cs="Times New Roman"/>
                <w:color w:val="auto"/>
                <w:sz w:val="21"/>
                <w:szCs w:val="21"/>
                <w:highlight w:val="none"/>
              </w:rPr>
              <w:t>。</w:t>
            </w:r>
          </w:p>
          <w:p w14:paraId="4093B38A">
            <w:pPr>
              <w:widowControl/>
              <w:spacing w:line="360" w:lineRule="auto"/>
              <w:rPr>
                <w:sz w:val="21"/>
                <w:szCs w:val="21"/>
              </w:rPr>
            </w:pPr>
            <w:r>
              <w:rPr>
                <w:rFonts w:hint="eastAsia"/>
                <w:b/>
                <w:bCs/>
                <w:color w:val="000000"/>
                <w:kern w:val="0"/>
                <w:sz w:val="21"/>
                <w:szCs w:val="21"/>
                <w:lang w:bidi="ar"/>
              </w:rPr>
              <w:t xml:space="preserve">   </w:t>
            </w:r>
            <w:r>
              <w:rPr>
                <w:rFonts w:hint="eastAsia"/>
                <w:b/>
                <w:bCs/>
                <w:color w:val="000000"/>
                <w:kern w:val="0"/>
                <w:sz w:val="21"/>
                <w:szCs w:val="21"/>
                <w:lang w:val="en-US" w:eastAsia="zh-CN" w:bidi="ar"/>
              </w:rPr>
              <w:t xml:space="preserve"> </w:t>
            </w:r>
            <w:r>
              <w:rPr>
                <w:rFonts w:hint="eastAsia"/>
                <w:b/>
                <w:bCs/>
                <w:color w:val="000000"/>
                <w:kern w:val="0"/>
                <w:sz w:val="21"/>
                <w:szCs w:val="21"/>
                <w:lang w:bidi="ar"/>
              </w:rPr>
              <w:t xml:space="preserve">八、电磁辐射 </w:t>
            </w:r>
          </w:p>
          <w:p w14:paraId="1D3507A7">
            <w:pPr>
              <w:widowControl/>
              <w:spacing w:line="360" w:lineRule="auto"/>
              <w:ind w:firstLine="420" w:firstLineChars="200"/>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本项目不属于广播电台、差转台、电视塔台、卫星地球上行站、雷达等电磁辐射类项目，本评价不再开展电磁环境影响分析。</w:t>
            </w:r>
          </w:p>
          <w:p w14:paraId="1296CA7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eastAsia" w:cs="Times New Roman"/>
                <w:b/>
                <w:bCs w:val="0"/>
                <w:color w:val="auto"/>
                <w:kern w:val="0"/>
                <w:lang w:val="en-US" w:eastAsia="zh-CN"/>
              </w:rPr>
              <w:t>九、</w:t>
            </w:r>
            <w:r>
              <w:rPr>
                <w:rFonts w:hint="default" w:ascii="Times New Roman" w:hAnsi="Times New Roman" w:eastAsia="宋体" w:cs="Times New Roman"/>
                <w:b/>
                <w:bCs w:val="0"/>
                <w:color w:val="auto"/>
                <w:kern w:val="0"/>
                <w:lang w:val="en-US" w:eastAsia="zh-CN"/>
              </w:rPr>
              <w:t>排污许可管理要求</w:t>
            </w:r>
          </w:p>
          <w:p w14:paraId="692E6855">
            <w:pPr>
              <w:adjustRightInd w:val="0"/>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根据《建设项目环境保护管理条例》（国务院令第682号）及《中华人民共和国环境影响评价法》（2016年修订）的有关规定、《国务院办公厅关于印发控制污染物排放许可制实施方案的通知》（国办发</w:t>
            </w:r>
            <w:r>
              <w:rPr>
                <w:rFonts w:hint="eastAsia" w:cs="Times New Roman"/>
                <w:color w:val="auto"/>
                <w:szCs w:val="21"/>
                <w:highlight w:val="none"/>
                <w:lang w:eastAsia="zh-CN"/>
              </w:rPr>
              <w:t>〔2016〕81号</w:t>
            </w:r>
            <w:r>
              <w:rPr>
                <w:rFonts w:hint="default" w:ascii="Times New Roman" w:hAnsi="Times New Roman" w:eastAsia="宋体" w:cs="Times New Roman"/>
                <w:color w:val="auto"/>
                <w:szCs w:val="21"/>
                <w:highlight w:val="none"/>
              </w:rPr>
              <w:t>）、《排污许可证管理暂行规定》等相关文件要求，建设单位必须按期持证排污、按证排污，不得无证排污，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责任人和相关人员环境保护责任，不断提高污染治理和管理水平，自觉接受监督检查。</w:t>
            </w:r>
          </w:p>
          <w:p w14:paraId="013C66E2">
            <w:pPr>
              <w:widowControl/>
              <w:spacing w:line="360" w:lineRule="auto"/>
              <w:ind w:firstLine="420" w:firstLineChars="200"/>
              <w:rPr>
                <w:rFonts w:hint="eastAsia"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根据《固定污染源排污许可分类管理名录》（2019年版）及《2020年纳入排污许可管理的行业和管理类别表》，</w:t>
            </w:r>
            <w:r>
              <w:rPr>
                <w:rFonts w:hint="eastAsia" w:ascii="Times New Roman" w:hAnsi="Times New Roman" w:eastAsia="宋体" w:cs="Times New Roman"/>
                <w:color w:val="auto"/>
                <w:szCs w:val="21"/>
                <w:highlight w:val="none"/>
                <w:lang w:val="en-US" w:eastAsia="zh-CN"/>
              </w:rPr>
              <w:t>本项目属于“二十五、非金属矿物制品业30”中“石墨及其他非金属矿物制品制造309”中“其他非金属矿物制品制造 3099（除重点管理、简化管理以外的）”，应进行排污许可登记管理；</w:t>
            </w:r>
            <w:r>
              <w:rPr>
                <w:rFonts w:hint="default" w:ascii="Times New Roman" w:hAnsi="Times New Roman" w:eastAsia="宋体" w:cs="Times New Roman"/>
                <w:color w:val="auto"/>
                <w:szCs w:val="21"/>
                <w:highlight w:val="none"/>
              </w:rPr>
              <w:t>在项目投产前进行排污许可</w:t>
            </w:r>
            <w:r>
              <w:rPr>
                <w:rFonts w:hint="eastAsia" w:ascii="Times New Roman" w:hAnsi="Times New Roman" w:eastAsia="宋体" w:cs="Times New Roman"/>
                <w:color w:val="auto"/>
                <w:szCs w:val="21"/>
                <w:highlight w:val="none"/>
                <w:lang w:eastAsia="zh-CN"/>
              </w:rPr>
              <w:t>登记管理</w:t>
            </w:r>
            <w:r>
              <w:rPr>
                <w:rFonts w:hint="eastAsia" w:ascii="Times New Roman" w:hAnsi="Times New Roman" w:eastAsia="宋体" w:cs="Times New Roman"/>
                <w:color w:val="auto"/>
                <w:szCs w:val="21"/>
                <w:highlight w:val="none"/>
                <w:lang w:val="en-US" w:eastAsia="zh-CN"/>
              </w:rPr>
              <w:t>申报</w:t>
            </w:r>
            <w:r>
              <w:rPr>
                <w:rFonts w:hint="default"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取得排污许可证</w:t>
            </w:r>
            <w:r>
              <w:rPr>
                <w:rFonts w:hint="default" w:ascii="Times New Roman" w:hAnsi="Times New Roman" w:eastAsia="宋体" w:cs="Times New Roman"/>
                <w:color w:val="auto"/>
                <w:szCs w:val="21"/>
                <w:highlight w:val="none"/>
              </w:rPr>
              <w:t>后方可投入生产，做到</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持证排污</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w:t>
            </w:r>
          </w:p>
          <w:p w14:paraId="6B2C5987">
            <w:pPr>
              <w:widowControl/>
              <w:spacing w:line="360" w:lineRule="auto"/>
              <w:ind w:firstLine="420" w:firstLineChars="200"/>
              <w:rPr>
                <w:rFonts w:hint="eastAsia" w:ascii="Times New Roman" w:hAnsi="Times New Roman" w:eastAsia="宋体" w:cs="Times New Roman"/>
                <w:color w:val="auto"/>
                <w:szCs w:val="21"/>
                <w:highlight w:val="none"/>
              </w:rPr>
            </w:pPr>
          </w:p>
        </w:tc>
      </w:tr>
    </w:tbl>
    <w:p w14:paraId="6F5F23FC">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B57F542">
      <w:pPr>
        <w:pStyle w:val="30"/>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3" w:name="_Hlk54167917"/>
      <w:r>
        <w:rPr>
          <w:rFonts w:hint="eastAsia" w:ascii="黑体" w:hAnsi="黑体" w:eastAsia="黑体"/>
          <w:snapToGrid w:val="0"/>
          <w:sz w:val="30"/>
          <w:szCs w:val="30"/>
        </w:rPr>
        <w:t>环境保护措施监督检查清单</w:t>
      </w:r>
      <w:bookmarkEnd w:id="3"/>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1593"/>
        <w:gridCol w:w="1289"/>
        <w:gridCol w:w="1711"/>
        <w:gridCol w:w="3175"/>
      </w:tblGrid>
      <w:tr w14:paraId="52CD01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713" w:type="pct"/>
            <w:tcBorders>
              <w:tl2br w:val="nil"/>
              <w:tr2bl w:val="nil"/>
            </w:tcBorders>
          </w:tcPr>
          <w:p w14:paraId="6D7D0C57">
            <w:pPr>
              <w:adjustRightInd w:val="0"/>
              <w:snapToGrid w:val="0"/>
              <w:ind w:firstLine="420" w:firstLineChars="200"/>
              <w:rPr>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column">
                        <wp:posOffset>-72390</wp:posOffset>
                      </wp:positionH>
                      <wp:positionV relativeFrom="paragraph">
                        <wp:posOffset>-5715</wp:posOffset>
                      </wp:positionV>
                      <wp:extent cx="825500" cy="579755"/>
                      <wp:effectExtent l="13970" t="13335" r="8255" b="6985"/>
                      <wp:wrapNone/>
                      <wp:docPr id="18" name="直线 82"/>
                      <wp:cNvGraphicFramePr/>
                      <a:graphic xmlns:a="http://schemas.openxmlformats.org/drawingml/2006/main">
                        <a:graphicData uri="http://schemas.microsoft.com/office/word/2010/wordprocessingShape">
                          <wps:wsp>
                            <wps:cNvCnPr>
                              <a:cxnSpLocks noChangeShapeType="1"/>
                            </wps:cNvCnPr>
                            <wps:spPr bwMode="auto">
                              <a:xfrm>
                                <a:off x="0" y="0"/>
                                <a:ext cx="825500" cy="579755"/>
                              </a:xfrm>
                              <a:prstGeom prst="line">
                                <a:avLst/>
                              </a:prstGeom>
                              <a:noFill/>
                              <a:ln w="9525" cmpd="sng">
                                <a:solidFill>
                                  <a:srgbClr val="000000"/>
                                </a:solidFill>
                                <a:round/>
                              </a:ln>
                            </wps:spPr>
                            <wps:bodyPr/>
                          </wps:wsp>
                        </a:graphicData>
                      </a:graphic>
                    </wp:anchor>
                  </w:drawing>
                </mc:Choice>
                <mc:Fallback>
                  <w:pict>
                    <v:line id="直线 82" o:spid="_x0000_s1026" o:spt="20" style="position:absolute;left:0pt;margin-left:-5.7pt;margin-top:-0.45pt;height:45.65pt;width:65pt;z-index:251662336;mso-width-relative:page;mso-height-relative:page;" filled="f" stroked="t" coordsize="21600,21600" o:gfxdata="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1iFMU1wAAAAgB&#10;AAAPAAAAAAAAAAEAIAAAACIAAABkcnMvZG93bnJldi54bWxQSwECFAAUAAAACACHTuJAt7HEQeMB&#10;AACyAwAADgAAAAAAAAABACAAAAAmAQAAZHJzL2Uyb0RvYy54bWxQSwUGAAAAAAYABgBZAQAAewUA&#10;AAAA&#10;">
                      <v:fill on="f" focussize="0,0"/>
                      <v:stroke color="#000000" joinstyle="round"/>
                      <v:imagedata o:title=""/>
                      <o:lock v:ext="edit" aspectratio="f"/>
                    </v:line>
                  </w:pict>
                </mc:Fallback>
              </mc:AlternateContent>
            </w:r>
            <w:r>
              <w:rPr>
                <w:sz w:val="21"/>
                <w:szCs w:val="21"/>
              </w:rPr>
              <w:t>内容</w:t>
            </w:r>
          </w:p>
          <w:p w14:paraId="1B283935">
            <w:pPr>
              <w:adjustRightInd w:val="0"/>
              <w:snapToGrid w:val="0"/>
              <w:rPr>
                <w:sz w:val="21"/>
                <w:szCs w:val="21"/>
              </w:rPr>
            </w:pPr>
          </w:p>
          <w:p w14:paraId="1EB8D5E3">
            <w:pPr>
              <w:adjustRightInd w:val="0"/>
              <w:snapToGrid w:val="0"/>
              <w:rPr>
                <w:sz w:val="21"/>
                <w:szCs w:val="21"/>
              </w:rPr>
            </w:pPr>
            <w:r>
              <w:rPr>
                <w:sz w:val="21"/>
                <w:szCs w:val="21"/>
              </w:rPr>
              <w:t>要素</w:t>
            </w:r>
          </w:p>
        </w:tc>
        <w:tc>
          <w:tcPr>
            <w:tcW w:w="879" w:type="pct"/>
            <w:tcBorders>
              <w:tl2br w:val="nil"/>
              <w:tr2bl w:val="nil"/>
            </w:tcBorders>
            <w:vAlign w:val="center"/>
          </w:tcPr>
          <w:p w14:paraId="40C280D1">
            <w:pPr>
              <w:adjustRightInd w:val="0"/>
              <w:snapToGrid w:val="0"/>
              <w:jc w:val="center"/>
              <w:rPr>
                <w:sz w:val="21"/>
                <w:szCs w:val="21"/>
              </w:rPr>
            </w:pPr>
            <w:r>
              <w:rPr>
                <w:sz w:val="21"/>
                <w:szCs w:val="21"/>
              </w:rPr>
              <w:t>排放口(编号、</w:t>
            </w:r>
          </w:p>
          <w:p w14:paraId="0FD112C4">
            <w:pPr>
              <w:adjustRightInd w:val="0"/>
              <w:snapToGrid w:val="0"/>
              <w:jc w:val="center"/>
              <w:rPr>
                <w:sz w:val="21"/>
                <w:szCs w:val="21"/>
              </w:rPr>
            </w:pPr>
            <w:r>
              <w:rPr>
                <w:sz w:val="21"/>
                <w:szCs w:val="21"/>
              </w:rPr>
              <w:t>名称)/污染源</w:t>
            </w:r>
          </w:p>
        </w:tc>
        <w:tc>
          <w:tcPr>
            <w:tcW w:w="711" w:type="pct"/>
            <w:tcBorders>
              <w:tl2br w:val="nil"/>
              <w:tr2bl w:val="nil"/>
            </w:tcBorders>
            <w:vAlign w:val="center"/>
          </w:tcPr>
          <w:p w14:paraId="5486CD8B">
            <w:pPr>
              <w:adjustRightInd w:val="0"/>
              <w:snapToGrid w:val="0"/>
              <w:jc w:val="center"/>
              <w:rPr>
                <w:sz w:val="21"/>
                <w:szCs w:val="21"/>
              </w:rPr>
            </w:pPr>
            <w:r>
              <w:rPr>
                <w:sz w:val="21"/>
                <w:szCs w:val="21"/>
              </w:rPr>
              <w:t>污染物项目</w:t>
            </w:r>
          </w:p>
        </w:tc>
        <w:tc>
          <w:tcPr>
            <w:tcW w:w="944" w:type="pct"/>
            <w:tcBorders>
              <w:tl2br w:val="nil"/>
              <w:tr2bl w:val="nil"/>
            </w:tcBorders>
            <w:vAlign w:val="center"/>
          </w:tcPr>
          <w:p w14:paraId="719639F8">
            <w:pPr>
              <w:adjustRightInd w:val="0"/>
              <w:snapToGrid w:val="0"/>
              <w:jc w:val="center"/>
              <w:rPr>
                <w:sz w:val="21"/>
                <w:szCs w:val="21"/>
              </w:rPr>
            </w:pPr>
            <w:r>
              <w:rPr>
                <w:sz w:val="21"/>
                <w:szCs w:val="21"/>
              </w:rPr>
              <w:t>环境保护</w:t>
            </w:r>
          </w:p>
          <w:p w14:paraId="27C7C55C">
            <w:pPr>
              <w:adjustRightInd w:val="0"/>
              <w:snapToGrid w:val="0"/>
              <w:jc w:val="center"/>
              <w:rPr>
                <w:sz w:val="21"/>
                <w:szCs w:val="21"/>
              </w:rPr>
            </w:pPr>
            <w:r>
              <w:rPr>
                <w:sz w:val="21"/>
                <w:szCs w:val="21"/>
              </w:rPr>
              <w:t>措施</w:t>
            </w:r>
          </w:p>
        </w:tc>
        <w:tc>
          <w:tcPr>
            <w:tcW w:w="1752" w:type="pct"/>
            <w:tcBorders>
              <w:tl2br w:val="nil"/>
              <w:tr2bl w:val="nil"/>
            </w:tcBorders>
            <w:vAlign w:val="center"/>
          </w:tcPr>
          <w:p w14:paraId="27E99F01">
            <w:pPr>
              <w:adjustRightInd w:val="0"/>
              <w:snapToGrid w:val="0"/>
              <w:jc w:val="center"/>
              <w:rPr>
                <w:sz w:val="21"/>
                <w:szCs w:val="21"/>
              </w:rPr>
            </w:pPr>
            <w:r>
              <w:rPr>
                <w:sz w:val="21"/>
                <w:szCs w:val="21"/>
              </w:rPr>
              <w:t>执行标准</w:t>
            </w:r>
          </w:p>
        </w:tc>
      </w:tr>
      <w:tr w14:paraId="3BEFEF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13" w:type="pct"/>
            <w:vMerge w:val="restart"/>
            <w:tcBorders>
              <w:tl2br w:val="nil"/>
              <w:tr2bl w:val="nil"/>
            </w:tcBorders>
            <w:vAlign w:val="center"/>
          </w:tcPr>
          <w:p w14:paraId="655FF625">
            <w:pPr>
              <w:adjustRightInd w:val="0"/>
              <w:snapToGrid w:val="0"/>
              <w:jc w:val="center"/>
              <w:rPr>
                <w:color w:val="auto"/>
                <w:sz w:val="21"/>
                <w:szCs w:val="21"/>
              </w:rPr>
            </w:pPr>
            <w:r>
              <w:rPr>
                <w:rFonts w:hint="eastAsia"/>
                <w:color w:val="auto"/>
                <w:sz w:val="21"/>
                <w:szCs w:val="21"/>
              </w:rPr>
              <w:t>大气环境</w:t>
            </w:r>
          </w:p>
        </w:tc>
        <w:tc>
          <w:tcPr>
            <w:tcW w:w="879" w:type="pct"/>
            <w:tcBorders>
              <w:tl2br w:val="nil"/>
              <w:tr2bl w:val="nil"/>
            </w:tcBorders>
            <w:vAlign w:val="center"/>
          </w:tcPr>
          <w:p w14:paraId="7854974B">
            <w:pPr>
              <w:adjustRightInd w:val="0"/>
              <w:snapToGrid w:val="0"/>
              <w:jc w:val="center"/>
              <w:rPr>
                <w:rFonts w:hint="default" w:eastAsia="宋体"/>
                <w:color w:val="auto"/>
                <w:sz w:val="21"/>
                <w:szCs w:val="21"/>
                <w:lang w:val="en-US" w:eastAsia="zh-CN"/>
              </w:rPr>
            </w:pPr>
            <w:r>
              <w:rPr>
                <w:rFonts w:hint="eastAsia"/>
                <w:color w:val="auto"/>
                <w:sz w:val="21"/>
                <w:szCs w:val="21"/>
              </w:rPr>
              <w:t>排气筒</w:t>
            </w:r>
            <w:r>
              <w:rPr>
                <w:rFonts w:hint="eastAsia"/>
                <w:color w:val="auto"/>
                <w:sz w:val="21"/>
                <w:szCs w:val="21"/>
                <w:lang w:val="en-US" w:eastAsia="zh-CN"/>
              </w:rPr>
              <w:t>DA001</w:t>
            </w:r>
          </w:p>
        </w:tc>
        <w:tc>
          <w:tcPr>
            <w:tcW w:w="711" w:type="pct"/>
            <w:tcBorders>
              <w:tl2br w:val="nil"/>
              <w:tr2bl w:val="nil"/>
            </w:tcBorders>
            <w:vAlign w:val="center"/>
          </w:tcPr>
          <w:p w14:paraId="421CAA8A">
            <w:pPr>
              <w:adjustRightInd w:val="0"/>
              <w:snapToGrid w:val="0"/>
              <w:jc w:val="center"/>
              <w:rPr>
                <w:rFonts w:hint="eastAsia" w:eastAsia="宋体"/>
                <w:color w:val="auto"/>
                <w:sz w:val="21"/>
                <w:szCs w:val="21"/>
                <w:lang w:val="en-US" w:eastAsia="zh-CN"/>
              </w:rPr>
            </w:pPr>
            <w:r>
              <w:rPr>
                <w:rFonts w:hint="eastAsia"/>
                <w:color w:val="auto"/>
                <w:sz w:val="21"/>
                <w:szCs w:val="21"/>
              </w:rPr>
              <w:t>颗粒物</w:t>
            </w:r>
          </w:p>
        </w:tc>
        <w:tc>
          <w:tcPr>
            <w:tcW w:w="944" w:type="pct"/>
            <w:tcBorders>
              <w:tl2br w:val="nil"/>
              <w:tr2bl w:val="nil"/>
            </w:tcBorders>
            <w:vAlign w:val="center"/>
          </w:tcPr>
          <w:p w14:paraId="2329E9EF">
            <w:pPr>
              <w:adjustRightInd w:val="0"/>
              <w:snapToGrid w:val="0"/>
              <w:jc w:val="center"/>
              <w:rPr>
                <w:rFonts w:hint="eastAsia" w:eastAsia="宋体"/>
                <w:color w:val="auto"/>
                <w:sz w:val="21"/>
                <w:szCs w:val="21"/>
                <w:lang w:eastAsia="zh-CN"/>
              </w:rPr>
            </w:pPr>
            <w:r>
              <w:rPr>
                <w:rFonts w:hint="eastAsia"/>
                <w:color w:val="auto"/>
                <w:sz w:val="21"/>
                <w:szCs w:val="21"/>
              </w:rPr>
              <w:t>布袋除尘器</w:t>
            </w:r>
          </w:p>
        </w:tc>
        <w:tc>
          <w:tcPr>
            <w:tcW w:w="1752" w:type="pct"/>
            <w:vMerge w:val="restart"/>
            <w:tcBorders>
              <w:tl2br w:val="nil"/>
              <w:tr2bl w:val="nil"/>
            </w:tcBorders>
            <w:vAlign w:val="center"/>
          </w:tcPr>
          <w:p w14:paraId="43C6A207">
            <w:pPr>
              <w:adjustRightInd w:val="0"/>
              <w:snapToGrid w:val="0"/>
              <w:jc w:val="center"/>
              <w:rPr>
                <w:color w:val="auto"/>
                <w:sz w:val="21"/>
                <w:szCs w:val="21"/>
              </w:rPr>
            </w:pPr>
            <w:r>
              <w:rPr>
                <w:rFonts w:hint="eastAsia"/>
                <w:bCs/>
                <w:color w:val="auto"/>
                <w:sz w:val="21"/>
                <w:szCs w:val="21"/>
              </w:rPr>
              <w:t>《区域性大气污染物综合排放标准》（DB37/2376-2019）表1大气污染物排放浓度限值中重点控制区限值（</w:t>
            </w:r>
            <w:r>
              <w:rPr>
                <w:bCs/>
                <w:color w:val="auto"/>
                <w:sz w:val="21"/>
                <w:szCs w:val="21"/>
              </w:rPr>
              <w:t>10mg/m</w:t>
            </w:r>
            <w:r>
              <w:rPr>
                <w:bCs/>
                <w:color w:val="auto"/>
                <w:sz w:val="21"/>
                <w:szCs w:val="21"/>
                <w:vertAlign w:val="superscript"/>
              </w:rPr>
              <w:t>3</w:t>
            </w:r>
            <w:r>
              <w:rPr>
                <w:rFonts w:hint="eastAsia"/>
                <w:bCs/>
                <w:color w:val="auto"/>
                <w:sz w:val="21"/>
                <w:szCs w:val="21"/>
              </w:rPr>
              <w:t>）</w:t>
            </w:r>
          </w:p>
        </w:tc>
      </w:tr>
      <w:tr w14:paraId="594A3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13" w:type="pct"/>
            <w:vMerge w:val="continue"/>
            <w:tcBorders>
              <w:tl2br w:val="nil"/>
              <w:tr2bl w:val="nil"/>
            </w:tcBorders>
            <w:vAlign w:val="center"/>
          </w:tcPr>
          <w:p w14:paraId="17E38D56">
            <w:pPr>
              <w:adjustRightInd w:val="0"/>
              <w:snapToGrid w:val="0"/>
              <w:jc w:val="center"/>
              <w:rPr>
                <w:rFonts w:hint="eastAsia"/>
                <w:color w:val="auto"/>
                <w:sz w:val="21"/>
                <w:szCs w:val="21"/>
              </w:rPr>
            </w:pPr>
          </w:p>
        </w:tc>
        <w:tc>
          <w:tcPr>
            <w:tcW w:w="879" w:type="pct"/>
            <w:tcBorders>
              <w:tl2br w:val="nil"/>
              <w:tr2bl w:val="nil"/>
            </w:tcBorders>
            <w:vAlign w:val="center"/>
          </w:tcPr>
          <w:p w14:paraId="0C2F2E0E">
            <w:pPr>
              <w:adjustRightInd w:val="0"/>
              <w:snapToGrid w:val="0"/>
              <w:jc w:val="center"/>
              <w:rPr>
                <w:rFonts w:hint="eastAsia"/>
                <w:color w:val="auto"/>
                <w:sz w:val="21"/>
                <w:szCs w:val="21"/>
              </w:rPr>
            </w:pPr>
            <w:r>
              <w:rPr>
                <w:rFonts w:hint="eastAsia"/>
                <w:color w:val="auto"/>
                <w:sz w:val="21"/>
                <w:szCs w:val="21"/>
              </w:rPr>
              <w:t>排气筒</w:t>
            </w:r>
            <w:r>
              <w:rPr>
                <w:rFonts w:hint="eastAsia"/>
                <w:color w:val="auto"/>
                <w:sz w:val="21"/>
                <w:szCs w:val="21"/>
                <w:lang w:val="en-US" w:eastAsia="zh-CN"/>
              </w:rPr>
              <w:t>DA002</w:t>
            </w:r>
          </w:p>
        </w:tc>
        <w:tc>
          <w:tcPr>
            <w:tcW w:w="711" w:type="pct"/>
            <w:tcBorders>
              <w:tl2br w:val="nil"/>
              <w:tr2bl w:val="nil"/>
            </w:tcBorders>
            <w:vAlign w:val="center"/>
          </w:tcPr>
          <w:p w14:paraId="0D8B517D">
            <w:pPr>
              <w:adjustRightInd w:val="0"/>
              <w:snapToGrid w:val="0"/>
              <w:jc w:val="center"/>
              <w:rPr>
                <w:rFonts w:hint="eastAsia"/>
                <w:color w:val="auto"/>
                <w:sz w:val="21"/>
                <w:szCs w:val="21"/>
              </w:rPr>
            </w:pPr>
            <w:r>
              <w:rPr>
                <w:rFonts w:hint="eastAsia"/>
                <w:color w:val="auto"/>
                <w:sz w:val="21"/>
                <w:szCs w:val="21"/>
              </w:rPr>
              <w:t>颗粒物</w:t>
            </w:r>
          </w:p>
        </w:tc>
        <w:tc>
          <w:tcPr>
            <w:tcW w:w="944" w:type="pct"/>
            <w:tcBorders>
              <w:tl2br w:val="nil"/>
              <w:tr2bl w:val="nil"/>
            </w:tcBorders>
            <w:vAlign w:val="center"/>
          </w:tcPr>
          <w:p w14:paraId="7C200BA0">
            <w:pPr>
              <w:adjustRightInd w:val="0"/>
              <w:snapToGrid w:val="0"/>
              <w:jc w:val="center"/>
              <w:rPr>
                <w:rFonts w:hint="eastAsia"/>
                <w:color w:val="auto"/>
                <w:sz w:val="21"/>
                <w:szCs w:val="21"/>
                <w:lang w:eastAsia="zh-CN"/>
              </w:rPr>
            </w:pPr>
            <w:r>
              <w:rPr>
                <w:rFonts w:hint="eastAsia"/>
                <w:color w:val="auto"/>
                <w:sz w:val="21"/>
                <w:szCs w:val="21"/>
              </w:rPr>
              <w:t>布袋除尘器</w:t>
            </w:r>
          </w:p>
        </w:tc>
        <w:tc>
          <w:tcPr>
            <w:tcW w:w="1752" w:type="pct"/>
            <w:vMerge w:val="continue"/>
            <w:tcBorders>
              <w:tl2br w:val="nil"/>
              <w:tr2bl w:val="nil"/>
            </w:tcBorders>
            <w:vAlign w:val="center"/>
          </w:tcPr>
          <w:p w14:paraId="65ECED8E">
            <w:pPr>
              <w:adjustRightInd w:val="0"/>
              <w:snapToGrid w:val="0"/>
              <w:jc w:val="center"/>
              <w:rPr>
                <w:rFonts w:hint="eastAsia"/>
                <w:bCs/>
                <w:color w:val="auto"/>
                <w:sz w:val="21"/>
                <w:szCs w:val="21"/>
              </w:rPr>
            </w:pPr>
          </w:p>
        </w:tc>
      </w:tr>
      <w:tr w14:paraId="731CD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13" w:type="pct"/>
            <w:vMerge w:val="continue"/>
            <w:tcBorders>
              <w:tl2br w:val="nil"/>
              <w:tr2bl w:val="nil"/>
            </w:tcBorders>
            <w:vAlign w:val="center"/>
          </w:tcPr>
          <w:p w14:paraId="3B983466">
            <w:pPr>
              <w:adjustRightInd w:val="0"/>
              <w:snapToGrid w:val="0"/>
              <w:jc w:val="center"/>
              <w:rPr>
                <w:rFonts w:hint="eastAsia"/>
                <w:color w:val="auto"/>
                <w:sz w:val="21"/>
                <w:szCs w:val="21"/>
              </w:rPr>
            </w:pPr>
          </w:p>
        </w:tc>
        <w:tc>
          <w:tcPr>
            <w:tcW w:w="879" w:type="pct"/>
            <w:tcBorders>
              <w:tl2br w:val="nil"/>
              <w:tr2bl w:val="nil"/>
            </w:tcBorders>
            <w:vAlign w:val="center"/>
          </w:tcPr>
          <w:p w14:paraId="6243E025">
            <w:pPr>
              <w:adjustRightInd w:val="0"/>
              <w:snapToGrid w:val="0"/>
              <w:jc w:val="center"/>
              <w:rPr>
                <w:rFonts w:hint="eastAsia"/>
                <w:color w:val="auto"/>
                <w:sz w:val="21"/>
                <w:szCs w:val="21"/>
              </w:rPr>
            </w:pPr>
            <w:r>
              <w:rPr>
                <w:rFonts w:hint="eastAsia"/>
                <w:color w:val="auto"/>
                <w:sz w:val="21"/>
                <w:szCs w:val="21"/>
              </w:rPr>
              <w:t>排气筒</w:t>
            </w:r>
            <w:r>
              <w:rPr>
                <w:rFonts w:hint="eastAsia"/>
                <w:color w:val="auto"/>
                <w:sz w:val="21"/>
                <w:szCs w:val="21"/>
                <w:lang w:val="en-US" w:eastAsia="zh-CN"/>
              </w:rPr>
              <w:t>DA003</w:t>
            </w:r>
          </w:p>
        </w:tc>
        <w:tc>
          <w:tcPr>
            <w:tcW w:w="711" w:type="pct"/>
            <w:tcBorders>
              <w:tl2br w:val="nil"/>
              <w:tr2bl w:val="nil"/>
            </w:tcBorders>
            <w:vAlign w:val="center"/>
          </w:tcPr>
          <w:p w14:paraId="212E898B">
            <w:pPr>
              <w:adjustRightInd w:val="0"/>
              <w:snapToGrid w:val="0"/>
              <w:jc w:val="center"/>
              <w:rPr>
                <w:rFonts w:hint="eastAsia"/>
                <w:color w:val="auto"/>
                <w:sz w:val="21"/>
                <w:szCs w:val="21"/>
              </w:rPr>
            </w:pPr>
            <w:r>
              <w:rPr>
                <w:rFonts w:hint="eastAsia"/>
                <w:color w:val="auto"/>
                <w:sz w:val="21"/>
                <w:szCs w:val="21"/>
              </w:rPr>
              <w:t>颗粒物</w:t>
            </w:r>
          </w:p>
        </w:tc>
        <w:tc>
          <w:tcPr>
            <w:tcW w:w="944" w:type="pct"/>
            <w:tcBorders>
              <w:tl2br w:val="nil"/>
              <w:tr2bl w:val="nil"/>
            </w:tcBorders>
            <w:vAlign w:val="center"/>
          </w:tcPr>
          <w:p w14:paraId="430E9549">
            <w:pPr>
              <w:adjustRightInd w:val="0"/>
              <w:snapToGrid w:val="0"/>
              <w:jc w:val="center"/>
              <w:rPr>
                <w:rFonts w:hint="eastAsia"/>
                <w:color w:val="auto"/>
                <w:sz w:val="21"/>
                <w:szCs w:val="21"/>
                <w:lang w:eastAsia="zh-CN"/>
              </w:rPr>
            </w:pPr>
            <w:r>
              <w:rPr>
                <w:rFonts w:hint="eastAsia"/>
                <w:color w:val="auto"/>
                <w:sz w:val="21"/>
                <w:szCs w:val="21"/>
              </w:rPr>
              <w:t>布袋除尘器</w:t>
            </w:r>
          </w:p>
        </w:tc>
        <w:tc>
          <w:tcPr>
            <w:tcW w:w="1752" w:type="pct"/>
            <w:vMerge w:val="continue"/>
            <w:tcBorders>
              <w:tl2br w:val="nil"/>
              <w:tr2bl w:val="nil"/>
            </w:tcBorders>
            <w:vAlign w:val="center"/>
          </w:tcPr>
          <w:p w14:paraId="20E2B4CD">
            <w:pPr>
              <w:adjustRightInd w:val="0"/>
              <w:snapToGrid w:val="0"/>
              <w:jc w:val="center"/>
              <w:rPr>
                <w:rFonts w:hint="eastAsia"/>
                <w:bCs/>
                <w:color w:val="auto"/>
                <w:sz w:val="21"/>
                <w:szCs w:val="21"/>
              </w:rPr>
            </w:pPr>
          </w:p>
        </w:tc>
      </w:tr>
      <w:tr w14:paraId="19C37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713" w:type="pct"/>
            <w:vMerge w:val="continue"/>
            <w:tcBorders>
              <w:tl2br w:val="nil"/>
              <w:tr2bl w:val="nil"/>
            </w:tcBorders>
            <w:vAlign w:val="center"/>
          </w:tcPr>
          <w:p w14:paraId="579E554F">
            <w:pPr>
              <w:adjustRightInd w:val="0"/>
              <w:snapToGrid w:val="0"/>
              <w:jc w:val="center"/>
              <w:rPr>
                <w:sz w:val="21"/>
                <w:szCs w:val="21"/>
              </w:rPr>
            </w:pPr>
          </w:p>
        </w:tc>
        <w:tc>
          <w:tcPr>
            <w:tcW w:w="879" w:type="pct"/>
            <w:tcBorders>
              <w:tl2br w:val="nil"/>
              <w:tr2bl w:val="nil"/>
            </w:tcBorders>
            <w:vAlign w:val="center"/>
          </w:tcPr>
          <w:p w14:paraId="6D417A52">
            <w:pPr>
              <w:adjustRightInd w:val="0"/>
              <w:snapToGrid w:val="0"/>
              <w:jc w:val="center"/>
              <w:rPr>
                <w:sz w:val="21"/>
                <w:szCs w:val="21"/>
              </w:rPr>
            </w:pPr>
            <w:r>
              <w:rPr>
                <w:sz w:val="21"/>
                <w:szCs w:val="21"/>
              </w:rPr>
              <w:t>厂界</w:t>
            </w:r>
          </w:p>
        </w:tc>
        <w:tc>
          <w:tcPr>
            <w:tcW w:w="711" w:type="pct"/>
            <w:tcBorders>
              <w:tl2br w:val="nil"/>
              <w:tr2bl w:val="nil"/>
            </w:tcBorders>
            <w:vAlign w:val="center"/>
          </w:tcPr>
          <w:p w14:paraId="1D257873">
            <w:pPr>
              <w:adjustRightInd w:val="0"/>
              <w:snapToGrid w:val="0"/>
              <w:jc w:val="center"/>
              <w:rPr>
                <w:sz w:val="21"/>
                <w:szCs w:val="21"/>
              </w:rPr>
            </w:pPr>
            <w:r>
              <w:rPr>
                <w:rFonts w:hint="eastAsia"/>
                <w:sz w:val="21"/>
                <w:szCs w:val="21"/>
              </w:rPr>
              <w:t>颗粒物</w:t>
            </w:r>
          </w:p>
        </w:tc>
        <w:tc>
          <w:tcPr>
            <w:tcW w:w="944" w:type="pct"/>
            <w:tcBorders>
              <w:tl2br w:val="nil"/>
              <w:tr2bl w:val="nil"/>
            </w:tcBorders>
            <w:vAlign w:val="center"/>
          </w:tcPr>
          <w:p w14:paraId="1847A6C9">
            <w:pPr>
              <w:adjustRightInd w:val="0"/>
              <w:snapToGrid w:val="0"/>
              <w:jc w:val="center"/>
              <w:rPr>
                <w:sz w:val="21"/>
                <w:szCs w:val="21"/>
              </w:rPr>
            </w:pPr>
            <w:r>
              <w:rPr>
                <w:sz w:val="21"/>
                <w:szCs w:val="21"/>
              </w:rPr>
              <w:t>密闭车间、加强管理</w:t>
            </w:r>
          </w:p>
        </w:tc>
        <w:tc>
          <w:tcPr>
            <w:tcW w:w="1752" w:type="pct"/>
            <w:tcBorders>
              <w:tl2br w:val="nil"/>
              <w:tr2bl w:val="nil"/>
            </w:tcBorders>
            <w:vAlign w:val="center"/>
          </w:tcPr>
          <w:p w14:paraId="4099D81A">
            <w:pPr>
              <w:adjustRightInd w:val="0"/>
              <w:snapToGrid w:val="0"/>
              <w:jc w:val="center"/>
              <w:rPr>
                <w:sz w:val="21"/>
                <w:szCs w:val="21"/>
              </w:rPr>
            </w:pPr>
            <w:r>
              <w:rPr>
                <w:rFonts w:hint="eastAsia"/>
                <w:sz w:val="21"/>
                <w:szCs w:val="21"/>
              </w:rPr>
              <w:t>《大气污染物综合排放标准》（GB 16297-1996）表二中无组织排放限值要求</w:t>
            </w:r>
          </w:p>
        </w:tc>
      </w:tr>
      <w:tr w14:paraId="6B04A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pct"/>
            <w:tcBorders>
              <w:tl2br w:val="nil"/>
              <w:tr2bl w:val="nil"/>
            </w:tcBorders>
            <w:vAlign w:val="center"/>
          </w:tcPr>
          <w:p w14:paraId="650A7D9B">
            <w:pPr>
              <w:adjustRightInd w:val="0"/>
              <w:snapToGrid w:val="0"/>
              <w:jc w:val="center"/>
              <w:rPr>
                <w:sz w:val="21"/>
                <w:szCs w:val="21"/>
              </w:rPr>
            </w:pPr>
            <w:r>
              <w:rPr>
                <w:sz w:val="21"/>
                <w:szCs w:val="21"/>
              </w:rPr>
              <w:t>地表水</w:t>
            </w:r>
          </w:p>
          <w:p w14:paraId="4E6A3DA7">
            <w:pPr>
              <w:adjustRightInd w:val="0"/>
              <w:snapToGrid w:val="0"/>
              <w:jc w:val="center"/>
              <w:rPr>
                <w:sz w:val="21"/>
                <w:szCs w:val="21"/>
              </w:rPr>
            </w:pPr>
            <w:r>
              <w:rPr>
                <w:sz w:val="21"/>
                <w:szCs w:val="21"/>
              </w:rPr>
              <w:t>环境</w:t>
            </w:r>
          </w:p>
        </w:tc>
        <w:tc>
          <w:tcPr>
            <w:tcW w:w="879" w:type="pct"/>
            <w:tcBorders>
              <w:tl2br w:val="nil"/>
              <w:tr2bl w:val="nil"/>
            </w:tcBorders>
            <w:vAlign w:val="center"/>
          </w:tcPr>
          <w:p w14:paraId="7CC693F0">
            <w:pPr>
              <w:adjustRightInd w:val="0"/>
              <w:snapToGrid w:val="0"/>
              <w:jc w:val="center"/>
              <w:rPr>
                <w:sz w:val="21"/>
                <w:szCs w:val="21"/>
              </w:rPr>
            </w:pPr>
            <w:r>
              <w:rPr>
                <w:rFonts w:hint="eastAsia"/>
                <w:sz w:val="21"/>
                <w:szCs w:val="21"/>
                <w:lang w:val="en-US" w:eastAsia="zh-CN"/>
              </w:rPr>
              <w:t>/</w:t>
            </w:r>
          </w:p>
        </w:tc>
        <w:tc>
          <w:tcPr>
            <w:tcW w:w="711" w:type="pct"/>
            <w:tcBorders>
              <w:tl2br w:val="nil"/>
              <w:tr2bl w:val="nil"/>
            </w:tcBorders>
            <w:vAlign w:val="center"/>
          </w:tcPr>
          <w:p w14:paraId="4912BF3C">
            <w:pPr>
              <w:adjustRightInd w:val="0"/>
              <w:snapToGrid w:val="0"/>
              <w:jc w:val="center"/>
              <w:rPr>
                <w:rFonts w:hint="eastAsia" w:eastAsia="宋体"/>
                <w:sz w:val="21"/>
                <w:szCs w:val="21"/>
                <w:lang w:val="en-US" w:eastAsia="zh-CN"/>
              </w:rPr>
            </w:pPr>
            <w:r>
              <w:rPr>
                <w:rFonts w:hint="eastAsia"/>
                <w:sz w:val="21"/>
                <w:szCs w:val="21"/>
                <w:lang w:val="en-US" w:eastAsia="zh-CN"/>
              </w:rPr>
              <w:t>/</w:t>
            </w:r>
          </w:p>
        </w:tc>
        <w:tc>
          <w:tcPr>
            <w:tcW w:w="944" w:type="pct"/>
            <w:tcBorders>
              <w:tl2br w:val="nil"/>
              <w:tr2bl w:val="nil"/>
            </w:tcBorders>
            <w:vAlign w:val="center"/>
          </w:tcPr>
          <w:p w14:paraId="615C7870">
            <w:pPr>
              <w:adjustRightInd w:val="0"/>
              <w:snapToGrid w:val="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1752" w:type="pct"/>
            <w:tcBorders>
              <w:tl2br w:val="nil"/>
              <w:tr2bl w:val="nil"/>
            </w:tcBorders>
            <w:vAlign w:val="center"/>
          </w:tcPr>
          <w:p w14:paraId="2D4EB48B">
            <w:pPr>
              <w:adjustRightInd w:val="0"/>
              <w:snapToGrid w:val="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14:paraId="584F6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pct"/>
            <w:tcBorders>
              <w:tl2br w:val="nil"/>
              <w:tr2bl w:val="nil"/>
            </w:tcBorders>
            <w:vAlign w:val="center"/>
          </w:tcPr>
          <w:p w14:paraId="015D659B">
            <w:pPr>
              <w:adjustRightInd w:val="0"/>
              <w:snapToGrid w:val="0"/>
              <w:jc w:val="center"/>
              <w:rPr>
                <w:sz w:val="21"/>
                <w:szCs w:val="21"/>
              </w:rPr>
            </w:pPr>
            <w:r>
              <w:rPr>
                <w:sz w:val="21"/>
                <w:szCs w:val="21"/>
              </w:rPr>
              <w:t>声环境</w:t>
            </w:r>
          </w:p>
        </w:tc>
        <w:tc>
          <w:tcPr>
            <w:tcW w:w="879" w:type="pct"/>
            <w:tcBorders>
              <w:tl2br w:val="nil"/>
              <w:tr2bl w:val="nil"/>
            </w:tcBorders>
            <w:vAlign w:val="center"/>
          </w:tcPr>
          <w:p w14:paraId="05C1B25E">
            <w:pPr>
              <w:adjustRightInd w:val="0"/>
              <w:snapToGrid w:val="0"/>
              <w:jc w:val="center"/>
              <w:rPr>
                <w:sz w:val="21"/>
                <w:szCs w:val="21"/>
              </w:rPr>
            </w:pPr>
            <w:r>
              <w:rPr>
                <w:sz w:val="21"/>
                <w:szCs w:val="21"/>
              </w:rPr>
              <w:t xml:space="preserve">生产设备等 </w:t>
            </w:r>
          </w:p>
        </w:tc>
        <w:tc>
          <w:tcPr>
            <w:tcW w:w="711" w:type="pct"/>
            <w:tcBorders>
              <w:tl2br w:val="nil"/>
              <w:tr2bl w:val="nil"/>
            </w:tcBorders>
            <w:vAlign w:val="center"/>
          </w:tcPr>
          <w:p w14:paraId="3E1F2C78">
            <w:pPr>
              <w:adjustRightInd w:val="0"/>
              <w:snapToGrid w:val="0"/>
              <w:jc w:val="center"/>
              <w:rPr>
                <w:sz w:val="21"/>
                <w:szCs w:val="21"/>
              </w:rPr>
            </w:pPr>
            <w:r>
              <w:rPr>
                <w:sz w:val="21"/>
                <w:szCs w:val="21"/>
              </w:rPr>
              <w:t>LeqdB(A)</w:t>
            </w:r>
          </w:p>
        </w:tc>
        <w:tc>
          <w:tcPr>
            <w:tcW w:w="944" w:type="pct"/>
            <w:tcBorders>
              <w:tl2br w:val="nil"/>
              <w:tr2bl w:val="nil"/>
            </w:tcBorders>
            <w:vAlign w:val="center"/>
          </w:tcPr>
          <w:p w14:paraId="38388E6F">
            <w:pPr>
              <w:adjustRightInd w:val="0"/>
              <w:snapToGrid w:val="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基础减震，厂房隔声、消音等</w:t>
            </w:r>
          </w:p>
        </w:tc>
        <w:tc>
          <w:tcPr>
            <w:tcW w:w="1752" w:type="pct"/>
            <w:tcBorders>
              <w:tl2br w:val="nil"/>
              <w:tr2bl w:val="nil"/>
            </w:tcBorders>
            <w:vAlign w:val="center"/>
          </w:tcPr>
          <w:p w14:paraId="5CE0CE5C">
            <w:pPr>
              <w:adjustRightInd w:val="0"/>
              <w:snapToGrid w:val="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《工业企业厂界环境噪声排放标准》（GB12348-2008）2类标准</w:t>
            </w:r>
          </w:p>
        </w:tc>
      </w:tr>
      <w:tr w14:paraId="6EEEF4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13" w:type="pct"/>
            <w:tcBorders>
              <w:tl2br w:val="nil"/>
              <w:tr2bl w:val="nil"/>
            </w:tcBorders>
            <w:vAlign w:val="center"/>
          </w:tcPr>
          <w:p w14:paraId="0B81E5CF">
            <w:pPr>
              <w:adjustRightInd w:val="0"/>
              <w:snapToGrid w:val="0"/>
              <w:jc w:val="center"/>
              <w:rPr>
                <w:sz w:val="21"/>
                <w:szCs w:val="21"/>
              </w:rPr>
            </w:pPr>
            <w:r>
              <w:rPr>
                <w:sz w:val="21"/>
                <w:szCs w:val="21"/>
              </w:rPr>
              <w:t>固体废物</w:t>
            </w:r>
          </w:p>
        </w:tc>
        <w:tc>
          <w:tcPr>
            <w:tcW w:w="4286" w:type="pct"/>
            <w:gridSpan w:val="4"/>
            <w:tcBorders>
              <w:tl2br w:val="nil"/>
              <w:tr2bl w:val="nil"/>
            </w:tcBorders>
            <w:vAlign w:val="center"/>
          </w:tcPr>
          <w:p w14:paraId="69352D6A">
            <w:pPr>
              <w:widowControl/>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eastAsia" w:ascii="Times New Roman" w:hAnsi="Times New Roman" w:eastAsia="宋体" w:cs="Times New Roman"/>
                <w:color w:val="auto"/>
                <w:sz w:val="21"/>
                <w:szCs w:val="21"/>
                <w:highlight w:val="none"/>
                <w:lang w:val="en-US" w:eastAsia="zh-CN"/>
              </w:rPr>
              <w:t>废布袋</w:t>
            </w:r>
            <w:r>
              <w:rPr>
                <w:rFonts w:hint="eastAsia" w:cs="Times New Roman"/>
                <w:color w:val="auto"/>
                <w:sz w:val="21"/>
                <w:szCs w:val="21"/>
                <w:highlight w:val="none"/>
                <w:lang w:val="en-US" w:eastAsia="zh-CN"/>
              </w:rPr>
              <w:t>、含铁物料、废包装材料</w:t>
            </w:r>
            <w:r>
              <w:rPr>
                <w:rFonts w:hint="eastAsia" w:ascii="Times New Roman" w:hAnsi="Times New Roman" w:eastAsia="宋体" w:cs="Times New Roman"/>
                <w:color w:val="auto"/>
                <w:sz w:val="21"/>
                <w:szCs w:val="21"/>
                <w:highlight w:val="none"/>
                <w:lang w:val="en-US" w:eastAsia="zh-CN"/>
              </w:rPr>
              <w:t>定期收集后外售，布袋除尘器收集尘定期收集后</w:t>
            </w:r>
            <w:r>
              <w:rPr>
                <w:rFonts w:hint="eastAsia" w:cs="Times New Roman"/>
                <w:color w:val="auto"/>
                <w:sz w:val="21"/>
                <w:szCs w:val="21"/>
                <w:highlight w:val="none"/>
                <w:lang w:val="en-US" w:eastAsia="zh-CN"/>
              </w:rPr>
              <w:t>作为产品外卖</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一般固</w:t>
            </w: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val="en-US" w:eastAsia="zh-CN"/>
              </w:rPr>
              <w:t>执行</w:t>
            </w:r>
            <w:r>
              <w:rPr>
                <w:rFonts w:hint="eastAsia" w:ascii="Times New Roman" w:hAnsi="Times New Roman" w:eastAsia="宋体" w:cs="Times New Roman"/>
                <w:color w:val="auto"/>
                <w:sz w:val="21"/>
                <w:szCs w:val="21"/>
                <w:highlight w:val="none"/>
                <w:lang w:val="zh-CN" w:eastAsia="zh-CN"/>
              </w:rPr>
              <w:t>《中华人民共和国固体废物污染环境防治法》及《一般工业固体废物贮存和填埋污染控制标准》（GB18599-2020）</w:t>
            </w:r>
            <w:r>
              <w:rPr>
                <w:rFonts w:hint="eastAsia" w:ascii="Times New Roman" w:hAnsi="Times New Roman" w:eastAsia="宋体" w:cs="Times New Roman"/>
                <w:color w:val="auto"/>
                <w:sz w:val="21"/>
                <w:szCs w:val="21"/>
                <w:highlight w:val="none"/>
                <w:lang w:val="en-US" w:eastAsia="zh-CN"/>
              </w:rPr>
              <w:t>的相关要求</w:t>
            </w:r>
            <w:r>
              <w:rPr>
                <w:rFonts w:hint="default" w:ascii="Times New Roman" w:hAnsi="Times New Roman" w:eastAsia="宋体" w:cs="Times New Roman"/>
                <w:color w:val="auto"/>
                <w:sz w:val="21"/>
                <w:szCs w:val="21"/>
                <w:highlight w:val="none"/>
                <w:lang w:val="zh-CN" w:eastAsia="zh-CN"/>
              </w:rPr>
              <w:t>。</w:t>
            </w:r>
          </w:p>
        </w:tc>
      </w:tr>
      <w:tr w14:paraId="25B30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13" w:type="pct"/>
            <w:tcBorders>
              <w:tl2br w:val="nil"/>
              <w:tr2bl w:val="nil"/>
            </w:tcBorders>
            <w:vAlign w:val="center"/>
          </w:tcPr>
          <w:p w14:paraId="2F112E36">
            <w:pPr>
              <w:adjustRightInd w:val="0"/>
              <w:snapToGrid w:val="0"/>
              <w:jc w:val="center"/>
              <w:rPr>
                <w:sz w:val="21"/>
                <w:szCs w:val="21"/>
              </w:rPr>
            </w:pPr>
            <w:r>
              <w:rPr>
                <w:sz w:val="21"/>
                <w:szCs w:val="21"/>
              </w:rPr>
              <w:t>土壤及地下水污染防治措施</w:t>
            </w:r>
          </w:p>
        </w:tc>
        <w:tc>
          <w:tcPr>
            <w:tcW w:w="4286" w:type="pct"/>
            <w:gridSpan w:val="4"/>
            <w:tcBorders>
              <w:tl2br w:val="nil"/>
              <w:tr2bl w:val="nil"/>
            </w:tcBorders>
            <w:vAlign w:val="center"/>
          </w:tcPr>
          <w:p w14:paraId="60287C43">
            <w:pPr>
              <w:widowControl/>
              <w:ind w:firstLine="420" w:firstLineChars="200"/>
              <w:jc w:val="left"/>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源头控制措施积极推行实施清洁生产，实现各类废物循环利用，减少污染物的排放量；根据国家现行相关规范加强环境管理，采取防止和降低污染物跑、冒、滴、漏的措施。</w:t>
            </w:r>
          </w:p>
          <w:p w14:paraId="7C22467D">
            <w:pPr>
              <w:widowControl/>
              <w:ind w:firstLine="420" w:firstLineChars="200"/>
              <w:jc w:val="left"/>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2）分区防治：按照不同分区要求采取不同等级的防渗措施，并确保其可靠性和有效性。</w:t>
            </w:r>
          </w:p>
        </w:tc>
      </w:tr>
      <w:tr w14:paraId="0018A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713" w:type="pct"/>
            <w:tcBorders>
              <w:tl2br w:val="nil"/>
              <w:tr2bl w:val="nil"/>
            </w:tcBorders>
            <w:vAlign w:val="center"/>
          </w:tcPr>
          <w:p w14:paraId="35550D50">
            <w:pPr>
              <w:adjustRightInd w:val="0"/>
              <w:snapToGrid w:val="0"/>
              <w:jc w:val="center"/>
              <w:rPr>
                <w:sz w:val="21"/>
                <w:szCs w:val="21"/>
              </w:rPr>
            </w:pPr>
            <w:r>
              <w:rPr>
                <w:sz w:val="21"/>
                <w:szCs w:val="21"/>
              </w:rPr>
              <w:t>生态保护措施</w:t>
            </w:r>
          </w:p>
        </w:tc>
        <w:tc>
          <w:tcPr>
            <w:tcW w:w="4286" w:type="pct"/>
            <w:gridSpan w:val="4"/>
            <w:tcBorders>
              <w:tl2br w:val="nil"/>
              <w:tr2bl w:val="nil"/>
            </w:tcBorders>
            <w:vAlign w:val="center"/>
          </w:tcPr>
          <w:p w14:paraId="121833E5">
            <w:pPr>
              <w:widowControl/>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为了减少对区域生态环境的影响，应加强厂区及其厂界周围环境绿化，绿化以树、灌、草等相结合的形式，起到降低噪声、吸附尘粒、净化空气的作用。另外，应确保项目投产后的各项污染物达标排放，以减少对区域生态环境的影响。</w:t>
            </w:r>
          </w:p>
        </w:tc>
      </w:tr>
      <w:tr w14:paraId="67C9DE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13" w:type="pct"/>
            <w:tcBorders>
              <w:tl2br w:val="nil"/>
              <w:tr2bl w:val="nil"/>
            </w:tcBorders>
            <w:vAlign w:val="center"/>
          </w:tcPr>
          <w:p w14:paraId="2B00A6E1">
            <w:pPr>
              <w:adjustRightInd w:val="0"/>
              <w:snapToGrid w:val="0"/>
              <w:jc w:val="center"/>
              <w:rPr>
                <w:spacing w:val="-8"/>
                <w:sz w:val="21"/>
                <w:szCs w:val="21"/>
              </w:rPr>
            </w:pPr>
            <w:r>
              <w:rPr>
                <w:spacing w:val="-8"/>
                <w:sz w:val="21"/>
                <w:szCs w:val="21"/>
              </w:rPr>
              <w:t>环境风险</w:t>
            </w:r>
          </w:p>
          <w:p w14:paraId="2261FD7C">
            <w:pPr>
              <w:adjustRightInd w:val="0"/>
              <w:snapToGrid w:val="0"/>
              <w:jc w:val="center"/>
              <w:rPr>
                <w:spacing w:val="-8"/>
                <w:sz w:val="21"/>
                <w:szCs w:val="21"/>
              </w:rPr>
            </w:pPr>
            <w:r>
              <w:rPr>
                <w:spacing w:val="-8"/>
                <w:sz w:val="21"/>
                <w:szCs w:val="21"/>
              </w:rPr>
              <w:t>防范措施</w:t>
            </w:r>
          </w:p>
        </w:tc>
        <w:tc>
          <w:tcPr>
            <w:tcW w:w="4286" w:type="pct"/>
            <w:gridSpan w:val="4"/>
            <w:tcBorders>
              <w:tl2br w:val="nil"/>
              <w:tr2bl w:val="nil"/>
            </w:tcBorders>
            <w:vAlign w:val="center"/>
          </w:tcPr>
          <w:p w14:paraId="07D8A9CB">
            <w:pPr>
              <w:widowControl/>
              <w:ind w:firstLine="420" w:firstLineChars="200"/>
              <w:jc w:val="left"/>
              <w:rPr>
                <w:sz w:val="21"/>
                <w:szCs w:val="21"/>
              </w:rPr>
            </w:pPr>
            <w:r>
              <w:rPr>
                <w:rFonts w:hint="default" w:ascii="Times New Roman" w:hAnsi="Times New Roman" w:eastAsia="宋体" w:cs="Times New Roman"/>
                <w:color w:val="auto"/>
                <w:sz w:val="21"/>
                <w:szCs w:val="21"/>
                <w:highlight w:val="none"/>
                <w:lang w:val="en-US" w:eastAsia="zh-CN"/>
              </w:rPr>
              <w:t>企业制定环境风险事故应急管理制度，配备应急管理物资和设备，定期进行演练。设立风险监控及风险应急监测系统，实现事故预警和快速应急监测。</w:t>
            </w:r>
          </w:p>
        </w:tc>
      </w:tr>
      <w:tr w14:paraId="451A9C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713" w:type="pct"/>
            <w:tcBorders>
              <w:tl2br w:val="nil"/>
              <w:tr2bl w:val="nil"/>
            </w:tcBorders>
            <w:vAlign w:val="center"/>
          </w:tcPr>
          <w:p w14:paraId="4A35C155">
            <w:pPr>
              <w:adjustRightInd w:val="0"/>
              <w:snapToGrid w:val="0"/>
              <w:jc w:val="center"/>
              <w:rPr>
                <w:spacing w:val="-8"/>
                <w:sz w:val="21"/>
                <w:szCs w:val="21"/>
              </w:rPr>
            </w:pPr>
            <w:r>
              <w:rPr>
                <w:spacing w:val="-8"/>
                <w:sz w:val="21"/>
                <w:szCs w:val="21"/>
              </w:rPr>
              <w:t>其他环境</w:t>
            </w:r>
          </w:p>
          <w:p w14:paraId="01D058D4">
            <w:pPr>
              <w:adjustRightInd w:val="0"/>
              <w:snapToGrid w:val="0"/>
              <w:jc w:val="center"/>
              <w:rPr>
                <w:spacing w:val="-8"/>
                <w:sz w:val="21"/>
                <w:szCs w:val="21"/>
              </w:rPr>
            </w:pPr>
            <w:r>
              <w:rPr>
                <w:spacing w:val="-8"/>
                <w:sz w:val="21"/>
                <w:szCs w:val="21"/>
              </w:rPr>
              <w:t>管理要求</w:t>
            </w:r>
          </w:p>
        </w:tc>
        <w:tc>
          <w:tcPr>
            <w:tcW w:w="4286" w:type="pct"/>
            <w:gridSpan w:val="4"/>
            <w:tcBorders>
              <w:tl2br w:val="nil"/>
              <w:tr2bl w:val="nil"/>
            </w:tcBorders>
            <w:vAlign w:val="center"/>
          </w:tcPr>
          <w:p w14:paraId="50C6F664">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1、环境保护管理体系、制度</w:t>
            </w:r>
          </w:p>
          <w:p w14:paraId="43DFC98C">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为做好环境管理工作，公司应建立环境管理体系，将环境管理工作自上而下</w:t>
            </w:r>
            <w:r>
              <w:rPr>
                <w:rFonts w:hint="eastAsia" w:cs="Times New Roman"/>
                <w:color w:val="auto"/>
                <w:sz w:val="21"/>
                <w:szCs w:val="21"/>
                <w:highlight w:val="none"/>
                <w:lang w:val="en-US" w:eastAsia="zh-CN"/>
              </w:rPr>
              <w:t>地</w:t>
            </w:r>
            <w:r>
              <w:rPr>
                <w:rFonts w:hint="default" w:ascii="Times New Roman" w:hAnsi="Times New Roman" w:eastAsia="宋体" w:cs="Times New Roman"/>
                <w:color w:val="auto"/>
                <w:sz w:val="21"/>
                <w:szCs w:val="21"/>
                <w:highlight w:val="none"/>
                <w:lang w:val="en-US" w:eastAsia="zh-CN"/>
              </w:rPr>
              <w:t>贯穿到公司的生产管理中。建立和完善环境管理制度，是公司环境管理体系的重要组成部分，需建立的环境管理制度。</w:t>
            </w:r>
          </w:p>
          <w:p w14:paraId="5A353C66">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2、设置环境保护标识</w:t>
            </w:r>
          </w:p>
          <w:p w14:paraId="6CF7A95A">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企业应制定环境管理文件及实施细则，按照《排污口规范化整治技术要求（试行）》、《关于开展排放口规范化整治工作的通知》等文件中有关规定设置与管理</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噪声与固废排放，</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噪声排放源、固体废物贮存（处置）场图形符号分别为提示图形符号和警告图形符号两种，图形符号的设置GB15562.1-1995、GB15562.2-1995执行。</w:t>
            </w:r>
          </w:p>
          <w:p w14:paraId="554F1146">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3、建设项目竣工环境保护验收</w:t>
            </w:r>
          </w:p>
          <w:p w14:paraId="4038DB4D">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根据《建设项目环境保护管理条例》要求，编制环境影响报告表的建设项目竣工后，建设单位应当按照国务院环境保护行政主管部门规定的标准和程序，对配套建设的环境保护设施进行验收，编制验收报告。</w:t>
            </w:r>
          </w:p>
          <w:p w14:paraId="063F3BED">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4、排污许可</w:t>
            </w:r>
          </w:p>
          <w:p w14:paraId="61FEF7A3">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按照《排污许可管理条例》 、《山东省生态环境厅关于加强排污许可管理工作的通知》（鲁环函〔2020〕14号）和《固定污染源排污许可分类管理名录》（2019年版）要求，企业应当在本项目投入生产或使用并产生实际排污行为之前</w:t>
            </w:r>
            <w:r>
              <w:rPr>
                <w:rFonts w:hint="eastAsia" w:ascii="Times New Roman" w:hAnsi="Times New Roman" w:eastAsia="宋体" w:cs="Times New Roman"/>
                <w:color w:val="auto"/>
                <w:sz w:val="21"/>
                <w:szCs w:val="21"/>
                <w:highlight w:val="none"/>
                <w:lang w:val="en-US" w:eastAsia="zh-CN"/>
              </w:rPr>
              <w:t>申报排污许可登记管理。</w:t>
            </w:r>
          </w:p>
          <w:p w14:paraId="394ECF92">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5、自行监测</w:t>
            </w:r>
          </w:p>
          <w:p w14:paraId="7A5E8070">
            <w:pPr>
              <w:pStyle w:val="34"/>
              <w:keepNext w:val="0"/>
              <w:keepLines w:val="0"/>
              <w:pageBreakBefore w:val="0"/>
              <w:widowControl w:val="0"/>
              <w:kinsoku/>
              <w:wordWrap/>
              <w:overflowPunct/>
              <w:topLinePunct w:val="0"/>
              <w:autoSpaceDE/>
              <w:autoSpaceDN/>
              <w:bidi w:val="0"/>
              <w:spacing w:after="0" w:line="360" w:lineRule="auto"/>
              <w:ind w:left="0" w:leftChars="0" w:firstLine="420" w:firstLineChars="200"/>
              <w:textAlignment w:val="auto"/>
              <w:rPr>
                <w:sz w:val="21"/>
                <w:szCs w:val="21"/>
              </w:rPr>
            </w:pPr>
            <w:r>
              <w:rPr>
                <w:rFonts w:hint="default" w:ascii="Times New Roman" w:hAnsi="Times New Roman" w:eastAsia="宋体" w:cs="Times New Roman"/>
                <w:color w:val="auto"/>
                <w:sz w:val="21"/>
                <w:szCs w:val="21"/>
                <w:highlight w:val="none"/>
                <w:lang w:val="en-US" w:eastAsia="zh-CN"/>
              </w:rPr>
              <w:t>企业应当按照排污许可证规定和有关标准规范，依法开展自行监测，并保存原始监测记录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eastAsia="zh-CN"/>
              </w:rPr>
              <w:br w:type="textWrapping"/>
            </w:r>
            <w:r>
              <w:rPr>
                <w:rFonts w:hint="default" w:ascii="Times New Roman" w:hAnsi="Times New Roman" w:eastAsia="宋体" w:cs="Times New Roman"/>
                <w:color w:val="auto"/>
                <w:sz w:val="21"/>
                <w:szCs w:val="21"/>
                <w:highlight w:val="none"/>
                <w:lang w:val="en-US" w:eastAsia="zh-CN"/>
              </w:rPr>
              <w:br w:type="textWrapping"/>
            </w:r>
          </w:p>
        </w:tc>
      </w:tr>
    </w:tbl>
    <w:p w14:paraId="2484824A">
      <w:pPr>
        <w:pStyle w:val="30"/>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06FE73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060" w:type="dxa"/>
            <w:vAlign w:val="center"/>
          </w:tcPr>
          <w:p w14:paraId="64474AEF">
            <w:pPr>
              <w:widowControl/>
              <w:spacing w:line="360" w:lineRule="auto"/>
              <w:ind w:firstLine="420" w:firstLineChars="200"/>
              <w:jc w:val="left"/>
              <w:rPr>
                <w:sz w:val="21"/>
                <w:szCs w:val="21"/>
              </w:rPr>
            </w:pPr>
            <w:r>
              <w:rPr>
                <w:rFonts w:hint="default" w:ascii="Times New Roman" w:hAnsi="Times New Roman" w:eastAsia="宋体" w:cs="Times New Roman"/>
                <w:color w:val="auto"/>
                <w:spacing w:val="0"/>
                <w:position w:val="0"/>
                <w:sz w:val="21"/>
                <w:szCs w:val="21"/>
                <w:highlight w:val="none"/>
                <w:lang w:val="en-US" w:eastAsia="zh-CN"/>
              </w:rPr>
              <w:t>本项目符合国家、当地产业政策和当地城市建设总体规划的要求，选址合理。项目在建设中和建成运行以后将产生一定程度的废气、</w:t>
            </w:r>
            <w:r>
              <w:rPr>
                <w:rFonts w:hint="default" w:ascii="Times New Roman" w:hAnsi="Times New Roman" w:cs="Times New Roman"/>
                <w:color w:val="auto"/>
                <w:spacing w:val="0"/>
                <w:position w:val="0"/>
                <w:sz w:val="21"/>
                <w:szCs w:val="21"/>
                <w:highlight w:val="none"/>
                <w:lang w:val="en-US" w:eastAsia="zh-CN"/>
              </w:rPr>
              <w:t>固废、</w:t>
            </w:r>
            <w:r>
              <w:rPr>
                <w:rFonts w:hint="default" w:ascii="Times New Roman" w:hAnsi="Times New Roman" w:eastAsia="宋体" w:cs="Times New Roman"/>
                <w:color w:val="auto"/>
                <w:spacing w:val="0"/>
                <w:position w:val="0"/>
                <w:sz w:val="21"/>
                <w:szCs w:val="21"/>
                <w:highlight w:val="none"/>
                <w:lang w:val="en-US" w:eastAsia="zh-CN"/>
              </w:rPr>
              <w:t>噪声，在建设单位严格按照本报告提出的各项规定，切实落实各项污染防治措施及总量控制措施后，项目对周围环境的影响可以控制在国家有关标准和要求的允许范围以内。因此，在严格落实本报告表提出的各项措施的基础上</w:t>
            </w:r>
            <w:r>
              <w:rPr>
                <w:rFonts w:hint="eastAsia" w:ascii="宋体" w:hAnsi="宋体" w:cs="宋体"/>
                <w:color w:val="000000"/>
                <w:kern w:val="0"/>
                <w:sz w:val="21"/>
                <w:szCs w:val="21"/>
                <w:lang w:bidi="ar"/>
              </w:rPr>
              <w:t>，从环境保护的角度分析其建设是可行的。</w:t>
            </w:r>
          </w:p>
          <w:p w14:paraId="072516D1">
            <w:pPr>
              <w:spacing w:line="360" w:lineRule="auto"/>
              <w:rPr>
                <w:rFonts w:ascii="宋体" w:cs="宋体"/>
                <w:sz w:val="21"/>
                <w:szCs w:val="21"/>
              </w:rPr>
            </w:pPr>
          </w:p>
        </w:tc>
      </w:tr>
    </w:tbl>
    <w:p w14:paraId="1CF2DC67">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816C8DE">
      <w:pPr>
        <w:pStyle w:val="30"/>
        <w:adjustRightInd w:val="0"/>
        <w:snapToGrid w:val="0"/>
        <w:spacing w:before="0" w:beforeAutospacing="0" w:after="0" w:afterAutospacing="0" w:line="648"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14:paraId="75B99324">
      <w:pPr>
        <w:pStyle w:val="30"/>
        <w:adjustRightInd w:val="0"/>
        <w:snapToGrid w:val="0"/>
        <w:spacing w:before="0" w:beforeAutospacing="0" w:after="0" w:afterAutospacing="0" w:line="360" w:lineRule="auto"/>
        <w:jc w:val="center"/>
        <w:outlineLvl w:val="0"/>
        <w:rPr>
          <w:rFonts w:ascii="方正小标宋_GBK" w:hAnsi="黑体" w:eastAsia="方正小标宋_GBK"/>
          <w:snapToGrid w:val="0"/>
          <w:sz w:val="38"/>
          <w:szCs w:val="38"/>
          <w:highlight w:val="none"/>
        </w:rPr>
      </w:pPr>
      <w:r>
        <w:rPr>
          <w:rFonts w:hint="eastAsia" w:ascii="方正小标宋_GBK" w:hAnsi="黑体" w:eastAsia="方正小标宋_GBK"/>
          <w:snapToGrid w:val="0"/>
          <w:sz w:val="38"/>
          <w:szCs w:val="38"/>
          <w:highlight w:val="none"/>
        </w:rPr>
        <w:t>建设项目污染物排放量汇总表</w:t>
      </w:r>
    </w:p>
    <w:tbl>
      <w:tblPr>
        <w:tblStyle w:val="3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46"/>
        <w:gridCol w:w="1581"/>
        <w:gridCol w:w="1353"/>
        <w:gridCol w:w="1717"/>
        <w:gridCol w:w="1575"/>
        <w:gridCol w:w="1387"/>
        <w:gridCol w:w="1541"/>
        <w:gridCol w:w="1300"/>
      </w:tblGrid>
      <w:tr w14:paraId="262405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tcBorders>
              <w:tl2br w:val="single" w:color="auto" w:sz="4" w:space="0"/>
            </w:tcBorders>
            <w:tcMar>
              <w:left w:w="28" w:type="dxa"/>
              <w:right w:w="28" w:type="dxa"/>
            </w:tcMar>
            <w:vAlign w:val="center"/>
          </w:tcPr>
          <w:p w14:paraId="352B9AB8">
            <w:pPr>
              <w:pStyle w:val="42"/>
              <w:spacing w:beforeLines="0" w:afterLines="0" w:line="240" w:lineRule="auto"/>
              <w:jc w:val="right"/>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项目</w:t>
            </w:r>
          </w:p>
          <w:p w14:paraId="78A70664">
            <w:pPr>
              <w:pStyle w:val="42"/>
              <w:spacing w:beforeLines="0" w:afterLines="0" w:line="240" w:lineRule="auto"/>
              <w:jc w:val="left"/>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分类</w:t>
            </w:r>
          </w:p>
        </w:tc>
        <w:tc>
          <w:tcPr>
            <w:tcW w:w="1746" w:type="dxa"/>
            <w:tcMar>
              <w:left w:w="28" w:type="dxa"/>
              <w:right w:w="28" w:type="dxa"/>
            </w:tcMar>
            <w:vAlign w:val="center"/>
          </w:tcPr>
          <w:p w14:paraId="1CC16D73">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污染物名称</w:t>
            </w:r>
          </w:p>
        </w:tc>
        <w:tc>
          <w:tcPr>
            <w:tcW w:w="1581" w:type="dxa"/>
            <w:tcMar>
              <w:left w:w="28" w:type="dxa"/>
              <w:right w:w="28" w:type="dxa"/>
            </w:tcMar>
            <w:vAlign w:val="center"/>
          </w:tcPr>
          <w:p w14:paraId="38D3FA6B">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现有工程</w:t>
            </w:r>
          </w:p>
          <w:p w14:paraId="46E7B8EF">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排放量（固体废物产生量）</w:t>
            </w:r>
            <w:r>
              <w:rPr>
                <w:rFonts w:ascii="Times New Roman" w:eastAsia="黑体"/>
                <w:snapToGrid w:val="0"/>
                <w:color w:val="000000"/>
                <w:spacing w:val="-6"/>
                <w:kern w:val="21"/>
                <w:szCs w:val="21"/>
                <w:highlight w:val="none"/>
              </w:rPr>
              <w:fldChar w:fldCharType="begin"/>
            </w:r>
            <w:r>
              <w:rPr>
                <w:rFonts w:ascii="Times New Roman" w:eastAsia="黑体"/>
                <w:snapToGrid w:val="0"/>
                <w:color w:val="000000"/>
                <w:spacing w:val="-6"/>
                <w:kern w:val="21"/>
                <w:szCs w:val="21"/>
                <w:highlight w:val="none"/>
              </w:rPr>
              <w:instrText xml:space="preserve"> = 1 \* GB3 \* MERGEFORMAT </w:instrText>
            </w:r>
            <w:r>
              <w:rPr>
                <w:rFonts w:ascii="Times New Roman" w:eastAsia="黑体"/>
                <w:snapToGrid w:val="0"/>
                <w:color w:val="000000"/>
                <w:spacing w:val="-6"/>
                <w:kern w:val="21"/>
                <w:szCs w:val="21"/>
                <w:highlight w:val="none"/>
              </w:rPr>
              <w:fldChar w:fldCharType="separate"/>
            </w:r>
            <w:r>
              <w:rPr>
                <w:rFonts w:ascii="Times New Roman" w:eastAsia="黑体"/>
                <w:kern w:val="2"/>
                <w:szCs w:val="21"/>
                <w:highlight w:val="none"/>
              </w:rPr>
              <w:t>①</w:t>
            </w:r>
            <w:r>
              <w:rPr>
                <w:rFonts w:ascii="Times New Roman" w:eastAsia="黑体"/>
                <w:snapToGrid w:val="0"/>
                <w:color w:val="000000"/>
                <w:spacing w:val="-6"/>
                <w:kern w:val="21"/>
                <w:szCs w:val="21"/>
                <w:highlight w:val="none"/>
              </w:rPr>
              <w:fldChar w:fldCharType="end"/>
            </w:r>
          </w:p>
        </w:tc>
        <w:tc>
          <w:tcPr>
            <w:tcW w:w="1353" w:type="dxa"/>
            <w:tcMar>
              <w:left w:w="28" w:type="dxa"/>
              <w:right w:w="28" w:type="dxa"/>
            </w:tcMar>
            <w:vAlign w:val="center"/>
          </w:tcPr>
          <w:p w14:paraId="2D2F2FA1">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现有工程</w:t>
            </w:r>
          </w:p>
          <w:p w14:paraId="72CA04F9">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许可排放量</w:t>
            </w:r>
          </w:p>
          <w:p w14:paraId="420FC0AC">
            <w:pPr>
              <w:pStyle w:val="42"/>
              <w:spacing w:beforeLines="0" w:afterLines="0"/>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fldChar w:fldCharType="begin"/>
            </w:r>
            <w:r>
              <w:rPr>
                <w:rFonts w:ascii="Times New Roman" w:eastAsia="黑体"/>
                <w:snapToGrid w:val="0"/>
                <w:color w:val="000000"/>
                <w:spacing w:val="-6"/>
                <w:kern w:val="21"/>
                <w:szCs w:val="21"/>
                <w:highlight w:val="none"/>
              </w:rPr>
              <w:instrText xml:space="preserve"> = 2 \* GB3 \* MERGEFORMAT </w:instrText>
            </w:r>
            <w:r>
              <w:rPr>
                <w:rFonts w:ascii="Times New Roman" w:eastAsia="黑体"/>
                <w:snapToGrid w:val="0"/>
                <w:color w:val="000000"/>
                <w:spacing w:val="-6"/>
                <w:kern w:val="21"/>
                <w:szCs w:val="21"/>
                <w:highlight w:val="none"/>
              </w:rPr>
              <w:fldChar w:fldCharType="separate"/>
            </w:r>
            <w:r>
              <w:rPr>
                <w:rFonts w:ascii="Times New Roman" w:eastAsia="黑体"/>
                <w:snapToGrid w:val="0"/>
                <w:color w:val="000000"/>
                <w:spacing w:val="-6"/>
                <w:kern w:val="21"/>
                <w:szCs w:val="21"/>
                <w:highlight w:val="none"/>
              </w:rPr>
              <w:t>②</w:t>
            </w:r>
            <w:r>
              <w:rPr>
                <w:rFonts w:ascii="Times New Roman" w:eastAsia="黑体"/>
                <w:snapToGrid w:val="0"/>
                <w:color w:val="000000"/>
                <w:spacing w:val="-6"/>
                <w:kern w:val="21"/>
                <w:szCs w:val="21"/>
                <w:highlight w:val="none"/>
              </w:rPr>
              <w:fldChar w:fldCharType="end"/>
            </w:r>
          </w:p>
        </w:tc>
        <w:tc>
          <w:tcPr>
            <w:tcW w:w="1717" w:type="dxa"/>
            <w:tcMar>
              <w:left w:w="28" w:type="dxa"/>
              <w:right w:w="28" w:type="dxa"/>
            </w:tcMar>
            <w:vAlign w:val="center"/>
          </w:tcPr>
          <w:p w14:paraId="376FE051">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在建工程</w:t>
            </w:r>
          </w:p>
          <w:p w14:paraId="0990782D">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排放量（固体废物产生量）</w:t>
            </w:r>
            <w:r>
              <w:rPr>
                <w:rFonts w:ascii="Times New Roman" w:eastAsia="黑体"/>
                <w:snapToGrid w:val="0"/>
                <w:color w:val="000000"/>
                <w:spacing w:val="-6"/>
                <w:kern w:val="21"/>
                <w:szCs w:val="21"/>
                <w:highlight w:val="none"/>
              </w:rPr>
              <w:fldChar w:fldCharType="begin"/>
            </w:r>
            <w:r>
              <w:rPr>
                <w:rFonts w:ascii="Times New Roman" w:eastAsia="黑体"/>
                <w:snapToGrid w:val="0"/>
                <w:color w:val="000000"/>
                <w:spacing w:val="-6"/>
                <w:kern w:val="21"/>
                <w:szCs w:val="21"/>
                <w:highlight w:val="none"/>
              </w:rPr>
              <w:instrText xml:space="preserve"> = 3 \* GB3 \* MERGEFORMAT </w:instrText>
            </w:r>
            <w:r>
              <w:rPr>
                <w:rFonts w:ascii="Times New Roman" w:eastAsia="黑体"/>
                <w:snapToGrid w:val="0"/>
                <w:color w:val="000000"/>
                <w:spacing w:val="-6"/>
                <w:kern w:val="21"/>
                <w:szCs w:val="21"/>
                <w:highlight w:val="none"/>
              </w:rPr>
              <w:fldChar w:fldCharType="separate"/>
            </w:r>
            <w:r>
              <w:rPr>
                <w:rFonts w:ascii="Times New Roman" w:eastAsia="黑体"/>
                <w:kern w:val="2"/>
                <w:szCs w:val="21"/>
                <w:highlight w:val="none"/>
              </w:rPr>
              <w:t>③</w:t>
            </w:r>
            <w:r>
              <w:rPr>
                <w:rFonts w:ascii="Times New Roman" w:eastAsia="黑体"/>
                <w:snapToGrid w:val="0"/>
                <w:color w:val="000000"/>
                <w:spacing w:val="-6"/>
                <w:kern w:val="21"/>
                <w:szCs w:val="21"/>
                <w:highlight w:val="none"/>
              </w:rPr>
              <w:fldChar w:fldCharType="end"/>
            </w:r>
          </w:p>
        </w:tc>
        <w:tc>
          <w:tcPr>
            <w:tcW w:w="1575" w:type="dxa"/>
            <w:tcMar>
              <w:left w:w="28" w:type="dxa"/>
              <w:right w:w="28" w:type="dxa"/>
            </w:tcMar>
            <w:vAlign w:val="center"/>
          </w:tcPr>
          <w:p w14:paraId="2F5E0D1E">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本项目</w:t>
            </w:r>
          </w:p>
          <w:p w14:paraId="4C08EB4A">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排放量（固体废物产生量）</w:t>
            </w:r>
            <w:r>
              <w:rPr>
                <w:rFonts w:ascii="Times New Roman" w:eastAsia="黑体"/>
                <w:snapToGrid w:val="0"/>
                <w:color w:val="000000"/>
                <w:spacing w:val="-6"/>
                <w:kern w:val="21"/>
                <w:szCs w:val="21"/>
                <w:highlight w:val="none"/>
              </w:rPr>
              <w:fldChar w:fldCharType="begin"/>
            </w:r>
            <w:r>
              <w:rPr>
                <w:rFonts w:ascii="Times New Roman" w:eastAsia="黑体"/>
                <w:snapToGrid w:val="0"/>
                <w:color w:val="000000"/>
                <w:spacing w:val="-6"/>
                <w:kern w:val="21"/>
                <w:szCs w:val="21"/>
                <w:highlight w:val="none"/>
              </w:rPr>
              <w:instrText xml:space="preserve"> = 4 \* GB3 \* MERGEFORMAT </w:instrText>
            </w:r>
            <w:r>
              <w:rPr>
                <w:rFonts w:ascii="Times New Roman" w:eastAsia="黑体"/>
                <w:snapToGrid w:val="0"/>
                <w:color w:val="000000"/>
                <w:spacing w:val="-6"/>
                <w:kern w:val="21"/>
                <w:szCs w:val="21"/>
                <w:highlight w:val="none"/>
              </w:rPr>
              <w:fldChar w:fldCharType="separate"/>
            </w:r>
            <w:r>
              <w:rPr>
                <w:rFonts w:ascii="Times New Roman" w:eastAsia="黑体"/>
                <w:kern w:val="2"/>
                <w:szCs w:val="21"/>
                <w:highlight w:val="none"/>
              </w:rPr>
              <w:t>④</w:t>
            </w:r>
            <w:r>
              <w:rPr>
                <w:rFonts w:ascii="Times New Roman" w:eastAsia="黑体"/>
                <w:snapToGrid w:val="0"/>
                <w:color w:val="000000"/>
                <w:spacing w:val="-6"/>
                <w:kern w:val="21"/>
                <w:szCs w:val="21"/>
                <w:highlight w:val="none"/>
              </w:rPr>
              <w:fldChar w:fldCharType="end"/>
            </w:r>
          </w:p>
        </w:tc>
        <w:tc>
          <w:tcPr>
            <w:tcW w:w="1387" w:type="dxa"/>
            <w:tcMar>
              <w:left w:w="28" w:type="dxa"/>
              <w:right w:w="28" w:type="dxa"/>
            </w:tcMar>
            <w:vAlign w:val="center"/>
          </w:tcPr>
          <w:p w14:paraId="52696058">
            <w:pPr>
              <w:pStyle w:val="42"/>
              <w:spacing w:beforeLines="0" w:afterLines="0" w:line="240" w:lineRule="auto"/>
              <w:rPr>
                <w:rFonts w:ascii="Times New Roman" w:eastAsia="黑体"/>
                <w:snapToGrid w:val="0"/>
                <w:color w:val="000000"/>
                <w:spacing w:val="-16"/>
                <w:kern w:val="21"/>
                <w:szCs w:val="21"/>
                <w:highlight w:val="none"/>
              </w:rPr>
            </w:pPr>
            <w:r>
              <w:rPr>
                <w:rFonts w:ascii="Times New Roman" w:eastAsia="黑体"/>
                <w:snapToGrid w:val="0"/>
                <w:color w:val="000000"/>
                <w:spacing w:val="-16"/>
                <w:kern w:val="21"/>
                <w:szCs w:val="21"/>
                <w:highlight w:val="none"/>
              </w:rPr>
              <w:t>以新带老削减量</w:t>
            </w:r>
          </w:p>
          <w:p w14:paraId="1357F7E4">
            <w:pPr>
              <w:pStyle w:val="42"/>
              <w:spacing w:beforeLines="0" w:afterLines="0" w:line="240" w:lineRule="auto"/>
              <w:rPr>
                <w:rFonts w:ascii="Times New Roman" w:eastAsia="黑体"/>
                <w:snapToGrid w:val="0"/>
                <w:color w:val="000000"/>
                <w:spacing w:val="-16"/>
                <w:kern w:val="21"/>
                <w:szCs w:val="21"/>
                <w:highlight w:val="none"/>
              </w:rPr>
            </w:pPr>
            <w:r>
              <w:rPr>
                <w:rFonts w:ascii="Times New Roman" w:eastAsia="黑体"/>
                <w:snapToGrid w:val="0"/>
                <w:color w:val="000000"/>
                <w:spacing w:val="-16"/>
                <w:kern w:val="21"/>
                <w:szCs w:val="21"/>
                <w:highlight w:val="none"/>
              </w:rPr>
              <w:t>（新建项目不填）</w:t>
            </w:r>
            <w:r>
              <w:rPr>
                <w:rFonts w:ascii="Times New Roman" w:eastAsia="黑体"/>
                <w:snapToGrid w:val="0"/>
                <w:color w:val="000000"/>
                <w:spacing w:val="-16"/>
                <w:kern w:val="21"/>
                <w:szCs w:val="21"/>
                <w:highlight w:val="none"/>
              </w:rPr>
              <w:fldChar w:fldCharType="begin"/>
            </w:r>
            <w:r>
              <w:rPr>
                <w:rFonts w:ascii="Times New Roman" w:eastAsia="黑体"/>
                <w:snapToGrid w:val="0"/>
                <w:color w:val="000000"/>
                <w:spacing w:val="-16"/>
                <w:kern w:val="21"/>
                <w:szCs w:val="21"/>
                <w:highlight w:val="none"/>
              </w:rPr>
              <w:instrText xml:space="preserve"> = 5 \* GB3 \* MERGEFORMAT </w:instrText>
            </w:r>
            <w:r>
              <w:rPr>
                <w:rFonts w:ascii="Times New Roman" w:eastAsia="黑体"/>
                <w:snapToGrid w:val="0"/>
                <w:color w:val="000000"/>
                <w:spacing w:val="-16"/>
                <w:kern w:val="21"/>
                <w:szCs w:val="21"/>
                <w:highlight w:val="none"/>
              </w:rPr>
              <w:fldChar w:fldCharType="separate"/>
            </w:r>
            <w:r>
              <w:rPr>
                <w:rFonts w:ascii="Times New Roman" w:eastAsia="黑体"/>
                <w:kern w:val="2"/>
                <w:szCs w:val="21"/>
                <w:highlight w:val="none"/>
              </w:rPr>
              <w:t>⑤</w:t>
            </w:r>
            <w:r>
              <w:rPr>
                <w:rFonts w:ascii="Times New Roman" w:eastAsia="黑体"/>
                <w:snapToGrid w:val="0"/>
                <w:color w:val="000000"/>
                <w:spacing w:val="-16"/>
                <w:kern w:val="21"/>
                <w:szCs w:val="21"/>
                <w:highlight w:val="none"/>
              </w:rPr>
              <w:fldChar w:fldCharType="end"/>
            </w:r>
          </w:p>
        </w:tc>
        <w:tc>
          <w:tcPr>
            <w:tcW w:w="1541" w:type="dxa"/>
            <w:tcMar>
              <w:left w:w="28" w:type="dxa"/>
              <w:right w:w="28" w:type="dxa"/>
            </w:tcMar>
            <w:vAlign w:val="center"/>
          </w:tcPr>
          <w:p w14:paraId="1F51DB0D">
            <w:pPr>
              <w:pStyle w:val="42"/>
              <w:spacing w:beforeLines="0" w:afterLines="0" w:line="240" w:lineRule="auto"/>
              <w:rPr>
                <w:rFonts w:ascii="Times New Roman" w:eastAsia="黑体"/>
                <w:snapToGrid w:val="0"/>
                <w:color w:val="000000"/>
                <w:spacing w:val="-16"/>
                <w:kern w:val="21"/>
                <w:szCs w:val="21"/>
                <w:highlight w:val="none"/>
              </w:rPr>
            </w:pPr>
            <w:r>
              <w:rPr>
                <w:rFonts w:ascii="Times New Roman" w:eastAsia="黑体"/>
                <w:snapToGrid w:val="0"/>
                <w:color w:val="000000"/>
                <w:spacing w:val="-16"/>
                <w:kern w:val="21"/>
                <w:szCs w:val="21"/>
                <w:highlight w:val="none"/>
              </w:rPr>
              <w:t>本项目建成后</w:t>
            </w:r>
          </w:p>
          <w:p w14:paraId="5C4FC425">
            <w:pPr>
              <w:pStyle w:val="42"/>
              <w:spacing w:beforeLines="0" w:afterLines="0" w:line="240" w:lineRule="auto"/>
              <w:rPr>
                <w:rFonts w:ascii="Times New Roman" w:eastAsia="黑体"/>
                <w:snapToGrid w:val="0"/>
                <w:color w:val="000000"/>
                <w:spacing w:val="-16"/>
                <w:kern w:val="21"/>
                <w:szCs w:val="21"/>
                <w:highlight w:val="none"/>
              </w:rPr>
            </w:pPr>
            <w:r>
              <w:rPr>
                <w:rFonts w:ascii="Times New Roman" w:eastAsia="黑体"/>
                <w:snapToGrid w:val="0"/>
                <w:color w:val="000000"/>
                <w:spacing w:val="-16"/>
                <w:kern w:val="21"/>
                <w:szCs w:val="21"/>
                <w:highlight w:val="none"/>
              </w:rPr>
              <w:t>全厂排放量（固体废物产生量）</w:t>
            </w:r>
            <w:r>
              <w:rPr>
                <w:rFonts w:ascii="Times New Roman" w:eastAsia="黑体"/>
                <w:snapToGrid w:val="0"/>
                <w:color w:val="000000"/>
                <w:spacing w:val="-16"/>
                <w:kern w:val="21"/>
                <w:szCs w:val="21"/>
                <w:highlight w:val="none"/>
              </w:rPr>
              <w:fldChar w:fldCharType="begin"/>
            </w:r>
            <w:r>
              <w:rPr>
                <w:rFonts w:ascii="Times New Roman" w:eastAsia="黑体"/>
                <w:snapToGrid w:val="0"/>
                <w:color w:val="000000"/>
                <w:spacing w:val="-16"/>
                <w:kern w:val="21"/>
                <w:szCs w:val="21"/>
                <w:highlight w:val="none"/>
              </w:rPr>
              <w:instrText xml:space="preserve"> = 6 \* GB3 \* MERGEFORMAT </w:instrText>
            </w:r>
            <w:r>
              <w:rPr>
                <w:rFonts w:ascii="Times New Roman" w:eastAsia="黑体"/>
                <w:snapToGrid w:val="0"/>
                <w:color w:val="000000"/>
                <w:spacing w:val="-16"/>
                <w:kern w:val="21"/>
                <w:szCs w:val="21"/>
                <w:highlight w:val="none"/>
              </w:rPr>
              <w:fldChar w:fldCharType="separate"/>
            </w:r>
            <w:r>
              <w:rPr>
                <w:rFonts w:ascii="Times New Roman" w:eastAsia="黑体"/>
                <w:kern w:val="2"/>
                <w:szCs w:val="21"/>
                <w:highlight w:val="none"/>
              </w:rPr>
              <w:t>⑥</w:t>
            </w:r>
            <w:r>
              <w:rPr>
                <w:rFonts w:ascii="Times New Roman" w:eastAsia="黑体"/>
                <w:snapToGrid w:val="0"/>
                <w:color w:val="000000"/>
                <w:spacing w:val="-16"/>
                <w:kern w:val="21"/>
                <w:szCs w:val="21"/>
                <w:highlight w:val="none"/>
              </w:rPr>
              <w:fldChar w:fldCharType="end"/>
            </w:r>
          </w:p>
        </w:tc>
        <w:tc>
          <w:tcPr>
            <w:tcW w:w="1300" w:type="dxa"/>
            <w:tcMar>
              <w:left w:w="28" w:type="dxa"/>
              <w:right w:w="28" w:type="dxa"/>
            </w:tcMar>
            <w:vAlign w:val="center"/>
          </w:tcPr>
          <w:p w14:paraId="27265E58">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t>变化量</w:t>
            </w:r>
          </w:p>
          <w:p w14:paraId="27148E4F">
            <w:pPr>
              <w:pStyle w:val="42"/>
              <w:spacing w:beforeLines="0" w:afterLines="0" w:line="240" w:lineRule="auto"/>
              <w:rPr>
                <w:rFonts w:ascii="Times New Roman" w:eastAsia="黑体"/>
                <w:snapToGrid w:val="0"/>
                <w:color w:val="000000"/>
                <w:spacing w:val="-6"/>
                <w:kern w:val="21"/>
                <w:szCs w:val="21"/>
                <w:highlight w:val="none"/>
              </w:rPr>
            </w:pPr>
            <w:r>
              <w:rPr>
                <w:rFonts w:ascii="Times New Roman" w:eastAsia="黑体"/>
                <w:snapToGrid w:val="0"/>
                <w:color w:val="000000"/>
                <w:spacing w:val="-6"/>
                <w:kern w:val="21"/>
                <w:szCs w:val="21"/>
                <w:highlight w:val="none"/>
              </w:rPr>
              <w:fldChar w:fldCharType="begin"/>
            </w:r>
            <w:r>
              <w:rPr>
                <w:rFonts w:ascii="Times New Roman" w:eastAsia="黑体"/>
                <w:snapToGrid w:val="0"/>
                <w:color w:val="000000"/>
                <w:spacing w:val="-6"/>
                <w:kern w:val="21"/>
                <w:szCs w:val="21"/>
                <w:highlight w:val="none"/>
              </w:rPr>
              <w:instrText xml:space="preserve"> = 7 \* GB3 \* MERGEFORMAT </w:instrText>
            </w:r>
            <w:r>
              <w:rPr>
                <w:rFonts w:ascii="Times New Roman" w:eastAsia="黑体"/>
                <w:snapToGrid w:val="0"/>
                <w:color w:val="000000"/>
                <w:spacing w:val="-6"/>
                <w:kern w:val="21"/>
                <w:szCs w:val="21"/>
                <w:highlight w:val="none"/>
              </w:rPr>
              <w:fldChar w:fldCharType="separate"/>
            </w:r>
            <w:r>
              <w:rPr>
                <w:rFonts w:ascii="Times New Roman" w:eastAsia="黑体"/>
                <w:kern w:val="2"/>
                <w:szCs w:val="21"/>
                <w:highlight w:val="none"/>
              </w:rPr>
              <w:t>⑦</w:t>
            </w:r>
            <w:r>
              <w:rPr>
                <w:rFonts w:ascii="Times New Roman" w:eastAsia="黑体"/>
                <w:snapToGrid w:val="0"/>
                <w:color w:val="000000"/>
                <w:spacing w:val="-6"/>
                <w:kern w:val="21"/>
                <w:szCs w:val="21"/>
                <w:highlight w:val="none"/>
              </w:rPr>
              <w:fldChar w:fldCharType="end"/>
            </w:r>
          </w:p>
        </w:tc>
      </w:tr>
      <w:tr w14:paraId="17C0B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Align w:val="center"/>
          </w:tcPr>
          <w:p w14:paraId="3656B64B">
            <w:pPr>
              <w:pStyle w:val="42"/>
              <w:spacing w:beforeLines="0" w:afterLines="0" w:line="240" w:lineRule="auto"/>
              <w:rPr>
                <w:rFonts w:ascii="Times New Roman"/>
                <w:snapToGrid w:val="0"/>
                <w:kern w:val="21"/>
                <w:sz w:val="21"/>
                <w:szCs w:val="21"/>
                <w:highlight w:val="none"/>
              </w:rPr>
            </w:pPr>
            <w:r>
              <w:rPr>
                <w:rFonts w:hint="eastAsia" w:ascii="Times New Roman"/>
                <w:snapToGrid w:val="0"/>
                <w:kern w:val="21"/>
                <w:sz w:val="21"/>
                <w:szCs w:val="21"/>
                <w:highlight w:val="none"/>
              </w:rPr>
              <w:t>废气</w:t>
            </w:r>
          </w:p>
        </w:tc>
        <w:tc>
          <w:tcPr>
            <w:tcW w:w="1746" w:type="dxa"/>
            <w:vAlign w:val="center"/>
          </w:tcPr>
          <w:p w14:paraId="5B7C9FCC">
            <w:pPr>
              <w:pStyle w:val="42"/>
              <w:spacing w:beforeLines="0" w:afterLines="0" w:line="240" w:lineRule="auto"/>
              <w:rPr>
                <w:rFonts w:ascii="Times New Roman"/>
                <w:snapToGrid w:val="0"/>
                <w:kern w:val="21"/>
                <w:sz w:val="21"/>
                <w:szCs w:val="21"/>
                <w:highlight w:val="none"/>
              </w:rPr>
            </w:pPr>
            <w:r>
              <w:rPr>
                <w:rFonts w:ascii="Times New Roman"/>
                <w:snapToGrid w:val="0"/>
                <w:kern w:val="21"/>
                <w:sz w:val="21"/>
                <w:szCs w:val="21"/>
                <w:highlight w:val="none"/>
              </w:rPr>
              <w:t>颗粒物</w:t>
            </w:r>
          </w:p>
        </w:tc>
        <w:tc>
          <w:tcPr>
            <w:tcW w:w="1581" w:type="dxa"/>
            <w:vAlign w:val="center"/>
          </w:tcPr>
          <w:p w14:paraId="032D8040">
            <w:pPr>
              <w:spacing w:beforeLines="0" w:afterLines="0" w:line="240" w:lineRule="auto"/>
              <w:jc w:val="center"/>
              <w:rPr>
                <w:rFonts w:hint="default" w:ascii="Times New Roman" w:eastAsia="宋体"/>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353" w:type="dxa"/>
            <w:vAlign w:val="center"/>
          </w:tcPr>
          <w:p w14:paraId="0CB70330">
            <w:pPr>
              <w:jc w:val="center"/>
              <w:rPr>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717" w:type="dxa"/>
            <w:vAlign w:val="center"/>
          </w:tcPr>
          <w:p w14:paraId="3DB93C74">
            <w:pPr>
              <w:jc w:val="center"/>
              <w:rPr>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75" w:type="dxa"/>
            <w:vAlign w:val="center"/>
          </w:tcPr>
          <w:p w14:paraId="59752EBD">
            <w:pPr>
              <w:pStyle w:val="42"/>
              <w:spacing w:beforeLines="0" w:afterLines="0" w:line="240" w:lineRule="auto"/>
              <w:rPr>
                <w:rFonts w:hint="default" w:ascii="Times New Roman" w:eastAsia="宋体"/>
                <w:snapToGrid w:val="0"/>
                <w:kern w:val="21"/>
                <w:sz w:val="21"/>
                <w:szCs w:val="21"/>
                <w:highlight w:val="none"/>
                <w:lang w:val="en-US" w:eastAsia="zh-CN"/>
              </w:rPr>
            </w:pPr>
            <w:r>
              <w:rPr>
                <w:rFonts w:hint="eastAsia" w:ascii="Times New Roman"/>
                <w:snapToGrid w:val="0"/>
                <w:kern w:val="21"/>
                <w:sz w:val="21"/>
                <w:szCs w:val="21"/>
                <w:highlight w:val="none"/>
                <w:lang w:val="en-US" w:eastAsia="zh-CN"/>
              </w:rPr>
              <w:t>1.342t/a</w:t>
            </w:r>
          </w:p>
        </w:tc>
        <w:tc>
          <w:tcPr>
            <w:tcW w:w="1387" w:type="dxa"/>
            <w:vAlign w:val="center"/>
          </w:tcPr>
          <w:p w14:paraId="699D5467">
            <w:pPr>
              <w:pStyle w:val="42"/>
              <w:spacing w:beforeLines="0" w:afterLines="0" w:line="240" w:lineRule="auto"/>
              <w:rPr>
                <w:rFonts w:ascii="Times New Roman"/>
                <w:snapToGrid w:val="0"/>
                <w:kern w:val="21"/>
                <w:sz w:val="21"/>
                <w:szCs w:val="21"/>
                <w:highlight w:val="none"/>
              </w:rPr>
            </w:pPr>
            <w:r>
              <w:rPr>
                <w:rFonts w:hint="eastAsia" w:ascii="Times New Roman"/>
                <w:snapToGrid w:val="0"/>
                <w:kern w:val="21"/>
                <w:sz w:val="21"/>
                <w:szCs w:val="21"/>
                <w:highlight w:val="none"/>
              </w:rPr>
              <w:t>0</w:t>
            </w:r>
          </w:p>
        </w:tc>
        <w:tc>
          <w:tcPr>
            <w:tcW w:w="1541" w:type="dxa"/>
            <w:vAlign w:val="center"/>
          </w:tcPr>
          <w:p w14:paraId="32688D2B">
            <w:pPr>
              <w:pStyle w:val="42"/>
              <w:spacing w:beforeLines="0" w:afterLines="0" w:line="240" w:lineRule="auto"/>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1.342t/a</w:t>
            </w:r>
          </w:p>
        </w:tc>
        <w:tc>
          <w:tcPr>
            <w:tcW w:w="1300" w:type="dxa"/>
            <w:vAlign w:val="center"/>
          </w:tcPr>
          <w:p w14:paraId="260E46A5">
            <w:pPr>
              <w:pStyle w:val="42"/>
              <w:spacing w:beforeLines="0" w:afterLines="0" w:line="240" w:lineRule="auto"/>
              <w:rPr>
                <w:rFonts w:hint="default" w:ascii="Times New Roman" w:eastAsia="宋体"/>
                <w:snapToGrid w:val="0"/>
                <w:kern w:val="21"/>
                <w:sz w:val="21"/>
                <w:szCs w:val="21"/>
                <w:highlight w:val="none"/>
                <w:lang w:val="en-US" w:eastAsia="zh-CN"/>
              </w:rPr>
            </w:pPr>
            <w:r>
              <w:rPr>
                <w:rFonts w:hint="eastAsia" w:ascii="Times New Roman"/>
                <w:snapToGrid w:val="0"/>
                <w:kern w:val="21"/>
                <w:sz w:val="21"/>
                <w:szCs w:val="21"/>
                <w:highlight w:val="none"/>
                <w:lang w:val="en-US" w:eastAsia="zh-CN"/>
              </w:rPr>
              <w:t>+1.342t/a</w:t>
            </w:r>
          </w:p>
        </w:tc>
      </w:tr>
      <w:tr w14:paraId="31F289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Align w:val="center"/>
          </w:tcPr>
          <w:p w14:paraId="1E336297">
            <w:pPr>
              <w:pStyle w:val="42"/>
              <w:spacing w:beforeLines="0" w:afterLines="0" w:line="240" w:lineRule="auto"/>
              <w:rPr>
                <w:rFonts w:ascii="Times New Roman"/>
                <w:snapToGrid w:val="0"/>
                <w:kern w:val="21"/>
                <w:sz w:val="21"/>
                <w:szCs w:val="21"/>
                <w:highlight w:val="none"/>
              </w:rPr>
            </w:pPr>
            <w:r>
              <w:rPr>
                <w:rFonts w:ascii="Times New Roman"/>
                <w:snapToGrid w:val="0"/>
                <w:kern w:val="21"/>
                <w:sz w:val="21"/>
                <w:szCs w:val="21"/>
                <w:highlight w:val="none"/>
              </w:rPr>
              <w:t>废水</w:t>
            </w:r>
          </w:p>
        </w:tc>
        <w:tc>
          <w:tcPr>
            <w:tcW w:w="1746" w:type="dxa"/>
            <w:vAlign w:val="center"/>
          </w:tcPr>
          <w:p w14:paraId="554AC29D">
            <w:pPr>
              <w:pStyle w:val="42"/>
              <w:spacing w:beforeLines="0" w:afterLines="0" w:line="240" w:lineRule="auto"/>
              <w:rPr>
                <w:rFonts w:ascii="Times New Roman"/>
                <w:snapToGrid w:val="0"/>
                <w:kern w:val="21"/>
                <w:sz w:val="21"/>
                <w:szCs w:val="21"/>
                <w:highlight w:val="none"/>
              </w:rPr>
            </w:pPr>
            <w:r>
              <w:rPr>
                <w:rFonts w:ascii="Times New Roman"/>
                <w:snapToGrid w:val="0"/>
                <w:kern w:val="21"/>
                <w:sz w:val="21"/>
                <w:szCs w:val="21"/>
                <w:highlight w:val="none"/>
              </w:rPr>
              <w:t>/</w:t>
            </w:r>
          </w:p>
        </w:tc>
        <w:tc>
          <w:tcPr>
            <w:tcW w:w="1581" w:type="dxa"/>
            <w:vAlign w:val="center"/>
          </w:tcPr>
          <w:p w14:paraId="6CE73E2A">
            <w:pPr>
              <w:spacing w:beforeLines="0" w:afterLines="0" w:line="240" w:lineRule="auto"/>
              <w:jc w:val="center"/>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353" w:type="dxa"/>
            <w:vAlign w:val="center"/>
          </w:tcPr>
          <w:p w14:paraId="49EE3AA5">
            <w:pPr>
              <w:jc w:val="center"/>
              <w:rPr>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717" w:type="dxa"/>
            <w:vAlign w:val="center"/>
          </w:tcPr>
          <w:p w14:paraId="628FA90E">
            <w:pPr>
              <w:jc w:val="center"/>
              <w:rPr>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75" w:type="dxa"/>
            <w:vAlign w:val="center"/>
          </w:tcPr>
          <w:p w14:paraId="34F643E6">
            <w:pPr>
              <w:spacing w:beforeLines="0" w:afterLines="0" w:line="240" w:lineRule="auto"/>
              <w:jc w:val="center"/>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387" w:type="dxa"/>
            <w:vAlign w:val="center"/>
          </w:tcPr>
          <w:p w14:paraId="17EC419B">
            <w:pPr>
              <w:spacing w:beforeLines="0" w:afterLines="0" w:line="240" w:lineRule="auto"/>
              <w:jc w:val="center"/>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41" w:type="dxa"/>
            <w:vAlign w:val="center"/>
          </w:tcPr>
          <w:p w14:paraId="6E22AFEA">
            <w:pPr>
              <w:spacing w:beforeLines="0" w:afterLines="0" w:line="240" w:lineRule="auto"/>
              <w:jc w:val="center"/>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300" w:type="dxa"/>
            <w:vAlign w:val="center"/>
          </w:tcPr>
          <w:p w14:paraId="5FBC13B2">
            <w:pPr>
              <w:spacing w:beforeLines="0" w:afterLines="0" w:line="240" w:lineRule="auto"/>
              <w:jc w:val="center"/>
              <w:rPr>
                <w:rFonts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r>
      <w:tr w14:paraId="40ACF7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Merge w:val="restart"/>
            <w:vAlign w:val="center"/>
          </w:tcPr>
          <w:p w14:paraId="5A106C66">
            <w:pPr>
              <w:pStyle w:val="42"/>
              <w:spacing w:beforeLines="0" w:afterLines="0" w:line="240" w:lineRule="auto"/>
              <w:rPr>
                <w:rFonts w:ascii="Times New Roman"/>
                <w:snapToGrid w:val="0"/>
                <w:kern w:val="21"/>
                <w:sz w:val="21"/>
                <w:szCs w:val="21"/>
                <w:highlight w:val="none"/>
              </w:rPr>
            </w:pPr>
            <w:r>
              <w:rPr>
                <w:rFonts w:ascii="Times New Roman"/>
                <w:snapToGrid w:val="0"/>
                <w:kern w:val="21"/>
                <w:sz w:val="21"/>
                <w:szCs w:val="21"/>
                <w:highlight w:val="none"/>
              </w:rPr>
              <w:t>一般工业</w:t>
            </w:r>
          </w:p>
          <w:p w14:paraId="369C8B48">
            <w:pPr>
              <w:pStyle w:val="42"/>
              <w:spacing w:beforeLines="0" w:afterLines="0" w:line="240" w:lineRule="auto"/>
              <w:rPr>
                <w:rFonts w:ascii="Times New Roman"/>
                <w:snapToGrid w:val="0"/>
                <w:kern w:val="21"/>
                <w:sz w:val="21"/>
                <w:szCs w:val="21"/>
                <w:highlight w:val="none"/>
              </w:rPr>
            </w:pPr>
            <w:r>
              <w:rPr>
                <w:rFonts w:ascii="Times New Roman"/>
                <w:snapToGrid w:val="0"/>
                <w:kern w:val="21"/>
                <w:sz w:val="21"/>
                <w:szCs w:val="21"/>
                <w:highlight w:val="none"/>
              </w:rPr>
              <w:t>固体废物</w:t>
            </w:r>
          </w:p>
        </w:tc>
        <w:tc>
          <w:tcPr>
            <w:tcW w:w="1746" w:type="dxa"/>
            <w:shd w:val="clear" w:color="auto" w:fill="auto"/>
            <w:vAlign w:val="center"/>
          </w:tcPr>
          <w:p w14:paraId="5E82EA14">
            <w:pPr>
              <w:pStyle w:val="42"/>
              <w:spacing w:beforeLines="0" w:afterLines="0" w:line="240" w:lineRule="auto"/>
              <w:rPr>
                <w:rFonts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rPr>
              <w:t>除尘器收集尘</w:t>
            </w:r>
          </w:p>
        </w:tc>
        <w:tc>
          <w:tcPr>
            <w:tcW w:w="1581" w:type="dxa"/>
            <w:shd w:val="clear" w:color="auto" w:fill="auto"/>
            <w:vAlign w:val="center"/>
          </w:tcPr>
          <w:p w14:paraId="2FB4BB47">
            <w:pPr>
              <w:spacing w:beforeLines="0" w:afterLines="0" w:line="240" w:lineRule="auto"/>
              <w:jc w:val="center"/>
              <w:rPr>
                <w:rFonts w:hint="default"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353" w:type="dxa"/>
            <w:shd w:val="clear" w:color="auto" w:fill="auto"/>
            <w:vAlign w:val="center"/>
          </w:tcPr>
          <w:p w14:paraId="68E4D514">
            <w:pPr>
              <w:jc w:val="center"/>
              <w:rPr>
                <w:rFonts w:ascii="Times New Roman" w:hAnsi="Times New Roman" w:eastAsia="宋体" w:cs="Times New Roman"/>
                <w:snapToGrid w:val="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717" w:type="dxa"/>
            <w:shd w:val="clear" w:color="auto" w:fill="auto"/>
            <w:vAlign w:val="center"/>
          </w:tcPr>
          <w:p w14:paraId="03F3492F">
            <w:pPr>
              <w:jc w:val="center"/>
              <w:rPr>
                <w:rFonts w:ascii="Times New Roman" w:hAnsi="Times New Roman" w:eastAsia="宋体" w:cs="Times New Roman"/>
                <w:snapToGrid w:val="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575" w:type="dxa"/>
            <w:shd w:val="clear" w:color="auto" w:fill="auto"/>
            <w:vAlign w:val="center"/>
          </w:tcPr>
          <w:p w14:paraId="49020168">
            <w:pPr>
              <w:pStyle w:val="42"/>
              <w:spacing w:beforeLines="0" w:afterLines="0" w:line="240" w:lineRule="auto"/>
              <w:rPr>
                <w:rFonts w:hint="default" w:ascii="Times New Roman" w:hAnsi="Times New Roman" w:eastAsia="宋体"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15.32t/a</w:t>
            </w:r>
          </w:p>
        </w:tc>
        <w:tc>
          <w:tcPr>
            <w:tcW w:w="1387" w:type="dxa"/>
            <w:shd w:val="clear" w:color="auto" w:fill="auto"/>
            <w:vAlign w:val="center"/>
          </w:tcPr>
          <w:p w14:paraId="045B8B66">
            <w:pPr>
              <w:pStyle w:val="42"/>
              <w:spacing w:beforeLines="0" w:afterLines="0" w:line="240" w:lineRule="auto"/>
              <w:rPr>
                <w:rFonts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rPr>
              <w:t>0</w:t>
            </w:r>
          </w:p>
        </w:tc>
        <w:tc>
          <w:tcPr>
            <w:tcW w:w="1541" w:type="dxa"/>
            <w:shd w:val="clear" w:color="auto" w:fill="auto"/>
            <w:vAlign w:val="center"/>
          </w:tcPr>
          <w:p w14:paraId="41AED73B">
            <w:pPr>
              <w:pStyle w:val="42"/>
              <w:spacing w:beforeLines="0" w:afterLines="0" w:line="240" w:lineRule="auto"/>
              <w:rPr>
                <w:rFonts w:ascii="Times New Roman" w:hAnsi="Times New Roman" w:eastAsia="宋体"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15.32t/a</w:t>
            </w:r>
          </w:p>
        </w:tc>
        <w:tc>
          <w:tcPr>
            <w:tcW w:w="1300" w:type="dxa"/>
            <w:shd w:val="clear" w:color="auto" w:fill="auto"/>
            <w:vAlign w:val="center"/>
          </w:tcPr>
          <w:p w14:paraId="4BBE3BEB">
            <w:pPr>
              <w:pStyle w:val="42"/>
              <w:spacing w:beforeLines="0" w:afterLines="0" w:line="240" w:lineRule="auto"/>
              <w:rPr>
                <w:rFonts w:hint="default" w:ascii="Times New Roman" w:hAnsi="Times New Roman" w:eastAsia="宋体"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+15.32t/a</w:t>
            </w:r>
          </w:p>
        </w:tc>
      </w:tr>
      <w:tr w14:paraId="7095BD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Merge w:val="continue"/>
            <w:vAlign w:val="center"/>
          </w:tcPr>
          <w:p w14:paraId="47CA1522">
            <w:pPr>
              <w:pStyle w:val="42"/>
              <w:spacing w:beforeLines="0" w:afterLines="0" w:line="240" w:lineRule="auto"/>
              <w:rPr>
                <w:rFonts w:ascii="Times New Roman"/>
                <w:snapToGrid w:val="0"/>
                <w:kern w:val="21"/>
                <w:sz w:val="21"/>
                <w:szCs w:val="21"/>
                <w:highlight w:val="none"/>
              </w:rPr>
            </w:pPr>
          </w:p>
        </w:tc>
        <w:tc>
          <w:tcPr>
            <w:tcW w:w="1746" w:type="dxa"/>
            <w:shd w:val="clear" w:color="auto" w:fill="auto"/>
            <w:vAlign w:val="center"/>
          </w:tcPr>
          <w:p w14:paraId="2A2D2A97">
            <w:pPr>
              <w:pStyle w:val="42"/>
              <w:spacing w:beforeLines="0" w:afterLines="0" w:line="240" w:lineRule="auto"/>
              <w:rPr>
                <w:rFonts w:hint="eastAsia" w:ascii="Times New Roman" w:eastAsia="宋体"/>
                <w:snapToGrid w:val="0"/>
                <w:kern w:val="21"/>
                <w:sz w:val="21"/>
                <w:szCs w:val="21"/>
                <w:highlight w:val="none"/>
                <w:lang w:eastAsia="zh-CN"/>
              </w:rPr>
            </w:pPr>
            <w:r>
              <w:rPr>
                <w:rFonts w:hint="eastAsia" w:ascii="Times New Roman"/>
                <w:snapToGrid w:val="0"/>
                <w:kern w:val="21"/>
                <w:sz w:val="21"/>
                <w:szCs w:val="21"/>
                <w:highlight w:val="none"/>
                <w:lang w:eastAsia="zh-CN"/>
              </w:rPr>
              <w:t>含铁物料</w:t>
            </w:r>
          </w:p>
        </w:tc>
        <w:tc>
          <w:tcPr>
            <w:tcW w:w="1581" w:type="dxa"/>
            <w:shd w:val="clear" w:color="auto" w:fill="auto"/>
            <w:vAlign w:val="center"/>
          </w:tcPr>
          <w:p w14:paraId="66E22151">
            <w:pPr>
              <w:spacing w:beforeLines="0" w:afterLines="0" w:line="240" w:lineRule="auto"/>
              <w:jc w:val="center"/>
              <w:rPr>
                <w:rFonts w:hint="eastAsia"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353" w:type="dxa"/>
            <w:shd w:val="clear" w:color="auto" w:fill="auto"/>
            <w:vAlign w:val="center"/>
          </w:tcPr>
          <w:p w14:paraId="0FA26899">
            <w:pPr>
              <w:jc w:val="center"/>
              <w:rPr>
                <w:rFonts w:hint="eastAsia"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717" w:type="dxa"/>
            <w:shd w:val="clear" w:color="auto" w:fill="auto"/>
            <w:vAlign w:val="center"/>
          </w:tcPr>
          <w:p w14:paraId="11C7CB32">
            <w:pPr>
              <w:jc w:val="center"/>
              <w:rPr>
                <w:rFonts w:hint="eastAsia"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575" w:type="dxa"/>
            <w:shd w:val="clear" w:color="auto" w:fill="auto"/>
            <w:vAlign w:val="center"/>
          </w:tcPr>
          <w:p w14:paraId="44772674">
            <w:pPr>
              <w:pStyle w:val="42"/>
              <w:spacing w:beforeLines="0" w:afterLines="0" w:line="240" w:lineRule="auto"/>
              <w:rPr>
                <w:rFonts w:hint="default" w:ascii="Times New Roman"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0.6t/a</w:t>
            </w:r>
          </w:p>
        </w:tc>
        <w:tc>
          <w:tcPr>
            <w:tcW w:w="1387" w:type="dxa"/>
            <w:shd w:val="clear" w:color="auto" w:fill="auto"/>
            <w:vAlign w:val="center"/>
          </w:tcPr>
          <w:p w14:paraId="5D433690">
            <w:pPr>
              <w:pStyle w:val="42"/>
              <w:spacing w:beforeLines="0" w:afterLines="0" w:line="240" w:lineRule="auto"/>
              <w:jc w:val="center"/>
              <w:rPr>
                <w:rFonts w:hint="eastAsia" w:ascii="Times New Roman"/>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41" w:type="dxa"/>
            <w:shd w:val="clear" w:color="auto" w:fill="auto"/>
            <w:vAlign w:val="center"/>
          </w:tcPr>
          <w:p w14:paraId="3B884637">
            <w:pPr>
              <w:spacing w:beforeLines="0" w:afterLines="0" w:line="240" w:lineRule="auto"/>
              <w:jc w:val="center"/>
              <w:rPr>
                <w:rFonts w:hint="eastAsia" w:ascii="Times New Roman"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0.6t/a</w:t>
            </w:r>
          </w:p>
        </w:tc>
        <w:tc>
          <w:tcPr>
            <w:tcW w:w="1300" w:type="dxa"/>
            <w:shd w:val="clear" w:color="auto" w:fill="auto"/>
            <w:vAlign w:val="center"/>
          </w:tcPr>
          <w:p w14:paraId="45224AD7">
            <w:pPr>
              <w:spacing w:beforeLines="0" w:afterLines="0" w:line="240" w:lineRule="auto"/>
              <w:jc w:val="center"/>
              <w:rPr>
                <w:rFonts w:hint="eastAsia" w:ascii="Times New Roman" w:cs="Times New Roman"/>
                <w:snapToGrid w:val="0"/>
                <w:color w:val="000000"/>
                <w:kern w:val="21"/>
                <w:sz w:val="21"/>
                <w:szCs w:val="21"/>
                <w:highlight w:val="none"/>
                <w:lang w:val="en-US" w:eastAsia="zh-CN" w:bidi="ar-SA"/>
              </w:rPr>
            </w:pPr>
            <w:r>
              <w:rPr>
                <w:rFonts w:hint="eastAsia" w:cs="Times New Roman"/>
                <w:snapToGrid w:val="0"/>
                <w:color w:val="000000"/>
                <w:kern w:val="21"/>
                <w:sz w:val="21"/>
                <w:szCs w:val="21"/>
                <w:highlight w:val="none"/>
                <w:lang w:val="en-US" w:eastAsia="zh-CN" w:bidi="ar-SA"/>
              </w:rPr>
              <w:t>+</w:t>
            </w:r>
            <w:r>
              <w:rPr>
                <w:rFonts w:hint="eastAsia" w:ascii="Times New Roman" w:cs="Times New Roman"/>
                <w:snapToGrid w:val="0"/>
                <w:color w:val="000000"/>
                <w:kern w:val="21"/>
                <w:sz w:val="21"/>
                <w:szCs w:val="21"/>
                <w:highlight w:val="none"/>
                <w:lang w:val="en-US" w:eastAsia="zh-CN" w:bidi="ar-SA"/>
              </w:rPr>
              <w:t>0.6t/a</w:t>
            </w:r>
          </w:p>
        </w:tc>
      </w:tr>
      <w:tr w14:paraId="3A293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Merge w:val="continue"/>
            <w:vAlign w:val="center"/>
          </w:tcPr>
          <w:p w14:paraId="5D108CD7">
            <w:pPr>
              <w:pStyle w:val="42"/>
              <w:spacing w:beforeLines="0" w:afterLines="0" w:line="240" w:lineRule="auto"/>
              <w:rPr>
                <w:rFonts w:ascii="Times New Roman"/>
                <w:snapToGrid w:val="0"/>
                <w:kern w:val="21"/>
                <w:sz w:val="21"/>
                <w:szCs w:val="21"/>
                <w:highlight w:val="none"/>
              </w:rPr>
            </w:pPr>
          </w:p>
        </w:tc>
        <w:tc>
          <w:tcPr>
            <w:tcW w:w="1746" w:type="dxa"/>
            <w:shd w:val="clear" w:color="auto" w:fill="auto"/>
            <w:vAlign w:val="center"/>
          </w:tcPr>
          <w:p w14:paraId="35062C08">
            <w:pPr>
              <w:pStyle w:val="42"/>
              <w:spacing w:beforeLines="0" w:afterLines="0" w:line="240" w:lineRule="auto"/>
              <w:rPr>
                <w:rFonts w:hint="eastAsia"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lang w:eastAsia="zh-CN"/>
              </w:rPr>
              <w:t>废布袋</w:t>
            </w:r>
          </w:p>
        </w:tc>
        <w:tc>
          <w:tcPr>
            <w:tcW w:w="1581" w:type="dxa"/>
            <w:shd w:val="clear" w:color="auto" w:fill="auto"/>
            <w:vAlign w:val="center"/>
          </w:tcPr>
          <w:p w14:paraId="5E1D80D1">
            <w:pPr>
              <w:spacing w:beforeLines="0" w:afterLines="0" w:line="240" w:lineRule="auto"/>
              <w:jc w:val="center"/>
              <w:rPr>
                <w:rFonts w:hint="default"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353" w:type="dxa"/>
            <w:shd w:val="clear" w:color="auto" w:fill="auto"/>
            <w:vAlign w:val="center"/>
          </w:tcPr>
          <w:p w14:paraId="73D39789">
            <w:pPr>
              <w:jc w:val="center"/>
              <w:rPr>
                <w:rFonts w:ascii="Times New Roman" w:hAnsi="Times New Roman" w:eastAsia="宋体" w:cs="Times New Roman"/>
                <w:snapToGrid w:val="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717" w:type="dxa"/>
            <w:shd w:val="clear" w:color="auto" w:fill="auto"/>
            <w:vAlign w:val="center"/>
          </w:tcPr>
          <w:p w14:paraId="6977010F">
            <w:pPr>
              <w:jc w:val="center"/>
              <w:rPr>
                <w:rFonts w:ascii="Times New Roman" w:hAnsi="Times New Roman" w:eastAsia="宋体" w:cs="Times New Roman"/>
                <w:snapToGrid w:val="0"/>
                <w:kern w:val="21"/>
                <w:sz w:val="21"/>
                <w:szCs w:val="21"/>
                <w:highlight w:val="none"/>
                <w:lang w:val="en-US" w:eastAsia="zh-CN" w:bidi="ar-SA"/>
              </w:rPr>
            </w:pPr>
            <w:r>
              <w:rPr>
                <w:rFonts w:hint="eastAsia" w:ascii="Times New Roman"/>
                <w:snapToGrid w:val="0"/>
                <w:kern w:val="21"/>
                <w:sz w:val="21"/>
                <w:szCs w:val="21"/>
                <w:highlight w:val="none"/>
                <w:lang w:val="en-US" w:eastAsia="zh-CN"/>
              </w:rPr>
              <w:t>--</w:t>
            </w:r>
          </w:p>
        </w:tc>
        <w:tc>
          <w:tcPr>
            <w:tcW w:w="1575" w:type="dxa"/>
            <w:shd w:val="clear" w:color="auto" w:fill="auto"/>
            <w:vAlign w:val="center"/>
          </w:tcPr>
          <w:p w14:paraId="65B668BE">
            <w:pPr>
              <w:pStyle w:val="42"/>
              <w:spacing w:beforeLines="0" w:afterLines="0" w:line="240" w:lineRule="auto"/>
              <w:rPr>
                <w:rFonts w:hint="default" w:ascii="Times New Roman" w:hAnsi="Times New Roman" w:eastAsia="宋体" w:cs="Times New Roman"/>
                <w:snapToGrid w:val="0"/>
                <w:color w:val="00000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0.05t/a</w:t>
            </w:r>
          </w:p>
        </w:tc>
        <w:tc>
          <w:tcPr>
            <w:tcW w:w="1387" w:type="dxa"/>
            <w:shd w:val="clear" w:color="auto" w:fill="auto"/>
            <w:vAlign w:val="center"/>
          </w:tcPr>
          <w:p w14:paraId="05E8F9AC">
            <w:pPr>
              <w:pStyle w:val="42"/>
              <w:spacing w:beforeLines="0" w:afterLines="0" w:line="240" w:lineRule="auto"/>
              <w:rPr>
                <w:rFonts w:ascii="Times New Roman" w:hAnsi="Times New Roman" w:eastAsia="宋体" w:cs="Times New Roman"/>
                <w:snapToGrid w:val="0"/>
                <w:color w:val="000000"/>
                <w:kern w:val="21"/>
                <w:sz w:val="21"/>
                <w:szCs w:val="21"/>
                <w:highlight w:val="none"/>
                <w:lang w:val="en-US" w:eastAsia="zh-CN" w:bidi="ar-SA"/>
              </w:rPr>
            </w:pPr>
            <w:r>
              <w:rPr>
                <w:rFonts w:hint="eastAsia" w:ascii="Times New Roman"/>
                <w:snapToGrid w:val="0"/>
                <w:kern w:val="21"/>
                <w:sz w:val="21"/>
                <w:szCs w:val="21"/>
                <w:highlight w:val="none"/>
              </w:rPr>
              <w:t>0</w:t>
            </w:r>
          </w:p>
        </w:tc>
        <w:tc>
          <w:tcPr>
            <w:tcW w:w="1541" w:type="dxa"/>
            <w:shd w:val="clear" w:color="auto" w:fill="auto"/>
            <w:vAlign w:val="center"/>
          </w:tcPr>
          <w:p w14:paraId="50672B66">
            <w:pPr>
              <w:spacing w:beforeLines="0" w:afterLines="0" w:line="240" w:lineRule="auto"/>
              <w:jc w:val="center"/>
              <w:rPr>
                <w:rFonts w:ascii="Times New Roman" w:hAnsi="Times New Roman" w:eastAsia="宋体" w:cs="Times New Roman"/>
                <w:snapToGrid w:val="0"/>
                <w:kern w:val="21"/>
                <w:sz w:val="21"/>
                <w:szCs w:val="21"/>
                <w:highlight w:val="none"/>
                <w:lang w:val="en-US" w:eastAsia="zh-CN" w:bidi="ar-SA"/>
              </w:rPr>
            </w:pPr>
            <w:r>
              <w:rPr>
                <w:rFonts w:hint="eastAsia" w:ascii="Times New Roman" w:cs="Times New Roman"/>
                <w:snapToGrid w:val="0"/>
                <w:color w:val="000000"/>
                <w:kern w:val="21"/>
                <w:sz w:val="21"/>
                <w:szCs w:val="21"/>
                <w:highlight w:val="none"/>
                <w:lang w:val="en-US" w:eastAsia="zh-CN" w:bidi="ar-SA"/>
              </w:rPr>
              <w:t>0.05t/a</w:t>
            </w:r>
          </w:p>
        </w:tc>
        <w:tc>
          <w:tcPr>
            <w:tcW w:w="1300" w:type="dxa"/>
            <w:shd w:val="clear" w:color="auto" w:fill="auto"/>
            <w:vAlign w:val="center"/>
          </w:tcPr>
          <w:p w14:paraId="3FDB4FCC">
            <w:pPr>
              <w:spacing w:beforeLines="0" w:afterLines="0" w:line="240" w:lineRule="auto"/>
              <w:jc w:val="center"/>
              <w:rPr>
                <w:rFonts w:hint="default" w:ascii="Times New Roman" w:hAnsi="Times New Roman" w:eastAsia="宋体" w:cs="Times New Roman"/>
                <w:snapToGrid w:val="0"/>
                <w:kern w:val="21"/>
                <w:sz w:val="21"/>
                <w:szCs w:val="21"/>
                <w:highlight w:val="none"/>
                <w:lang w:val="en-US" w:eastAsia="zh-CN" w:bidi="ar-SA"/>
              </w:rPr>
            </w:pPr>
            <w:r>
              <w:rPr>
                <w:rFonts w:hint="eastAsia" w:cs="Times New Roman"/>
                <w:snapToGrid w:val="0"/>
                <w:kern w:val="21"/>
                <w:sz w:val="21"/>
                <w:szCs w:val="21"/>
                <w:highlight w:val="none"/>
                <w:lang w:val="en-US" w:eastAsia="zh-CN" w:bidi="ar-SA"/>
              </w:rPr>
              <w:t>+</w:t>
            </w:r>
            <w:r>
              <w:rPr>
                <w:rFonts w:hint="eastAsia" w:ascii="Times New Roman" w:cs="Times New Roman"/>
                <w:snapToGrid w:val="0"/>
                <w:color w:val="000000"/>
                <w:kern w:val="21"/>
                <w:sz w:val="21"/>
                <w:szCs w:val="21"/>
                <w:highlight w:val="none"/>
                <w:lang w:val="en-US" w:eastAsia="zh-CN" w:bidi="ar-SA"/>
              </w:rPr>
              <w:t>0.05t/a</w:t>
            </w:r>
          </w:p>
        </w:tc>
      </w:tr>
      <w:tr w14:paraId="3F706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Merge w:val="continue"/>
            <w:vAlign w:val="center"/>
          </w:tcPr>
          <w:p w14:paraId="27BC1B54">
            <w:pPr>
              <w:pStyle w:val="42"/>
              <w:spacing w:beforeLines="0" w:afterLines="0" w:line="240" w:lineRule="auto"/>
              <w:rPr>
                <w:rFonts w:ascii="Times New Roman"/>
                <w:snapToGrid w:val="0"/>
                <w:kern w:val="21"/>
                <w:sz w:val="21"/>
                <w:szCs w:val="21"/>
                <w:highlight w:val="none"/>
              </w:rPr>
            </w:pPr>
          </w:p>
        </w:tc>
        <w:tc>
          <w:tcPr>
            <w:tcW w:w="1746" w:type="dxa"/>
            <w:shd w:val="clear" w:color="auto" w:fill="auto"/>
            <w:vAlign w:val="center"/>
          </w:tcPr>
          <w:p w14:paraId="3B279BE8">
            <w:pPr>
              <w:pStyle w:val="42"/>
              <w:spacing w:beforeLines="0" w:afterLines="0" w:line="240" w:lineRule="auto"/>
              <w:rPr>
                <w:rFonts w:hint="eastAsia" w:ascii="Times New Roman"/>
                <w:snapToGrid w:val="0"/>
                <w:kern w:val="21"/>
                <w:sz w:val="21"/>
                <w:szCs w:val="21"/>
                <w:highlight w:val="none"/>
                <w:lang w:eastAsia="zh-CN"/>
              </w:rPr>
            </w:pPr>
            <w:r>
              <w:rPr>
                <w:rFonts w:hint="eastAsia" w:ascii="Times New Roman"/>
                <w:snapToGrid w:val="0"/>
                <w:kern w:val="21"/>
                <w:sz w:val="21"/>
                <w:szCs w:val="21"/>
                <w:highlight w:val="none"/>
                <w:lang w:eastAsia="zh-CN"/>
              </w:rPr>
              <w:t>废包装材料</w:t>
            </w:r>
          </w:p>
        </w:tc>
        <w:tc>
          <w:tcPr>
            <w:tcW w:w="1581" w:type="dxa"/>
            <w:shd w:val="clear" w:color="auto" w:fill="auto"/>
            <w:vAlign w:val="center"/>
          </w:tcPr>
          <w:p w14:paraId="3B36E430">
            <w:pPr>
              <w:spacing w:beforeLines="0" w:afterLines="0" w:line="240" w:lineRule="auto"/>
              <w:jc w:val="center"/>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353" w:type="dxa"/>
            <w:shd w:val="clear" w:color="auto" w:fill="auto"/>
            <w:vAlign w:val="center"/>
          </w:tcPr>
          <w:p w14:paraId="4087899C">
            <w:pPr>
              <w:jc w:val="center"/>
              <w:rPr>
                <w:rFonts w:hint="eastAsia"/>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717" w:type="dxa"/>
            <w:shd w:val="clear" w:color="auto" w:fill="auto"/>
            <w:vAlign w:val="center"/>
          </w:tcPr>
          <w:p w14:paraId="514118D3">
            <w:pPr>
              <w:jc w:val="center"/>
              <w:rPr>
                <w:rFonts w:hint="eastAsia"/>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75" w:type="dxa"/>
            <w:shd w:val="clear" w:color="auto" w:fill="auto"/>
            <w:vAlign w:val="center"/>
          </w:tcPr>
          <w:p w14:paraId="25663766">
            <w:pPr>
              <w:pStyle w:val="42"/>
              <w:spacing w:beforeLines="0" w:afterLines="0" w:line="240" w:lineRule="auto"/>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0.5t/a</w:t>
            </w:r>
          </w:p>
        </w:tc>
        <w:tc>
          <w:tcPr>
            <w:tcW w:w="1387" w:type="dxa"/>
            <w:shd w:val="clear" w:color="auto" w:fill="auto"/>
            <w:vAlign w:val="center"/>
          </w:tcPr>
          <w:p w14:paraId="0E62DB7D">
            <w:pPr>
              <w:pStyle w:val="42"/>
              <w:spacing w:beforeLines="0" w:afterLines="0" w:line="240" w:lineRule="auto"/>
              <w:rPr>
                <w:rFonts w:hint="eastAsia" w:ascii="Times New Roman" w:eastAsia="宋体"/>
                <w:snapToGrid w:val="0"/>
                <w:kern w:val="21"/>
                <w:sz w:val="21"/>
                <w:szCs w:val="21"/>
                <w:highlight w:val="none"/>
                <w:lang w:val="en-US" w:eastAsia="zh-CN"/>
              </w:rPr>
            </w:pPr>
            <w:r>
              <w:rPr>
                <w:rFonts w:hint="eastAsia" w:ascii="Times New Roman"/>
                <w:snapToGrid w:val="0"/>
                <w:kern w:val="21"/>
                <w:sz w:val="21"/>
                <w:szCs w:val="21"/>
                <w:highlight w:val="none"/>
                <w:lang w:val="en-US" w:eastAsia="zh-CN"/>
              </w:rPr>
              <w:t>0</w:t>
            </w:r>
          </w:p>
        </w:tc>
        <w:tc>
          <w:tcPr>
            <w:tcW w:w="1541" w:type="dxa"/>
            <w:shd w:val="clear" w:color="auto" w:fill="auto"/>
            <w:vAlign w:val="center"/>
          </w:tcPr>
          <w:p w14:paraId="48D7D954">
            <w:pPr>
              <w:spacing w:beforeLines="0" w:afterLines="0" w:line="240" w:lineRule="auto"/>
              <w:jc w:val="center"/>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0.5t/a</w:t>
            </w:r>
          </w:p>
        </w:tc>
        <w:tc>
          <w:tcPr>
            <w:tcW w:w="1300" w:type="dxa"/>
            <w:shd w:val="clear" w:color="auto" w:fill="auto"/>
            <w:vAlign w:val="center"/>
          </w:tcPr>
          <w:p w14:paraId="3E8A4D56">
            <w:pPr>
              <w:spacing w:beforeLines="0" w:afterLines="0" w:line="240" w:lineRule="auto"/>
              <w:jc w:val="center"/>
              <w:rPr>
                <w:rFonts w:hint="default" w:ascii="Times New Roman"/>
                <w:snapToGrid w:val="0"/>
                <w:kern w:val="21"/>
                <w:sz w:val="21"/>
                <w:szCs w:val="21"/>
                <w:highlight w:val="none"/>
                <w:lang w:val="en-US" w:eastAsia="zh-CN"/>
              </w:rPr>
            </w:pPr>
            <w:r>
              <w:rPr>
                <w:rFonts w:hint="eastAsia"/>
                <w:snapToGrid w:val="0"/>
                <w:kern w:val="21"/>
                <w:sz w:val="21"/>
                <w:szCs w:val="21"/>
                <w:highlight w:val="none"/>
                <w:lang w:val="en-US" w:eastAsia="zh-CN"/>
              </w:rPr>
              <w:t>+</w:t>
            </w:r>
            <w:r>
              <w:rPr>
                <w:rFonts w:hint="eastAsia" w:ascii="Times New Roman"/>
                <w:snapToGrid w:val="0"/>
                <w:kern w:val="21"/>
                <w:sz w:val="21"/>
                <w:szCs w:val="21"/>
                <w:highlight w:val="none"/>
                <w:lang w:val="en-US" w:eastAsia="zh-CN"/>
              </w:rPr>
              <w:t>0.5t/a</w:t>
            </w:r>
          </w:p>
        </w:tc>
      </w:tr>
      <w:tr w14:paraId="35493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88" w:type="dxa"/>
            <w:vMerge w:val="continue"/>
            <w:vAlign w:val="center"/>
          </w:tcPr>
          <w:p w14:paraId="414126A4">
            <w:pPr>
              <w:pStyle w:val="42"/>
              <w:spacing w:beforeLines="0" w:afterLines="0" w:line="240" w:lineRule="auto"/>
              <w:rPr>
                <w:rFonts w:ascii="Times New Roman"/>
                <w:snapToGrid w:val="0"/>
                <w:kern w:val="21"/>
                <w:sz w:val="21"/>
                <w:szCs w:val="21"/>
                <w:highlight w:val="none"/>
              </w:rPr>
            </w:pPr>
          </w:p>
        </w:tc>
        <w:tc>
          <w:tcPr>
            <w:tcW w:w="1746" w:type="dxa"/>
            <w:shd w:val="clear" w:color="auto" w:fill="auto"/>
            <w:vAlign w:val="center"/>
          </w:tcPr>
          <w:p w14:paraId="01C38CD5">
            <w:pPr>
              <w:pStyle w:val="42"/>
              <w:spacing w:beforeLines="0" w:afterLines="0" w:line="240" w:lineRule="auto"/>
              <w:rPr>
                <w:rFonts w:hint="eastAsia" w:ascii="Times New Roman"/>
                <w:snapToGrid w:val="0"/>
                <w:kern w:val="21"/>
                <w:sz w:val="21"/>
                <w:szCs w:val="21"/>
                <w:highlight w:val="none"/>
                <w:lang w:eastAsia="zh-CN"/>
              </w:rPr>
            </w:pPr>
            <w:r>
              <w:rPr>
                <w:rFonts w:hint="eastAsia" w:ascii="Times New Roman"/>
                <w:snapToGrid w:val="0"/>
                <w:kern w:val="21"/>
                <w:sz w:val="21"/>
                <w:szCs w:val="21"/>
                <w:highlight w:val="none"/>
                <w:lang w:eastAsia="zh-CN"/>
              </w:rPr>
              <w:t>生活垃圾</w:t>
            </w:r>
          </w:p>
        </w:tc>
        <w:tc>
          <w:tcPr>
            <w:tcW w:w="1581" w:type="dxa"/>
            <w:shd w:val="clear" w:color="auto" w:fill="auto"/>
            <w:vAlign w:val="center"/>
          </w:tcPr>
          <w:p w14:paraId="69AF1C86">
            <w:pPr>
              <w:spacing w:beforeLines="0" w:afterLines="0" w:line="240" w:lineRule="auto"/>
              <w:jc w:val="center"/>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w:t>
            </w:r>
          </w:p>
        </w:tc>
        <w:tc>
          <w:tcPr>
            <w:tcW w:w="1353" w:type="dxa"/>
            <w:shd w:val="clear" w:color="auto" w:fill="auto"/>
            <w:vAlign w:val="center"/>
          </w:tcPr>
          <w:p w14:paraId="32517DA8">
            <w:pPr>
              <w:jc w:val="center"/>
              <w:rPr>
                <w:rFonts w:hint="eastAsia"/>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717" w:type="dxa"/>
            <w:shd w:val="clear" w:color="auto" w:fill="auto"/>
            <w:vAlign w:val="center"/>
          </w:tcPr>
          <w:p w14:paraId="0C69CB5B">
            <w:pPr>
              <w:jc w:val="center"/>
              <w:rPr>
                <w:rFonts w:hint="eastAsia"/>
                <w:snapToGrid w:val="0"/>
                <w:kern w:val="21"/>
                <w:sz w:val="21"/>
                <w:szCs w:val="21"/>
                <w:highlight w:val="none"/>
              </w:rPr>
            </w:pPr>
            <w:r>
              <w:rPr>
                <w:rFonts w:hint="eastAsia" w:ascii="Times New Roman"/>
                <w:snapToGrid w:val="0"/>
                <w:kern w:val="21"/>
                <w:sz w:val="21"/>
                <w:szCs w:val="21"/>
                <w:highlight w:val="none"/>
                <w:lang w:val="en-US" w:eastAsia="zh-CN"/>
              </w:rPr>
              <w:t>--</w:t>
            </w:r>
          </w:p>
        </w:tc>
        <w:tc>
          <w:tcPr>
            <w:tcW w:w="1575" w:type="dxa"/>
            <w:shd w:val="clear" w:color="auto" w:fill="auto"/>
            <w:vAlign w:val="center"/>
          </w:tcPr>
          <w:p w14:paraId="3E8E7A30">
            <w:pPr>
              <w:pStyle w:val="42"/>
              <w:spacing w:beforeLines="0" w:afterLines="0" w:line="240" w:lineRule="auto"/>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2.4t/a</w:t>
            </w:r>
          </w:p>
        </w:tc>
        <w:tc>
          <w:tcPr>
            <w:tcW w:w="1387" w:type="dxa"/>
            <w:shd w:val="clear" w:color="auto" w:fill="auto"/>
            <w:vAlign w:val="center"/>
          </w:tcPr>
          <w:p w14:paraId="4BE13838">
            <w:pPr>
              <w:pStyle w:val="42"/>
              <w:spacing w:beforeLines="0" w:afterLines="0" w:line="240" w:lineRule="auto"/>
              <w:rPr>
                <w:rFonts w:hint="eastAsia" w:ascii="Times New Roman" w:eastAsia="宋体"/>
                <w:snapToGrid w:val="0"/>
                <w:kern w:val="21"/>
                <w:sz w:val="21"/>
                <w:szCs w:val="21"/>
                <w:highlight w:val="none"/>
                <w:lang w:val="en-US" w:eastAsia="zh-CN"/>
              </w:rPr>
            </w:pPr>
            <w:r>
              <w:rPr>
                <w:rFonts w:hint="eastAsia" w:ascii="Times New Roman"/>
                <w:snapToGrid w:val="0"/>
                <w:kern w:val="21"/>
                <w:sz w:val="21"/>
                <w:szCs w:val="21"/>
                <w:highlight w:val="none"/>
                <w:lang w:val="en-US" w:eastAsia="zh-CN"/>
              </w:rPr>
              <w:t>0</w:t>
            </w:r>
          </w:p>
        </w:tc>
        <w:tc>
          <w:tcPr>
            <w:tcW w:w="1541" w:type="dxa"/>
            <w:shd w:val="clear" w:color="auto" w:fill="auto"/>
            <w:vAlign w:val="center"/>
          </w:tcPr>
          <w:p w14:paraId="0E07E071">
            <w:pPr>
              <w:spacing w:beforeLines="0" w:afterLines="0" w:line="240" w:lineRule="auto"/>
              <w:jc w:val="center"/>
              <w:rPr>
                <w:rFonts w:hint="default" w:ascii="Times New Roman"/>
                <w:snapToGrid w:val="0"/>
                <w:kern w:val="21"/>
                <w:sz w:val="21"/>
                <w:szCs w:val="21"/>
                <w:highlight w:val="none"/>
                <w:lang w:val="en-US" w:eastAsia="zh-CN"/>
              </w:rPr>
            </w:pPr>
            <w:r>
              <w:rPr>
                <w:rFonts w:hint="eastAsia" w:ascii="Times New Roman"/>
                <w:snapToGrid w:val="0"/>
                <w:kern w:val="21"/>
                <w:sz w:val="21"/>
                <w:szCs w:val="21"/>
                <w:highlight w:val="none"/>
                <w:lang w:val="en-US" w:eastAsia="zh-CN"/>
              </w:rPr>
              <w:t>2.4t/a</w:t>
            </w:r>
          </w:p>
        </w:tc>
        <w:tc>
          <w:tcPr>
            <w:tcW w:w="1300" w:type="dxa"/>
            <w:shd w:val="clear" w:color="auto" w:fill="auto"/>
            <w:vAlign w:val="center"/>
          </w:tcPr>
          <w:p w14:paraId="5F2DF7D5">
            <w:pPr>
              <w:spacing w:beforeLines="0" w:afterLines="0" w:line="240" w:lineRule="auto"/>
              <w:jc w:val="center"/>
              <w:rPr>
                <w:rFonts w:hint="default" w:ascii="Times New Roman"/>
                <w:snapToGrid w:val="0"/>
                <w:kern w:val="21"/>
                <w:sz w:val="21"/>
                <w:szCs w:val="21"/>
                <w:highlight w:val="none"/>
                <w:lang w:val="en-US" w:eastAsia="zh-CN"/>
              </w:rPr>
            </w:pPr>
            <w:r>
              <w:rPr>
                <w:rFonts w:hint="eastAsia"/>
                <w:snapToGrid w:val="0"/>
                <w:kern w:val="21"/>
                <w:sz w:val="21"/>
                <w:szCs w:val="21"/>
                <w:highlight w:val="none"/>
                <w:lang w:val="en-US" w:eastAsia="zh-CN"/>
              </w:rPr>
              <w:t>+</w:t>
            </w:r>
            <w:r>
              <w:rPr>
                <w:rFonts w:hint="eastAsia" w:ascii="Times New Roman"/>
                <w:snapToGrid w:val="0"/>
                <w:kern w:val="21"/>
                <w:sz w:val="21"/>
                <w:szCs w:val="21"/>
                <w:highlight w:val="none"/>
                <w:lang w:val="en-US" w:eastAsia="zh-CN"/>
              </w:rPr>
              <w:t>2.4t/a</w:t>
            </w:r>
          </w:p>
        </w:tc>
      </w:tr>
    </w:tbl>
    <w:p w14:paraId="627113E6">
      <w:pPr>
        <w:pStyle w:val="42"/>
        <w:spacing w:before="192" w:beforeLines="80" w:after="24"/>
        <w:jc w:val="left"/>
        <w:rPr>
          <w:rFonts w:ascii="Times New Roman"/>
          <w:snapToGrid w:val="0"/>
          <w:color w:val="000000"/>
          <w:spacing w:val="-6"/>
          <w:kern w:val="21"/>
          <w:szCs w:val="21"/>
        </w:rPr>
      </w:pPr>
      <w:r>
        <w:rPr>
          <w:rFonts w:ascii="Times New Roman"/>
          <w:snapToGrid w:val="0"/>
          <w:color w:val="000000"/>
          <w:kern w:val="21"/>
          <w:szCs w:val="21"/>
        </w:rPr>
        <w:t>注：</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ascii="Times New Roman"/>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ascii="Times New Roman"/>
          <w:szCs w:val="21"/>
        </w:rPr>
        <w:t>①</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3 \* GB3 \* MERGEFORMAT </w:instrText>
      </w:r>
      <w:r>
        <w:rPr>
          <w:rFonts w:ascii="Times New Roman"/>
          <w:snapToGrid w:val="0"/>
          <w:color w:val="000000"/>
          <w:spacing w:val="-6"/>
          <w:kern w:val="21"/>
          <w:szCs w:val="21"/>
        </w:rPr>
        <w:fldChar w:fldCharType="separate"/>
      </w:r>
      <w:r>
        <w:rPr>
          <w:rFonts w:ascii="Times New Roman"/>
          <w:szCs w:val="21"/>
        </w:rPr>
        <w:t>③</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4 \* GB3 \* MERGEFORMAT </w:instrText>
      </w:r>
      <w:r>
        <w:rPr>
          <w:rFonts w:ascii="Times New Roman"/>
          <w:snapToGrid w:val="0"/>
          <w:color w:val="000000"/>
          <w:spacing w:val="-6"/>
          <w:kern w:val="21"/>
          <w:szCs w:val="21"/>
        </w:rPr>
        <w:fldChar w:fldCharType="separate"/>
      </w:r>
      <w:r>
        <w:rPr>
          <w:rFonts w:ascii="Times New Roman"/>
          <w:szCs w:val="21"/>
        </w:rPr>
        <w:t>④</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5 \* GB3 \* MERGEFORMAT </w:instrText>
      </w:r>
      <w:r>
        <w:rPr>
          <w:rFonts w:ascii="Times New Roman"/>
          <w:snapToGrid w:val="0"/>
          <w:color w:val="000000"/>
          <w:spacing w:val="-16"/>
          <w:kern w:val="21"/>
          <w:szCs w:val="21"/>
        </w:rPr>
        <w:fldChar w:fldCharType="separate"/>
      </w:r>
      <w:r>
        <w:rPr>
          <w:rFonts w:ascii="Times New Roman"/>
          <w:szCs w:val="21"/>
        </w:rPr>
        <w:t>⑤</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7 \* GB3 \* MERGEFORMAT </w:instrText>
      </w:r>
      <w:r>
        <w:rPr>
          <w:rFonts w:ascii="Times New Roman"/>
          <w:snapToGrid w:val="0"/>
          <w:color w:val="000000"/>
          <w:spacing w:val="-6"/>
          <w:kern w:val="21"/>
          <w:szCs w:val="21"/>
        </w:rPr>
        <w:fldChar w:fldCharType="separate"/>
      </w:r>
      <w:r>
        <w:rPr>
          <w:rFonts w:ascii="Times New Roman"/>
          <w:szCs w:val="21"/>
        </w:rPr>
        <w:t>⑦</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ascii="Times New Roman"/>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ascii="Times New Roman"/>
          <w:szCs w:val="21"/>
        </w:rPr>
        <w:t>①</w:t>
      </w:r>
      <w:r>
        <w:rPr>
          <w:rFonts w:ascii="Times New Roman"/>
          <w:snapToGrid w:val="0"/>
          <w:color w:val="000000"/>
          <w:spacing w:val="-6"/>
          <w:kern w:val="21"/>
          <w:szCs w:val="21"/>
        </w:rPr>
        <w:fldChar w:fldCharType="end"/>
      </w:r>
    </w:p>
    <w:p w14:paraId="49FBF8EB">
      <w:p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229E7E4">
      <w:pPr>
        <w:rPr>
          <w:rFonts w:hint="eastAsia" w:eastAsia="宋体"/>
          <w:b/>
          <w:bCs/>
          <w:sz w:val="32"/>
          <w:szCs w:val="40"/>
          <w:lang w:val="en-US" w:eastAsia="zh-CN"/>
        </w:rPr>
      </w:pPr>
      <w:r>
        <w:rPr>
          <w:rFonts w:hint="eastAsia" w:eastAsia="宋体"/>
          <w:b/>
          <w:bCs/>
          <w:sz w:val="32"/>
          <w:szCs w:val="40"/>
          <w:lang w:val="en-US" w:eastAsia="zh-CN"/>
        </w:rPr>
        <w:t>附件1 环评委托书</w:t>
      </w:r>
    </w:p>
    <w:p w14:paraId="7BBC5E8B">
      <w:pPr>
        <w:keepNext w:val="0"/>
        <w:keepLines w:val="0"/>
        <w:pageBreakBefore w:val="0"/>
        <w:widowControl w:val="0"/>
        <w:kinsoku/>
        <w:wordWrap/>
        <w:overflowPunct/>
        <w:topLinePunct w:val="0"/>
        <w:autoSpaceDE/>
        <w:autoSpaceDN/>
        <w:bidi w:val="0"/>
        <w:adjustRightInd/>
        <w:snapToGrid/>
        <w:spacing w:line="539" w:lineRule="exact"/>
        <w:ind w:left="0"/>
        <w:jc w:val="center"/>
        <w:textAlignment w:val="auto"/>
        <w:rPr>
          <w:rFonts w:ascii="宋体" w:hAnsi="宋体" w:eastAsia="宋体" w:cs="宋体"/>
          <w:b/>
          <w:bCs/>
          <w:sz w:val="44"/>
          <w:szCs w:val="44"/>
          <w:lang w:eastAsia="zh-CN"/>
        </w:rPr>
      </w:pPr>
    </w:p>
    <w:p w14:paraId="7F66ACB4">
      <w:pPr>
        <w:keepNext w:val="0"/>
        <w:keepLines w:val="0"/>
        <w:pageBreakBefore w:val="0"/>
        <w:widowControl w:val="0"/>
        <w:kinsoku/>
        <w:wordWrap/>
        <w:overflowPunct/>
        <w:topLinePunct w:val="0"/>
        <w:autoSpaceDE/>
        <w:autoSpaceDN/>
        <w:bidi w:val="0"/>
        <w:adjustRightInd/>
        <w:snapToGrid/>
        <w:spacing w:line="539" w:lineRule="exact"/>
        <w:ind w:left="0"/>
        <w:jc w:val="center"/>
        <w:textAlignment w:val="auto"/>
        <w:rPr>
          <w:rFonts w:ascii="宋体" w:hAnsi="宋体" w:eastAsia="宋体" w:cs="宋体"/>
          <w:b/>
          <w:bCs/>
          <w:sz w:val="44"/>
          <w:szCs w:val="44"/>
          <w:lang w:eastAsia="zh-CN"/>
        </w:rPr>
      </w:pPr>
    </w:p>
    <w:p w14:paraId="68C5D895">
      <w:pPr>
        <w:keepNext w:val="0"/>
        <w:keepLines w:val="0"/>
        <w:pageBreakBefore w:val="0"/>
        <w:widowControl w:val="0"/>
        <w:kinsoku/>
        <w:wordWrap/>
        <w:overflowPunct/>
        <w:topLinePunct w:val="0"/>
        <w:autoSpaceDE/>
        <w:autoSpaceDN/>
        <w:bidi w:val="0"/>
        <w:adjustRightInd/>
        <w:snapToGrid/>
        <w:spacing w:line="539" w:lineRule="exact"/>
        <w:ind w:left="0"/>
        <w:jc w:val="center"/>
        <w:textAlignment w:val="auto"/>
        <w:rPr>
          <w:rFonts w:ascii="宋体" w:hAnsi="宋体" w:eastAsia="宋体" w:cs="宋体"/>
          <w:b/>
          <w:bCs/>
          <w:sz w:val="44"/>
          <w:szCs w:val="44"/>
          <w:lang w:eastAsia="zh-CN"/>
        </w:rPr>
      </w:pPr>
    </w:p>
    <w:p w14:paraId="0BEBA2B5">
      <w:pPr>
        <w:keepNext w:val="0"/>
        <w:keepLines w:val="0"/>
        <w:pageBreakBefore w:val="0"/>
        <w:widowControl w:val="0"/>
        <w:kinsoku/>
        <w:wordWrap/>
        <w:overflowPunct/>
        <w:topLinePunct w:val="0"/>
        <w:autoSpaceDE/>
        <w:autoSpaceDN/>
        <w:bidi w:val="0"/>
        <w:adjustRightInd/>
        <w:snapToGrid/>
        <w:spacing w:line="539" w:lineRule="exact"/>
        <w:ind w:left="0"/>
        <w:jc w:val="center"/>
        <w:textAlignment w:val="auto"/>
        <w:rPr>
          <w:rFonts w:ascii="宋体" w:hAnsi="宋体" w:eastAsia="宋体" w:cs="宋体"/>
          <w:sz w:val="44"/>
          <w:szCs w:val="44"/>
          <w:lang w:eastAsia="zh-CN"/>
        </w:rPr>
      </w:pPr>
      <w:r>
        <w:rPr>
          <w:rFonts w:ascii="宋体" w:hAnsi="宋体" w:eastAsia="宋体" w:cs="宋体"/>
          <w:b/>
          <w:bCs/>
          <w:sz w:val="44"/>
          <w:szCs w:val="44"/>
          <w:lang w:eastAsia="zh-CN"/>
        </w:rPr>
        <w:t>环</w:t>
      </w:r>
      <w:r>
        <w:rPr>
          <w:rFonts w:ascii="宋体" w:hAnsi="宋体" w:eastAsia="宋体" w:cs="宋体"/>
          <w:b/>
          <w:bCs/>
          <w:spacing w:val="-3"/>
          <w:sz w:val="44"/>
          <w:szCs w:val="44"/>
          <w:lang w:eastAsia="zh-CN"/>
        </w:rPr>
        <w:t xml:space="preserve"> </w:t>
      </w:r>
      <w:r>
        <w:rPr>
          <w:rFonts w:ascii="宋体" w:hAnsi="宋体" w:eastAsia="宋体" w:cs="宋体"/>
          <w:b/>
          <w:bCs/>
          <w:sz w:val="44"/>
          <w:szCs w:val="44"/>
          <w:lang w:eastAsia="zh-CN"/>
        </w:rPr>
        <w:t>评</w:t>
      </w:r>
      <w:r>
        <w:rPr>
          <w:rFonts w:ascii="宋体" w:hAnsi="宋体" w:eastAsia="宋体" w:cs="宋体"/>
          <w:b/>
          <w:bCs/>
          <w:spacing w:val="-2"/>
          <w:sz w:val="44"/>
          <w:szCs w:val="44"/>
          <w:lang w:eastAsia="zh-CN"/>
        </w:rPr>
        <w:t xml:space="preserve"> </w:t>
      </w:r>
      <w:r>
        <w:rPr>
          <w:rFonts w:ascii="宋体" w:hAnsi="宋体" w:eastAsia="宋体" w:cs="宋体"/>
          <w:b/>
          <w:bCs/>
          <w:sz w:val="44"/>
          <w:szCs w:val="44"/>
          <w:lang w:eastAsia="zh-CN"/>
        </w:rPr>
        <w:t>委</w:t>
      </w:r>
      <w:r>
        <w:rPr>
          <w:rFonts w:ascii="宋体" w:hAnsi="宋体" w:eastAsia="宋体" w:cs="宋体"/>
          <w:b/>
          <w:bCs/>
          <w:spacing w:val="-3"/>
          <w:sz w:val="44"/>
          <w:szCs w:val="44"/>
          <w:lang w:eastAsia="zh-CN"/>
        </w:rPr>
        <w:t xml:space="preserve"> </w:t>
      </w:r>
      <w:r>
        <w:rPr>
          <w:rFonts w:ascii="宋体" w:hAnsi="宋体" w:eastAsia="宋体" w:cs="宋体"/>
          <w:b/>
          <w:bCs/>
          <w:sz w:val="44"/>
          <w:szCs w:val="44"/>
          <w:lang w:eastAsia="zh-CN"/>
        </w:rPr>
        <w:t>托</w:t>
      </w:r>
      <w:r>
        <w:rPr>
          <w:rFonts w:ascii="宋体" w:hAnsi="宋体" w:eastAsia="宋体" w:cs="宋体"/>
          <w:b/>
          <w:bCs/>
          <w:spacing w:val="-2"/>
          <w:sz w:val="44"/>
          <w:szCs w:val="44"/>
          <w:lang w:eastAsia="zh-CN"/>
        </w:rPr>
        <w:t xml:space="preserve"> </w:t>
      </w:r>
      <w:r>
        <w:rPr>
          <w:rFonts w:ascii="宋体" w:hAnsi="宋体" w:eastAsia="宋体" w:cs="宋体"/>
          <w:b/>
          <w:bCs/>
          <w:sz w:val="44"/>
          <w:szCs w:val="44"/>
          <w:lang w:eastAsia="zh-CN"/>
        </w:rPr>
        <w:t>书</w:t>
      </w:r>
    </w:p>
    <w:p w14:paraId="245D2D21">
      <w:pPr>
        <w:spacing w:before="8" w:line="170" w:lineRule="exact"/>
        <w:rPr>
          <w:sz w:val="17"/>
          <w:szCs w:val="17"/>
          <w:lang w:eastAsia="zh-CN"/>
        </w:rPr>
      </w:pPr>
    </w:p>
    <w:p w14:paraId="71D4B8BD">
      <w:pPr>
        <w:spacing w:line="200" w:lineRule="exact"/>
        <w:rPr>
          <w:sz w:val="20"/>
          <w:szCs w:val="20"/>
          <w:lang w:eastAsia="zh-CN"/>
        </w:rPr>
      </w:pPr>
    </w:p>
    <w:p w14:paraId="14F2CF87">
      <w:pPr>
        <w:pStyle w:val="34"/>
        <w:rPr>
          <w:lang w:eastAsia="zh-CN"/>
        </w:rPr>
      </w:pPr>
    </w:p>
    <w:p w14:paraId="4DC9AA86">
      <w:pPr>
        <w:pStyle w:val="18"/>
        <w:keepNext w:val="0"/>
        <w:keepLines w:val="0"/>
        <w:pageBreakBefore w:val="0"/>
        <w:widowControl w:val="0"/>
        <w:kinsoku/>
        <w:wordWrap/>
        <w:overflowPunct/>
        <w:topLinePunct w:val="0"/>
        <w:autoSpaceDE/>
        <w:autoSpaceDN/>
        <w:bidi w:val="0"/>
        <w:adjustRightInd/>
        <w:snapToGrid/>
        <w:spacing w:after="320" w:afterLines="100" w:line="329" w:lineRule="auto"/>
        <w:ind w:left="0" w:right="0"/>
        <w:textAlignment w:val="auto"/>
        <w:rPr>
          <w:rFonts w:hint="default" w:ascii="Times New Roman" w:hAnsi="Times New Roman" w:eastAsia="宋体" w:cs="Times New Roman"/>
          <w:color w:val="auto"/>
          <w:kern w:val="2"/>
          <w:sz w:val="30"/>
          <w:szCs w:val="30"/>
          <w:highlight w:val="none"/>
          <w:lang w:eastAsia="zh-CN"/>
        </w:rPr>
      </w:pPr>
      <w:r>
        <w:rPr>
          <w:rFonts w:hint="eastAsia" w:cs="Times New Roman"/>
          <w:color w:val="auto"/>
          <w:kern w:val="2"/>
          <w:sz w:val="30"/>
          <w:szCs w:val="30"/>
          <w:highlight w:val="none"/>
          <w:lang w:eastAsia="zh-CN"/>
        </w:rPr>
        <w:t>邹平国标环境科技有限公司</w:t>
      </w:r>
      <w:r>
        <w:rPr>
          <w:rFonts w:hint="eastAsia" w:ascii="Times New Roman" w:hAnsi="Times New Roman" w:eastAsia="宋体" w:cs="Times New Roman"/>
          <w:color w:val="auto"/>
          <w:kern w:val="2"/>
          <w:sz w:val="30"/>
          <w:szCs w:val="30"/>
          <w:highlight w:val="none"/>
          <w:lang w:eastAsia="zh-CN"/>
        </w:rPr>
        <w:t>：</w:t>
      </w:r>
    </w:p>
    <w:p w14:paraId="56678F60">
      <w:pPr>
        <w:pStyle w:val="18"/>
        <w:widowControl w:val="0"/>
        <w:snapToGrid/>
        <w:spacing w:before="0" w:after="0" w:line="329" w:lineRule="auto"/>
        <w:ind w:left="119" w:right="505" w:firstLine="600" w:firstLineChars="200"/>
        <w:rPr>
          <w:rFonts w:hint="default" w:ascii="Times New Roman" w:hAnsi="Times New Roman" w:eastAsia="宋体" w:cs="Times New Roman"/>
          <w:color w:val="auto"/>
          <w:kern w:val="2"/>
          <w:sz w:val="30"/>
          <w:szCs w:val="30"/>
          <w:lang w:eastAsia="zh-CN"/>
        </w:rPr>
      </w:pPr>
      <w:r>
        <w:rPr>
          <w:rFonts w:hint="default" w:ascii="Times New Roman" w:hAnsi="Times New Roman" w:eastAsia="宋体" w:cs="Times New Roman"/>
          <w:color w:val="auto"/>
          <w:kern w:val="2"/>
          <w:sz w:val="30"/>
          <w:szCs w:val="30"/>
          <w:lang w:eastAsia="zh-CN"/>
        </w:rPr>
        <w:t>根据《中华人民共和国环境影响评价法》、《建设项目环境保护管理条例》、《建设项目环境影响评价分类名录》（2021年版）等有关规定，我单位</w:t>
      </w:r>
      <w:r>
        <w:rPr>
          <w:rFonts w:hint="eastAsia" w:cs="Times New Roman"/>
          <w:color w:val="auto"/>
          <w:kern w:val="2"/>
          <w:sz w:val="30"/>
          <w:szCs w:val="30"/>
          <w:u w:val="single"/>
          <w:lang w:eastAsia="zh-CN"/>
        </w:rPr>
        <w:t>淄博驰越新材料有限公司年产20000吨超硬复合新材料项目</w:t>
      </w:r>
      <w:r>
        <w:rPr>
          <w:rFonts w:hint="default" w:ascii="Times New Roman" w:hAnsi="Times New Roman" w:eastAsia="宋体" w:cs="Times New Roman"/>
          <w:color w:val="auto"/>
          <w:kern w:val="2"/>
          <w:sz w:val="30"/>
          <w:szCs w:val="30"/>
          <w:lang w:eastAsia="zh-CN"/>
        </w:rPr>
        <w:t>，需编制环境影响报告表，现委托贵单位进行本项目环境影响评价工作</w:t>
      </w:r>
      <w:r>
        <w:rPr>
          <w:rFonts w:hint="eastAsia" w:ascii="Times New Roman" w:hAnsi="Times New Roman" w:eastAsia="宋体" w:cs="Times New Roman"/>
          <w:color w:val="auto"/>
          <w:kern w:val="2"/>
          <w:sz w:val="30"/>
          <w:szCs w:val="30"/>
          <w:lang w:eastAsia="zh-CN"/>
        </w:rPr>
        <w:t>，</w:t>
      </w:r>
      <w:r>
        <w:rPr>
          <w:rFonts w:hint="default" w:ascii="Times New Roman" w:hAnsi="Times New Roman" w:eastAsia="宋体" w:cs="Times New Roman"/>
          <w:color w:val="auto"/>
          <w:kern w:val="2"/>
          <w:sz w:val="30"/>
          <w:szCs w:val="30"/>
          <w:lang w:eastAsia="zh-CN"/>
        </w:rPr>
        <w:t>特此委托</w:t>
      </w:r>
      <w:r>
        <w:rPr>
          <w:rFonts w:hint="eastAsia" w:ascii="Times New Roman" w:hAnsi="Times New Roman" w:eastAsia="宋体" w:cs="Times New Roman"/>
          <w:color w:val="auto"/>
          <w:kern w:val="2"/>
          <w:sz w:val="30"/>
          <w:szCs w:val="30"/>
          <w:lang w:eastAsia="zh-CN"/>
        </w:rPr>
        <w:t>。</w:t>
      </w:r>
    </w:p>
    <w:p w14:paraId="674E3760">
      <w:pPr>
        <w:spacing w:before="5" w:line="110" w:lineRule="exact"/>
        <w:rPr>
          <w:sz w:val="11"/>
          <w:szCs w:val="11"/>
          <w:lang w:eastAsia="zh-CN"/>
        </w:rPr>
      </w:pPr>
    </w:p>
    <w:p w14:paraId="3C2E28BA">
      <w:pPr>
        <w:spacing w:line="200" w:lineRule="exact"/>
        <w:rPr>
          <w:sz w:val="20"/>
          <w:szCs w:val="20"/>
          <w:lang w:eastAsia="zh-CN"/>
        </w:rPr>
      </w:pPr>
    </w:p>
    <w:p w14:paraId="5E550AF2">
      <w:pPr>
        <w:spacing w:line="200" w:lineRule="exact"/>
        <w:rPr>
          <w:sz w:val="20"/>
          <w:szCs w:val="20"/>
          <w:lang w:eastAsia="zh-CN"/>
        </w:rPr>
      </w:pPr>
    </w:p>
    <w:p w14:paraId="6E2EA0B5">
      <w:pPr>
        <w:spacing w:line="200" w:lineRule="exact"/>
        <w:rPr>
          <w:sz w:val="20"/>
          <w:szCs w:val="20"/>
          <w:lang w:eastAsia="zh-CN"/>
        </w:rPr>
      </w:pPr>
    </w:p>
    <w:p w14:paraId="754A9C14">
      <w:pPr>
        <w:spacing w:line="200" w:lineRule="exact"/>
        <w:rPr>
          <w:sz w:val="20"/>
          <w:szCs w:val="20"/>
          <w:lang w:eastAsia="zh-CN"/>
        </w:rPr>
      </w:pPr>
    </w:p>
    <w:p w14:paraId="69D0CD3D">
      <w:pPr>
        <w:spacing w:line="200" w:lineRule="exact"/>
        <w:rPr>
          <w:sz w:val="20"/>
          <w:szCs w:val="20"/>
          <w:lang w:eastAsia="zh-CN"/>
        </w:rPr>
      </w:pPr>
    </w:p>
    <w:p w14:paraId="75D8E299">
      <w:pPr>
        <w:pStyle w:val="18"/>
        <w:ind w:right="600"/>
        <w:jc w:val="both"/>
        <w:rPr>
          <w:rFonts w:hint="eastAsia"/>
          <w:lang w:val="en-US" w:eastAsia="zh-CN"/>
        </w:rPr>
      </w:pPr>
    </w:p>
    <w:p w14:paraId="32D7BE5A">
      <w:pPr>
        <w:pStyle w:val="18"/>
        <w:ind w:right="600" w:firstLine="360" w:firstLineChars="200"/>
        <w:jc w:val="right"/>
        <w:rPr>
          <w:lang w:eastAsia="zh-CN"/>
        </w:rPr>
      </w:pPr>
    </w:p>
    <w:p w14:paraId="12C410B4">
      <w:pPr>
        <w:pStyle w:val="18"/>
        <w:widowControl w:val="0"/>
        <w:snapToGrid/>
        <w:spacing w:before="0" w:after="0" w:line="329" w:lineRule="auto"/>
        <w:ind w:left="119" w:right="505" w:firstLine="600" w:firstLineChars="200"/>
        <w:jc w:val="right"/>
        <w:rPr>
          <w:rFonts w:hint="default" w:ascii="Times New Roman" w:hAnsi="Times New Roman" w:eastAsia="宋体" w:cs="Times New Roman"/>
          <w:color w:val="auto"/>
          <w:kern w:val="2"/>
          <w:sz w:val="30"/>
          <w:szCs w:val="30"/>
          <w:lang w:eastAsia="zh-CN"/>
        </w:rPr>
      </w:pPr>
      <w:r>
        <w:rPr>
          <w:rFonts w:hint="default" w:ascii="Times New Roman" w:hAnsi="Times New Roman" w:eastAsia="宋体" w:cs="Times New Roman"/>
          <w:color w:val="auto"/>
          <w:kern w:val="2"/>
          <w:sz w:val="30"/>
          <w:szCs w:val="30"/>
          <w:lang w:eastAsia="zh-CN"/>
        </w:rPr>
        <w:t>委托单位（盖章）：</w:t>
      </w:r>
      <w:r>
        <w:rPr>
          <w:rFonts w:hint="eastAsia" w:cs="Times New Roman"/>
          <w:color w:val="auto"/>
          <w:kern w:val="2"/>
          <w:sz w:val="30"/>
          <w:szCs w:val="30"/>
          <w:lang w:eastAsia="zh-CN"/>
        </w:rPr>
        <w:t>淄博驰越新材料有限公司</w:t>
      </w:r>
    </w:p>
    <w:p w14:paraId="7EBE9D7E">
      <w:pPr>
        <w:pStyle w:val="18"/>
        <w:widowControl w:val="0"/>
        <w:snapToGrid/>
        <w:spacing w:before="0" w:after="0" w:line="329" w:lineRule="auto"/>
        <w:ind w:left="119" w:right="505" w:firstLine="600" w:firstLineChars="200"/>
        <w:jc w:val="right"/>
        <w:rPr>
          <w:rFonts w:hint="default" w:ascii="Times New Roman" w:hAnsi="Times New Roman" w:eastAsia="宋体" w:cs="Times New Roman"/>
          <w:color w:val="auto"/>
          <w:kern w:val="2"/>
          <w:sz w:val="30"/>
          <w:szCs w:val="30"/>
          <w:lang w:eastAsia="zh-CN"/>
        </w:rPr>
      </w:pPr>
      <w:r>
        <w:rPr>
          <w:rFonts w:hint="eastAsia" w:ascii="Times New Roman" w:hAnsi="Times New Roman" w:eastAsia="宋体" w:cs="Times New Roman"/>
          <w:color w:val="auto"/>
          <w:kern w:val="2"/>
          <w:sz w:val="30"/>
          <w:szCs w:val="30"/>
          <w:lang w:val="en-US" w:eastAsia="zh-CN"/>
        </w:rPr>
        <w:t>202</w:t>
      </w:r>
      <w:r>
        <w:rPr>
          <w:rFonts w:hint="eastAsia" w:cs="Times New Roman"/>
          <w:color w:val="auto"/>
          <w:kern w:val="2"/>
          <w:sz w:val="30"/>
          <w:szCs w:val="30"/>
          <w:lang w:val="en-US" w:eastAsia="zh-CN"/>
        </w:rPr>
        <w:t>6</w:t>
      </w:r>
      <w:r>
        <w:rPr>
          <w:rFonts w:hint="default" w:ascii="Times New Roman" w:hAnsi="Times New Roman" w:eastAsia="宋体" w:cs="Times New Roman"/>
          <w:color w:val="auto"/>
          <w:kern w:val="2"/>
          <w:sz w:val="30"/>
          <w:szCs w:val="30"/>
          <w:lang w:eastAsia="zh-CN"/>
        </w:rPr>
        <w:t xml:space="preserve"> 年</w:t>
      </w:r>
      <w:r>
        <w:rPr>
          <w:rFonts w:hint="eastAsia" w:cs="Times New Roman"/>
          <w:color w:val="auto"/>
          <w:kern w:val="2"/>
          <w:sz w:val="30"/>
          <w:szCs w:val="30"/>
          <w:lang w:val="en-US" w:eastAsia="zh-CN"/>
        </w:rPr>
        <w:t>03</w:t>
      </w:r>
      <w:r>
        <w:rPr>
          <w:rFonts w:hint="default" w:ascii="Times New Roman" w:hAnsi="Times New Roman" w:eastAsia="宋体" w:cs="Times New Roman"/>
          <w:color w:val="auto"/>
          <w:kern w:val="2"/>
          <w:sz w:val="30"/>
          <w:szCs w:val="30"/>
          <w:lang w:eastAsia="zh-CN"/>
        </w:rPr>
        <w:t>月</w:t>
      </w:r>
    </w:p>
    <w:p w14:paraId="6BFB3A46">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36500DED">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394021F3">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376E365A">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49ABE0FF">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004179ED">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1F66E6D9">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4B48A2C8">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2AF74D47">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p>
    <w:p w14:paraId="12334179">
      <w:pPr>
        <w:rPr>
          <w:rFonts w:hint="eastAsia" w:ascii="Times New Roman" w:hAnsi="Times New Roman" w:eastAsia="宋体" w:cs="Times New Roman"/>
          <w:b/>
          <w:bCs/>
          <w:sz w:val="32"/>
          <w:szCs w:val="40"/>
          <w:lang w:val="en-US" w:eastAsia="zh-CN"/>
        </w:rPr>
      </w:pPr>
    </w:p>
    <w:p w14:paraId="160983D6">
      <w:pPr>
        <w:rPr>
          <w:rFonts w:hint="default"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附件2</w:t>
      </w:r>
      <w:r>
        <w:rPr>
          <w:rFonts w:hint="default" w:ascii="Times New Roman" w:hAnsi="Times New Roman" w:eastAsia="宋体" w:cs="Times New Roman"/>
          <w:b/>
          <w:bCs/>
          <w:sz w:val="32"/>
          <w:szCs w:val="40"/>
          <w:lang w:val="en-US" w:eastAsia="zh-CN"/>
        </w:rPr>
        <w:t>营业执照</w:t>
      </w:r>
    </w:p>
    <w:p w14:paraId="45171518">
      <w:pPr>
        <w:pStyle w:val="19"/>
        <w:widowControl w:val="0"/>
        <w:numPr>
          <w:ilvl w:val="0"/>
          <w:numId w:val="0"/>
        </w:numPr>
        <w:jc w:val="both"/>
        <w:rPr>
          <w:rFonts w:hint="default" w:ascii="Times New Roman" w:hAnsi="Times New Roman" w:eastAsia="宋体" w:cs="Times New Roman"/>
          <w:color w:val="auto"/>
          <w:kern w:val="2"/>
          <w:sz w:val="30"/>
          <w:szCs w:val="30"/>
          <w:lang w:eastAsia="zh-CN"/>
        </w:rPr>
      </w:pPr>
      <w:r>
        <w:rPr>
          <w:rFonts w:hint="default" w:ascii="Times New Roman" w:hAnsi="Times New Roman" w:eastAsia="宋体" w:cs="Times New Roman"/>
          <w:color w:val="auto"/>
          <w:kern w:val="2"/>
          <w:sz w:val="30"/>
          <w:szCs w:val="30"/>
          <w:lang w:eastAsia="zh-CN"/>
        </w:rPr>
        <w:drawing>
          <wp:inline distT="0" distB="0" distL="114300" distR="114300">
            <wp:extent cx="8129905" cy="5747385"/>
            <wp:effectExtent l="0" t="0" r="13335" b="8255"/>
            <wp:docPr id="6" name="图片 6" descr="淄博驰越新材料有限公司营业执照(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淄博驰越新材料有限公司营业执照(1)_01"/>
                    <pic:cNvPicPr>
                      <a:picLocks noChangeAspect="1"/>
                    </pic:cNvPicPr>
                  </pic:nvPicPr>
                  <pic:blipFill>
                    <a:blip r:embed="rId15"/>
                    <a:stretch>
                      <a:fillRect/>
                    </a:stretch>
                  </pic:blipFill>
                  <pic:spPr>
                    <a:xfrm rot="16200000">
                      <a:off x="0" y="0"/>
                      <a:ext cx="8129905" cy="5747385"/>
                    </a:xfrm>
                    <a:prstGeom prst="rect">
                      <a:avLst/>
                    </a:prstGeom>
                  </pic:spPr>
                </pic:pic>
              </a:graphicData>
            </a:graphic>
          </wp:inline>
        </w:drawing>
      </w:r>
    </w:p>
    <w:p w14:paraId="529967EA">
      <w:pPr>
        <w:rPr>
          <w:rFonts w:hint="eastAsia"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附件3 备案证明</w:t>
      </w:r>
    </w:p>
    <w:p w14:paraId="17825ED3">
      <w:pPr>
        <w:rPr>
          <w:rFonts w:hint="eastAsia" w:eastAsia="宋体"/>
          <w:lang w:eastAsia="zh-CN"/>
        </w:rPr>
      </w:pPr>
      <w:r>
        <w:drawing>
          <wp:inline distT="0" distB="0" distL="114300" distR="114300">
            <wp:extent cx="5612765" cy="7954645"/>
            <wp:effectExtent l="0" t="0" r="10795"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6"/>
                    <a:stretch>
                      <a:fillRect/>
                    </a:stretch>
                  </pic:blipFill>
                  <pic:spPr>
                    <a:xfrm>
                      <a:off x="0" y="0"/>
                      <a:ext cx="5612765" cy="7954645"/>
                    </a:xfrm>
                    <a:prstGeom prst="rect">
                      <a:avLst/>
                    </a:prstGeom>
                    <a:noFill/>
                    <a:ln>
                      <a:noFill/>
                    </a:ln>
                  </pic:spPr>
                </pic:pic>
              </a:graphicData>
            </a:graphic>
          </wp:inline>
        </w:drawing>
      </w:r>
    </w:p>
    <w:p w14:paraId="647FA45A"/>
    <w:p w14:paraId="11A0E9E0">
      <w:pPr>
        <w:rPr>
          <w:rFonts w:hint="eastAsia"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附件4 土地租赁合同</w:t>
      </w:r>
    </w:p>
    <w:p w14:paraId="6D7639D9">
      <w:pPr>
        <w:rPr>
          <w:rFonts w:hint="default" w:ascii="Times New Roman" w:hAnsi="Times New Roman" w:eastAsia="宋体" w:cs="Times New Roman"/>
          <w:b/>
          <w:bCs/>
          <w:sz w:val="32"/>
          <w:szCs w:val="40"/>
          <w:lang w:val="en-US" w:eastAsia="zh-CN"/>
        </w:rPr>
      </w:pPr>
      <w:r>
        <w:rPr>
          <w:rFonts w:hint="default" w:ascii="Times New Roman" w:hAnsi="Times New Roman" w:eastAsia="宋体" w:cs="Times New Roman"/>
          <w:b/>
          <w:bCs/>
          <w:sz w:val="32"/>
          <w:szCs w:val="40"/>
          <w:lang w:val="en-US" w:eastAsia="zh-CN"/>
        </w:rPr>
        <w:drawing>
          <wp:inline distT="0" distB="0" distL="114300" distR="114300">
            <wp:extent cx="5613400" cy="7825740"/>
            <wp:effectExtent l="0" t="0" r="10160" b="7620"/>
            <wp:docPr id="8" name="图片 8" descr="5d7c3660fc997d2888432c675e08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d7c3660fc997d2888432c675e082605"/>
                    <pic:cNvPicPr>
                      <a:picLocks noChangeAspect="1"/>
                    </pic:cNvPicPr>
                  </pic:nvPicPr>
                  <pic:blipFill>
                    <a:blip r:embed="rId17"/>
                    <a:stretch>
                      <a:fillRect/>
                    </a:stretch>
                  </pic:blipFill>
                  <pic:spPr>
                    <a:xfrm>
                      <a:off x="0" y="0"/>
                      <a:ext cx="5613400" cy="7825740"/>
                    </a:xfrm>
                    <a:prstGeom prst="rect">
                      <a:avLst/>
                    </a:prstGeom>
                  </pic:spPr>
                </pic:pic>
              </a:graphicData>
            </a:graphic>
          </wp:inline>
        </w:drawing>
      </w:r>
    </w:p>
    <w:p w14:paraId="13A2D5FB">
      <w:pPr>
        <w:pStyle w:val="2"/>
        <w:rPr>
          <w:rFonts w:hint="default" w:ascii="Times New Roman" w:hAnsi="Times New Roman" w:eastAsia="宋体" w:cs="Times New Roman"/>
          <w:b/>
          <w:bCs/>
          <w:sz w:val="32"/>
          <w:szCs w:val="40"/>
          <w:lang w:val="en-US" w:eastAsia="zh-CN"/>
        </w:rPr>
      </w:pPr>
    </w:p>
    <w:p w14:paraId="3EA44541">
      <w:pPr>
        <w:pStyle w:val="2"/>
        <w:keepNext w:val="0"/>
        <w:keepLines w:val="0"/>
        <w:pageBreakBefore w:val="0"/>
        <w:widowControl w:val="0"/>
        <w:kinsoku/>
        <w:wordWrap/>
        <w:overflowPunct/>
        <w:topLinePunct w:val="0"/>
        <w:autoSpaceDE w:val="0"/>
        <w:autoSpaceDN w:val="0"/>
        <w:bidi w:val="0"/>
        <w:adjustRightInd w:val="0"/>
        <w:snapToGrid w:val="0"/>
        <w:spacing w:before="0" w:beforeLines="0"/>
        <w:ind w:firstLine="0"/>
        <w:textAlignment w:val="auto"/>
        <w:rPr>
          <w:rFonts w:hint="default" w:ascii="Times New Roman" w:hAnsi="Times New Roman" w:eastAsia="宋体" w:cs="Times New Roman"/>
          <w:b/>
          <w:bCs/>
          <w:sz w:val="32"/>
          <w:szCs w:val="40"/>
          <w:lang w:val="en-US" w:eastAsia="zh-CN"/>
        </w:rPr>
      </w:pPr>
      <w:r>
        <w:rPr>
          <w:rFonts w:hint="default" w:ascii="Times New Roman" w:hAnsi="Times New Roman" w:eastAsia="宋体" w:cs="Times New Roman"/>
          <w:b/>
          <w:bCs/>
          <w:sz w:val="32"/>
          <w:szCs w:val="40"/>
          <w:lang w:val="en-US" w:eastAsia="zh-CN"/>
        </w:rPr>
        <w:drawing>
          <wp:inline distT="0" distB="0" distL="114300" distR="114300">
            <wp:extent cx="5608320" cy="7895590"/>
            <wp:effectExtent l="0" t="0" r="0" b="13970"/>
            <wp:docPr id="13" name="图片 13" descr="a9daf74ecc5e30ddd6a40d791b6118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9daf74ecc5e30ddd6a40d791b6118a4"/>
                    <pic:cNvPicPr>
                      <a:picLocks noChangeAspect="1"/>
                    </pic:cNvPicPr>
                  </pic:nvPicPr>
                  <pic:blipFill>
                    <a:blip r:embed="rId18"/>
                    <a:stretch>
                      <a:fillRect/>
                    </a:stretch>
                  </pic:blipFill>
                  <pic:spPr>
                    <a:xfrm>
                      <a:off x="0" y="0"/>
                      <a:ext cx="5608320" cy="7895590"/>
                    </a:xfrm>
                    <a:prstGeom prst="rect">
                      <a:avLst/>
                    </a:prstGeom>
                  </pic:spPr>
                </pic:pic>
              </a:graphicData>
            </a:graphic>
          </wp:inline>
        </w:drawing>
      </w:r>
    </w:p>
    <w:p w14:paraId="0639237C">
      <w:pPr>
        <w:pStyle w:val="2"/>
        <w:rPr>
          <w:rFonts w:hint="default" w:ascii="Times New Roman" w:hAnsi="Times New Roman" w:eastAsia="宋体" w:cs="Times New Roman"/>
          <w:b/>
          <w:bCs/>
          <w:sz w:val="32"/>
          <w:szCs w:val="40"/>
          <w:lang w:val="en-US" w:eastAsia="zh-CN"/>
        </w:rPr>
      </w:pPr>
    </w:p>
    <w:p w14:paraId="694CA260">
      <w:pPr>
        <w:pStyle w:val="2"/>
        <w:rPr>
          <w:rFonts w:hint="default" w:ascii="Times New Roman" w:hAnsi="Times New Roman" w:eastAsia="宋体" w:cs="Times New Roman"/>
          <w:b/>
          <w:bCs/>
          <w:sz w:val="32"/>
          <w:szCs w:val="40"/>
          <w:lang w:val="en-US" w:eastAsia="zh-CN"/>
        </w:rPr>
      </w:pPr>
      <w:r>
        <w:rPr>
          <w:rFonts w:hint="default" w:ascii="Times New Roman" w:hAnsi="Times New Roman" w:eastAsia="宋体" w:cs="Times New Roman"/>
          <w:b/>
          <w:bCs/>
          <w:sz w:val="32"/>
          <w:szCs w:val="40"/>
          <w:lang w:val="en-US" w:eastAsia="zh-CN"/>
        </w:rPr>
        <w:drawing>
          <wp:inline distT="0" distB="0" distL="114300" distR="114300">
            <wp:extent cx="5613400" cy="7908925"/>
            <wp:effectExtent l="0" t="0" r="10160" b="635"/>
            <wp:docPr id="14" name="图片 14" descr="ae68c11ce4824c06cb5ba876c61ec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e68c11ce4824c06cb5ba876c61ec2ad"/>
                    <pic:cNvPicPr>
                      <a:picLocks noChangeAspect="1"/>
                    </pic:cNvPicPr>
                  </pic:nvPicPr>
                  <pic:blipFill>
                    <a:blip r:embed="rId19"/>
                    <a:stretch>
                      <a:fillRect/>
                    </a:stretch>
                  </pic:blipFill>
                  <pic:spPr>
                    <a:xfrm>
                      <a:off x="0" y="0"/>
                      <a:ext cx="5613400" cy="7908925"/>
                    </a:xfrm>
                    <a:prstGeom prst="rect">
                      <a:avLst/>
                    </a:prstGeom>
                  </pic:spPr>
                </pic:pic>
              </a:graphicData>
            </a:graphic>
          </wp:inline>
        </w:drawing>
      </w:r>
    </w:p>
    <w:p w14:paraId="287E0574">
      <w:pPr>
        <w:pStyle w:val="2"/>
        <w:rPr>
          <w:rFonts w:hint="default" w:ascii="Times New Roman" w:hAnsi="Times New Roman" w:eastAsia="宋体" w:cs="Times New Roman"/>
          <w:b/>
          <w:bCs/>
          <w:sz w:val="32"/>
          <w:szCs w:val="40"/>
          <w:lang w:val="en-US" w:eastAsia="zh-CN"/>
        </w:rPr>
      </w:pPr>
    </w:p>
    <w:p w14:paraId="2DBC824B">
      <w:pPr>
        <w:pStyle w:val="2"/>
        <w:keepNext w:val="0"/>
        <w:keepLines w:val="0"/>
        <w:pageBreakBefore w:val="0"/>
        <w:widowControl w:val="0"/>
        <w:kinsoku/>
        <w:wordWrap/>
        <w:overflowPunct/>
        <w:topLinePunct w:val="0"/>
        <w:autoSpaceDE w:val="0"/>
        <w:autoSpaceDN w:val="0"/>
        <w:bidi w:val="0"/>
        <w:adjustRightInd w:val="0"/>
        <w:snapToGrid w:val="0"/>
        <w:spacing w:before="0" w:beforeLines="0"/>
        <w:ind w:firstLine="0"/>
        <w:textAlignment w:val="auto"/>
        <w:rPr>
          <w:rFonts w:hint="default" w:ascii="Times New Roman" w:hAnsi="Times New Roman" w:eastAsia="宋体" w:cs="Times New Roman"/>
          <w:b/>
          <w:bCs/>
          <w:sz w:val="32"/>
          <w:szCs w:val="40"/>
          <w:lang w:val="en-US" w:eastAsia="zh-CN"/>
        </w:rPr>
      </w:pPr>
      <w:r>
        <w:rPr>
          <w:rFonts w:hint="default" w:ascii="Times New Roman" w:hAnsi="Times New Roman" w:eastAsia="宋体" w:cs="Times New Roman"/>
          <w:b/>
          <w:bCs/>
          <w:sz w:val="32"/>
          <w:szCs w:val="40"/>
          <w:lang w:val="en-US" w:eastAsia="zh-CN"/>
        </w:rPr>
        <w:drawing>
          <wp:inline distT="0" distB="0" distL="114300" distR="114300">
            <wp:extent cx="5608320" cy="7904480"/>
            <wp:effectExtent l="0" t="0" r="0" b="5080"/>
            <wp:docPr id="15" name="图片 15" descr="fda6e740ad1cafe13790cea5b44c8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da6e740ad1cafe13790cea5b44c8e2f"/>
                    <pic:cNvPicPr>
                      <a:picLocks noChangeAspect="1"/>
                    </pic:cNvPicPr>
                  </pic:nvPicPr>
                  <pic:blipFill>
                    <a:blip r:embed="rId20"/>
                    <a:stretch>
                      <a:fillRect/>
                    </a:stretch>
                  </pic:blipFill>
                  <pic:spPr>
                    <a:xfrm>
                      <a:off x="0" y="0"/>
                      <a:ext cx="5608320" cy="7904480"/>
                    </a:xfrm>
                    <a:prstGeom prst="rect">
                      <a:avLst/>
                    </a:prstGeom>
                  </pic:spPr>
                </pic:pic>
              </a:graphicData>
            </a:graphic>
          </wp:inline>
        </w:drawing>
      </w:r>
    </w:p>
    <w:p w14:paraId="7EAC8B99">
      <w:pPr>
        <w:rPr>
          <w:rFonts w:hint="eastAsia" w:ascii="Times New Roman" w:hAnsi="Times New Roman" w:eastAsia="宋体" w:cs="Times New Roman"/>
          <w:b/>
          <w:bCs/>
          <w:sz w:val="32"/>
          <w:szCs w:val="40"/>
          <w:lang w:val="en-US" w:eastAsia="zh-CN"/>
        </w:rPr>
      </w:pPr>
    </w:p>
    <w:p w14:paraId="742A8AA8">
      <w:pPr>
        <w:rPr>
          <w:rFonts w:hint="eastAsia" w:ascii="Times New Roman" w:hAnsi="Times New Roman" w:eastAsia="宋体" w:cs="Times New Roman"/>
          <w:b/>
          <w:bCs/>
          <w:sz w:val="32"/>
          <w:szCs w:val="40"/>
          <w:lang w:val="en-US" w:eastAsia="zh-CN"/>
        </w:rPr>
      </w:pPr>
    </w:p>
    <w:p w14:paraId="4EA560B6">
      <w:pPr>
        <w:rPr>
          <w:rFonts w:hint="eastAsia"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附件</w:t>
      </w:r>
      <w:r>
        <w:rPr>
          <w:rFonts w:hint="eastAsia" w:eastAsia="宋体" w:cs="Times New Roman"/>
          <w:b/>
          <w:bCs/>
          <w:sz w:val="32"/>
          <w:szCs w:val="40"/>
          <w:lang w:val="en-US" w:eastAsia="zh-CN"/>
        </w:rPr>
        <w:t xml:space="preserve">5 </w:t>
      </w:r>
      <w:r>
        <w:rPr>
          <w:rFonts w:hint="eastAsia" w:ascii="Times New Roman" w:hAnsi="Times New Roman" w:eastAsia="宋体" w:cs="Times New Roman"/>
          <w:b/>
          <w:bCs/>
          <w:sz w:val="32"/>
          <w:szCs w:val="40"/>
          <w:lang w:val="en-US" w:eastAsia="zh-CN"/>
        </w:rPr>
        <w:t xml:space="preserve"> 萌水镇、商家镇工业集聚区规划意见</w:t>
      </w:r>
    </w:p>
    <w:p w14:paraId="54E5B465">
      <w:r>
        <w:drawing>
          <wp:inline distT="0" distB="0" distL="114300" distR="114300">
            <wp:extent cx="7399020" cy="5118100"/>
            <wp:effectExtent l="0" t="0" r="2540" b="762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1"/>
                    <a:srcRect t="1070" b="1056"/>
                    <a:stretch>
                      <a:fillRect/>
                    </a:stretch>
                  </pic:blipFill>
                  <pic:spPr>
                    <a:xfrm rot="-5400000">
                      <a:off x="0" y="0"/>
                      <a:ext cx="7399020" cy="5118100"/>
                    </a:xfrm>
                    <a:prstGeom prst="rect">
                      <a:avLst/>
                    </a:prstGeom>
                    <a:noFill/>
                    <a:ln>
                      <a:noFill/>
                    </a:ln>
                  </pic:spPr>
                </pic:pic>
              </a:graphicData>
            </a:graphic>
          </wp:inline>
        </w:drawing>
      </w:r>
    </w:p>
    <w:p w14:paraId="06759DAE"/>
    <w:p w14:paraId="0C619795"/>
    <w:p w14:paraId="3260A14F"/>
    <w:p w14:paraId="31038A79"/>
    <w:p w14:paraId="77A7AE1A"/>
    <w:p w14:paraId="76B0A245">
      <w:pPr>
        <w:rPr>
          <w:rFonts w:hint="default"/>
          <w:lang w:val="en-US" w:eastAsia="zh-CN"/>
        </w:rPr>
      </w:pPr>
      <w:r>
        <w:drawing>
          <wp:inline distT="0" distB="0" distL="114300" distR="114300">
            <wp:extent cx="8101330" cy="5615305"/>
            <wp:effectExtent l="0" t="0" r="8255" b="635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22"/>
                    <a:srcRect t="1941"/>
                    <a:stretch>
                      <a:fillRect/>
                    </a:stretch>
                  </pic:blipFill>
                  <pic:spPr>
                    <a:xfrm rot="-5400000">
                      <a:off x="0" y="0"/>
                      <a:ext cx="8101330" cy="5615305"/>
                    </a:xfrm>
                    <a:prstGeom prst="rect">
                      <a:avLst/>
                    </a:prstGeom>
                    <a:noFill/>
                    <a:ln>
                      <a:noFill/>
                    </a:ln>
                  </pic:spPr>
                </pic:pic>
              </a:graphicData>
            </a:graphic>
          </wp:inline>
        </w:drawing>
      </w:r>
    </w:p>
    <w:p w14:paraId="69E3A9EA">
      <w:pPr>
        <w:rPr>
          <w:rFonts w:hint="default" w:ascii="Times New Roman" w:hAnsi="Times New Roman" w:eastAsia="宋体" w:cs="Times New Roman"/>
          <w:b/>
          <w:bCs/>
          <w:sz w:val="32"/>
          <w:szCs w:val="40"/>
          <w:lang w:val="en-US" w:eastAsia="zh-CN"/>
        </w:rPr>
      </w:pPr>
    </w:p>
    <w:p w14:paraId="4274F6CE">
      <w:r>
        <w:drawing>
          <wp:inline distT="0" distB="0" distL="114300" distR="114300">
            <wp:extent cx="7364095" cy="5106670"/>
            <wp:effectExtent l="0" t="0" r="13970" b="1206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3"/>
                    <a:srcRect t="1183" b="708"/>
                    <a:stretch>
                      <a:fillRect/>
                    </a:stretch>
                  </pic:blipFill>
                  <pic:spPr>
                    <a:xfrm rot="-5400000">
                      <a:off x="0" y="0"/>
                      <a:ext cx="7364095" cy="5106670"/>
                    </a:xfrm>
                    <a:prstGeom prst="rect">
                      <a:avLst/>
                    </a:prstGeom>
                    <a:noFill/>
                    <a:ln>
                      <a:noFill/>
                    </a:ln>
                  </pic:spPr>
                </pic:pic>
              </a:graphicData>
            </a:graphic>
          </wp:inline>
        </w:drawing>
      </w:r>
    </w:p>
    <w:p w14:paraId="27FEFB5C"/>
    <w:p w14:paraId="46982FA3"/>
    <w:p w14:paraId="1BB5DE60"/>
    <w:p w14:paraId="77DEEE09"/>
    <w:p w14:paraId="1A22481E"/>
    <w:p w14:paraId="1C0772D2"/>
    <w:p w14:paraId="680DCCF0">
      <w:pPr>
        <w:rPr>
          <w:rFonts w:hint="default"/>
          <w:lang w:val="en-US" w:eastAsia="zh-CN"/>
        </w:rPr>
      </w:pPr>
      <w:r>
        <w:rPr>
          <w:rFonts w:hint="default"/>
          <w:lang w:val="en-US" w:eastAsia="zh-CN"/>
        </w:rPr>
        <w:br w:type="page"/>
      </w:r>
    </w:p>
    <w:p w14:paraId="402420AA">
      <w:pPr>
        <w:rPr>
          <w:rFonts w:hint="default"/>
          <w:lang w:val="en-US" w:eastAsia="zh-CN"/>
        </w:rPr>
      </w:pPr>
      <w:r>
        <w:drawing>
          <wp:inline distT="0" distB="0" distL="114300" distR="114300">
            <wp:extent cx="7860665" cy="5500370"/>
            <wp:effectExtent l="0" t="0" r="1270" b="317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24"/>
                    <a:srcRect t="993"/>
                    <a:stretch>
                      <a:fillRect/>
                    </a:stretch>
                  </pic:blipFill>
                  <pic:spPr>
                    <a:xfrm rot="-5400000">
                      <a:off x="0" y="0"/>
                      <a:ext cx="7860665" cy="5500370"/>
                    </a:xfrm>
                    <a:prstGeom prst="rect">
                      <a:avLst/>
                    </a:prstGeom>
                    <a:noFill/>
                    <a:ln>
                      <a:noFill/>
                    </a:ln>
                  </pic:spPr>
                </pic:pic>
              </a:graphicData>
            </a:graphic>
          </wp:inline>
        </w:drawing>
      </w:r>
    </w:p>
    <w:p w14:paraId="5149D620">
      <w:pPr>
        <w:rPr>
          <w:rFonts w:hint="default" w:ascii="Times New Roman" w:hAnsi="Times New Roman" w:eastAsia="宋体" w:cs="Times New Roman"/>
          <w:b/>
          <w:bCs/>
          <w:sz w:val="32"/>
          <w:szCs w:val="40"/>
          <w:lang w:val="en-US" w:eastAsia="zh-CN"/>
        </w:rPr>
      </w:pPr>
    </w:p>
    <w:p w14:paraId="27453E32">
      <w:pPr>
        <w:rPr>
          <w:rFonts w:hint="default" w:ascii="Times New Roman" w:hAnsi="Times New Roman" w:eastAsia="宋体" w:cs="Times New Roman"/>
          <w:b/>
          <w:bCs/>
          <w:sz w:val="32"/>
          <w:szCs w:val="40"/>
          <w:lang w:val="en-US" w:eastAsia="zh-CN"/>
        </w:rPr>
      </w:pPr>
    </w:p>
    <w:p w14:paraId="68FB1DFF">
      <w:pPr>
        <w:rPr>
          <w:rFonts w:hint="eastAsia" w:ascii="Times New Roman" w:hAnsi="Times New Roman" w:eastAsia="宋体" w:cs="Times New Roman"/>
          <w:b/>
          <w:bCs/>
          <w:sz w:val="32"/>
          <w:szCs w:val="40"/>
          <w:highlight w:val="none"/>
          <w:lang w:val="en-US" w:eastAsia="zh-CN"/>
        </w:rPr>
      </w:pPr>
      <w:r>
        <w:rPr>
          <w:rFonts w:hint="eastAsia" w:ascii="Times New Roman" w:hAnsi="Times New Roman" w:eastAsia="宋体" w:cs="Times New Roman"/>
          <w:b/>
          <w:bCs/>
          <w:sz w:val="32"/>
          <w:szCs w:val="40"/>
          <w:highlight w:val="none"/>
          <w:lang w:val="en-US" w:eastAsia="zh-CN"/>
        </w:rPr>
        <w:t>附件</w:t>
      </w:r>
      <w:r>
        <w:rPr>
          <w:rFonts w:hint="eastAsia" w:cs="Times New Roman"/>
          <w:b/>
          <w:bCs/>
          <w:sz w:val="32"/>
          <w:szCs w:val="40"/>
          <w:highlight w:val="none"/>
          <w:lang w:val="en-US" w:eastAsia="zh-CN"/>
        </w:rPr>
        <w:t>6</w:t>
      </w:r>
      <w:r>
        <w:rPr>
          <w:rFonts w:hint="eastAsia" w:ascii="Times New Roman" w:hAnsi="Times New Roman" w:eastAsia="宋体" w:cs="Times New Roman"/>
          <w:b/>
          <w:bCs/>
          <w:sz w:val="32"/>
          <w:szCs w:val="40"/>
          <w:highlight w:val="none"/>
          <w:lang w:val="en-US" w:eastAsia="zh-CN"/>
        </w:rPr>
        <w:t>信息公开承诺书</w:t>
      </w:r>
    </w:p>
    <w:p w14:paraId="63DC4202">
      <w:pPr>
        <w:autoSpaceDE w:val="0"/>
        <w:autoSpaceDN w:val="0"/>
        <w:adjustRightInd w:val="0"/>
        <w:jc w:val="center"/>
        <w:rPr>
          <w:rFonts w:hint="default" w:ascii="Times New Roman" w:hAnsi="Times New Roman" w:cs="Times New Roman"/>
          <w:sz w:val="44"/>
          <w:szCs w:val="32"/>
        </w:rPr>
      </w:pPr>
    </w:p>
    <w:p w14:paraId="0551A366">
      <w:pPr>
        <w:autoSpaceDE w:val="0"/>
        <w:autoSpaceDN w:val="0"/>
        <w:adjustRightInd w:val="0"/>
        <w:jc w:val="center"/>
        <w:rPr>
          <w:rFonts w:hint="default" w:ascii="Times New Roman" w:hAnsi="Times New Roman" w:cs="Times New Roman"/>
          <w:sz w:val="44"/>
          <w:szCs w:val="32"/>
        </w:rPr>
      </w:pPr>
    </w:p>
    <w:p w14:paraId="6BA84822">
      <w:pPr>
        <w:autoSpaceDE w:val="0"/>
        <w:autoSpaceDN w:val="0"/>
        <w:adjustRightInd w:val="0"/>
        <w:jc w:val="center"/>
        <w:rPr>
          <w:rFonts w:hint="default" w:ascii="Times New Roman" w:hAnsi="Times New Roman" w:cs="Times New Roman"/>
          <w:sz w:val="44"/>
          <w:szCs w:val="32"/>
        </w:rPr>
      </w:pPr>
      <w:r>
        <w:rPr>
          <w:rFonts w:hint="default" w:ascii="Times New Roman" w:hAnsi="Times New Roman" w:cs="Times New Roman"/>
          <w:sz w:val="44"/>
          <w:szCs w:val="32"/>
        </w:rPr>
        <w:t>环境影响评价信息公开承诺书</w:t>
      </w:r>
    </w:p>
    <w:p w14:paraId="7229D7CC">
      <w:pPr>
        <w:autoSpaceDE w:val="0"/>
        <w:autoSpaceDN w:val="0"/>
        <w:adjustRightInd w:val="0"/>
        <w:snapToGrid w:val="0"/>
        <w:spacing w:line="360" w:lineRule="auto"/>
        <w:jc w:val="center"/>
        <w:rPr>
          <w:rFonts w:hint="default" w:ascii="Times New Roman" w:hAnsi="Times New Roman" w:eastAsia="方正小标宋简体" w:cs="Times New Roman"/>
          <w:sz w:val="44"/>
          <w:szCs w:val="32"/>
        </w:rPr>
      </w:pPr>
    </w:p>
    <w:p w14:paraId="7DDE6F31">
      <w:pPr>
        <w:autoSpaceDE w:val="0"/>
        <w:autoSpaceDN w:val="0"/>
        <w:adjustRightInd w:val="0"/>
        <w:snapToGrid w:val="0"/>
        <w:spacing w:line="360" w:lineRule="auto"/>
        <w:jc w:val="left"/>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文昌湖区安监环保局</w:t>
      </w:r>
      <w:r>
        <w:rPr>
          <w:rFonts w:hint="default" w:ascii="Times New Roman" w:hAnsi="Times New Roman" w:eastAsia="仿宋_GB2312" w:cs="Times New Roman"/>
          <w:color w:val="auto"/>
          <w:sz w:val="32"/>
          <w:szCs w:val="32"/>
        </w:rPr>
        <w:t>：</w:t>
      </w:r>
    </w:p>
    <w:p w14:paraId="703D1FF8">
      <w:pPr>
        <w:autoSpaceDE w:val="0"/>
        <w:autoSpaceDN w:val="0"/>
        <w:adjustRightInd w:val="0"/>
        <w:snapToGrid w:val="0"/>
        <w:spacing w:line="360" w:lineRule="auto"/>
        <w:ind w:firstLine="640" w:firstLineChars="200"/>
        <w:rPr>
          <w:rFonts w:hint="default" w:ascii="Times New Roman" w:hAnsi="Times New Roman" w:eastAsia="仿宋_GB2312" w:cs="Times New Roman"/>
          <w:kern w:val="0"/>
          <w:sz w:val="32"/>
          <w:szCs w:val="32"/>
        </w:rPr>
      </w:pPr>
      <w:r>
        <w:rPr>
          <w:rFonts w:hint="default" w:ascii="Times New Roman" w:hAnsi="Times New Roman" w:eastAsia="仿宋_GB2312" w:cs="Times New Roman"/>
          <w:sz w:val="32"/>
          <w:szCs w:val="32"/>
        </w:rPr>
        <w:t>我单位</w:t>
      </w:r>
      <w:r>
        <w:rPr>
          <w:rFonts w:hint="eastAsia" w:eastAsia="仿宋_GB2312" w:cs="Times New Roman"/>
          <w:sz w:val="32"/>
          <w:szCs w:val="32"/>
          <w:u w:val="single"/>
          <w:lang w:eastAsia="zh-CN"/>
        </w:rPr>
        <w:t>淄博驰越新材料有限公司年产20000吨超硬复合新材料项目</w:t>
      </w:r>
      <w:r>
        <w:rPr>
          <w:rFonts w:hint="default" w:ascii="Times New Roman" w:hAnsi="Times New Roman" w:eastAsia="仿宋_GB2312" w:cs="Times New Roman"/>
          <w:sz w:val="32"/>
          <w:szCs w:val="32"/>
        </w:rPr>
        <w:t>已达到受理条件，按照环保部《建设项目环境影响评价政府信息公开指南（试行）》</w:t>
      </w:r>
      <w:r>
        <w:rPr>
          <w:rFonts w:hint="default" w:ascii="Times New Roman" w:hAnsi="Times New Roman" w:eastAsia="仿宋_GB2312" w:cs="Times New Roman"/>
          <w:kern w:val="0"/>
          <w:sz w:val="32"/>
          <w:szCs w:val="32"/>
        </w:rPr>
        <w:t>（</w:t>
      </w:r>
      <w:r>
        <w:rPr>
          <w:rFonts w:hint="default" w:ascii="Times New Roman" w:hAnsi="Times New Roman" w:eastAsia="仿宋_GB2312" w:cs="Times New Roman"/>
          <w:color w:val="000000"/>
          <w:sz w:val="32"/>
          <w:szCs w:val="32"/>
        </w:rPr>
        <w:t>环办〔2013〕103号）文件要求，</w:t>
      </w:r>
      <w:r>
        <w:rPr>
          <w:rFonts w:hint="default" w:ascii="Times New Roman" w:hAnsi="Times New Roman" w:eastAsia="仿宋_GB2312" w:cs="Times New Roman"/>
          <w:sz w:val="32"/>
          <w:szCs w:val="32"/>
        </w:rPr>
        <w:t>为认真履行企业</w:t>
      </w:r>
      <w:r>
        <w:rPr>
          <w:rFonts w:hint="default" w:ascii="Times New Roman" w:hAnsi="Times New Roman" w:eastAsia="仿宋_GB2312" w:cs="Times New Roman"/>
          <w:color w:val="000000"/>
          <w:sz w:val="32"/>
          <w:szCs w:val="32"/>
        </w:rPr>
        <w:t>职责，自愿</w:t>
      </w:r>
      <w:r>
        <w:rPr>
          <w:rFonts w:hint="default" w:ascii="Times New Roman" w:hAnsi="Times New Roman" w:eastAsia="仿宋_GB2312" w:cs="Times New Roman"/>
          <w:kern w:val="0"/>
          <w:sz w:val="32"/>
          <w:szCs w:val="32"/>
        </w:rPr>
        <w:t>依法主动公开建设项目环境影响报告书、表全本信息（同时附删除涉及国家秘密、商业秘密等内容及删除依据和理由说明报告），并依法承担因信息公开带来的后果。</w:t>
      </w:r>
    </w:p>
    <w:p w14:paraId="1426C76B">
      <w:pPr>
        <w:autoSpaceDE w:val="0"/>
        <w:autoSpaceDN w:val="0"/>
        <w:adjustRightInd w:val="0"/>
        <w:snapToGrid w:val="0"/>
        <w:spacing w:line="360" w:lineRule="auto"/>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特此承诺！</w:t>
      </w:r>
    </w:p>
    <w:p w14:paraId="062FE0F3">
      <w:pPr>
        <w:autoSpaceDE w:val="0"/>
        <w:autoSpaceDN w:val="0"/>
        <w:adjustRightInd w:val="0"/>
        <w:snapToGrid w:val="0"/>
        <w:spacing w:line="360" w:lineRule="auto"/>
        <w:ind w:firstLine="640" w:firstLineChars="200"/>
        <w:rPr>
          <w:rFonts w:hint="default" w:ascii="Times New Roman" w:hAnsi="Times New Roman" w:eastAsia="仿宋_GB2312" w:cs="Times New Roman"/>
          <w:sz w:val="32"/>
          <w:szCs w:val="32"/>
        </w:rPr>
      </w:pPr>
    </w:p>
    <w:p w14:paraId="1DB4664B">
      <w:pPr>
        <w:wordWrap/>
        <w:autoSpaceDE w:val="0"/>
        <w:autoSpaceDN w:val="0"/>
        <w:adjustRightInd w:val="0"/>
        <w:snapToGrid w:val="0"/>
        <w:spacing w:line="360" w:lineRule="auto"/>
        <w:ind w:firstLine="640" w:firstLineChars="200"/>
        <w:jc w:val="righ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（公章）       </w:t>
      </w:r>
    </w:p>
    <w:p w14:paraId="246FB5A8">
      <w:pPr>
        <w:pStyle w:val="34"/>
        <w:ind w:left="0" w:leftChars="0" w:firstLine="0" w:firstLineChars="0"/>
        <w:jc w:val="right"/>
        <w:rPr>
          <w:rFonts w:hint="eastAsia" w:ascii="仿宋_GB2312" w:eastAsia="仿宋_GB2312"/>
          <w:sz w:val="32"/>
          <w:szCs w:val="32"/>
        </w:rPr>
      </w:pPr>
      <w:r>
        <w:rPr>
          <w:rFonts w:hint="eastAsia" w:ascii="Times New Roman" w:hAnsi="Times New Roman" w:eastAsia="仿宋_GB2312" w:cs="Times New Roman"/>
          <w:sz w:val="32"/>
          <w:szCs w:val="32"/>
          <w:lang w:val="en-US" w:eastAsia="zh-CN"/>
        </w:rPr>
        <w:t>202</w:t>
      </w:r>
      <w:r>
        <w:rPr>
          <w:rFonts w:hint="eastAsia" w:eastAsia="仿宋_GB2312" w:cs="Times New Roman"/>
          <w:sz w:val="32"/>
          <w:szCs w:val="32"/>
          <w:lang w:val="en-US" w:eastAsia="zh-CN"/>
        </w:rPr>
        <w:t>6</w:t>
      </w:r>
      <w:r>
        <w:rPr>
          <w:rFonts w:hint="default" w:ascii="Times New Roman" w:hAnsi="Times New Roman" w:eastAsia="仿宋_GB2312" w:cs="Times New Roman"/>
          <w:sz w:val="32"/>
          <w:szCs w:val="32"/>
        </w:rPr>
        <w:t>年</w:t>
      </w:r>
      <w:r>
        <w:rPr>
          <w:rFonts w:hint="eastAsia" w:eastAsia="仿宋_GB2312" w:cs="Times New Roman"/>
          <w:sz w:val="32"/>
          <w:szCs w:val="32"/>
          <w:lang w:val="en-US" w:eastAsia="zh-CN"/>
        </w:rPr>
        <w:t>03</w:t>
      </w:r>
      <w:r>
        <w:rPr>
          <w:rFonts w:hint="default" w:ascii="Times New Roman" w:hAnsi="Times New Roman" w:eastAsia="仿宋_GB2312" w:cs="Times New Roman"/>
          <w:sz w:val="32"/>
          <w:szCs w:val="32"/>
        </w:rPr>
        <w:t>月</w:t>
      </w:r>
      <w:r>
        <w:rPr>
          <w:rFonts w:hint="eastAsia" w:eastAsia="仿宋_GB2312" w:cs="Times New Roman"/>
          <w:sz w:val="32"/>
          <w:szCs w:val="32"/>
          <w:lang w:val="en-US" w:eastAsia="zh-CN"/>
        </w:rPr>
        <w:t>18</w:t>
      </w:r>
      <w:r>
        <w:rPr>
          <w:rFonts w:hint="default" w:ascii="Times New Roman" w:hAnsi="Times New Roman" w:eastAsia="仿宋_GB2312" w:cs="Times New Roman"/>
          <w:sz w:val="32"/>
          <w:szCs w:val="32"/>
        </w:rPr>
        <w:t xml:space="preserve">日 </w:t>
      </w:r>
      <w:r>
        <w:rPr>
          <w:rFonts w:hint="eastAsia" w:ascii="仿宋_GB2312" w:eastAsia="仿宋_GB2312"/>
          <w:sz w:val="32"/>
          <w:szCs w:val="32"/>
        </w:rPr>
        <w:t xml:space="preserve"> </w:t>
      </w:r>
    </w:p>
    <w:p w14:paraId="63B55FFD">
      <w:pPr>
        <w:rPr>
          <w:rFonts w:hint="eastAsia" w:ascii="仿宋_GB2312" w:eastAsia="仿宋_GB2312"/>
          <w:sz w:val="32"/>
          <w:szCs w:val="32"/>
        </w:rPr>
      </w:pPr>
    </w:p>
    <w:p w14:paraId="6A45279C">
      <w:pPr>
        <w:rPr>
          <w:rFonts w:hint="eastAsia" w:ascii="仿宋_GB2312" w:eastAsia="仿宋_GB2312"/>
          <w:sz w:val="32"/>
          <w:szCs w:val="32"/>
        </w:rPr>
      </w:pPr>
    </w:p>
    <w:p w14:paraId="4E99AFE5">
      <w:pPr>
        <w:rPr>
          <w:rFonts w:hint="eastAsia" w:ascii="仿宋_GB2312" w:eastAsia="仿宋_GB2312"/>
          <w:sz w:val="32"/>
          <w:szCs w:val="32"/>
        </w:rPr>
      </w:pPr>
    </w:p>
    <w:p w14:paraId="34D77E97">
      <w:pPr>
        <w:rPr>
          <w:rFonts w:hint="eastAsia" w:ascii="仿宋_GB2312" w:eastAsia="仿宋_GB2312"/>
          <w:sz w:val="32"/>
          <w:szCs w:val="32"/>
        </w:rPr>
      </w:pPr>
    </w:p>
    <w:p w14:paraId="7441E224">
      <w:pPr>
        <w:rPr>
          <w:rFonts w:hint="eastAsia" w:ascii="仿宋_GB2312" w:eastAsia="仿宋_GB2312"/>
          <w:sz w:val="32"/>
          <w:szCs w:val="32"/>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C28B413">
      <w:pPr>
        <w:jc w:val="center"/>
      </w:pPr>
      <w:r>
        <w:rPr>
          <w:sz w:val="21"/>
        </w:rPr>
        <mc:AlternateContent>
          <mc:Choice Requires="wps">
            <w:drawing>
              <wp:anchor distT="0" distB="0" distL="114300" distR="114300" simplePos="0" relativeHeight="251663360" behindDoc="0" locked="0" layoutInCell="1" allowOverlap="1">
                <wp:simplePos x="0" y="0"/>
                <wp:positionH relativeFrom="column">
                  <wp:posOffset>4481830</wp:posOffset>
                </wp:positionH>
                <wp:positionV relativeFrom="paragraph">
                  <wp:posOffset>1537970</wp:posOffset>
                </wp:positionV>
                <wp:extent cx="1355090" cy="406400"/>
                <wp:effectExtent l="421005" t="6350" r="6985" b="334010"/>
                <wp:wrapNone/>
                <wp:docPr id="48" name="圆角矩形标注 48"/>
                <wp:cNvGraphicFramePr/>
                <a:graphic xmlns:a="http://schemas.openxmlformats.org/drawingml/2006/main">
                  <a:graphicData uri="http://schemas.microsoft.com/office/word/2010/wordprocessingShape">
                    <wps:wsp>
                      <wps:cNvSpPr/>
                      <wps:spPr>
                        <a:xfrm>
                          <a:off x="5123815" y="2919730"/>
                          <a:ext cx="1355090" cy="406400"/>
                        </a:xfrm>
                        <a:prstGeom prst="wedgeRoundRectCallout">
                          <a:avLst>
                            <a:gd name="adj1" fmla="val -77553"/>
                            <a:gd name="adj2" fmla="val 124531"/>
                            <a:gd name="adj3" fmla="val 16667"/>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txbx>
                        <w:txbxContent>
                          <w:p w14:paraId="53623342">
                            <w:pPr>
                              <w:jc w:val="center"/>
                              <w:rPr>
                                <w:rFonts w:hint="eastAsia" w:eastAsia="宋体"/>
                                <w:b/>
                                <w:bCs/>
                                <w:color w:val="FF0000"/>
                                <w:lang w:eastAsia="zh-CN"/>
                              </w:rPr>
                            </w:pPr>
                            <w:r>
                              <w:rPr>
                                <w:rFonts w:hint="eastAsia"/>
                                <w:b/>
                                <w:bCs/>
                                <w:color w:val="FF0000"/>
                                <w:lang w:eastAsia="zh-CN"/>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2.9pt;margin-top:121.1pt;height:32pt;width:106.7pt;z-index:251663360;v-text-anchor:middle;mso-width-relative:page;mso-height-relative:page;" fillcolor="#FFFF00" filled="t" stroked="t" coordsize="21600,21600" o:gfxdata="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&#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WYZFf2wAAAAsBAAAPAAAAAAAAAAEAIAAAACIAAABk&#10;cnMvZG93bnJldi54bWxQSwECFAAUAAAACACHTuJAOoYIO+cCAADDBQAADgAAAAAAAAABACAAAAAq&#10;AQAAZHJzL2Uyb0RvYy54bWxQSwUGAAAAAAYABgBZAQAAgwYAAAAA&#10;" adj="-5951,37699,14400">
                <v:fill on="t" focussize="0,0"/>
                <v:stroke weight="1pt" color="#2E75B6 [2404]" miterlimit="8" joinstyle="miter"/>
                <v:imagedata o:title=""/>
                <o:lock v:ext="edit" aspectratio="f"/>
                <v:textbox>
                  <w:txbxContent>
                    <w:p w14:paraId="53623342">
                      <w:pPr>
                        <w:jc w:val="center"/>
                        <w:rPr>
                          <w:rFonts w:hint="eastAsia" w:eastAsia="宋体"/>
                          <w:b/>
                          <w:bCs/>
                          <w:color w:val="FF0000"/>
                          <w:lang w:eastAsia="zh-CN"/>
                        </w:rPr>
                      </w:pPr>
                      <w:r>
                        <w:rPr>
                          <w:rFonts w:hint="eastAsia"/>
                          <w:b/>
                          <w:bCs/>
                          <w:color w:val="FF0000"/>
                          <w:lang w:eastAsia="zh-CN"/>
                        </w:rPr>
                        <w:t>项目地理位置</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4023995</wp:posOffset>
                </wp:positionH>
                <wp:positionV relativeFrom="paragraph">
                  <wp:posOffset>2178050</wp:posOffset>
                </wp:positionV>
                <wp:extent cx="133350" cy="114300"/>
                <wp:effectExtent l="21590" t="18415" r="27940" b="19685"/>
                <wp:wrapNone/>
                <wp:docPr id="20" name="五角星 20"/>
                <wp:cNvGraphicFramePr/>
                <a:graphic xmlns:a="http://schemas.openxmlformats.org/drawingml/2006/main">
                  <a:graphicData uri="http://schemas.microsoft.com/office/word/2010/wordprocessingShape">
                    <wps:wsp>
                      <wps:cNvSpPr/>
                      <wps:spPr>
                        <a:xfrm>
                          <a:off x="5427980" y="4540885"/>
                          <a:ext cx="133350" cy="114300"/>
                        </a:xfrm>
                        <a:prstGeom prst="star5">
                          <a:avLst/>
                        </a:prstGeom>
                        <a:solidFill>
                          <a:srgbClr val="FFFF00"/>
                        </a:solid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6.85pt;margin-top:171.5pt;height:9pt;width:10.5pt;z-index:251676672;v-text-anchor:middle;mso-width-relative:page;mso-height-relative:page;" fillcolor="#FFFF00" filled="t" stroked="t" coordsize="133350,114300" o:gfxdata="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DQKNXvaAAAACwEAAA8A&#10;AAAAAAAAAQAgAAAAIgAAAGRycy9kb3ducmV2LnhtbFBLAQIUABQAAAAIAIdO4kBPYWE4hwIAAAUF&#10;AAAOAAAAAAAAAAEAIAAAACkBAABkcnMvZTJvRG9jLnhtbFBLBQYAAAAABgAGAFkBAAAiBgAAAAA=&#10;" path="m0,43658l50935,43658,66675,0,82414,43658,133349,43658,92142,70640,107882,114299,66675,87316,25467,114299,41207,70640xe">
                <v:path o:connectlocs="66675,0;0,43658;25467,114299;107882,114299;133349,43658" o:connectangles="247,164,82,82,0"/>
                <v:fill on="t" focussize="0,0"/>
                <v:stroke weight="1pt" color="#0000FF [2404]" miterlimit="8" joinstyle="miter"/>
                <v:imagedata o:title=""/>
                <o:lock v:ext="edit" aspectratio="f"/>
              </v:shape>
            </w:pict>
          </mc:Fallback>
        </mc:AlternateContent>
      </w:r>
      <w:r>
        <w:rPr>
          <w:rFonts w:hint="eastAsia"/>
        </w:rPr>
        <w:drawing>
          <wp:anchor distT="0" distB="0" distL="114300" distR="114300" simplePos="0" relativeHeight="251664384" behindDoc="0" locked="0" layoutInCell="1" allowOverlap="1">
            <wp:simplePos x="0" y="0"/>
            <wp:positionH relativeFrom="column">
              <wp:posOffset>7310120</wp:posOffset>
            </wp:positionH>
            <wp:positionV relativeFrom="paragraph">
              <wp:posOffset>9525</wp:posOffset>
            </wp:positionV>
            <wp:extent cx="1189990" cy="1148080"/>
            <wp:effectExtent l="0" t="0" r="13970" b="10160"/>
            <wp:wrapNone/>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25"/>
                    <a:stretch>
                      <a:fillRect/>
                    </a:stretch>
                  </pic:blipFill>
                  <pic:spPr>
                    <a:xfrm>
                      <a:off x="0" y="0"/>
                      <a:ext cx="1189990" cy="1148080"/>
                    </a:xfrm>
                    <a:prstGeom prst="rect">
                      <a:avLst/>
                    </a:prstGeom>
                    <a:noFill/>
                    <a:ln>
                      <a:noFill/>
                    </a:ln>
                  </pic:spPr>
                </pic:pic>
              </a:graphicData>
            </a:graphic>
          </wp:anchor>
        </w:drawing>
      </w:r>
      <w:r>
        <w:drawing>
          <wp:inline distT="0" distB="0" distL="114300" distR="114300">
            <wp:extent cx="8454390" cy="5339080"/>
            <wp:effectExtent l="0" t="0" r="3810" b="1016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6"/>
                    <a:stretch>
                      <a:fillRect/>
                    </a:stretch>
                  </pic:blipFill>
                  <pic:spPr>
                    <a:xfrm>
                      <a:off x="0" y="0"/>
                      <a:ext cx="8454390" cy="5339080"/>
                    </a:xfrm>
                    <a:prstGeom prst="rect">
                      <a:avLst/>
                    </a:prstGeom>
                    <a:noFill/>
                    <a:ln>
                      <a:noFill/>
                    </a:ln>
                  </pic:spPr>
                </pic:pic>
              </a:graphicData>
            </a:graphic>
          </wp:inline>
        </w:drawing>
      </w:r>
    </w:p>
    <w:p w14:paraId="00C65A26">
      <w:pPr>
        <w:jc w:val="center"/>
        <w:rPr>
          <w:rFonts w:hint="default"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附图1 项目地理位置图</w:t>
      </w:r>
    </w:p>
    <w:p w14:paraId="3B0DBC6C">
      <w:pPr>
        <w:jc w:val="center"/>
        <w:rPr>
          <w:rFonts w:hint="eastAsia" w:ascii="Times New Roman" w:hAnsi="Times New Roman" w:eastAsia="宋体" w:cs="Times New Roman"/>
          <w:b/>
          <w:bCs/>
          <w:sz w:val="32"/>
          <w:szCs w:val="40"/>
          <w:lang w:val="en-US" w:eastAsia="zh-CN"/>
        </w:rPr>
      </w:pPr>
      <w:r>
        <w:rPr>
          <w:sz w:val="21"/>
        </w:rPr>
        <mc:AlternateContent>
          <mc:Choice Requires="wps">
            <w:drawing>
              <wp:anchor distT="0" distB="0" distL="114300" distR="114300" simplePos="0" relativeHeight="251681792" behindDoc="0" locked="0" layoutInCell="1" allowOverlap="1">
                <wp:simplePos x="0" y="0"/>
                <wp:positionH relativeFrom="column">
                  <wp:posOffset>849630</wp:posOffset>
                </wp:positionH>
                <wp:positionV relativeFrom="paragraph">
                  <wp:posOffset>1435100</wp:posOffset>
                </wp:positionV>
                <wp:extent cx="2348230" cy="390525"/>
                <wp:effectExtent l="6350" t="6350" r="7620" b="304165"/>
                <wp:wrapNone/>
                <wp:docPr id="32" name="圆角矩形标注 32"/>
                <wp:cNvGraphicFramePr/>
                <a:graphic xmlns:a="http://schemas.openxmlformats.org/drawingml/2006/main">
                  <a:graphicData uri="http://schemas.microsoft.com/office/word/2010/wordprocessingShape">
                    <wps:wsp>
                      <wps:cNvSpPr/>
                      <wps:spPr>
                        <a:xfrm>
                          <a:off x="0" y="0"/>
                          <a:ext cx="2348230" cy="390525"/>
                        </a:xfrm>
                        <a:prstGeom prst="wedgeRoundRectCallout">
                          <a:avLst>
                            <a:gd name="adj1" fmla="val 41243"/>
                            <a:gd name="adj2" fmla="val 122352"/>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79B9B5">
                            <w:pPr>
                              <w:rPr>
                                <w:rFonts w:hint="eastAsia"/>
                                <w:b/>
                                <w:bCs/>
                                <w:color w:val="FF0000"/>
                                <w:lang w:eastAsia="zh-CN"/>
                              </w:rPr>
                            </w:pPr>
                            <w:r>
                              <w:rPr>
                                <w:rFonts w:hint="eastAsia"/>
                                <w:b/>
                                <w:bCs/>
                                <w:color w:val="FF0000"/>
                                <w:lang w:eastAsia="zh-CN"/>
                              </w:rPr>
                              <w:t>周村萌水双龙铸件加工厂磨料分厂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66.9pt;margin-top:113pt;height:30.75pt;width:184.9pt;z-index:251681792;v-text-anchor:middle;mso-width-relative:page;mso-height-relative:page;" filled="f" stroked="t" coordsize="21600,21600" o:gfxdata="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IR1TunYAAAACwEA&#10;AA8AAAAAAAAAAQAgAAAAIgAAAGRycy9kb3ducmV2LnhtbFBLAQIUABQAAAAIAIdO4kCoe17fxQIA&#10;AGsFAAAOAAAAAAAAAAEAIAAAACcBAABkcnMvZTJvRG9jLnhtbFBLBQYAAAAABgAGAFkBAABeBgAA&#10;AAA=&#10;" adj="19708,37228,14400">
                <v:fill on="f" focussize="0,0"/>
                <v:stroke weight="1pt" color="#FF0000 [2404]" miterlimit="8" joinstyle="miter"/>
                <v:imagedata o:title=""/>
                <o:lock v:ext="edit" aspectratio="f"/>
                <v:textbox>
                  <w:txbxContent>
                    <w:p w14:paraId="5879B9B5">
                      <w:pPr>
                        <w:rPr>
                          <w:rFonts w:hint="eastAsia"/>
                          <w:b/>
                          <w:bCs/>
                          <w:color w:val="FF0000"/>
                          <w:lang w:eastAsia="zh-CN"/>
                        </w:rPr>
                      </w:pPr>
                      <w:r>
                        <w:rPr>
                          <w:rFonts w:hint="eastAsia"/>
                          <w:b/>
                          <w:bCs/>
                          <w:color w:val="FF0000"/>
                          <w:lang w:eastAsia="zh-CN"/>
                        </w:rPr>
                        <w:t>周村萌水双龙铸件加工厂磨料分厂</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2931795</wp:posOffset>
                </wp:positionH>
                <wp:positionV relativeFrom="paragraph">
                  <wp:posOffset>2692400</wp:posOffset>
                </wp:positionV>
                <wp:extent cx="1000125" cy="371475"/>
                <wp:effectExtent l="0" t="0" r="0" b="0"/>
                <wp:wrapNone/>
                <wp:docPr id="36" name="文本框 36"/>
                <wp:cNvGraphicFramePr/>
                <a:graphic xmlns:a="http://schemas.openxmlformats.org/drawingml/2006/main">
                  <a:graphicData uri="http://schemas.microsoft.com/office/word/2010/wordprocessingShape">
                    <wps:wsp>
                      <wps:cNvSpPr txBox="1"/>
                      <wps:spPr>
                        <a:xfrm>
                          <a:off x="4202430" y="3788410"/>
                          <a:ext cx="100012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EC63BF">
                            <w:pPr>
                              <w:rPr>
                                <w:rFonts w:hint="default" w:eastAsia="宋体"/>
                                <w:b/>
                                <w:bCs/>
                                <w:color w:val="FFFF00"/>
                                <w:sz w:val="28"/>
                                <w:szCs w:val="36"/>
                                <w:lang w:val="en-US" w:eastAsia="zh-CN"/>
                              </w:rPr>
                            </w:pPr>
                            <w:r>
                              <w:rPr>
                                <w:rFonts w:hint="eastAsia"/>
                                <w:b/>
                                <w:bCs/>
                                <w:color w:val="FFFF00"/>
                                <w:sz w:val="28"/>
                                <w:szCs w:val="36"/>
                                <w:lang w:val="en-US" w:eastAsia="zh-CN"/>
                              </w:rPr>
                              <w:t>101米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85pt;margin-top:212pt;height:29.25pt;width:78.75pt;z-index:251685888;mso-width-relative:page;mso-height-relative:page;" filled="f" stroked="f" coordsize="21600,21600" o:gfxdata="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a2NH23AAAAAsBAAAPAAAAAAAA&#10;AAEAIAAAACIAAABkcnMvZG93bnJldi54bWxQSwECFAAUAAAACACHTuJAvPksQEcCAAB0BAAADgAA&#10;AAAAAAABACAAAAArAQAAZHJzL2Uyb0RvYy54bWxQSwUGAAAAAAYABgBZAQAA5AUAAAAA&#10;">
                <v:fill on="f" focussize="0,0"/>
                <v:stroke on="f" weight="0.5pt"/>
                <v:imagedata o:title=""/>
                <o:lock v:ext="edit" aspectratio="f"/>
                <v:textbox>
                  <w:txbxContent>
                    <w:p w14:paraId="0BEC63BF">
                      <w:pPr>
                        <w:rPr>
                          <w:rFonts w:hint="default" w:eastAsia="宋体"/>
                          <w:b/>
                          <w:bCs/>
                          <w:color w:val="FFFF00"/>
                          <w:sz w:val="28"/>
                          <w:szCs w:val="36"/>
                          <w:lang w:val="en-US" w:eastAsia="zh-CN"/>
                        </w:rPr>
                      </w:pPr>
                      <w:r>
                        <w:rPr>
                          <w:rFonts w:hint="eastAsia"/>
                          <w:b/>
                          <w:bCs/>
                          <w:color w:val="FFFF00"/>
                          <w:sz w:val="28"/>
                          <w:szCs w:val="36"/>
                          <w:lang w:val="en-US" w:eastAsia="zh-CN"/>
                        </w:rPr>
                        <w:t>101米</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2817495</wp:posOffset>
                </wp:positionH>
                <wp:positionV relativeFrom="paragraph">
                  <wp:posOffset>2482850</wp:posOffset>
                </wp:positionV>
                <wp:extent cx="457200" cy="571500"/>
                <wp:effectExtent l="0" t="3810" r="15240" b="3810"/>
                <wp:wrapNone/>
                <wp:docPr id="35" name="直接箭头连接符 35"/>
                <wp:cNvGraphicFramePr/>
                <a:graphic xmlns:a="http://schemas.openxmlformats.org/drawingml/2006/main">
                  <a:graphicData uri="http://schemas.microsoft.com/office/word/2010/wordprocessingShape">
                    <wps:wsp>
                      <wps:cNvCnPr/>
                      <wps:spPr>
                        <a:xfrm flipH="1">
                          <a:off x="3897630" y="3455035"/>
                          <a:ext cx="457200" cy="57150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21.85pt;margin-top:195.5pt;height:45pt;width:36pt;z-index:251684864;mso-width-relative:page;mso-height-relative:page;" filled="f" stroked="t" coordsize="21600,21600" o:gfxdata="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hAufA1AAAAAsBAAAP&#10;AAAAAAAAAAEAIAAAACIAAABkcnMvZG93bnJldi54bWxQSwECFAAUAAAACACHTuJAuKwB8xwCAAD7&#10;AwAADgAAAAAAAAABACAAAAAjAQAAZHJzL2Uyb0RvYy54bWxQSwUGAAAAAAYABgBZAQAAsQU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521970</wp:posOffset>
                </wp:positionH>
                <wp:positionV relativeFrom="paragraph">
                  <wp:posOffset>3959225</wp:posOffset>
                </wp:positionV>
                <wp:extent cx="1009650" cy="304800"/>
                <wp:effectExtent l="0" t="0" r="11430" b="0"/>
                <wp:wrapNone/>
                <wp:docPr id="34" name="文本框 34"/>
                <wp:cNvGraphicFramePr/>
                <a:graphic xmlns:a="http://schemas.openxmlformats.org/drawingml/2006/main">
                  <a:graphicData uri="http://schemas.microsoft.com/office/word/2010/wordprocessingShape">
                    <wps:wsp>
                      <wps:cNvSpPr txBox="1"/>
                      <wps:spPr>
                        <a:xfrm>
                          <a:off x="1602105" y="4931410"/>
                          <a:ext cx="10096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D1C91F">
                            <w:pPr>
                              <w:rPr>
                                <w:rFonts w:hint="eastAsia" w:eastAsia="宋体"/>
                                <w:b/>
                                <w:bCs/>
                                <w:color w:val="FF0000"/>
                                <w:sz w:val="32"/>
                                <w:szCs w:val="40"/>
                                <w:lang w:eastAsia="zh-CN"/>
                              </w:rPr>
                            </w:pPr>
                            <w:r>
                              <w:rPr>
                                <w:rFonts w:hint="eastAsia"/>
                                <w:b/>
                                <w:bCs/>
                                <w:color w:val="FF0000"/>
                                <w:sz w:val="32"/>
                                <w:szCs w:val="40"/>
                                <w:lang w:eastAsia="zh-CN"/>
                              </w:rPr>
                              <w:t>龙口村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pt;margin-top:311.75pt;height:24pt;width:79.5pt;z-index:251683840;mso-width-relative:page;mso-height-relative:page;" filled="f" stroked="f" coordsize="21600,21600" o:gfxdata="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1Z5wMdoAAAAKAQAADwAAAAAAAAAB&#10;ACAAAAAiAAAAZHJzL2Rvd25yZXYueG1sUEsBAhQAFAAAAAgAh07iQPCXUmdHAgAAdAQAAA4AAAAA&#10;AAAAAQAgAAAAKQEAAGRycy9lMm9Eb2MueG1sUEsFBgAAAAAGAAYAWQEAAOIFAAAAAA==&#10;">
                <v:fill on="f" focussize="0,0"/>
                <v:stroke on="f" weight="0.5pt"/>
                <v:imagedata o:title=""/>
                <o:lock v:ext="edit" aspectratio="f"/>
                <v:textbox>
                  <w:txbxContent>
                    <w:p w14:paraId="7BD1C91F">
                      <w:pPr>
                        <w:rPr>
                          <w:rFonts w:hint="eastAsia" w:eastAsia="宋体"/>
                          <w:b/>
                          <w:bCs/>
                          <w:color w:val="FF0000"/>
                          <w:sz w:val="32"/>
                          <w:szCs w:val="40"/>
                          <w:lang w:eastAsia="zh-CN"/>
                        </w:rPr>
                      </w:pPr>
                      <w:r>
                        <w:rPr>
                          <w:rFonts w:hint="eastAsia"/>
                          <w:b/>
                          <w:bCs/>
                          <w:color w:val="FF0000"/>
                          <w:sz w:val="32"/>
                          <w:szCs w:val="40"/>
                          <w:lang w:eastAsia="zh-CN"/>
                        </w:rPr>
                        <w:t>龙口村</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64770</wp:posOffset>
                </wp:positionH>
                <wp:positionV relativeFrom="paragraph">
                  <wp:posOffset>2720975</wp:posOffset>
                </wp:positionV>
                <wp:extent cx="2981325" cy="2619375"/>
                <wp:effectExtent l="4445" t="8255" r="16510" b="8890"/>
                <wp:wrapNone/>
                <wp:docPr id="33" name="任意多边形 33"/>
                <wp:cNvGraphicFramePr/>
                <a:graphic xmlns:a="http://schemas.openxmlformats.org/drawingml/2006/main">
                  <a:graphicData uri="http://schemas.microsoft.com/office/word/2010/wordprocessingShape">
                    <wps:wsp>
                      <wps:cNvSpPr/>
                      <wps:spPr>
                        <a:xfrm>
                          <a:off x="1144905" y="3693160"/>
                          <a:ext cx="2981325" cy="2619375"/>
                        </a:xfrm>
                        <a:custGeom>
                          <a:avLst/>
                          <a:gdLst>
                            <a:gd name="connisteX0" fmla="*/ 0 w 2981325"/>
                            <a:gd name="connsiteY0" fmla="*/ 428625 h 2619375"/>
                            <a:gd name="connisteX1" fmla="*/ 352425 w 2981325"/>
                            <a:gd name="connsiteY1" fmla="*/ 104775 h 2619375"/>
                            <a:gd name="connisteX2" fmla="*/ 819150 w 2981325"/>
                            <a:gd name="connsiteY2" fmla="*/ 342900 h 2619375"/>
                            <a:gd name="connisteX3" fmla="*/ 723900 w 2981325"/>
                            <a:gd name="connsiteY3" fmla="*/ 542925 h 2619375"/>
                            <a:gd name="connisteX4" fmla="*/ 1114425 w 2981325"/>
                            <a:gd name="connsiteY4" fmla="*/ 723900 h 2619375"/>
                            <a:gd name="connisteX5" fmla="*/ 1552575 w 2981325"/>
                            <a:gd name="connsiteY5" fmla="*/ 323850 h 2619375"/>
                            <a:gd name="connisteX6" fmla="*/ 1771650 w 2981325"/>
                            <a:gd name="connsiteY6" fmla="*/ 400050 h 2619375"/>
                            <a:gd name="connisteX7" fmla="*/ 2124075 w 2981325"/>
                            <a:gd name="connsiteY7" fmla="*/ 0 h 2619375"/>
                            <a:gd name="connisteX8" fmla="*/ 2981325 w 2981325"/>
                            <a:gd name="connsiteY8" fmla="*/ 466725 h 2619375"/>
                            <a:gd name="connisteX9" fmla="*/ 2790825 w 2981325"/>
                            <a:gd name="connsiteY9" fmla="*/ 695325 h 2619375"/>
                            <a:gd name="connisteX10" fmla="*/ 2381250 w 2981325"/>
                            <a:gd name="connsiteY10" fmla="*/ 1057275 h 2619375"/>
                            <a:gd name="connisteX11" fmla="*/ 2581275 w 2981325"/>
                            <a:gd name="connsiteY11" fmla="*/ 1219200 h 2619375"/>
                            <a:gd name="connisteX12" fmla="*/ 1914525 w 2981325"/>
                            <a:gd name="connsiteY12" fmla="*/ 1847850 h 2619375"/>
                            <a:gd name="connisteX13" fmla="*/ 1762125 w 2981325"/>
                            <a:gd name="connsiteY13" fmla="*/ 2095500 h 2619375"/>
                            <a:gd name="connisteX14" fmla="*/ 1895475 w 2981325"/>
                            <a:gd name="connsiteY14" fmla="*/ 2381250 h 2619375"/>
                            <a:gd name="connisteX15" fmla="*/ 2124075 w 2981325"/>
                            <a:gd name="connsiteY15" fmla="*/ 2466975 h 2619375"/>
                            <a:gd name="connisteX16" fmla="*/ 2000250 w 2981325"/>
                            <a:gd name="connsiteY16" fmla="*/ 2619375 h 2619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2981325" h="2619375">
                              <a:moveTo>
                                <a:pt x="0" y="428625"/>
                              </a:moveTo>
                              <a:lnTo>
                                <a:pt x="352425" y="104775"/>
                              </a:lnTo>
                              <a:lnTo>
                                <a:pt x="819150" y="342900"/>
                              </a:lnTo>
                              <a:lnTo>
                                <a:pt x="723900" y="542925"/>
                              </a:lnTo>
                              <a:lnTo>
                                <a:pt x="1114425" y="723900"/>
                              </a:lnTo>
                              <a:lnTo>
                                <a:pt x="1552575" y="323850"/>
                              </a:lnTo>
                              <a:lnTo>
                                <a:pt x="1771650" y="400050"/>
                              </a:lnTo>
                              <a:lnTo>
                                <a:pt x="2124075" y="0"/>
                              </a:lnTo>
                              <a:lnTo>
                                <a:pt x="2981325" y="466725"/>
                              </a:lnTo>
                              <a:lnTo>
                                <a:pt x="2790825" y="695325"/>
                              </a:lnTo>
                              <a:lnTo>
                                <a:pt x="2381250" y="1057275"/>
                              </a:lnTo>
                              <a:lnTo>
                                <a:pt x="2581275" y="1219200"/>
                              </a:lnTo>
                              <a:lnTo>
                                <a:pt x="1914525" y="1847850"/>
                              </a:lnTo>
                              <a:lnTo>
                                <a:pt x="1762125" y="2095500"/>
                              </a:lnTo>
                              <a:lnTo>
                                <a:pt x="1895475" y="2381250"/>
                              </a:lnTo>
                              <a:lnTo>
                                <a:pt x="2124075" y="2466975"/>
                              </a:lnTo>
                              <a:lnTo>
                                <a:pt x="2000250" y="2619375"/>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1pt;margin-top:214.25pt;height:206.25pt;width:234.75pt;z-index:251682816;mso-width-relative:page;mso-height-relative:page;" filled="f" stroked="t" coordsize="2981325,2619375" o:gfxdata="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" path="m0,428625l352425,104775,819150,342900,723900,542925,1114425,723900,1552575,323850,1771650,400050,2124075,0,2981325,466725,2790825,695325,2381250,1057275,2581275,1219200,1914525,1847850,1762125,2095500,1895475,2381250,2124075,2466975,2000250,2619375e">
                <v:path o:connectlocs="0,428625;352425,104775;819150,342900;723900,542925;1114425,723900;1552575,323850;1771650,400050;2124075,0;2981325,466725;2790825,695325;2381250,1057275;2581275,1219200;1914525,1847850;1762125,2095500;1895475,2381250;2124075,2466975;2000250,2619375" o:connectangles="0,0,0,0,0,0,0,0,0,0,0,0,0,0,0,0,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388620</wp:posOffset>
                </wp:positionH>
                <wp:positionV relativeFrom="paragraph">
                  <wp:posOffset>2149475</wp:posOffset>
                </wp:positionV>
                <wp:extent cx="1819275" cy="390525"/>
                <wp:effectExtent l="6350" t="6350" r="749935" b="14605"/>
                <wp:wrapNone/>
                <wp:docPr id="31" name="圆角矩形标注 31"/>
                <wp:cNvGraphicFramePr/>
                <a:graphic xmlns:a="http://schemas.openxmlformats.org/drawingml/2006/main">
                  <a:graphicData uri="http://schemas.microsoft.com/office/word/2010/wordprocessingShape">
                    <wps:wsp>
                      <wps:cNvSpPr/>
                      <wps:spPr>
                        <a:xfrm>
                          <a:off x="0" y="0"/>
                          <a:ext cx="1819275" cy="390525"/>
                        </a:xfrm>
                        <a:prstGeom prst="wedgeRoundRectCallout">
                          <a:avLst>
                            <a:gd name="adj1" fmla="val 88080"/>
                            <a:gd name="adj2" fmla="val 50784"/>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2B453C">
                            <w:pPr>
                              <w:jc w:val="center"/>
                              <w:rPr>
                                <w:rFonts w:hint="eastAsia" w:eastAsia="宋体"/>
                                <w:b/>
                                <w:bCs/>
                                <w:color w:val="FF0000"/>
                                <w:lang w:eastAsia="zh-CN"/>
                              </w:rPr>
                            </w:pPr>
                            <w:r>
                              <w:rPr>
                                <w:rFonts w:hint="eastAsia"/>
                                <w:b/>
                                <w:bCs/>
                                <w:color w:val="FF0000"/>
                                <w:lang w:eastAsia="zh-CN"/>
                              </w:rPr>
                              <w:t>周村鲁萌铸造厂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6pt;margin-top:169.25pt;height:30.75pt;width:143.25pt;z-index:251680768;v-text-anchor:middle;mso-width-relative:page;mso-height-relative:page;" filled="f" stroked="t" coordsize="21600,21600" o:gfxdata="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k0pbW9sAAAAK&#10;AQAADwAAAAAAAAABACAAAAAiAAAAZHJzL2Rvd25yZXYueG1sUEsBAhQAFAAAAAgAh07iQHzWWajE&#10;AgAAagUAAA4AAAAAAAAAAQAgAAAAKgEAAGRycy9lMm9Eb2MueG1sUEsFBgAAAAAGAAYAWQEAAGAG&#10;AAAAAA==&#10;" adj="29825,21769,14400">
                <v:fill on="f" focussize="0,0"/>
                <v:stroke weight="1pt" color="#FF0000 [2404]" miterlimit="8" joinstyle="miter"/>
                <v:imagedata o:title=""/>
                <o:lock v:ext="edit" aspectratio="f"/>
                <v:textbox>
                  <w:txbxContent>
                    <w:p w14:paraId="1E2B453C">
                      <w:pPr>
                        <w:jc w:val="center"/>
                        <w:rPr>
                          <w:rFonts w:hint="eastAsia" w:eastAsia="宋体"/>
                          <w:b/>
                          <w:bCs/>
                          <w:color w:val="FF0000"/>
                          <w:lang w:eastAsia="zh-CN"/>
                        </w:rPr>
                      </w:pPr>
                      <w:r>
                        <w:rPr>
                          <w:rFonts w:hint="eastAsia"/>
                          <w:b/>
                          <w:bCs/>
                          <w:color w:val="FF0000"/>
                          <w:lang w:eastAsia="zh-CN"/>
                        </w:rPr>
                        <w:t>周村鲁萌铸造厂</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4084320</wp:posOffset>
                </wp:positionH>
                <wp:positionV relativeFrom="paragraph">
                  <wp:posOffset>2339975</wp:posOffset>
                </wp:positionV>
                <wp:extent cx="1819275" cy="419100"/>
                <wp:effectExtent l="313055" t="6350" r="16510" b="16510"/>
                <wp:wrapNone/>
                <wp:docPr id="30" name="圆角矩形标注 30"/>
                <wp:cNvGraphicFramePr/>
                <a:graphic xmlns:a="http://schemas.openxmlformats.org/drawingml/2006/main">
                  <a:graphicData uri="http://schemas.microsoft.com/office/word/2010/wordprocessingShape">
                    <wps:wsp>
                      <wps:cNvSpPr/>
                      <wps:spPr>
                        <a:xfrm>
                          <a:off x="0" y="0"/>
                          <a:ext cx="1819275" cy="419100"/>
                        </a:xfrm>
                        <a:prstGeom prst="wedgeRoundRectCallout">
                          <a:avLst>
                            <a:gd name="adj1" fmla="val -65322"/>
                            <a:gd name="adj2" fmla="val -27647"/>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972F28">
                            <w:pPr>
                              <w:jc w:val="center"/>
                              <w:rPr>
                                <w:rFonts w:hint="eastAsia" w:eastAsia="宋体"/>
                                <w:b/>
                                <w:bCs/>
                                <w:color w:val="FF0000"/>
                                <w:lang w:eastAsia="zh-CN"/>
                              </w:rPr>
                            </w:pPr>
                            <w:r>
                              <w:rPr>
                                <w:rFonts w:hint="eastAsia"/>
                                <w:b/>
                                <w:bCs/>
                                <w:color w:val="FF0000"/>
                                <w:lang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1.6pt;margin-top:184.25pt;height:33pt;width:143.25pt;z-index:251679744;v-text-anchor:middle;mso-width-relative:page;mso-height-relative:page;" filled="f" stroked="t" coordsize="21600,21600" o:gfxdata="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mI8wqdgAAAALAQAA&#10;DwAAAAAAAAABACAAAAAiAAAAZHJzL2Rvd25yZXYueG1sUEsBAhQAFAAAAAgAh07iQGRDN5TEAgAA&#10;bAUAAA4AAAAAAAAAAQAgAAAAJwEAAGRycy9lMm9Eb2MueG1sUEsFBgAAAAAGAAYAWQEAAF0GAAAA&#10;AA==&#10;" adj="-3310,4828,14400">
                <v:fill on="f" focussize="0,0"/>
                <v:stroke weight="1pt" color="#FF0000 [2404]" miterlimit="8" joinstyle="miter"/>
                <v:imagedata o:title=""/>
                <o:lock v:ext="edit" aspectratio="f"/>
                <v:textbox>
                  <w:txbxContent>
                    <w:p w14:paraId="29972F28">
                      <w:pPr>
                        <w:jc w:val="center"/>
                        <w:rPr>
                          <w:rFonts w:hint="eastAsia" w:eastAsia="宋体"/>
                          <w:b/>
                          <w:bCs/>
                          <w:color w:val="FF0000"/>
                          <w:lang w:eastAsia="zh-CN"/>
                        </w:rPr>
                      </w:pPr>
                      <w:r>
                        <w:rPr>
                          <w:rFonts w:hint="eastAsia"/>
                          <w:b/>
                          <w:bCs/>
                          <w:color w:val="FF0000"/>
                          <w:lang w:eastAsia="zh-CN"/>
                        </w:rPr>
                        <w:t>空地</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3693795</wp:posOffset>
                </wp:positionH>
                <wp:positionV relativeFrom="paragraph">
                  <wp:posOffset>1139825</wp:posOffset>
                </wp:positionV>
                <wp:extent cx="1819275" cy="485775"/>
                <wp:effectExtent l="34925" t="6350" r="20320" b="254635"/>
                <wp:wrapNone/>
                <wp:docPr id="29" name="圆角矩形标注 29"/>
                <wp:cNvGraphicFramePr/>
                <a:graphic xmlns:a="http://schemas.openxmlformats.org/drawingml/2006/main">
                  <a:graphicData uri="http://schemas.microsoft.com/office/word/2010/wordprocessingShape">
                    <wps:wsp>
                      <wps:cNvSpPr/>
                      <wps:spPr>
                        <a:xfrm>
                          <a:off x="5116830" y="2150110"/>
                          <a:ext cx="1819275" cy="485775"/>
                        </a:xfrm>
                        <a:prstGeom prst="wedgeRoundRectCallout">
                          <a:avLst>
                            <a:gd name="adj1" fmla="val -50139"/>
                            <a:gd name="adj2" fmla="val 97843"/>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C11D028">
                            <w:pPr>
                              <w:jc w:val="center"/>
                              <w:rPr>
                                <w:b/>
                                <w:bCs/>
                                <w:color w:val="FF0000"/>
                              </w:rPr>
                            </w:pPr>
                            <w:r>
                              <w:rPr>
                                <w:rFonts w:hint="eastAsia"/>
                                <w:b/>
                                <w:bCs/>
                                <w:color w:val="FF0000"/>
                              </w:rPr>
                              <w:t>淄博瑞德金刚砂有限公司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0.85pt;margin-top:89.75pt;height:38.25pt;width:143.25pt;z-index:251678720;v-text-anchor:middle;mso-width-relative:page;mso-height-relative:page;" filled="f" stroked="t" coordsize="21600,21600" o:gfxdata="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Bf7ko2QAAAAsBAAAPAAAAAAAAAAEAIAAAACIAAABkcnMvZG93bnJldi54bWxQSwECFAAUAAAA&#10;CACHTuJADBHB9tECAAB3BQAADgAAAAAAAAABACAAAAAoAQAAZHJzL2Uyb0RvYy54bWxQSwUGAAAA&#10;AAYABgBZAQAAawYAAAAA&#10;" adj="-30,31934,14400">
                <v:fill on="f" focussize="0,0"/>
                <v:stroke weight="1pt" color="#FF0000 [2404]" miterlimit="8" joinstyle="miter"/>
                <v:imagedata o:title=""/>
                <o:lock v:ext="edit" aspectratio="f"/>
                <v:textbox>
                  <w:txbxContent>
                    <w:p w14:paraId="6C11D028">
                      <w:pPr>
                        <w:jc w:val="center"/>
                        <w:rPr>
                          <w:b/>
                          <w:bCs/>
                          <w:color w:val="FF0000"/>
                        </w:rPr>
                      </w:pPr>
                      <w:r>
                        <w:rPr>
                          <w:rFonts w:hint="eastAsia"/>
                          <w:b/>
                          <w:bCs/>
                          <w:color w:val="FF0000"/>
                        </w:rPr>
                        <w:t>淄博瑞德金刚砂有限公司</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2976245</wp:posOffset>
                </wp:positionH>
                <wp:positionV relativeFrom="paragraph">
                  <wp:posOffset>1910715</wp:posOffset>
                </wp:positionV>
                <wp:extent cx="914400" cy="715010"/>
                <wp:effectExtent l="9525" t="7620" r="20955" b="8890"/>
                <wp:wrapNone/>
                <wp:docPr id="24" name="任意多边形 24"/>
                <wp:cNvGraphicFramePr/>
                <a:graphic xmlns:a="http://schemas.openxmlformats.org/drawingml/2006/main">
                  <a:graphicData uri="http://schemas.microsoft.com/office/word/2010/wordprocessingShape">
                    <wps:wsp>
                      <wps:cNvSpPr/>
                      <wps:spPr>
                        <a:xfrm>
                          <a:off x="4056380" y="2864485"/>
                          <a:ext cx="914400" cy="715010"/>
                        </a:xfrm>
                        <a:custGeom>
                          <a:avLst/>
                          <a:gdLst>
                            <a:gd name="connisteX0" fmla="*/ 304800 w 914400"/>
                            <a:gd name="connsiteY0" fmla="*/ 0 h 733425"/>
                            <a:gd name="connisteX1" fmla="*/ 0 w 914400"/>
                            <a:gd name="connsiteY1" fmla="*/ 400050 h 733425"/>
                            <a:gd name="connisteX2" fmla="*/ 561975 w 914400"/>
                            <a:gd name="connsiteY2" fmla="*/ 733425 h 733425"/>
                            <a:gd name="connisteX3" fmla="*/ 914400 w 914400"/>
                            <a:gd name="connsiteY3" fmla="*/ 257175 h 733425"/>
                            <a:gd name="connisteX4" fmla="*/ 304800 w 914400"/>
                            <a:gd name="connsiteY4" fmla="*/ 0 h 7334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14400" h="733425">
                              <a:moveTo>
                                <a:pt x="304800" y="0"/>
                              </a:moveTo>
                              <a:lnTo>
                                <a:pt x="0" y="400050"/>
                              </a:lnTo>
                              <a:lnTo>
                                <a:pt x="561975" y="733425"/>
                              </a:lnTo>
                              <a:lnTo>
                                <a:pt x="914400" y="257175"/>
                              </a:lnTo>
                              <a:lnTo>
                                <a:pt x="30480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4.35pt;margin-top:150.45pt;height:56.3pt;width:72pt;z-index:251677696;mso-width-relative:page;mso-height-relative:page;" filled="f" stroked="t" coordsize="914400,733425" o:gfxdata="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y/JA0NgAAAALAQAADwAAAAAAAAABACAAAAAiAAAAZHJzL2Rv&#10;d25yZXYueG1sUEsBAhQAFAAAAAgAh07iQBN59M8eAwAATggAAA4AAAAAAAAAAQAgAAAAJwEAAGRy&#10;cy9lMm9Eb2MueG1sUEsFBgAAAAAGAAYAWQEAALcGAAAAAA==&#10;" path="m304800,0l0,400050,561975,733425,914400,257175,304800,0xe">
                <v:path o:connectlocs="304800,0;0,390005;561975,715010;914400,250717;304800,0" o:connectangles="0,0,0,0,0"/>
                <v:fill on="f" focussize="0,0"/>
                <v:stroke weight="1pt" color="#FF0000 [2404]" miterlimit="8" joinstyle="miter"/>
                <v:imagedata o:title=""/>
                <o:lock v:ext="edit" aspectratio="f"/>
              </v:shape>
            </w:pict>
          </mc:Fallback>
        </mc:AlternateContent>
      </w:r>
      <w:r>
        <w:rPr>
          <w:rFonts w:hint="eastAsia"/>
        </w:rPr>
        <w:drawing>
          <wp:anchor distT="0" distB="0" distL="114300" distR="114300" simplePos="0" relativeHeight="251665408" behindDoc="0" locked="0" layoutInCell="1" allowOverlap="1">
            <wp:simplePos x="0" y="0"/>
            <wp:positionH relativeFrom="column">
              <wp:posOffset>7364095</wp:posOffset>
            </wp:positionH>
            <wp:positionV relativeFrom="paragraph">
              <wp:posOffset>0</wp:posOffset>
            </wp:positionV>
            <wp:extent cx="1123950" cy="1084580"/>
            <wp:effectExtent l="0" t="0" r="3810" b="12700"/>
            <wp:wrapNone/>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25"/>
                    <a:stretch>
                      <a:fillRect/>
                    </a:stretch>
                  </pic:blipFill>
                  <pic:spPr>
                    <a:xfrm>
                      <a:off x="0" y="0"/>
                      <a:ext cx="1123950" cy="1084580"/>
                    </a:xfrm>
                    <a:prstGeom prst="rect">
                      <a:avLst/>
                    </a:prstGeom>
                    <a:noFill/>
                    <a:ln>
                      <a:noFill/>
                    </a:ln>
                  </pic:spPr>
                </pic:pic>
              </a:graphicData>
            </a:graphic>
          </wp:anchor>
        </w:drawing>
      </w:r>
      <w:r>
        <w:drawing>
          <wp:inline distT="0" distB="0" distL="114300" distR="114300">
            <wp:extent cx="8454390" cy="5334635"/>
            <wp:effectExtent l="0" t="0" r="3810" b="1460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7"/>
                    <a:stretch>
                      <a:fillRect/>
                    </a:stretch>
                  </pic:blipFill>
                  <pic:spPr>
                    <a:xfrm>
                      <a:off x="0" y="0"/>
                      <a:ext cx="8454390" cy="5334635"/>
                    </a:xfrm>
                    <a:prstGeom prst="rect">
                      <a:avLst/>
                    </a:prstGeom>
                    <a:noFill/>
                    <a:ln>
                      <a:noFill/>
                    </a:ln>
                  </pic:spPr>
                </pic:pic>
              </a:graphicData>
            </a:graphic>
          </wp:inline>
        </w:drawing>
      </w:r>
    </w:p>
    <w:p w14:paraId="1E790575">
      <w:pPr>
        <w:jc w:val="center"/>
        <w:rPr>
          <w:rFonts w:hint="default"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附图2 四周关系图</w:t>
      </w:r>
    </w:p>
    <w:p w14:paraId="165A0017">
      <w:pPr>
        <w:rPr>
          <w:rFonts w:hint="eastAsia" w:ascii="仿宋_GB2312" w:eastAsia="仿宋_GB2312"/>
          <w:sz w:val="32"/>
          <w:szCs w:val="32"/>
        </w:rPr>
      </w:pPr>
    </w:p>
    <w:p w14:paraId="2D75A09C">
      <w:pPr>
        <w:jc w:val="center"/>
      </w:pPr>
      <w:r>
        <w:drawing>
          <wp:inline distT="0" distB="0" distL="114300" distR="114300">
            <wp:extent cx="6566535" cy="4921250"/>
            <wp:effectExtent l="0" t="0" r="1905" b="127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28"/>
                    <a:stretch>
                      <a:fillRect/>
                    </a:stretch>
                  </pic:blipFill>
                  <pic:spPr>
                    <a:xfrm>
                      <a:off x="0" y="0"/>
                      <a:ext cx="6566535" cy="4921250"/>
                    </a:xfrm>
                    <a:prstGeom prst="rect">
                      <a:avLst/>
                    </a:prstGeom>
                    <a:noFill/>
                    <a:ln>
                      <a:noFill/>
                    </a:ln>
                  </pic:spPr>
                </pic:pic>
              </a:graphicData>
            </a:graphic>
          </wp:inline>
        </w:drawing>
      </w:r>
    </w:p>
    <w:p w14:paraId="095C592B">
      <w:pPr>
        <w:jc w:val="center"/>
        <w:rPr>
          <w:rFonts w:hint="eastAsia" w:ascii="Times New Roman" w:hAnsi="Times New Roman" w:eastAsia="宋体" w:cs="Times New Roman"/>
          <w:b/>
          <w:bCs/>
          <w:sz w:val="32"/>
          <w:szCs w:val="40"/>
          <w:lang w:val="en-US" w:eastAsia="zh-CN"/>
        </w:rPr>
      </w:pPr>
      <w:r>
        <w:rPr>
          <w:rFonts w:hint="eastAsia" w:ascii="Times New Roman" w:hAnsi="Times New Roman" w:eastAsia="宋体" w:cs="Times New Roman"/>
          <w:b/>
          <w:bCs/>
          <w:sz w:val="32"/>
          <w:szCs w:val="40"/>
          <w:lang w:val="en-US" w:eastAsia="zh-CN"/>
        </w:rPr>
        <w:t>附图3 平面布置图</w:t>
      </w:r>
    </w:p>
    <w:p w14:paraId="41B3C187">
      <w:pPr>
        <w:jc w:val="center"/>
      </w:pPr>
      <w:r>
        <w:rPr>
          <w:sz w:val="21"/>
        </w:rPr>
        <mc:AlternateContent>
          <mc:Choice Requires="wps">
            <w:drawing>
              <wp:anchor distT="0" distB="0" distL="114300" distR="114300" simplePos="0" relativeHeight="251675648" behindDoc="0" locked="0" layoutInCell="1" allowOverlap="1">
                <wp:simplePos x="0" y="0"/>
                <wp:positionH relativeFrom="column">
                  <wp:posOffset>3950970</wp:posOffset>
                </wp:positionH>
                <wp:positionV relativeFrom="paragraph">
                  <wp:posOffset>3131185</wp:posOffset>
                </wp:positionV>
                <wp:extent cx="548640" cy="259715"/>
                <wp:effectExtent l="0" t="0" r="0" b="14605"/>
                <wp:wrapNone/>
                <wp:docPr id="21" name="文本框 21"/>
                <wp:cNvGraphicFramePr/>
                <a:graphic xmlns:a="http://schemas.openxmlformats.org/drawingml/2006/main">
                  <a:graphicData uri="http://schemas.microsoft.com/office/word/2010/wordprocessingShape">
                    <wps:wsp>
                      <wps:cNvSpPr txBox="1"/>
                      <wps:spPr>
                        <a:xfrm>
                          <a:off x="5092065" y="4110990"/>
                          <a:ext cx="5486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41A97C">
                            <w:pPr>
                              <w:rPr>
                                <w:rFonts w:hint="default" w:eastAsia="宋体"/>
                                <w:b/>
                                <w:bCs/>
                                <w:color w:val="FF0000"/>
                                <w:lang w:val="en-US" w:eastAsia="zh-CN"/>
                              </w:rPr>
                            </w:pPr>
                            <w:r>
                              <w:rPr>
                                <w:rFonts w:hint="eastAsia"/>
                                <w:b/>
                                <w:bCs/>
                                <w:color w:val="FF0000"/>
                                <w:lang w:val="en-US" w:eastAsia="zh-CN"/>
                              </w:rPr>
                              <w:t>500米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1pt;margin-top:246.55pt;height:20.45pt;width:43.2pt;z-index:251675648;mso-width-relative:page;mso-height-relative:page;" filled="f" stroked="f" coordsize="21600,21600" o:gfxdata="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KUQ3d0AAAALAQAADwAAAAAA&#10;AAABACAAAAAiAAAAZHJzL2Rvd25yZXYueG1sUEsBAhQAFAAAAAgAh07iQJrpQ+hHAgAAcwQAAA4A&#10;AAAAAAAAAQAgAAAALAEAAGRycy9lMm9Eb2MueG1sUEsFBgAAAAAGAAYAWQEAAOUFAAAAAA==&#10;">
                <v:fill on="f" focussize="0,0"/>
                <v:stroke on="f" weight="0.5pt"/>
                <v:imagedata o:title=""/>
                <o:lock v:ext="edit" aspectratio="f"/>
                <v:textbox>
                  <w:txbxContent>
                    <w:p w14:paraId="2C41A97C">
                      <w:pPr>
                        <w:rPr>
                          <w:rFonts w:hint="default" w:eastAsia="宋体"/>
                          <w:b/>
                          <w:bCs/>
                          <w:color w:val="FF0000"/>
                          <w:lang w:val="en-US" w:eastAsia="zh-CN"/>
                        </w:rPr>
                      </w:pPr>
                      <w:r>
                        <w:rPr>
                          <w:rFonts w:hint="eastAsia"/>
                          <w:b/>
                          <w:bCs/>
                          <w:color w:val="FF0000"/>
                          <w:lang w:val="en-US" w:eastAsia="zh-CN"/>
                        </w:rPr>
                        <w:t>500米</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3864610</wp:posOffset>
                </wp:positionH>
                <wp:positionV relativeFrom="paragraph">
                  <wp:posOffset>2712085</wp:posOffset>
                </wp:positionV>
                <wp:extent cx="71120" cy="2040890"/>
                <wp:effectExtent l="47625" t="0" r="18415" b="1270"/>
                <wp:wrapNone/>
                <wp:docPr id="17" name="直接箭头连接符 17"/>
                <wp:cNvGraphicFramePr/>
                <a:graphic xmlns:a="http://schemas.openxmlformats.org/drawingml/2006/main">
                  <a:graphicData uri="http://schemas.microsoft.com/office/word/2010/wordprocessingShape">
                    <wps:wsp>
                      <wps:cNvCnPr/>
                      <wps:spPr>
                        <a:xfrm flipH="1">
                          <a:off x="4944745" y="3684270"/>
                          <a:ext cx="71120" cy="204089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4.3pt;margin-top:213.55pt;height:160.7pt;width:5.6pt;z-index:251674624;mso-width-relative:page;mso-height-relative:page;" filled="f" stroked="t" coordsize="21600,21600" o:gfxdata="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7SrcrYAAAA&#10;CwEAAA8AAAAAAAAAAQAgAAAAIgAAAGRycy9kb3ducmV2LnhtbFBLAQIUABQAAAAIAIdO4kB6P8MD&#10;HQIAAPsDAAAOAAAAAAAAAAEAIAAAACcBAABkcnMvZTJvRG9jLnhtbFBLBQYAAAAABgAGAFkBAAC2&#10;BQ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4411980</wp:posOffset>
                </wp:positionH>
                <wp:positionV relativeFrom="paragraph">
                  <wp:posOffset>2306955</wp:posOffset>
                </wp:positionV>
                <wp:extent cx="844550" cy="332740"/>
                <wp:effectExtent l="0" t="0" r="8890" b="2540"/>
                <wp:wrapNone/>
                <wp:docPr id="72" name="文本框 72"/>
                <wp:cNvGraphicFramePr/>
                <a:graphic xmlns:a="http://schemas.openxmlformats.org/drawingml/2006/main">
                  <a:graphicData uri="http://schemas.microsoft.com/office/word/2010/wordprocessingShape">
                    <wps:wsp>
                      <wps:cNvSpPr txBox="1"/>
                      <wps:spPr>
                        <a:xfrm>
                          <a:off x="5544185" y="3355340"/>
                          <a:ext cx="84455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1E5E08">
                            <w:pPr>
                              <w:rPr>
                                <w:rFonts w:hint="eastAsia" w:eastAsia="宋体"/>
                                <w:b/>
                                <w:bCs/>
                                <w:color w:val="FF0000"/>
                                <w:sz w:val="24"/>
                                <w:szCs w:val="32"/>
                                <w:lang w:eastAsia="zh-CN"/>
                              </w:rPr>
                            </w:pPr>
                            <w:r>
                              <w:rPr>
                                <w:rFonts w:hint="eastAsia"/>
                                <w:b/>
                                <w:bCs/>
                                <w:color w:val="FF0000"/>
                                <w:sz w:val="24"/>
                                <w:szCs w:val="32"/>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4pt;margin-top:181.65pt;height:26.2pt;width:66.5pt;z-index:251670528;mso-width-relative:page;mso-height-relative:page;" filled="f" stroked="f" coordsize="21600,21600" o:gfxdata="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F3ihLdAAAACwEAAA8AAAAAAAAA&#10;AQAgAAAAIgAAAGRycy9kb3ducmV2LnhtbFBLAQIUABQAAAAIAIdO4kB1fSuYRQIAAHMEAAAOAAAA&#10;AAAAAAEAIAAAACwBAABkcnMvZTJvRG9jLnhtbFBLBQYAAAAABgAGAFkBAADjBQAAAAA=&#10;">
                <v:fill on="f" focussize="0,0"/>
                <v:stroke on="f" weight="0.5pt"/>
                <v:imagedata o:title=""/>
                <o:lock v:ext="edit" aspectratio="f"/>
                <v:textbox>
                  <w:txbxContent>
                    <w:p w14:paraId="281E5E08">
                      <w:pPr>
                        <w:rPr>
                          <w:rFonts w:hint="eastAsia" w:eastAsia="宋体"/>
                          <w:b/>
                          <w:bCs/>
                          <w:color w:val="FF0000"/>
                          <w:sz w:val="24"/>
                          <w:szCs w:val="32"/>
                          <w:lang w:eastAsia="zh-CN"/>
                        </w:rPr>
                      </w:pPr>
                      <w:r>
                        <w:rPr>
                          <w:rFonts w:hint="eastAsia"/>
                          <w:b/>
                          <w:bCs/>
                          <w:color w:val="FF0000"/>
                          <w:sz w:val="24"/>
                          <w:szCs w:val="32"/>
                          <w:lang w:eastAsia="zh-CN"/>
                        </w:rPr>
                        <w:t>项目位置</w:t>
                      </w:r>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3971925</wp:posOffset>
                </wp:positionH>
                <wp:positionV relativeFrom="paragraph">
                  <wp:posOffset>2452370</wp:posOffset>
                </wp:positionV>
                <wp:extent cx="408940" cy="104140"/>
                <wp:effectExtent l="0" t="6350" r="2540" b="41910"/>
                <wp:wrapNone/>
                <wp:docPr id="71" name="直接箭头连接符 71"/>
                <wp:cNvGraphicFramePr/>
                <a:graphic xmlns:a="http://schemas.openxmlformats.org/drawingml/2006/main">
                  <a:graphicData uri="http://schemas.microsoft.com/office/word/2010/wordprocessingShape">
                    <wps:wsp>
                      <wps:cNvCnPr/>
                      <wps:spPr>
                        <a:xfrm flipH="1">
                          <a:off x="5052060" y="3424555"/>
                          <a:ext cx="408940" cy="10414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2.75pt;margin-top:193.1pt;height:8.2pt;width:32.2pt;z-index:251669504;mso-width-relative:page;mso-height-relative:page;" filled="f" stroked="t" coordsize="21600,21600" o:gfxdata="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FYS1tgA&#10;AAALAQAADwAAAAAAAAABACAAAAAiAAAAZHJzL2Rvd25yZXYueG1sUEsBAhQAFAAAAAgAh07iQI4H&#10;2P8fAgAA+wMAAA4AAAAAAAAAAQAgAAAAJwEAAGRycy9lMm9Eb2MueG1sUEsFBgAAAAAGAAYAWQEA&#10;ALgFA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3079115</wp:posOffset>
                </wp:positionH>
                <wp:positionV relativeFrom="paragraph">
                  <wp:posOffset>1690370</wp:posOffset>
                </wp:positionV>
                <wp:extent cx="1073150" cy="249555"/>
                <wp:effectExtent l="0" t="0" r="8890" b="9525"/>
                <wp:wrapNone/>
                <wp:docPr id="66" name="文本框 66"/>
                <wp:cNvGraphicFramePr/>
                <a:graphic xmlns:a="http://schemas.openxmlformats.org/drawingml/2006/main">
                  <a:graphicData uri="http://schemas.microsoft.com/office/word/2010/wordprocessingShape">
                    <wps:wsp>
                      <wps:cNvSpPr txBox="1"/>
                      <wps:spPr>
                        <a:xfrm>
                          <a:off x="4463415" y="2662555"/>
                          <a:ext cx="1073150"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6CA05">
                            <w:pPr>
                              <w:rPr>
                                <w:rFonts w:hint="eastAsia" w:eastAsia="宋体"/>
                                <w:b/>
                                <w:bCs/>
                                <w:color w:val="FF0000"/>
                                <w:lang w:eastAsia="zh-CN"/>
                              </w:rPr>
                            </w:pPr>
                            <w:r>
                              <w:rPr>
                                <w:rFonts w:hint="eastAsia"/>
                                <w:b/>
                                <w:bCs/>
                                <w:color w:val="FF0000"/>
                                <w:lang w:eastAsia="zh-CN"/>
                              </w:rPr>
                              <w:t>紧邻东衣村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45pt;margin-top:133.1pt;height:19.65pt;width:84.5pt;z-index:251668480;mso-width-relative:page;mso-height-relative:page;" filled="f" stroked="f" coordsize="21600,21600" o:gfxdata="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1knlDcAAAACwEAAA8AAAAAAAAA&#10;AQAgAAAAIgAAAGRycy9kb3ducmV2LnhtbFBLAQIUABQAAAAIAIdO4kAH6z7NRgIAAHQEAAAOAAAA&#10;AAAAAAEAIAAAACsBAABkcnMvZTJvRG9jLnhtbFBLBQYAAAAABgAGAFkBAADjBQAAAAA=&#10;">
                <v:fill on="f" focussize="0,0"/>
                <v:stroke on="f" weight="0.5pt"/>
                <v:imagedata o:title=""/>
                <o:lock v:ext="edit" aspectratio="f"/>
                <v:textbox>
                  <w:txbxContent>
                    <w:p w14:paraId="3E36CA05">
                      <w:pPr>
                        <w:rPr>
                          <w:rFonts w:hint="eastAsia" w:eastAsia="宋体"/>
                          <w:b/>
                          <w:bCs/>
                          <w:color w:val="FF0000"/>
                          <w:lang w:eastAsia="zh-CN"/>
                        </w:rPr>
                      </w:pPr>
                      <w:r>
                        <w:rPr>
                          <w:rFonts w:hint="eastAsia"/>
                          <w:b/>
                          <w:bCs/>
                          <w:color w:val="FF0000"/>
                          <w:lang w:eastAsia="zh-CN"/>
                        </w:rPr>
                        <w:t>紧邻东衣村</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3819525</wp:posOffset>
                </wp:positionH>
                <wp:positionV relativeFrom="paragraph">
                  <wp:posOffset>2438400</wp:posOffset>
                </wp:positionV>
                <wp:extent cx="339725" cy="277495"/>
                <wp:effectExtent l="6350" t="6350" r="19685" b="20955"/>
                <wp:wrapNone/>
                <wp:docPr id="63" name="任意多边形 63"/>
                <wp:cNvGraphicFramePr/>
                <a:graphic xmlns:a="http://schemas.openxmlformats.org/drawingml/2006/main">
                  <a:graphicData uri="http://schemas.microsoft.com/office/word/2010/wordprocessingShape">
                    <wps:wsp>
                      <wps:cNvSpPr/>
                      <wps:spPr>
                        <a:xfrm>
                          <a:off x="4899660" y="3410585"/>
                          <a:ext cx="339725" cy="277495"/>
                        </a:xfrm>
                        <a:custGeom>
                          <a:avLst/>
                          <a:gdLst>
                            <a:gd name="connisteX0" fmla="*/ 0 w 339725"/>
                            <a:gd name="connsiteY0" fmla="*/ 0 h 277495"/>
                            <a:gd name="connisteX1" fmla="*/ 339725 w 339725"/>
                            <a:gd name="connsiteY1" fmla="*/ 13970 h 277495"/>
                            <a:gd name="connisteX2" fmla="*/ 256540 w 339725"/>
                            <a:gd name="connsiteY2" fmla="*/ 277495 h 277495"/>
                            <a:gd name="connisteX3" fmla="*/ 0 w 339725"/>
                            <a:gd name="connsiteY3" fmla="*/ 255905 h 277495"/>
                            <a:gd name="connisteX4" fmla="*/ 0 w 339725"/>
                            <a:gd name="connsiteY4" fmla="*/ 0 h 27749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39725" h="277495">
                              <a:moveTo>
                                <a:pt x="0" y="0"/>
                              </a:moveTo>
                              <a:lnTo>
                                <a:pt x="339725" y="13970"/>
                              </a:lnTo>
                              <a:lnTo>
                                <a:pt x="256540" y="277495"/>
                              </a:lnTo>
                              <a:lnTo>
                                <a:pt x="0" y="255905"/>
                              </a:lnTo>
                              <a:lnTo>
                                <a:pt x="0" y="0"/>
                              </a:lnTo>
                              <a:close/>
                            </a:path>
                          </a:pathLst>
                        </a:cu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0.75pt;margin-top:192pt;height:21.85pt;width:26.75pt;z-index:251667456;mso-width-relative:page;mso-height-relative:page;" fillcolor="#FFFF00" filled="t" stroked="t" coordsize="339725,277495" o:gfxdata="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" path="m0,0l339725,13970,256540,277495,0,255905,0,0xe">
                <v:path o:connectlocs="0,0;339725,13970;256540,277495;0,255905;0,0" o:connectangles="0,0,0,0,0"/>
                <v:fill on="t" focussize="0,0"/>
                <v:stroke weight="1pt" color="#FF0000 [2404]" miterlimit="8" joinstyle="miter"/>
                <v:imagedata o:title=""/>
                <o:lock v:ext="edit" aspectratio="f"/>
              </v:shape>
            </w:pict>
          </mc:Fallback>
        </mc:AlternateContent>
      </w:r>
    </w:p>
    <w:p w14:paraId="133D0B92">
      <w:pPr>
        <w:bidi w:val="0"/>
        <w:jc w:val="center"/>
        <w:rPr>
          <w:rFonts w:hint="default" w:ascii="Times New Roman" w:hAnsi="Times New Roman" w:eastAsia="宋体" w:cs="Times New Roman"/>
          <w:kern w:val="2"/>
          <w:sz w:val="21"/>
          <w:szCs w:val="24"/>
          <w:lang w:val="en-US" w:eastAsia="zh-CN" w:bidi="ar-SA"/>
        </w:rPr>
      </w:pPr>
      <w:r>
        <w:rPr>
          <w:rFonts w:hint="eastAsia"/>
        </w:rPr>
        <w:drawing>
          <wp:anchor distT="0" distB="0" distL="114300" distR="114300" simplePos="0" relativeHeight="251666432" behindDoc="0" locked="0" layoutInCell="1" allowOverlap="1">
            <wp:simplePos x="0" y="0"/>
            <wp:positionH relativeFrom="column">
              <wp:posOffset>7354570</wp:posOffset>
            </wp:positionH>
            <wp:positionV relativeFrom="paragraph">
              <wp:posOffset>-7620</wp:posOffset>
            </wp:positionV>
            <wp:extent cx="1090295" cy="1052195"/>
            <wp:effectExtent l="0" t="0" r="6985" b="14605"/>
            <wp:wrapNone/>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5"/>
                    <a:stretch>
                      <a:fillRect/>
                    </a:stretch>
                  </pic:blipFill>
                  <pic:spPr>
                    <a:xfrm>
                      <a:off x="0" y="0"/>
                      <a:ext cx="1090295" cy="1052195"/>
                    </a:xfrm>
                    <a:prstGeom prst="rect">
                      <a:avLst/>
                    </a:prstGeom>
                    <a:noFill/>
                    <a:ln>
                      <a:noFill/>
                    </a:ln>
                  </pic:spPr>
                </pic:pic>
              </a:graphicData>
            </a:graphic>
          </wp:anchor>
        </w:drawing>
      </w:r>
      <w:r>
        <w:rPr>
          <w:sz w:val="21"/>
        </w:rPr>
        <mc:AlternateContent>
          <mc:Choice Requires="wps">
            <w:drawing>
              <wp:anchor distT="0" distB="0" distL="114300" distR="114300" simplePos="0" relativeHeight="251687936" behindDoc="0" locked="0" layoutInCell="1" allowOverlap="1">
                <wp:simplePos x="0" y="0"/>
                <wp:positionH relativeFrom="column">
                  <wp:posOffset>1804670</wp:posOffset>
                </wp:positionH>
                <wp:positionV relativeFrom="paragraph">
                  <wp:posOffset>1462405</wp:posOffset>
                </wp:positionV>
                <wp:extent cx="1104900" cy="371475"/>
                <wp:effectExtent l="6350" t="6350" r="656590" b="719455"/>
                <wp:wrapNone/>
                <wp:docPr id="41" name="圆角矩形标注 41"/>
                <wp:cNvGraphicFramePr/>
                <a:graphic xmlns:a="http://schemas.openxmlformats.org/drawingml/2006/main">
                  <a:graphicData uri="http://schemas.microsoft.com/office/word/2010/wordprocessingShape">
                    <wps:wsp>
                      <wps:cNvSpPr/>
                      <wps:spPr>
                        <a:xfrm>
                          <a:off x="6028055" y="1139190"/>
                          <a:ext cx="1104900" cy="371475"/>
                        </a:xfrm>
                        <a:prstGeom prst="wedgeRoundRectCallout">
                          <a:avLst>
                            <a:gd name="adj1" fmla="val 105057"/>
                            <a:gd name="adj2" fmla="val 231709"/>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79FC39F">
                            <w:pPr>
                              <w:jc w:val="center"/>
                              <w:rPr>
                                <w:rFonts w:hint="eastAsia" w:eastAsia="宋体"/>
                                <w:b/>
                                <w:bCs/>
                                <w:color w:val="FF0000"/>
                                <w:lang w:eastAsia="zh-CN"/>
                              </w:rPr>
                            </w:pPr>
                            <w:r>
                              <w:rPr>
                                <w:rFonts w:hint="eastAsia"/>
                                <w:b/>
                                <w:bCs/>
                                <w:color w:val="FF0000"/>
                                <w:lang w:eastAsia="zh-CN"/>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2.1pt;margin-top:115.15pt;height:29.25pt;width:87pt;z-index:251687936;v-text-anchor:middle;mso-width-relative:page;mso-height-relative:page;" filled="f" stroked="t" coordsize="21600,21600" o:gfxdata="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Dg&#10;+1QJ2AAAAAsBAAAPAAAAAAAAAAEAIAAAACIAAABkcnMvZG93bnJldi54bWxQSwECFAAUAAAACACH&#10;TuJAzBqI0c8CAAB4BQAADgAAAAAAAAABACAAAAAnAQAAZHJzL2Uyb0RvYy54bWxQSwUGAAAAAAYA&#10;BgBZAQAAaAYAAAAA&#10;" adj="33492,60849,14400">
                <v:fill on="f" focussize="0,0"/>
                <v:stroke weight="1pt" color="#FF0000 [2404]" miterlimit="8" joinstyle="miter"/>
                <v:imagedata o:title=""/>
                <o:lock v:ext="edit" aspectratio="f"/>
                <v:textbox>
                  <w:txbxContent>
                    <w:p w14:paraId="579FC39F">
                      <w:pPr>
                        <w:jc w:val="center"/>
                        <w:rPr>
                          <w:rFonts w:hint="eastAsia" w:eastAsia="宋体"/>
                          <w:b/>
                          <w:bCs/>
                          <w:color w:val="FF0000"/>
                          <w:lang w:eastAsia="zh-CN"/>
                        </w:rPr>
                      </w:pPr>
                      <w:r>
                        <w:rPr>
                          <w:rFonts w:hint="eastAsia"/>
                          <w:b/>
                          <w:bCs/>
                          <w:color w:val="FF0000"/>
                          <w:lang w:eastAsia="zh-CN"/>
                        </w:rPr>
                        <w:t>项目地理位置</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3309620</wp:posOffset>
                </wp:positionH>
                <wp:positionV relativeFrom="paragraph">
                  <wp:posOffset>2662555</wp:posOffset>
                </wp:positionV>
                <wp:extent cx="866775" cy="31432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86677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BD62BC">
                            <w:pPr>
                              <w:rPr>
                                <w:rFonts w:hint="default" w:eastAsia="宋体"/>
                                <w:b/>
                                <w:bCs/>
                                <w:color w:val="FFFF00"/>
                                <w:sz w:val="28"/>
                                <w:szCs w:val="36"/>
                                <w:lang w:val="en-US" w:eastAsia="zh-CN"/>
                              </w:rPr>
                            </w:pPr>
                            <w:r>
                              <w:rPr>
                                <w:rFonts w:hint="eastAsia"/>
                                <w:b/>
                                <w:bCs/>
                                <w:color w:val="FFFF00"/>
                                <w:sz w:val="28"/>
                                <w:szCs w:val="36"/>
                                <w:lang w:val="en-US" w:eastAsia="zh-CN"/>
                              </w:rPr>
                              <w:t>101m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6pt;margin-top:209.65pt;height:24.75pt;width:68.25pt;z-index:251695104;mso-width-relative:page;mso-height-relative:page;" filled="f" stroked="f" coordsize="21600,21600" o:gfxdata="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MLeRtwAAAALAQAADwAAAAAAAAABACAAAAAiAAAA&#10;ZHJzL2Rvd25yZXYueG1sUEsBAhQAFAAAAAgAh07iQN61B+c8AgAAZwQAAA4AAAAAAAAAAQAgAAAA&#10;KwEAAGRycy9lMm9Eb2MueG1sUEsFBgAAAAAGAAYAWQEAANkFAAAAAA==&#10;">
                <v:fill on="f" focussize="0,0"/>
                <v:stroke on="f" weight="0.5pt"/>
                <v:imagedata o:title=""/>
                <o:lock v:ext="edit" aspectratio="f"/>
                <v:textbox>
                  <w:txbxContent>
                    <w:p w14:paraId="43BD62BC">
                      <w:pPr>
                        <w:rPr>
                          <w:rFonts w:hint="default" w:eastAsia="宋体"/>
                          <w:b/>
                          <w:bCs/>
                          <w:color w:val="FFFF00"/>
                          <w:sz w:val="28"/>
                          <w:szCs w:val="36"/>
                          <w:lang w:val="en-US" w:eastAsia="zh-CN"/>
                        </w:rPr>
                      </w:pPr>
                      <w:r>
                        <w:rPr>
                          <w:rFonts w:hint="eastAsia"/>
                          <w:b/>
                          <w:bCs/>
                          <w:color w:val="FFFF00"/>
                          <w:sz w:val="28"/>
                          <w:szCs w:val="36"/>
                          <w:lang w:val="en-US" w:eastAsia="zh-CN"/>
                        </w:rPr>
                        <w:t>101m</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3246120</wp:posOffset>
                </wp:positionH>
                <wp:positionV relativeFrom="paragraph">
                  <wp:posOffset>2603500</wp:posOffset>
                </wp:positionV>
                <wp:extent cx="229235" cy="344805"/>
                <wp:effectExtent l="0" t="3810" r="14605" b="1905"/>
                <wp:wrapNone/>
                <wp:docPr id="52" name="直接箭头连接符 52"/>
                <wp:cNvGraphicFramePr/>
                <a:graphic xmlns:a="http://schemas.openxmlformats.org/drawingml/2006/main">
                  <a:graphicData uri="http://schemas.microsoft.com/office/word/2010/wordprocessingShape">
                    <wps:wsp>
                      <wps:cNvCnPr>
                        <a:stCxn id="40" idx="2"/>
                      </wps:cNvCnPr>
                      <wps:spPr>
                        <a:xfrm flipH="1">
                          <a:off x="4288155" y="3575685"/>
                          <a:ext cx="229235" cy="34480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5.6pt;margin-top:205pt;height:27.15pt;width:18.05pt;z-index:251694080;mso-width-relative:page;mso-height-relative:page;" filled="f" stroked="t" coordsize="21600,21600" o:gfxdata="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Jr3jNdYAAAALAQAADwAAAAAAAAABACAAAAAiAAAAZHJzL2Rvd25yZXYueG1sUEsB&#10;AhQAFAAAAAgAh07iQA0reGowAgAAIgQAAA4AAAAAAAAAAQAgAAAAJQEAAGRycy9lMm9Eb2MueG1s&#10;UEsFBgAAAAAGAAYAWQEAAMcFA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1845945</wp:posOffset>
                </wp:positionH>
                <wp:positionV relativeFrom="paragraph">
                  <wp:posOffset>3348355</wp:posOffset>
                </wp:positionV>
                <wp:extent cx="866775" cy="371475"/>
                <wp:effectExtent l="0" t="0" r="1905" b="9525"/>
                <wp:wrapNone/>
                <wp:docPr id="51" name="文本框 51"/>
                <wp:cNvGraphicFramePr/>
                <a:graphic xmlns:a="http://schemas.openxmlformats.org/drawingml/2006/main">
                  <a:graphicData uri="http://schemas.microsoft.com/office/word/2010/wordprocessingShape">
                    <wps:wsp>
                      <wps:cNvSpPr txBox="1"/>
                      <wps:spPr>
                        <a:xfrm>
                          <a:off x="7345680" y="4644390"/>
                          <a:ext cx="86677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9FD4EF">
                            <w:pPr>
                              <w:rPr>
                                <w:rFonts w:hint="eastAsia" w:eastAsia="宋体"/>
                                <w:b/>
                                <w:bCs/>
                                <w:color w:val="FF0000"/>
                                <w:sz w:val="32"/>
                                <w:szCs w:val="40"/>
                                <w:lang w:val="en-US" w:eastAsia="zh-CN"/>
                              </w:rPr>
                            </w:pPr>
                            <w:r>
                              <w:rPr>
                                <w:rFonts w:hint="eastAsia"/>
                                <w:b/>
                                <w:bCs/>
                                <w:color w:val="FF0000"/>
                                <w:sz w:val="32"/>
                                <w:szCs w:val="40"/>
                                <w:lang w:val="en-US" w:eastAsia="zh-CN"/>
                              </w:rPr>
                              <w:t>龙口村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35pt;margin-top:263.65pt;height:29.25pt;width:68.25pt;z-index:251693056;mso-width-relative:page;mso-height-relative:page;" filled="f" stroked="f" coordsize="21600,21600" o:gfxdata="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8Uok9wAAAALAQAADwAAAAAA&#10;AAABACAAAAAiAAAAZHJzL2Rvd25yZXYueG1sUEsBAhQAFAAAAAgAh07iQNQSlbFIAgAAcwQAAA4A&#10;AAAAAAAAAQAgAAAAKwEAAGRycy9lMm9Eb2MueG1sUEsFBgAAAAAGAAYAWQEAAOUFAAAAAA==&#10;">
                <v:fill on="f" focussize="0,0"/>
                <v:stroke on="f" weight="0.5pt"/>
                <v:imagedata o:title=""/>
                <o:lock v:ext="edit" aspectratio="f"/>
                <v:textbox>
                  <w:txbxContent>
                    <w:p w14:paraId="7F9FD4EF">
                      <w:pPr>
                        <w:rPr>
                          <w:rFonts w:hint="eastAsia" w:eastAsia="宋体"/>
                          <w:b/>
                          <w:bCs/>
                          <w:color w:val="FF0000"/>
                          <w:sz w:val="32"/>
                          <w:szCs w:val="40"/>
                          <w:lang w:val="en-US" w:eastAsia="zh-CN"/>
                        </w:rPr>
                      </w:pPr>
                      <w:r>
                        <w:rPr>
                          <w:rFonts w:hint="eastAsia"/>
                          <w:b/>
                          <w:bCs/>
                          <w:color w:val="FF0000"/>
                          <w:sz w:val="32"/>
                          <w:szCs w:val="40"/>
                          <w:lang w:val="en-US" w:eastAsia="zh-CN"/>
                        </w:rPr>
                        <w:t>龙口村</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699770</wp:posOffset>
                </wp:positionH>
                <wp:positionV relativeFrom="paragraph">
                  <wp:posOffset>2757170</wp:posOffset>
                </wp:positionV>
                <wp:extent cx="2676525" cy="2428875"/>
                <wp:effectExtent l="6350" t="7620" r="14605" b="17145"/>
                <wp:wrapNone/>
                <wp:docPr id="50" name="任意多边形 50"/>
                <wp:cNvGraphicFramePr/>
                <a:graphic xmlns:a="http://schemas.openxmlformats.org/drawingml/2006/main">
                  <a:graphicData uri="http://schemas.microsoft.com/office/word/2010/wordprocessingShape">
                    <wps:wsp>
                      <wps:cNvSpPr/>
                      <wps:spPr>
                        <a:xfrm>
                          <a:off x="1779905" y="3729355"/>
                          <a:ext cx="2676525" cy="2428875"/>
                        </a:xfrm>
                        <a:custGeom>
                          <a:avLst/>
                          <a:gdLst>
                            <a:gd name="connisteX0" fmla="*/ 2676525 w 2676525"/>
                            <a:gd name="connsiteY0" fmla="*/ 266700 h 2428875"/>
                            <a:gd name="connisteX1" fmla="*/ 2171700 w 2676525"/>
                            <a:gd name="connsiteY1" fmla="*/ 0 h 2428875"/>
                            <a:gd name="connisteX2" fmla="*/ 1933575 w 2676525"/>
                            <a:gd name="connsiteY2" fmla="*/ 171450 h 2428875"/>
                            <a:gd name="connisteX3" fmla="*/ 1971675 w 2676525"/>
                            <a:gd name="connsiteY3" fmla="*/ 276225 h 2428875"/>
                            <a:gd name="connisteX4" fmla="*/ 1895475 w 2676525"/>
                            <a:gd name="connsiteY4" fmla="*/ 428625 h 2428875"/>
                            <a:gd name="connisteX5" fmla="*/ 1238250 w 2676525"/>
                            <a:gd name="connsiteY5" fmla="*/ 85725 h 2428875"/>
                            <a:gd name="connisteX6" fmla="*/ 866775 w 2676525"/>
                            <a:gd name="connsiteY6" fmla="*/ 247650 h 2428875"/>
                            <a:gd name="connisteX7" fmla="*/ 514350 w 2676525"/>
                            <a:gd name="connsiteY7" fmla="*/ 561975 h 2428875"/>
                            <a:gd name="connisteX8" fmla="*/ 266700 w 2676525"/>
                            <a:gd name="connsiteY8" fmla="*/ 571500 h 2428875"/>
                            <a:gd name="connisteX9" fmla="*/ 95250 w 2676525"/>
                            <a:gd name="connsiteY9" fmla="*/ 790575 h 2428875"/>
                            <a:gd name="connisteX10" fmla="*/ 57150 w 2676525"/>
                            <a:gd name="connsiteY10" fmla="*/ 1066800 h 2428875"/>
                            <a:gd name="connisteX11" fmla="*/ 0 w 2676525"/>
                            <a:gd name="connsiteY11" fmla="*/ 1447800 h 2428875"/>
                            <a:gd name="connisteX12" fmla="*/ 28575 w 2676525"/>
                            <a:gd name="connsiteY12" fmla="*/ 1676400 h 2428875"/>
                            <a:gd name="connisteX13" fmla="*/ 352425 w 2676525"/>
                            <a:gd name="connsiteY13" fmla="*/ 1714500 h 2428875"/>
                            <a:gd name="connisteX14" fmla="*/ 752475 w 2676525"/>
                            <a:gd name="connsiteY14" fmla="*/ 1676400 h 2428875"/>
                            <a:gd name="connisteX15" fmla="*/ 952500 w 2676525"/>
                            <a:gd name="connsiteY15" fmla="*/ 1733550 h 2428875"/>
                            <a:gd name="connisteX16" fmla="*/ 1323975 w 2676525"/>
                            <a:gd name="connsiteY16" fmla="*/ 1990725 h 2428875"/>
                            <a:gd name="connisteX17" fmla="*/ 1057275 w 2676525"/>
                            <a:gd name="connsiteY17" fmla="*/ 2162175 h 2428875"/>
                            <a:gd name="connisteX18" fmla="*/ 914400 w 2676525"/>
                            <a:gd name="connsiteY18" fmla="*/ 2209800 h 2428875"/>
                            <a:gd name="connisteX19" fmla="*/ 819150 w 2676525"/>
                            <a:gd name="connsiteY19" fmla="*/ 2333625 h 2428875"/>
                            <a:gd name="connisteX20" fmla="*/ 847725 w 2676525"/>
                            <a:gd name="connsiteY20" fmla="*/ 2400300 h 2428875"/>
                            <a:gd name="connisteX21" fmla="*/ 914400 w 2676525"/>
                            <a:gd name="connsiteY21" fmla="*/ 2419350 h 2428875"/>
                            <a:gd name="connisteX22" fmla="*/ 1104900 w 2676525"/>
                            <a:gd name="connsiteY22" fmla="*/ 2428875 h 2428875"/>
                            <a:gd name="connisteX23" fmla="*/ 1552575 w 2676525"/>
                            <a:gd name="connsiteY23" fmla="*/ 2305050 h 2428875"/>
                            <a:gd name="connisteX24" fmla="*/ 2295525 w 2676525"/>
                            <a:gd name="connsiteY24" fmla="*/ 1504950 h 2428875"/>
                            <a:gd name="connisteX25" fmla="*/ 1943100 w 2676525"/>
                            <a:gd name="connsiteY25" fmla="*/ 1228725 h 2428875"/>
                            <a:gd name="connisteX26" fmla="*/ 2324100 w 2676525"/>
                            <a:gd name="connsiteY26" fmla="*/ 904875 h 2428875"/>
                            <a:gd name="connisteX27" fmla="*/ 2286000 w 2676525"/>
                            <a:gd name="connsiteY27" fmla="*/ 600075 h 2428875"/>
                            <a:gd name="connisteX28" fmla="*/ 2476500 w 2676525"/>
                            <a:gd name="connsiteY28" fmla="*/ 523875 h 2428875"/>
                            <a:gd name="connisteX29" fmla="*/ 2676525 w 2676525"/>
                            <a:gd name="connsiteY29" fmla="*/ 266700 h 24288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Lst>
                          <a:rect l="l" t="t" r="r" b="b"/>
                          <a:pathLst>
                            <a:path w="2676525" h="2428875">
                              <a:moveTo>
                                <a:pt x="2676525" y="266700"/>
                              </a:moveTo>
                              <a:lnTo>
                                <a:pt x="2171700" y="0"/>
                              </a:lnTo>
                              <a:lnTo>
                                <a:pt x="1933575" y="171450"/>
                              </a:lnTo>
                              <a:lnTo>
                                <a:pt x="1971675" y="276225"/>
                              </a:lnTo>
                              <a:lnTo>
                                <a:pt x="1895475" y="428625"/>
                              </a:lnTo>
                              <a:lnTo>
                                <a:pt x="1238250" y="85725"/>
                              </a:lnTo>
                              <a:lnTo>
                                <a:pt x="866775" y="247650"/>
                              </a:lnTo>
                              <a:lnTo>
                                <a:pt x="514350" y="561975"/>
                              </a:lnTo>
                              <a:lnTo>
                                <a:pt x="266700" y="571500"/>
                              </a:lnTo>
                              <a:lnTo>
                                <a:pt x="95250" y="790575"/>
                              </a:lnTo>
                              <a:lnTo>
                                <a:pt x="57150" y="1066800"/>
                              </a:lnTo>
                              <a:lnTo>
                                <a:pt x="0" y="1447800"/>
                              </a:lnTo>
                              <a:lnTo>
                                <a:pt x="28575" y="1676400"/>
                              </a:lnTo>
                              <a:lnTo>
                                <a:pt x="352425" y="1714500"/>
                              </a:lnTo>
                              <a:lnTo>
                                <a:pt x="752475" y="1676400"/>
                              </a:lnTo>
                              <a:lnTo>
                                <a:pt x="952500" y="1733550"/>
                              </a:lnTo>
                              <a:lnTo>
                                <a:pt x="1323975" y="1990725"/>
                              </a:lnTo>
                              <a:lnTo>
                                <a:pt x="1057275" y="2162175"/>
                              </a:lnTo>
                              <a:lnTo>
                                <a:pt x="914400" y="2209800"/>
                              </a:lnTo>
                              <a:lnTo>
                                <a:pt x="819150" y="2333625"/>
                              </a:lnTo>
                              <a:lnTo>
                                <a:pt x="847725" y="2400300"/>
                              </a:lnTo>
                              <a:lnTo>
                                <a:pt x="914400" y="2419350"/>
                              </a:lnTo>
                              <a:lnTo>
                                <a:pt x="1104900" y="2428875"/>
                              </a:lnTo>
                              <a:lnTo>
                                <a:pt x="1552575" y="2305050"/>
                              </a:lnTo>
                              <a:lnTo>
                                <a:pt x="2295525" y="1504950"/>
                              </a:lnTo>
                              <a:lnTo>
                                <a:pt x="1943100" y="1228725"/>
                              </a:lnTo>
                              <a:lnTo>
                                <a:pt x="2324100" y="904875"/>
                              </a:lnTo>
                              <a:lnTo>
                                <a:pt x="2286000" y="600075"/>
                              </a:lnTo>
                              <a:lnTo>
                                <a:pt x="2476500" y="523875"/>
                              </a:lnTo>
                              <a:lnTo>
                                <a:pt x="2676525" y="266700"/>
                              </a:lnTo>
                              <a:close/>
                            </a:path>
                          </a:pathLst>
                        </a:custGeom>
                        <a:solidFill>
                          <a:srgbClr val="00B050">
                            <a:alpha val="34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5.1pt;margin-top:217.1pt;height:191.25pt;width:210.75pt;z-index:251692032;mso-width-relative:page;mso-height-relative:page;" fillcolor="#00B050" filled="t" stroked="t" coordsize="2676525,2428875" o:gfxdata="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" path="m2676525,266700l2171700,0,1933575,171450,1971675,276225,1895475,428625,1238250,85725,866775,247650,514350,561975,266700,571500,95250,790575,57150,1066800,0,1447800,28575,1676400,352425,1714500,752475,1676400,952500,1733550,1323975,1990725,1057275,2162175,914400,2209800,819150,2333625,847725,2400300,914400,2419350,1104900,2428875,1552575,2305050,2295525,1504950,1943100,1228725,2324100,904875,2286000,600075,2476500,523875,2676525,266700xe">
                <v:path o:connectlocs="2676525,266700;2171700,0;1933575,171450;1971675,276225;1895475,428625;1238250,85725;866775,247650;514350,561975;266700,571500;95250,790575;57150,1066800;0,1447800;28575,1676400;352425,1714500;752475,1676400;952500,1733550;1323975,1990725;1057275,2162175;914400,2209800;819150,2333625;847725,2400300;914400,2419350;1104900,2428875;1552575,2305050;2295525,1504950;1943100,1228725;2324100,904875;2286000,600075;2476500,523875;2676525,266700" o:connectangles="0,0,0,0,0,0,0,0,0,0,0,0,0,0,0,0,0,0,0,0,0,0,0,0,0,0,0,0,0,0"/>
                <v:fill on="t" opacity="22282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4033520</wp:posOffset>
                </wp:positionH>
                <wp:positionV relativeFrom="paragraph">
                  <wp:posOffset>1519555</wp:posOffset>
                </wp:positionV>
                <wp:extent cx="866775" cy="314325"/>
                <wp:effectExtent l="0" t="0" r="1905" b="5715"/>
                <wp:wrapNone/>
                <wp:docPr id="46" name="文本框 46"/>
                <wp:cNvGraphicFramePr/>
                <a:graphic xmlns:a="http://schemas.openxmlformats.org/drawingml/2006/main">
                  <a:graphicData uri="http://schemas.microsoft.com/office/word/2010/wordprocessingShape">
                    <wps:wsp>
                      <wps:cNvSpPr txBox="1"/>
                      <wps:spPr>
                        <a:xfrm>
                          <a:off x="5199380" y="2529840"/>
                          <a:ext cx="86677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1C2F7E">
                            <w:pPr>
                              <w:rPr>
                                <w:rFonts w:hint="default" w:eastAsia="宋体"/>
                                <w:b/>
                                <w:bCs/>
                                <w:color w:val="FFFF00"/>
                                <w:sz w:val="28"/>
                                <w:szCs w:val="36"/>
                                <w:lang w:val="en-US" w:eastAsia="zh-CN"/>
                              </w:rPr>
                            </w:pPr>
                            <w:r>
                              <w:rPr>
                                <w:rFonts w:hint="eastAsia"/>
                                <w:b/>
                                <w:bCs/>
                                <w:color w:val="FFFF00"/>
                                <w:sz w:val="28"/>
                                <w:szCs w:val="36"/>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6pt;margin-top:119.65pt;height:24.75pt;width:68.25pt;z-index:251691008;mso-width-relative:page;mso-height-relative:page;" filled="f" stroked="f" coordsize="21600,21600" o:gfxdata="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esccHcAAAACwEAAA8AAAAA&#10;AAAAAQAgAAAAIgAAAGRycy9kb3ducmV2LnhtbFBLAQIUABQAAAAIAIdO4kDxS90sSQIAAHMEAAAO&#10;AAAAAAAAAAEAIAAAACsBAABkcnMvZTJvRG9jLnhtbFBLBQYAAAAABgAGAFkBAADmBQAAAAA=&#10;">
                <v:fill on="f" focussize="0,0"/>
                <v:stroke on="f" weight="0.5pt"/>
                <v:imagedata o:title=""/>
                <o:lock v:ext="edit" aspectratio="f"/>
                <v:textbox>
                  <w:txbxContent>
                    <w:p w14:paraId="401C2F7E">
                      <w:pPr>
                        <w:rPr>
                          <w:rFonts w:hint="default" w:eastAsia="宋体"/>
                          <w:b/>
                          <w:bCs/>
                          <w:color w:val="FFFF00"/>
                          <w:sz w:val="28"/>
                          <w:szCs w:val="36"/>
                          <w:lang w:val="en-US" w:eastAsia="zh-CN"/>
                        </w:rPr>
                      </w:pPr>
                      <w:r>
                        <w:rPr>
                          <w:rFonts w:hint="eastAsia"/>
                          <w:b/>
                          <w:bCs/>
                          <w:color w:val="FFFF00"/>
                          <w:sz w:val="28"/>
                          <w:szCs w:val="36"/>
                          <w:lang w:val="en-US" w:eastAsia="zh-CN"/>
                        </w:rPr>
                        <w:t>500m</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3622040</wp:posOffset>
                </wp:positionH>
                <wp:positionV relativeFrom="paragraph">
                  <wp:posOffset>614680</wp:posOffset>
                </wp:positionV>
                <wp:extent cx="1040130" cy="1744345"/>
                <wp:effectExtent l="5715" t="0" r="5715" b="8255"/>
                <wp:wrapNone/>
                <wp:docPr id="45" name="直接箭头连接符 45"/>
                <wp:cNvGraphicFramePr/>
                <a:graphic xmlns:a="http://schemas.openxmlformats.org/drawingml/2006/main">
                  <a:graphicData uri="http://schemas.microsoft.com/office/word/2010/wordprocessingShape">
                    <wps:wsp>
                      <wps:cNvCnPr>
                        <a:stCxn id="40" idx="0"/>
                      </wps:cNvCnPr>
                      <wps:spPr>
                        <a:xfrm flipV="1">
                          <a:off x="4702175" y="1586865"/>
                          <a:ext cx="1040130" cy="174434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5.2pt;margin-top:48.4pt;height:137.35pt;width:81.9pt;z-index:251689984;mso-width-relative:page;mso-height-relative:page;" filled="f" stroked="t" coordsize="21600,21600" o:gfxdata="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GEVc01wAAAAoBAAAPAAAAAAAAAAEAIAAAACIAAABkcnMvZG93bnJldi54bWxQSwEC&#10;FAAUAAAACACHTuJA3fqIbi4CAAAkBAAADgAAAAAAAAABACAAAAAmAQAAZHJzL2Uyb0RvYy54bWxQ&#10;SwUGAAAAAAYABgBZAQAAxgU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1223010</wp:posOffset>
                </wp:positionH>
                <wp:positionV relativeFrom="paragraph">
                  <wp:posOffset>271780</wp:posOffset>
                </wp:positionV>
                <wp:extent cx="4500245" cy="4500245"/>
                <wp:effectExtent l="9525" t="9525" r="16510" b="16510"/>
                <wp:wrapNone/>
                <wp:docPr id="42" name="椭圆 42"/>
                <wp:cNvGraphicFramePr/>
                <a:graphic xmlns:a="http://schemas.openxmlformats.org/drawingml/2006/main">
                  <a:graphicData uri="http://schemas.microsoft.com/office/word/2010/wordprocessingShape">
                    <wps:wsp>
                      <wps:cNvSpPr/>
                      <wps:spPr>
                        <a:xfrm>
                          <a:off x="3322320" y="2434590"/>
                          <a:ext cx="4500245" cy="4500245"/>
                        </a:xfrm>
                        <a:prstGeom prst="ellipse">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6.3pt;margin-top:21.4pt;height:354.35pt;width:354.35pt;z-index:251688960;v-text-anchor:middle;mso-width-relative:page;mso-height-relative:page;" filled="f" stroked="t" coordsize="21600,21600" o:gfxdata="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rsMxm1wAAAAoBAAAPAAAAAAAAAAEAIAAAACIAAABk&#10;cnMvZG93bnJldi54bWxQSwECFAAUAAAACACHTuJAj5BkvnkCAADdBAAADgAAAAAAAAABACAAAAAm&#10;AQAAZHJzL2Uyb0RvYy54bWxQSwUGAAAAAAYABgBZAQAAEQYAAAAA&#10;">
                <v:fill on="f" focussize="0,0"/>
                <v:stroke weight="1.5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3410585</wp:posOffset>
                </wp:positionH>
                <wp:positionV relativeFrom="paragraph">
                  <wp:posOffset>2338705</wp:posOffset>
                </wp:positionV>
                <wp:extent cx="276225" cy="285115"/>
                <wp:effectExtent l="58420" t="55245" r="61595" b="55880"/>
                <wp:wrapNone/>
                <wp:docPr id="40" name="文本框 40"/>
                <wp:cNvGraphicFramePr/>
                <a:graphic xmlns:a="http://schemas.openxmlformats.org/drawingml/2006/main">
                  <a:graphicData uri="http://schemas.microsoft.com/office/word/2010/wordprocessingShape">
                    <wps:wsp>
                      <wps:cNvSpPr txBox="1"/>
                      <wps:spPr>
                        <a:xfrm rot="1860000">
                          <a:off x="5770880" y="2987040"/>
                          <a:ext cx="276225" cy="285115"/>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1F71907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55pt;margin-top:184.15pt;height:22.45pt;width:21.75pt;rotation:2031616f;z-index:251686912;mso-width-relative:page;mso-height-relative:page;" fillcolor="#FFFF00" filled="t" stroked="t" coordsize="21600,21600" o:gfxdata="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tOREXaAAAACwEAAA8AAAAAAAAAAQAgAAAAIgAAAGRycy9kb3ducmV2Lnht&#10;bFBLAQIUABQAAAAIAIdO4kBXy1W1aQIAANMEAAAOAAAAAAAAAAEAIAAAACkBAABkcnMvZTJvRG9j&#10;LnhtbFBLBQYAAAAABgAGAFkBAAAEBgAAAAA=&#10;">
                <v:fill on="t" focussize="0,0"/>
                <v:stroke weight="0.5pt" color="#FF0000 [3204]" joinstyle="round"/>
                <v:imagedata o:title=""/>
                <o:lock v:ext="edit" aspectratio="f"/>
                <v:textbox>
                  <w:txbxContent>
                    <w:p w14:paraId="1F719075"/>
                  </w:txbxContent>
                </v:textbox>
              </v:shape>
            </w:pict>
          </mc:Fallback>
        </mc:AlternateContent>
      </w:r>
      <w:r>
        <w:drawing>
          <wp:inline distT="0" distB="0" distL="114300" distR="114300">
            <wp:extent cx="8335645" cy="5354320"/>
            <wp:effectExtent l="0" t="0" r="635" b="1016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29"/>
                    <a:stretch>
                      <a:fillRect/>
                    </a:stretch>
                  </pic:blipFill>
                  <pic:spPr>
                    <a:xfrm>
                      <a:off x="0" y="0"/>
                      <a:ext cx="8335645" cy="5354320"/>
                    </a:xfrm>
                    <a:prstGeom prst="rect">
                      <a:avLst/>
                    </a:prstGeom>
                    <a:noFill/>
                    <a:ln>
                      <a:noFill/>
                    </a:ln>
                  </pic:spPr>
                </pic:pic>
              </a:graphicData>
            </a:graphic>
          </wp:inline>
        </w:drawing>
      </w:r>
    </w:p>
    <w:p w14:paraId="27599EC9">
      <w:pPr>
        <w:tabs>
          <w:tab w:val="left" w:pos="1400"/>
        </w:tabs>
        <w:bidi w:val="0"/>
        <w:jc w:val="center"/>
        <w:rPr>
          <w:rFonts w:hint="eastAsia"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附图</w:t>
      </w:r>
      <w:r>
        <w:rPr>
          <w:rFonts w:hint="eastAsia" w:eastAsia="宋体" w:cs="Times New Roman"/>
          <w:b/>
          <w:bCs/>
          <w:sz w:val="28"/>
          <w:szCs w:val="28"/>
          <w:lang w:val="en-US" w:eastAsia="zh-CN"/>
        </w:rPr>
        <w:t>4</w:t>
      </w:r>
      <w:r>
        <w:rPr>
          <w:rFonts w:hint="eastAsia" w:ascii="Times New Roman" w:hAnsi="Times New Roman" w:eastAsia="宋体" w:cs="Times New Roman"/>
          <w:b/>
          <w:bCs/>
          <w:sz w:val="28"/>
          <w:szCs w:val="28"/>
          <w:lang w:val="en-US" w:eastAsia="zh-CN"/>
        </w:rPr>
        <w:t xml:space="preserve"> 项目环境保护目标</w:t>
      </w:r>
      <w:r>
        <w:rPr>
          <w:rFonts w:hint="eastAsia" w:eastAsia="宋体" w:cs="Times New Roman"/>
          <w:b/>
          <w:bCs/>
          <w:sz w:val="28"/>
          <w:szCs w:val="28"/>
          <w:lang w:val="en-US" w:eastAsia="zh-CN"/>
        </w:rPr>
        <w:t>分布图</w:t>
      </w:r>
    </w:p>
    <w:p w14:paraId="5035E205">
      <w:pPr>
        <w:tabs>
          <w:tab w:val="left" w:pos="1400"/>
        </w:tabs>
        <w:bidi w:val="0"/>
        <w:jc w:val="center"/>
        <w:rPr>
          <w:lang w:val="en-US" w:eastAsia="zh-CN"/>
        </w:rPr>
      </w:pPr>
      <w:r>
        <w:rPr>
          <w:sz w:val="21"/>
        </w:rPr>
        <mc:AlternateContent>
          <mc:Choice Requires="wps">
            <w:drawing>
              <wp:anchor distT="0" distB="0" distL="114300" distR="114300" simplePos="0" relativeHeight="251671552" behindDoc="0" locked="0" layoutInCell="1" allowOverlap="1">
                <wp:simplePos x="0" y="0"/>
                <wp:positionH relativeFrom="column">
                  <wp:posOffset>5913120</wp:posOffset>
                </wp:positionH>
                <wp:positionV relativeFrom="paragraph">
                  <wp:posOffset>2028825</wp:posOffset>
                </wp:positionV>
                <wp:extent cx="789940" cy="297180"/>
                <wp:effectExtent l="161290" t="6350" r="8890" b="199390"/>
                <wp:wrapNone/>
                <wp:docPr id="74" name="圆角矩形标注 74"/>
                <wp:cNvGraphicFramePr/>
                <a:graphic xmlns:a="http://schemas.openxmlformats.org/drawingml/2006/main">
                  <a:graphicData uri="http://schemas.microsoft.com/office/word/2010/wordprocessingShape">
                    <wps:wsp>
                      <wps:cNvSpPr/>
                      <wps:spPr>
                        <a:xfrm>
                          <a:off x="8155305" y="2914015"/>
                          <a:ext cx="789940" cy="297180"/>
                        </a:xfrm>
                        <a:prstGeom prst="wedgeRoundRectCallout">
                          <a:avLst>
                            <a:gd name="adj1" fmla="val -64630"/>
                            <a:gd name="adj2" fmla="val 105555"/>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F0EA8B6">
                            <w:pPr>
                              <w:jc w:val="center"/>
                              <w:rPr>
                                <w:rFonts w:hint="eastAsia" w:eastAsia="宋体"/>
                                <w:b/>
                                <w:bCs/>
                                <w:color w:val="FF0000"/>
                                <w:lang w:eastAsia="zh-CN"/>
                              </w:rPr>
                            </w:pPr>
                            <w:r>
                              <w:rPr>
                                <w:rFonts w:hint="eastAsia"/>
                                <w:b/>
                                <w:bCs/>
                                <w:color w:val="FF0000"/>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5.6pt;margin-top:159.75pt;height:23.4pt;width:62.2pt;z-index:251671552;v-text-anchor:middle;mso-width-relative:page;mso-height-relative:page;" fillcolor="#5B9BD5 [3204]" filled="t" stroked="t" coordsize="21600,21600" o:gfxdata="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1QPw4NkAAAAMAQAADwAAAAAAAAABACAAAAAiAAAA&#10;ZHJzL2Rvd25yZXYueG1sUEsBAhQAFAAAAAgAh07iQLIRIB/qAgAAwgUAAA4AAAAAAAAAAQAgAAAA&#10;KAEAAGRycy9lMm9Eb2MueG1sUEsFBgAAAAAGAAYAWQEAAIQGAAAAAA==&#10;" adj="-3160,33600,14400">
                <v:fill on="t" focussize="0,0"/>
                <v:stroke weight="1pt" color="#2E75B6 [2404]" miterlimit="8" joinstyle="miter"/>
                <v:imagedata o:title=""/>
                <o:lock v:ext="edit" aspectratio="f"/>
                <v:textbox>
                  <w:txbxContent>
                    <w:p w14:paraId="0F0EA8B6">
                      <w:pPr>
                        <w:jc w:val="center"/>
                        <w:rPr>
                          <w:rFonts w:hint="eastAsia" w:eastAsia="宋体"/>
                          <w:b/>
                          <w:bCs/>
                          <w:color w:val="FF0000"/>
                          <w:lang w:eastAsia="zh-CN"/>
                        </w:rPr>
                      </w:pPr>
                      <w:r>
                        <w:rPr>
                          <w:rFonts w:hint="eastAsia"/>
                          <w:b/>
                          <w:bCs/>
                          <w:color w:val="FF0000"/>
                          <w:lang w:eastAsia="zh-CN"/>
                        </w:rPr>
                        <w:t>项目位置</w:t>
                      </w:r>
                    </w:p>
                  </w:txbxContent>
                </v:textbox>
              </v:shape>
            </w:pict>
          </mc:Fallback>
        </mc:AlternateContent>
      </w:r>
      <w:r>
        <w:rPr>
          <w:lang w:val="en-US" w:eastAsia="zh-CN"/>
        </w:rPr>
        <w:drawing>
          <wp:inline distT="0" distB="0" distL="114300" distR="114300">
            <wp:extent cx="7219950" cy="5312410"/>
            <wp:effectExtent l="0" t="0" r="3810" b="6350"/>
            <wp:docPr id="73" name="图片 21" descr="ef64cecbb15ae7e0ef2b62569e30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descr="ef64cecbb15ae7e0ef2b62569e302b9"/>
                    <pic:cNvPicPr>
                      <a:picLocks noChangeAspect="1"/>
                    </pic:cNvPicPr>
                  </pic:nvPicPr>
                  <pic:blipFill>
                    <a:blip r:embed="rId30"/>
                    <a:stretch>
                      <a:fillRect/>
                    </a:stretch>
                  </pic:blipFill>
                  <pic:spPr>
                    <a:xfrm>
                      <a:off x="0" y="0"/>
                      <a:ext cx="7219950" cy="5312410"/>
                    </a:xfrm>
                    <a:prstGeom prst="rect">
                      <a:avLst/>
                    </a:prstGeom>
                    <a:noFill/>
                    <a:ln>
                      <a:noFill/>
                    </a:ln>
                  </pic:spPr>
                </pic:pic>
              </a:graphicData>
            </a:graphic>
          </wp:inline>
        </w:drawing>
      </w:r>
    </w:p>
    <w:p w14:paraId="406F326B">
      <w:pPr>
        <w:pStyle w:val="2"/>
        <w:spacing w:beforeLines="0" w:afterLines="0"/>
        <w:jc w:val="center"/>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sz w:val="28"/>
          <w:szCs w:val="28"/>
          <w:lang w:val="en-US" w:eastAsia="zh-CN"/>
        </w:rPr>
        <w:t>附图</w:t>
      </w:r>
      <w:r>
        <w:rPr>
          <w:rFonts w:hint="eastAsia" w:ascii="Times New Roman" w:eastAsia="宋体" w:cs="Times New Roman"/>
          <w:b/>
          <w:sz w:val="28"/>
          <w:szCs w:val="28"/>
          <w:lang w:val="en-US" w:eastAsia="zh-CN"/>
        </w:rPr>
        <w:t xml:space="preserve">5 </w:t>
      </w:r>
      <w:r>
        <w:rPr>
          <w:rFonts w:hint="eastAsia" w:ascii="Times New Roman" w:hAnsi="Times New Roman" w:eastAsia="宋体" w:cs="Times New Roman"/>
          <w:b/>
          <w:sz w:val="28"/>
          <w:szCs w:val="28"/>
          <w:lang w:val="en-US" w:eastAsia="zh-CN"/>
        </w:rPr>
        <w:t>文昌湖区“三区三线”图</w:t>
      </w:r>
    </w:p>
    <w:p w14:paraId="6ED7F55F">
      <w:pPr>
        <w:rPr>
          <w:rFonts w:hint="default" w:ascii="Times New Roman" w:hAnsi="Times New Roman" w:eastAsia="宋体" w:cs="Times New Roman"/>
          <w:b/>
          <w:sz w:val="28"/>
          <w:szCs w:val="28"/>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685AF59D">
      <w:pPr>
        <w:rPr>
          <w:rFonts w:hint="eastAsia"/>
          <w:lang w:val="en-US" w:eastAsia="zh-CN"/>
        </w:rPr>
      </w:pPr>
      <w:r>
        <w:rPr>
          <w:sz w:val="24"/>
        </w:rPr>
        <mc:AlternateContent>
          <mc:Choice Requires="wps">
            <w:drawing>
              <wp:anchor distT="0" distB="0" distL="114300" distR="114300" simplePos="0" relativeHeight="251673600" behindDoc="0" locked="0" layoutInCell="1" allowOverlap="1">
                <wp:simplePos x="0" y="0"/>
                <wp:positionH relativeFrom="column">
                  <wp:posOffset>2769870</wp:posOffset>
                </wp:positionH>
                <wp:positionV relativeFrom="paragraph">
                  <wp:posOffset>3006090</wp:posOffset>
                </wp:positionV>
                <wp:extent cx="811530" cy="298450"/>
                <wp:effectExtent l="207645" t="6350" r="17145" b="304800"/>
                <wp:wrapNone/>
                <wp:docPr id="77" name="圆角矩形标注 77"/>
                <wp:cNvGraphicFramePr/>
                <a:graphic xmlns:a="http://schemas.openxmlformats.org/drawingml/2006/main">
                  <a:graphicData uri="http://schemas.microsoft.com/office/word/2010/wordprocessingShape">
                    <wps:wsp>
                      <wps:cNvSpPr/>
                      <wps:spPr>
                        <a:xfrm>
                          <a:off x="4524375" y="3851275"/>
                          <a:ext cx="811530" cy="298450"/>
                        </a:xfrm>
                        <a:prstGeom prst="wedgeRoundRectCallout">
                          <a:avLst>
                            <a:gd name="adj1" fmla="val -70460"/>
                            <a:gd name="adj2" fmla="val 139931"/>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D82503D">
                            <w:pPr>
                              <w:jc w:val="both"/>
                              <w:rPr>
                                <w:rFonts w:hint="eastAsia" w:eastAsia="宋体"/>
                                <w:b/>
                                <w:bCs/>
                                <w:color w:val="FF0000"/>
                                <w:lang w:eastAsia="zh-CN"/>
                              </w:rPr>
                            </w:pPr>
                            <w:r>
                              <w:rPr>
                                <w:rFonts w:hint="eastAsia"/>
                                <w:b/>
                                <w:bCs/>
                                <w:color w:val="FF0000"/>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8.1pt;margin-top:236.7pt;height:23.5pt;width:63.9pt;z-index:251673600;v-text-anchor:middle;mso-width-relative:page;mso-height-relative:page;" fillcolor="#5B9BD5 [3204]" filled="t" stroked="t" coordsize="21600,21600" o:gfxdata="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SHIfI2AAAAAsBAAAPAAAAAAAAAAEAIAAA&#10;ACIAAABkcnMvZG93bnJldi54bWxQSwECFAAUAAAACACHTuJACvqVxfACAADCBQAADgAAAAAAAAAB&#10;ACAAAAAnAQAAZHJzL2Uyb0RvYy54bWxQSwUGAAAAAAYABgBZAQAAiQYAAAAA&#10;" adj="-4419,41025,14400">
                <v:fill on="t" focussize="0,0"/>
                <v:stroke weight="1pt" color="#2E75B6 [2404]" miterlimit="8" joinstyle="miter"/>
                <v:imagedata o:title=""/>
                <o:lock v:ext="edit" aspectratio="f"/>
                <v:textbox>
                  <w:txbxContent>
                    <w:p w14:paraId="1D82503D">
                      <w:pPr>
                        <w:jc w:val="both"/>
                        <w:rPr>
                          <w:rFonts w:hint="eastAsia" w:eastAsia="宋体"/>
                          <w:b/>
                          <w:bCs/>
                          <w:color w:val="FF0000"/>
                          <w:lang w:eastAsia="zh-CN"/>
                        </w:rPr>
                      </w:pPr>
                      <w:r>
                        <w:rPr>
                          <w:rFonts w:hint="eastAsia"/>
                          <w:b/>
                          <w:bCs/>
                          <w:color w:val="FF0000"/>
                          <w:lang w:eastAsia="zh-CN"/>
                        </w:rPr>
                        <w:t>项目位置</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2561590</wp:posOffset>
                </wp:positionH>
                <wp:positionV relativeFrom="paragraph">
                  <wp:posOffset>3536315</wp:posOffset>
                </wp:positionV>
                <wp:extent cx="76200" cy="76200"/>
                <wp:effectExtent l="6350" t="6350" r="8890" b="8890"/>
                <wp:wrapNone/>
                <wp:docPr id="76" name="流程图: 联系 76"/>
                <wp:cNvGraphicFramePr/>
                <a:graphic xmlns:a="http://schemas.openxmlformats.org/drawingml/2006/main">
                  <a:graphicData uri="http://schemas.microsoft.com/office/word/2010/wordprocessingShape">
                    <wps:wsp>
                      <wps:cNvSpPr/>
                      <wps:spPr>
                        <a:xfrm>
                          <a:off x="3187700" y="5641340"/>
                          <a:ext cx="76200" cy="76200"/>
                        </a:xfrm>
                        <a:prstGeom prst="flowChartConnector">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201.7pt;margin-top:278.45pt;height:6pt;width:6pt;z-index:251672576;v-text-anchor:middle;mso-width-relative:page;mso-height-relative:page;" fillcolor="#5B9BD5 [3204]" filled="t" stroked="t" coordsize="21600,21600" o:gfxdata="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CCSXDfXAAAACwEAAA8AAAAAAAAAAQAgAAAAIgAAAGRycy9kb3du&#10;cmV2LnhtbFBLAQIUABQAAAAIAIdO4kDCKirmqwIAADoFAAAOAAAAAAAAAAEAIAAAACYBAABkcnMv&#10;ZTJvRG9jLnhtbFBLBQYAAAAABgAGAFkBAABDBgAAAAA=&#10;">
                <v:fill on="t" focussize="0,0"/>
                <v:stroke weight="1pt" color="#2E75B6 [2404]" miterlimit="8" joinstyle="miter"/>
                <v:imagedata o:title=""/>
                <o:lock v:ext="edit" aspectratio="f"/>
              </v:shape>
            </w:pict>
          </mc:Fallback>
        </mc:AlternateContent>
      </w:r>
      <w:r>
        <w:rPr>
          <w:rFonts w:hint="default"/>
          <w:sz w:val="24"/>
          <w:szCs w:val="24"/>
        </w:rPr>
        <w:drawing>
          <wp:inline distT="0" distB="0" distL="114300" distR="114300">
            <wp:extent cx="5600065" cy="7981315"/>
            <wp:effectExtent l="0" t="0" r="8255" b="4445"/>
            <wp:docPr id="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2"/>
                    <pic:cNvPicPr>
                      <a:picLocks noChangeAspect="1"/>
                    </pic:cNvPicPr>
                  </pic:nvPicPr>
                  <pic:blipFill>
                    <a:blip r:embed="rId31"/>
                    <a:stretch>
                      <a:fillRect/>
                    </a:stretch>
                  </pic:blipFill>
                  <pic:spPr>
                    <a:xfrm>
                      <a:off x="0" y="0"/>
                      <a:ext cx="5600065" cy="7981315"/>
                    </a:xfrm>
                    <a:prstGeom prst="rect">
                      <a:avLst/>
                    </a:prstGeom>
                    <a:noFill/>
                    <a:ln>
                      <a:noFill/>
                    </a:ln>
                  </pic:spPr>
                </pic:pic>
              </a:graphicData>
            </a:graphic>
          </wp:inline>
        </w:drawing>
      </w:r>
    </w:p>
    <w:p w14:paraId="6108DC86">
      <w:pPr>
        <w:jc w:val="center"/>
        <w:rPr>
          <w:rFonts w:hint="eastAsia" w:eastAsia="宋体"/>
          <w:lang w:val="en-US" w:eastAsia="zh-CN"/>
        </w:rPr>
      </w:pPr>
      <w:r>
        <w:rPr>
          <w:rFonts w:hint="eastAsia" w:ascii="Times New Roman" w:hAnsi="Times New Roman"/>
          <w:b/>
          <w:sz w:val="28"/>
          <w:szCs w:val="28"/>
        </w:rPr>
        <w:t>附图</w:t>
      </w:r>
      <w:r>
        <w:rPr>
          <w:rFonts w:hint="eastAsia"/>
          <w:b/>
          <w:sz w:val="28"/>
          <w:szCs w:val="28"/>
          <w:lang w:val="en-US" w:eastAsia="zh-CN"/>
        </w:rPr>
        <w:t>6</w:t>
      </w:r>
      <w:r>
        <w:rPr>
          <w:rFonts w:hint="eastAsia" w:ascii="Times New Roman" w:hAnsi="Times New Roman"/>
          <w:b/>
          <w:sz w:val="28"/>
          <w:szCs w:val="28"/>
        </w:rPr>
        <w:t xml:space="preserve"> 淄博市环境管控单元</w:t>
      </w:r>
      <w:r>
        <w:rPr>
          <w:rFonts w:hint="eastAsia"/>
          <w:b/>
          <w:sz w:val="28"/>
          <w:szCs w:val="28"/>
          <w:lang w:eastAsia="zh-CN"/>
        </w:rPr>
        <w:t>图</w:t>
      </w:r>
    </w:p>
    <w:p w14:paraId="293E6D4B">
      <w:pPr>
        <w:tabs>
          <w:tab w:val="left" w:pos="1400"/>
        </w:tabs>
        <w:bidi w:val="0"/>
        <w:jc w:val="center"/>
        <w:rPr>
          <w:rFonts w:hint="default"/>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048EE6A-3384-4616-96B6-611307F69AD4}"/>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embedRegular r:id="rId2" w:fontKey="{5BF9412F-B693-4385-828D-B2502A852D40}"/>
  </w:font>
  <w:font w:name="Cambria">
    <w:panose1 w:val="02040503050406030204"/>
    <w:charset w:val="00"/>
    <w:family w:val="roman"/>
    <w:pitch w:val="default"/>
    <w:sig w:usb0="E00002FF" w:usb1="400004FF" w:usb2="00000000" w:usb3="00000000" w:csb0="2000019F" w:csb1="00000000"/>
  </w:font>
  <w:font w:name="楷体_GB2312">
    <w:panose1 w:val="02010609030101010101"/>
    <w:charset w:val="86"/>
    <w:family w:val="modern"/>
    <w:pitch w:val="default"/>
    <w:sig w:usb0="00000001" w:usb1="080E0000" w:usb2="00000000" w:usb3="00000000" w:csb0="00040000" w:csb1="00000000"/>
    <w:embedRegular r:id="rId3" w:fontKey="{7BC578A7-0700-4D98-AD74-53CEE0D04C33}"/>
  </w:font>
  <w:font w:name="方正仿宋_GB18030">
    <w:panose1 w:val="02000000000000000000"/>
    <w:charset w:val="86"/>
    <w:family w:val="auto"/>
    <w:pitch w:val="default"/>
    <w:sig w:usb0="00000001" w:usb1="08000000" w:usb2="00000000" w:usb3="00000000" w:csb0="00040000" w:csb1="00000000"/>
    <w:embedRegular r:id="rId4" w:fontKey="{97C3B97A-1BA3-4820-9622-AA9561D14FA4}"/>
  </w:font>
  <w:font w:name="华文仿宋">
    <w:panose1 w:val="02010600040101010101"/>
    <w:charset w:val="86"/>
    <w:family w:val="auto"/>
    <w:pitch w:val="default"/>
    <w:sig w:usb0="00000287" w:usb1="080F0000" w:usb2="00000000" w:usb3="00000000" w:csb0="0004009F" w:csb1="DFD70000"/>
    <w:embedRegular r:id="rId5" w:fontKey="{EBE43FC2-FAB3-403F-8EE9-C443C6EFA31B}"/>
  </w:font>
  <w:font w:name="仿宋">
    <w:panose1 w:val="02010609060101010101"/>
    <w:charset w:val="86"/>
    <w:family w:val="modern"/>
    <w:pitch w:val="default"/>
    <w:sig w:usb0="800002BF" w:usb1="38CF7CFA" w:usb2="00000016" w:usb3="00000000" w:csb0="00040001" w:csb1="00000000"/>
    <w:embedRegular r:id="rId6" w:fontKey="{7E408694-C347-4F56-B17E-B4F9C9F33058}"/>
  </w:font>
  <w:font w:name="Wingdings 2">
    <w:panose1 w:val="05020102010507070707"/>
    <w:charset w:val="02"/>
    <w:family w:val="roman"/>
    <w:pitch w:val="default"/>
    <w:sig w:usb0="00000000" w:usb1="00000000" w:usb2="00000000" w:usb3="00000000" w:csb0="80000000" w:csb1="00000000"/>
    <w:embedRegular r:id="rId7" w:fontKey="{08C025E2-26BD-43AD-A8C3-4627328444A2}"/>
  </w:font>
  <w:font w:name="微软雅黑">
    <w:panose1 w:val="020B0503020204020204"/>
    <w:charset w:val="86"/>
    <w:family w:val="auto"/>
    <w:pitch w:val="default"/>
    <w:sig w:usb0="80000287" w:usb1="280F3C52" w:usb2="00000016" w:usb3="00000000" w:csb0="0004001F" w:csb1="00000000"/>
    <w:embedRegular r:id="rId8" w:fontKey="{7542AA1E-9BBD-4859-87EF-3CBA236106A0}"/>
  </w:font>
  <w:font w:name="方正小标宋_GBK">
    <w:panose1 w:val="02000000000000000000"/>
    <w:charset w:val="86"/>
    <w:family w:val="script"/>
    <w:pitch w:val="default"/>
    <w:sig w:usb0="A00002BF" w:usb1="38CF7CFA" w:usb2="00082016" w:usb3="00000000" w:csb0="00040001" w:csb1="00000000"/>
    <w:embedRegular r:id="rId9" w:fontKey="{813F5A2A-0270-4EAA-9DFD-641A69DD5278}"/>
  </w:font>
  <w:font w:name="方正小标宋简体">
    <w:panose1 w:val="02010600010101010101"/>
    <w:charset w:val="86"/>
    <w:family w:val="auto"/>
    <w:pitch w:val="default"/>
    <w:sig w:usb0="00000001" w:usb1="080E0000" w:usb2="00000000" w:usb3="00000000" w:csb0="00040000" w:csb1="00000000"/>
    <w:embedRegular r:id="rId10" w:fontKey="{9E12D900-F09A-40E4-B175-8E1471664638}"/>
  </w:font>
  <w:font w:name="WPSEMBED1">
    <w:panose1 w:val="02010609030101010101"/>
    <w:charset w:val="86"/>
    <w:family w:val="auto"/>
    <w:pitch w:val="default"/>
    <w:sig w:usb0="00000001" w:usb1="080E0000" w:usb2="00000000" w:usb3="00000000" w:csb0="00040000" w:csb1="00000000"/>
  </w:font>
  <w:font w:name="WPSEMBED2">
    <w:panose1 w:val="02010609030101010101"/>
    <w:charset w:val="86"/>
    <w:family w:val="auto"/>
    <w:pitch w:val="default"/>
    <w:sig w:usb0="00000001" w:usb1="080E0000" w:usb2="00000000" w:usb3="00000000" w:csb0="00040000" w:csb1="00000000"/>
  </w:font>
  <w:font w:name="WPSEMBED3">
    <w:panose1 w:val="02000000000000000000"/>
    <w:charset w:val="86"/>
    <w:family w:val="auto"/>
    <w:pitch w:val="default"/>
    <w:sig w:usb0="A00002BF" w:usb1="38CF7CFA" w:usb2="00082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53A21">
    <w:pPr>
      <w:pStyle w:val="2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100E1">
    <w:pPr>
      <w:pStyle w:val="25"/>
      <w:framePr w:wrap="around" w:vAnchor="text" w:hAnchor="margin" w:xAlign="center" w:y="1"/>
      <w:rPr>
        <w:rStyle w:val="39"/>
      </w:rPr>
    </w:pPr>
    <w:r>
      <w:fldChar w:fldCharType="begin"/>
    </w:r>
    <w:r>
      <w:rPr>
        <w:rStyle w:val="39"/>
      </w:rPr>
      <w:instrText xml:space="preserve">PAGE  </w:instrText>
    </w:r>
    <w:r>
      <w:fldChar w:fldCharType="end"/>
    </w:r>
  </w:p>
  <w:p w14:paraId="0BCBCB29">
    <w:pPr>
      <w:pStyle w:val="2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2DF172">
    <w:pPr>
      <w:pStyle w:val="2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635" b="1905"/>
              <wp:wrapNone/>
              <wp:docPr id="4" name="文本框 103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6E6D69F0">
                          <w:pPr>
                            <w:pStyle w:val="25"/>
                          </w:pPr>
                          <w:r>
                            <w:fldChar w:fldCharType="begin"/>
                          </w:r>
                          <w:r>
                            <w:instrText xml:space="preserve"> PAGE  \* MERGEFORMAT </w:instrText>
                          </w:r>
                          <w:r>
                            <w:fldChar w:fldCharType="separate"/>
                          </w:r>
                          <w:r>
                            <w:t>23</w:t>
                          </w:r>
                          <w:r>
                            <w:fldChar w:fldCharType="end"/>
                          </w:r>
                        </w:p>
                      </w:txbxContent>
                    </wps:txbx>
                    <wps:bodyPr rot="0" vert="horz" wrap="none" lIns="0" tIns="0" rIns="0" bIns="0" anchor="t" anchorCtr="0" upright="1">
                      <a:spAutoFit/>
                    </wps:bodyPr>
                  </wps:wsp>
                </a:graphicData>
              </a:graphic>
            </wp:anchor>
          </w:drawing>
        </mc:Choice>
        <mc:Fallback>
          <w:pict>
            <v:shape id="文本框 1038"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uG3hnDQIAAAUEAAAOAAAAAAAAAAEAIAAAAB8B&#10;AABkcnMvZTJvRG9jLnhtbFBLBQYAAAAABgAGAFkBAACeBQAAAAA=&#10;">
              <v:fill on="f" focussize="0,0"/>
              <v:stroke on="f"/>
              <v:imagedata o:title=""/>
              <o:lock v:ext="edit" aspectratio="f"/>
              <v:textbox inset="0mm,0mm,0mm,0mm" style="mso-fit-shape-to-text:t;">
                <w:txbxContent>
                  <w:p w14:paraId="6E6D69F0">
                    <w:pPr>
                      <w:pStyle w:val="25"/>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C87FE7">
    <w:pPr>
      <w:pStyle w:val="2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635" b="1905"/>
              <wp:wrapNone/>
              <wp:docPr id="3" name="文本框 1039"/>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4FCD60D">
                          <w:pPr>
                            <w:pStyle w:val="25"/>
                          </w:pPr>
                          <w:r>
                            <w:fldChar w:fldCharType="begin"/>
                          </w:r>
                          <w:r>
                            <w:instrText xml:space="preserve"> PAGE  \* MERGEFORMAT </w:instrText>
                          </w:r>
                          <w:r>
                            <w:fldChar w:fldCharType="separate"/>
                          </w:r>
                          <w:r>
                            <w:t>33</w:t>
                          </w:r>
                          <w:r>
                            <w:fldChar w:fldCharType="end"/>
                          </w:r>
                        </w:p>
                      </w:txbxContent>
                    </wps:txbx>
                    <wps:bodyPr rot="0" vert="horz" wrap="none" lIns="0" tIns="0" rIns="0" bIns="0" anchor="t" anchorCtr="0" upright="1">
                      <a:spAutoFit/>
                    </wps:bodyPr>
                  </wps:wsp>
                </a:graphicData>
              </a:graphic>
            </wp:anchor>
          </w:drawing>
        </mc:Choice>
        <mc:Fallback>
          <w:pict>
            <v:shape id="文本框 1039"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AOCvW8DQIAAAUEAAAOAAAAAAAAAAEAIAAAAB8B&#10;AABkcnMvZTJvRG9jLnhtbFBLBQYAAAAABgAGAFkBAACeBQAAAAA=&#10;">
              <v:fill on="f" focussize="0,0"/>
              <v:stroke on="f"/>
              <v:imagedata o:title=""/>
              <o:lock v:ext="edit" aspectratio="f"/>
              <v:textbox inset="0mm,0mm,0mm,0mm" style="mso-fit-shape-to-text:t;">
                <w:txbxContent>
                  <w:p w14:paraId="04FCD60D">
                    <w:pPr>
                      <w:pStyle w:val="25"/>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7792A3">
    <w:pPr>
      <w:pStyle w:val="25"/>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2540" t="1905" r="0" b="0"/>
              <wp:wrapNone/>
              <wp:docPr id="2"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E152605">
                          <w:pPr>
                            <w:pStyle w:val="25"/>
                          </w:pPr>
                          <w:r>
                            <w:fldChar w:fldCharType="begin"/>
                          </w:r>
                          <w:r>
                            <w:instrText xml:space="preserve"> PAGE  \* MERGEFORMAT </w:instrText>
                          </w:r>
                          <w:r>
                            <w:fldChar w:fldCharType="separate"/>
                          </w:r>
                          <w:r>
                            <w:t>55</w:t>
                          </w:r>
                          <w:r>
                            <w:fldChar w:fldCharType="end"/>
                          </w:r>
                        </w:p>
                      </w:txbxContent>
                    </wps:txbx>
                    <wps:bodyPr rot="0" vert="horz" wrap="none" lIns="0" tIns="0" rIns="0" bIns="0" anchor="t" anchorCtr="0" upright="1">
                      <a:spAutoFit/>
                    </wps:bodyPr>
                  </wps:wsp>
                </a:graphicData>
              </a:graphic>
            </wp:anchor>
          </w:drawing>
        </mc:Choice>
        <mc:Fallback>
          <w:pict>
            <v:shape id="文本框 1040"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DE6TgNDQIAAAUEAAAOAAAAAAAAAAEAIAAAAB8B&#10;AABkcnMvZTJvRG9jLnhtbFBLBQYAAAAABgAGAFkBAACeBQAAAAA=&#10;">
              <v:fill on="f" focussize="0,0"/>
              <v:stroke on="f"/>
              <v:imagedata o:title=""/>
              <o:lock v:ext="edit" aspectratio="f"/>
              <v:textbox inset="0mm,0mm,0mm,0mm" style="mso-fit-shape-to-text:t;">
                <w:txbxContent>
                  <w:p w14:paraId="3E152605">
                    <w:pPr>
                      <w:pStyle w:val="25"/>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8B495">
    <w:pPr>
      <w:pStyle w:val="25"/>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635" b="1905"/>
              <wp:wrapNone/>
              <wp:docPr id="1" name="文本框 1041"/>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2939AB86">
                          <w:pPr>
                            <w:pStyle w:val="25"/>
                          </w:pPr>
                          <w:r>
                            <w:fldChar w:fldCharType="begin"/>
                          </w:r>
                          <w:r>
                            <w:instrText xml:space="preserve"> PAGE  \* MERGEFORMAT </w:instrText>
                          </w:r>
                          <w:r>
                            <w:fldChar w:fldCharType="separate"/>
                          </w:r>
                          <w:r>
                            <w:t>56</w:t>
                          </w:r>
                          <w:r>
                            <w:fldChar w:fldCharType="end"/>
                          </w:r>
                        </w:p>
                      </w:txbxContent>
                    </wps:txbx>
                    <wps:bodyPr rot="0" vert="horz" wrap="none" lIns="0" tIns="0" rIns="0" bIns="0" anchor="t" anchorCtr="0" upright="1">
                      <a:spAutoFit/>
                    </wps:bodyPr>
                  </wps:wsp>
                </a:graphicData>
              </a:graphic>
            </wp:anchor>
          </w:drawing>
        </mc:Choice>
        <mc:Fallback>
          <w:pict>
            <v:shape id="文本框 1041"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D5X5J0AAAAAMBAAAPAAAAAAAAAAEAIAAAACIAAABkcnMv&#10;ZG93bnJldi54bWxQSwECFAAUAAAACACHTuJAV4u8wQsCAAAFBAAADgAAAAAAAAABACAAAAAfAQAA&#10;ZHJzL2Uyb0RvYy54bWxQSwUGAAAAAAYABgBZAQAAnAUAAAAA&#10;">
              <v:fill on="f" focussize="0,0"/>
              <v:stroke on="f"/>
              <v:imagedata o:title=""/>
              <o:lock v:ext="edit" aspectratio="f"/>
              <v:textbox inset="0mm,0mm,0mm,0mm" style="mso-fit-shape-to-text:t;">
                <w:txbxContent>
                  <w:p w14:paraId="2939AB86">
                    <w:pPr>
                      <w:pStyle w:val="25"/>
                    </w:pPr>
                    <w:r>
                      <w:fldChar w:fldCharType="begin"/>
                    </w:r>
                    <w:r>
                      <w:instrText xml:space="preserve"> PAGE  \* MERGEFORMAT </w:instrText>
                    </w:r>
                    <w:r>
                      <w:fldChar w:fldCharType="separate"/>
                    </w:r>
                    <w:r>
                      <w:t>56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739462"/>
    <w:multiLevelType w:val="singleLevel"/>
    <w:tmpl w:val="84739462"/>
    <w:lvl w:ilvl="0" w:tentative="0">
      <w:start w:val="1"/>
      <w:numFmt w:val="decimal"/>
      <w:suff w:val="nothing"/>
      <w:lvlText w:val="（%1）"/>
      <w:lvlJc w:val="left"/>
    </w:lvl>
  </w:abstractNum>
  <w:abstractNum w:abstractNumId="1">
    <w:nsid w:val="D778ED89"/>
    <w:multiLevelType w:val="singleLevel"/>
    <w:tmpl w:val="D778ED89"/>
    <w:lvl w:ilvl="0" w:tentative="0">
      <w:start w:val="1"/>
      <w:numFmt w:val="chineseCounting"/>
      <w:suff w:val="nothing"/>
      <w:lvlText w:val="%1、"/>
      <w:lvlJc w:val="left"/>
      <w:rPr>
        <w:rFonts w:hint="eastAsia"/>
      </w:rPr>
    </w:lvl>
  </w:abstractNum>
  <w:abstractNum w:abstractNumId="2">
    <w:nsid w:val="F7A10E41"/>
    <w:multiLevelType w:val="singleLevel"/>
    <w:tmpl w:val="F7A10E41"/>
    <w:lvl w:ilvl="0" w:tentative="0">
      <w:start w:val="2"/>
      <w:numFmt w:val="decimal"/>
      <w:suff w:val="nothing"/>
      <w:lvlText w:val="（%1）"/>
      <w:lvlJc w:val="left"/>
      <w:rPr>
        <w:rFonts w:hint="default"/>
        <w:b/>
        <w:bCs/>
      </w:rPr>
    </w:lvl>
  </w:abstractNum>
  <w:abstractNum w:abstractNumId="3">
    <w:nsid w:val="0FC429DC"/>
    <w:multiLevelType w:val="singleLevel"/>
    <w:tmpl w:val="0FC429DC"/>
    <w:lvl w:ilvl="0" w:tentative="0">
      <w:start w:val="1"/>
      <w:numFmt w:val="bullet"/>
      <w:pStyle w:val="11"/>
      <w:lvlText w:val=""/>
      <w:lvlJc w:val="left"/>
      <w:pPr>
        <w:tabs>
          <w:tab w:val="left" w:pos="780"/>
        </w:tabs>
        <w:ind w:left="780" w:hanging="360"/>
      </w:pPr>
      <w:rPr>
        <w:rFonts w:hint="default" w:ascii="Wingdings" w:hAnsi="Wingdings"/>
      </w:rPr>
    </w:lvl>
  </w:abstractNum>
  <w:abstractNum w:abstractNumId="4">
    <w:nsid w:val="1E8F18CA"/>
    <w:multiLevelType w:val="singleLevel"/>
    <w:tmpl w:val="1E8F18CA"/>
    <w:lvl w:ilvl="0" w:tentative="0">
      <w:start w:val="1"/>
      <w:numFmt w:val="decimal"/>
      <w:suff w:val="nothing"/>
      <w:lvlText w:val="%1）"/>
      <w:lvlJc w:val="left"/>
    </w:lvl>
  </w:abstractNum>
  <w:abstractNum w:abstractNumId="5">
    <w:nsid w:val="4B76D0D2"/>
    <w:multiLevelType w:val="singleLevel"/>
    <w:tmpl w:val="4B76D0D2"/>
    <w:lvl w:ilvl="0" w:tentative="0">
      <w:start w:val="1"/>
      <w:numFmt w:val="decimal"/>
      <w:suff w:val="nothing"/>
      <w:lvlText w:val="（%1）"/>
      <w:lvlJc w:val="left"/>
    </w:lvl>
  </w:abstractNum>
  <w:abstractNum w:abstractNumId="6">
    <w:nsid w:val="4DF84BA0"/>
    <w:multiLevelType w:val="singleLevel"/>
    <w:tmpl w:val="4DF84BA0"/>
    <w:lvl w:ilvl="0" w:tentative="0">
      <w:start w:val="1"/>
      <w:numFmt w:val="bullet"/>
      <w:pStyle w:val="19"/>
      <w:lvlText w:val=""/>
      <w:lvlJc w:val="left"/>
      <w:pPr>
        <w:tabs>
          <w:tab w:val="left" w:pos="2040"/>
        </w:tabs>
        <w:ind w:left="2040" w:hanging="360"/>
      </w:pPr>
      <w:rPr>
        <w:rFonts w:hint="default" w:ascii="Wingdings" w:hAnsi="Wingdings"/>
      </w:rPr>
    </w:lvl>
  </w:abstractNum>
  <w:abstractNum w:abstractNumId="7">
    <w:nsid w:val="548FEDCB"/>
    <w:multiLevelType w:val="singleLevel"/>
    <w:tmpl w:val="548FEDCB"/>
    <w:lvl w:ilvl="0" w:tentative="0">
      <w:start w:val="1"/>
      <w:numFmt w:val="decimal"/>
      <w:suff w:val="nothing"/>
      <w:lvlText w:val="（%1）"/>
      <w:lvlJc w:val="left"/>
    </w:lvl>
  </w:abstractNum>
  <w:abstractNum w:abstractNumId="8">
    <w:nsid w:val="5E2B9F83"/>
    <w:multiLevelType w:val="singleLevel"/>
    <w:tmpl w:val="5E2B9F83"/>
    <w:lvl w:ilvl="0" w:tentative="0">
      <w:start w:val="5"/>
      <w:numFmt w:val="decimal"/>
      <w:suff w:val="nothing"/>
      <w:lvlText w:val="%1、"/>
      <w:lvlJc w:val="left"/>
    </w:lvl>
  </w:abstractNum>
  <w:num w:numId="1">
    <w:abstractNumId w:val="3"/>
  </w:num>
  <w:num w:numId="2">
    <w:abstractNumId w:val="6"/>
  </w:num>
  <w:num w:numId="3">
    <w:abstractNumId w:val="2"/>
  </w:num>
  <w:num w:numId="4">
    <w:abstractNumId w:val="0"/>
  </w:num>
  <w:num w:numId="5">
    <w:abstractNumId w:val="7"/>
  </w:num>
  <w:num w:numId="6">
    <w:abstractNumId w:val="8"/>
  </w:num>
  <w:num w:numId="7">
    <w:abstractNumId w:val="1"/>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Y3NDA3MzNlOTdjYTc3YTJjZWNjODY2NGUwYjgxMTcifQ=="/>
  </w:docVars>
  <w:rsids>
    <w:rsidRoot w:val="00A14947"/>
    <w:rsid w:val="000060B3"/>
    <w:rsid w:val="00026467"/>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243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04B63"/>
    <w:rsid w:val="002125B4"/>
    <w:rsid w:val="002155B8"/>
    <w:rsid w:val="00224839"/>
    <w:rsid w:val="002249B2"/>
    <w:rsid w:val="00226574"/>
    <w:rsid w:val="002278EC"/>
    <w:rsid w:val="0023280E"/>
    <w:rsid w:val="002377D1"/>
    <w:rsid w:val="002506BC"/>
    <w:rsid w:val="00254345"/>
    <w:rsid w:val="00264557"/>
    <w:rsid w:val="002805AB"/>
    <w:rsid w:val="00284204"/>
    <w:rsid w:val="0028477F"/>
    <w:rsid w:val="00291773"/>
    <w:rsid w:val="002A168C"/>
    <w:rsid w:val="002A3DC7"/>
    <w:rsid w:val="002B49E2"/>
    <w:rsid w:val="002B7B00"/>
    <w:rsid w:val="002B7C44"/>
    <w:rsid w:val="002C2B17"/>
    <w:rsid w:val="002C44CE"/>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747CE"/>
    <w:rsid w:val="00381A72"/>
    <w:rsid w:val="00384676"/>
    <w:rsid w:val="00390857"/>
    <w:rsid w:val="003A4BF3"/>
    <w:rsid w:val="003A78D8"/>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3BB6"/>
    <w:rsid w:val="00456091"/>
    <w:rsid w:val="00460391"/>
    <w:rsid w:val="00466321"/>
    <w:rsid w:val="00484B9B"/>
    <w:rsid w:val="004855F6"/>
    <w:rsid w:val="0048661E"/>
    <w:rsid w:val="00494670"/>
    <w:rsid w:val="004A3823"/>
    <w:rsid w:val="004B2076"/>
    <w:rsid w:val="004E6946"/>
    <w:rsid w:val="004F1AD8"/>
    <w:rsid w:val="005039CB"/>
    <w:rsid w:val="0050558F"/>
    <w:rsid w:val="00506286"/>
    <w:rsid w:val="00510813"/>
    <w:rsid w:val="00511990"/>
    <w:rsid w:val="00511DE0"/>
    <w:rsid w:val="00514870"/>
    <w:rsid w:val="00514B9B"/>
    <w:rsid w:val="00517F02"/>
    <w:rsid w:val="00524303"/>
    <w:rsid w:val="00524D66"/>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5E90"/>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42BE9"/>
    <w:rsid w:val="0075162E"/>
    <w:rsid w:val="00754034"/>
    <w:rsid w:val="00756556"/>
    <w:rsid w:val="007618C4"/>
    <w:rsid w:val="00767980"/>
    <w:rsid w:val="00770B19"/>
    <w:rsid w:val="0077463F"/>
    <w:rsid w:val="007751F2"/>
    <w:rsid w:val="007836EA"/>
    <w:rsid w:val="00784CDA"/>
    <w:rsid w:val="007906C4"/>
    <w:rsid w:val="007940EA"/>
    <w:rsid w:val="007967E8"/>
    <w:rsid w:val="007A2170"/>
    <w:rsid w:val="007A22BF"/>
    <w:rsid w:val="007A3323"/>
    <w:rsid w:val="007A4AA8"/>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A26D2"/>
    <w:rsid w:val="00AB1E09"/>
    <w:rsid w:val="00AB5330"/>
    <w:rsid w:val="00AB7747"/>
    <w:rsid w:val="00AB7F1C"/>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5184"/>
    <w:rsid w:val="00B87491"/>
    <w:rsid w:val="00BA132E"/>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3B52"/>
    <w:rsid w:val="00C2596A"/>
    <w:rsid w:val="00C27537"/>
    <w:rsid w:val="00C328FE"/>
    <w:rsid w:val="00C33507"/>
    <w:rsid w:val="00C4153D"/>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D5346"/>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E01CC"/>
    <w:rsid w:val="00DF2E12"/>
    <w:rsid w:val="00DF514A"/>
    <w:rsid w:val="00DF6690"/>
    <w:rsid w:val="00DF6804"/>
    <w:rsid w:val="00E0358D"/>
    <w:rsid w:val="00E04323"/>
    <w:rsid w:val="00E070A2"/>
    <w:rsid w:val="00E15234"/>
    <w:rsid w:val="00E2656A"/>
    <w:rsid w:val="00E412D0"/>
    <w:rsid w:val="00E56322"/>
    <w:rsid w:val="00E60982"/>
    <w:rsid w:val="00E62C62"/>
    <w:rsid w:val="00E654C1"/>
    <w:rsid w:val="00E65D97"/>
    <w:rsid w:val="00E72A5A"/>
    <w:rsid w:val="00E73354"/>
    <w:rsid w:val="00E9242D"/>
    <w:rsid w:val="00EB5255"/>
    <w:rsid w:val="00EB5C47"/>
    <w:rsid w:val="00EC4BF5"/>
    <w:rsid w:val="00ED0639"/>
    <w:rsid w:val="00EF4755"/>
    <w:rsid w:val="00EF7135"/>
    <w:rsid w:val="00F027DB"/>
    <w:rsid w:val="00F14A7A"/>
    <w:rsid w:val="00F14CB8"/>
    <w:rsid w:val="00F16206"/>
    <w:rsid w:val="00F22985"/>
    <w:rsid w:val="00F3383E"/>
    <w:rsid w:val="00F465A7"/>
    <w:rsid w:val="00F50B7C"/>
    <w:rsid w:val="00F550E6"/>
    <w:rsid w:val="00F74345"/>
    <w:rsid w:val="00F80A0A"/>
    <w:rsid w:val="00F82B19"/>
    <w:rsid w:val="00F84ACA"/>
    <w:rsid w:val="00F9212D"/>
    <w:rsid w:val="00F965DA"/>
    <w:rsid w:val="00FA406A"/>
    <w:rsid w:val="00FB503A"/>
    <w:rsid w:val="00FB516C"/>
    <w:rsid w:val="00FD0236"/>
    <w:rsid w:val="00FD18F4"/>
    <w:rsid w:val="00FD54DB"/>
    <w:rsid w:val="00FD619F"/>
    <w:rsid w:val="00FE3318"/>
    <w:rsid w:val="011A3140"/>
    <w:rsid w:val="011C6DFC"/>
    <w:rsid w:val="01290F7E"/>
    <w:rsid w:val="01585AD4"/>
    <w:rsid w:val="015D1E09"/>
    <w:rsid w:val="0160299A"/>
    <w:rsid w:val="017970B8"/>
    <w:rsid w:val="017A7F2F"/>
    <w:rsid w:val="017E19FC"/>
    <w:rsid w:val="01B97DA5"/>
    <w:rsid w:val="0219123D"/>
    <w:rsid w:val="022F0CF9"/>
    <w:rsid w:val="023C5311"/>
    <w:rsid w:val="02435841"/>
    <w:rsid w:val="026732B6"/>
    <w:rsid w:val="02692A01"/>
    <w:rsid w:val="02697903"/>
    <w:rsid w:val="026A6797"/>
    <w:rsid w:val="0270538C"/>
    <w:rsid w:val="02A067D9"/>
    <w:rsid w:val="02A435FA"/>
    <w:rsid w:val="02A61FB4"/>
    <w:rsid w:val="02BF0375"/>
    <w:rsid w:val="02E32C25"/>
    <w:rsid w:val="02F0467E"/>
    <w:rsid w:val="02F31384"/>
    <w:rsid w:val="02F33777"/>
    <w:rsid w:val="02F96569"/>
    <w:rsid w:val="03004097"/>
    <w:rsid w:val="0301099B"/>
    <w:rsid w:val="03231B33"/>
    <w:rsid w:val="033121E3"/>
    <w:rsid w:val="03400B54"/>
    <w:rsid w:val="035358F5"/>
    <w:rsid w:val="03597303"/>
    <w:rsid w:val="035B5ADB"/>
    <w:rsid w:val="035F38DA"/>
    <w:rsid w:val="036B4ABF"/>
    <w:rsid w:val="036D2DAF"/>
    <w:rsid w:val="037A6CD1"/>
    <w:rsid w:val="03832974"/>
    <w:rsid w:val="03871051"/>
    <w:rsid w:val="038E5482"/>
    <w:rsid w:val="039C3694"/>
    <w:rsid w:val="03A22C8B"/>
    <w:rsid w:val="03A736E0"/>
    <w:rsid w:val="03A8002B"/>
    <w:rsid w:val="03BA5077"/>
    <w:rsid w:val="03C2481F"/>
    <w:rsid w:val="03D003AE"/>
    <w:rsid w:val="03D4228F"/>
    <w:rsid w:val="03E47CA3"/>
    <w:rsid w:val="03E92685"/>
    <w:rsid w:val="03EA7B21"/>
    <w:rsid w:val="03EF09DE"/>
    <w:rsid w:val="03FE62DD"/>
    <w:rsid w:val="03FF60FC"/>
    <w:rsid w:val="04077668"/>
    <w:rsid w:val="041C1C56"/>
    <w:rsid w:val="042B19A9"/>
    <w:rsid w:val="04554B37"/>
    <w:rsid w:val="04586E90"/>
    <w:rsid w:val="04683697"/>
    <w:rsid w:val="046C750A"/>
    <w:rsid w:val="04714B20"/>
    <w:rsid w:val="04900156"/>
    <w:rsid w:val="04972742"/>
    <w:rsid w:val="04A45B4B"/>
    <w:rsid w:val="04A92A04"/>
    <w:rsid w:val="04BF3281"/>
    <w:rsid w:val="04D46179"/>
    <w:rsid w:val="04DB26FC"/>
    <w:rsid w:val="04F1760A"/>
    <w:rsid w:val="05470848"/>
    <w:rsid w:val="054D1E6D"/>
    <w:rsid w:val="055146B8"/>
    <w:rsid w:val="05573F40"/>
    <w:rsid w:val="055F4816"/>
    <w:rsid w:val="056D0C4A"/>
    <w:rsid w:val="057304D1"/>
    <w:rsid w:val="05734A7B"/>
    <w:rsid w:val="05A4421D"/>
    <w:rsid w:val="05A6776C"/>
    <w:rsid w:val="05AA70C7"/>
    <w:rsid w:val="05C152F3"/>
    <w:rsid w:val="05C61874"/>
    <w:rsid w:val="05CB26FD"/>
    <w:rsid w:val="05CC0855"/>
    <w:rsid w:val="05D0614D"/>
    <w:rsid w:val="05E8008B"/>
    <w:rsid w:val="05E9441D"/>
    <w:rsid w:val="05EA3E6E"/>
    <w:rsid w:val="05EE5778"/>
    <w:rsid w:val="05F37F6A"/>
    <w:rsid w:val="05F83EAE"/>
    <w:rsid w:val="06047910"/>
    <w:rsid w:val="060D57D6"/>
    <w:rsid w:val="062005AC"/>
    <w:rsid w:val="063E1D6F"/>
    <w:rsid w:val="063E7D85"/>
    <w:rsid w:val="064C13A1"/>
    <w:rsid w:val="06510A7E"/>
    <w:rsid w:val="0663601D"/>
    <w:rsid w:val="066473EA"/>
    <w:rsid w:val="06671B06"/>
    <w:rsid w:val="0680775A"/>
    <w:rsid w:val="06851B6C"/>
    <w:rsid w:val="06883161"/>
    <w:rsid w:val="06AC025A"/>
    <w:rsid w:val="06BE17C6"/>
    <w:rsid w:val="06D22A0C"/>
    <w:rsid w:val="06F15AA5"/>
    <w:rsid w:val="06F56F93"/>
    <w:rsid w:val="071353AC"/>
    <w:rsid w:val="071A291B"/>
    <w:rsid w:val="07293586"/>
    <w:rsid w:val="07295285"/>
    <w:rsid w:val="072E2CF9"/>
    <w:rsid w:val="0746719D"/>
    <w:rsid w:val="0753628C"/>
    <w:rsid w:val="075712DC"/>
    <w:rsid w:val="075D6FA0"/>
    <w:rsid w:val="07636392"/>
    <w:rsid w:val="0766313B"/>
    <w:rsid w:val="07714D17"/>
    <w:rsid w:val="07770C56"/>
    <w:rsid w:val="077E2AB5"/>
    <w:rsid w:val="07802000"/>
    <w:rsid w:val="07865BD1"/>
    <w:rsid w:val="079319B6"/>
    <w:rsid w:val="079640DC"/>
    <w:rsid w:val="0796423E"/>
    <w:rsid w:val="07A70F55"/>
    <w:rsid w:val="07AE46BA"/>
    <w:rsid w:val="07D14CF1"/>
    <w:rsid w:val="07D829D4"/>
    <w:rsid w:val="080F50BB"/>
    <w:rsid w:val="081575B5"/>
    <w:rsid w:val="081E7A9C"/>
    <w:rsid w:val="082909B7"/>
    <w:rsid w:val="08382381"/>
    <w:rsid w:val="083F29DE"/>
    <w:rsid w:val="0842135D"/>
    <w:rsid w:val="08471E20"/>
    <w:rsid w:val="08567DA5"/>
    <w:rsid w:val="085F0DAE"/>
    <w:rsid w:val="088136F8"/>
    <w:rsid w:val="088C6528"/>
    <w:rsid w:val="088D2605"/>
    <w:rsid w:val="08A63B49"/>
    <w:rsid w:val="08AB778B"/>
    <w:rsid w:val="08AF7468"/>
    <w:rsid w:val="08B41A5F"/>
    <w:rsid w:val="08BD20E2"/>
    <w:rsid w:val="08BE2B46"/>
    <w:rsid w:val="08C73F62"/>
    <w:rsid w:val="08C8731E"/>
    <w:rsid w:val="08C944F2"/>
    <w:rsid w:val="08CB3128"/>
    <w:rsid w:val="08CC3E70"/>
    <w:rsid w:val="08CD7E37"/>
    <w:rsid w:val="08E21B49"/>
    <w:rsid w:val="08F8477C"/>
    <w:rsid w:val="09076DA9"/>
    <w:rsid w:val="092217DD"/>
    <w:rsid w:val="092B744D"/>
    <w:rsid w:val="092C069B"/>
    <w:rsid w:val="092D54BA"/>
    <w:rsid w:val="093A7294"/>
    <w:rsid w:val="093C5E4A"/>
    <w:rsid w:val="093D78C4"/>
    <w:rsid w:val="094C3466"/>
    <w:rsid w:val="094D1A8E"/>
    <w:rsid w:val="095167D2"/>
    <w:rsid w:val="096B4234"/>
    <w:rsid w:val="09815806"/>
    <w:rsid w:val="09AC3B21"/>
    <w:rsid w:val="09AE04E8"/>
    <w:rsid w:val="09AF5A5A"/>
    <w:rsid w:val="09C23538"/>
    <w:rsid w:val="09E1527F"/>
    <w:rsid w:val="09F25598"/>
    <w:rsid w:val="09F33851"/>
    <w:rsid w:val="0A014251"/>
    <w:rsid w:val="0A096448"/>
    <w:rsid w:val="0A0B4379"/>
    <w:rsid w:val="0A1D0B2A"/>
    <w:rsid w:val="0A2368BD"/>
    <w:rsid w:val="0A263993"/>
    <w:rsid w:val="0A283789"/>
    <w:rsid w:val="0A2D3AC2"/>
    <w:rsid w:val="0A2E773B"/>
    <w:rsid w:val="0A375C0D"/>
    <w:rsid w:val="0A4E1A46"/>
    <w:rsid w:val="0A6843EF"/>
    <w:rsid w:val="0A6A0328"/>
    <w:rsid w:val="0A86509D"/>
    <w:rsid w:val="0AA13B51"/>
    <w:rsid w:val="0AA21C65"/>
    <w:rsid w:val="0AA755DF"/>
    <w:rsid w:val="0AAB4A4B"/>
    <w:rsid w:val="0AB626D0"/>
    <w:rsid w:val="0AC05EBA"/>
    <w:rsid w:val="0AC23096"/>
    <w:rsid w:val="0ACD0FD9"/>
    <w:rsid w:val="0AD62938"/>
    <w:rsid w:val="0AE30ED3"/>
    <w:rsid w:val="0AE610E3"/>
    <w:rsid w:val="0AF60677"/>
    <w:rsid w:val="0AFA761E"/>
    <w:rsid w:val="0B060CB0"/>
    <w:rsid w:val="0B093D6A"/>
    <w:rsid w:val="0B0B0671"/>
    <w:rsid w:val="0B120D44"/>
    <w:rsid w:val="0B1C293E"/>
    <w:rsid w:val="0B2D4AF8"/>
    <w:rsid w:val="0B3A2110"/>
    <w:rsid w:val="0B3F1484"/>
    <w:rsid w:val="0B40138D"/>
    <w:rsid w:val="0B426F27"/>
    <w:rsid w:val="0B475575"/>
    <w:rsid w:val="0B584324"/>
    <w:rsid w:val="0B61105F"/>
    <w:rsid w:val="0B63389F"/>
    <w:rsid w:val="0B74051B"/>
    <w:rsid w:val="0B9B44B4"/>
    <w:rsid w:val="0B9C7D4C"/>
    <w:rsid w:val="0BA00109"/>
    <w:rsid w:val="0BA96AD9"/>
    <w:rsid w:val="0BAA5E21"/>
    <w:rsid w:val="0BAD7E0A"/>
    <w:rsid w:val="0BB42197"/>
    <w:rsid w:val="0BD27BF6"/>
    <w:rsid w:val="0BD4029F"/>
    <w:rsid w:val="0BD54C38"/>
    <w:rsid w:val="0BD953DB"/>
    <w:rsid w:val="0BDE22D0"/>
    <w:rsid w:val="0BE2428F"/>
    <w:rsid w:val="0BE2661F"/>
    <w:rsid w:val="0BF0222A"/>
    <w:rsid w:val="0BFE313E"/>
    <w:rsid w:val="0C005DA8"/>
    <w:rsid w:val="0C0C2A5A"/>
    <w:rsid w:val="0C2848B3"/>
    <w:rsid w:val="0C2D2FB7"/>
    <w:rsid w:val="0C321894"/>
    <w:rsid w:val="0C323DBD"/>
    <w:rsid w:val="0C3B3C7D"/>
    <w:rsid w:val="0C4B11C9"/>
    <w:rsid w:val="0C517711"/>
    <w:rsid w:val="0C560501"/>
    <w:rsid w:val="0C6E0017"/>
    <w:rsid w:val="0C831B02"/>
    <w:rsid w:val="0C8C460A"/>
    <w:rsid w:val="0CA77556"/>
    <w:rsid w:val="0CAB2EAE"/>
    <w:rsid w:val="0CB35F21"/>
    <w:rsid w:val="0CBE2F66"/>
    <w:rsid w:val="0CCC4FB6"/>
    <w:rsid w:val="0CD169E0"/>
    <w:rsid w:val="0CD9038A"/>
    <w:rsid w:val="0CF75DE3"/>
    <w:rsid w:val="0D091D9A"/>
    <w:rsid w:val="0D26683D"/>
    <w:rsid w:val="0D4A3236"/>
    <w:rsid w:val="0D5D50A9"/>
    <w:rsid w:val="0D621C7D"/>
    <w:rsid w:val="0D666FCC"/>
    <w:rsid w:val="0D685FD3"/>
    <w:rsid w:val="0D6B65B1"/>
    <w:rsid w:val="0D7932AA"/>
    <w:rsid w:val="0D8E2CB1"/>
    <w:rsid w:val="0DA1768E"/>
    <w:rsid w:val="0DB8430F"/>
    <w:rsid w:val="0DC02B15"/>
    <w:rsid w:val="0DC20331"/>
    <w:rsid w:val="0DC747BB"/>
    <w:rsid w:val="0DE3083D"/>
    <w:rsid w:val="0DE819AF"/>
    <w:rsid w:val="0DF20370"/>
    <w:rsid w:val="0DF94DB5"/>
    <w:rsid w:val="0DFA6373"/>
    <w:rsid w:val="0E0A54B1"/>
    <w:rsid w:val="0E0E06D7"/>
    <w:rsid w:val="0E1450DD"/>
    <w:rsid w:val="0E182A10"/>
    <w:rsid w:val="0E1E1875"/>
    <w:rsid w:val="0E314BED"/>
    <w:rsid w:val="0E33660F"/>
    <w:rsid w:val="0E41383E"/>
    <w:rsid w:val="0E520E68"/>
    <w:rsid w:val="0E5378BC"/>
    <w:rsid w:val="0E6B3920"/>
    <w:rsid w:val="0E6F7A35"/>
    <w:rsid w:val="0E73034D"/>
    <w:rsid w:val="0E733025"/>
    <w:rsid w:val="0E771D94"/>
    <w:rsid w:val="0E8429B6"/>
    <w:rsid w:val="0E906CB7"/>
    <w:rsid w:val="0EA43155"/>
    <w:rsid w:val="0EB12509"/>
    <w:rsid w:val="0EC251B7"/>
    <w:rsid w:val="0ECD7D02"/>
    <w:rsid w:val="0ED8262F"/>
    <w:rsid w:val="0EF024FE"/>
    <w:rsid w:val="0EFB5102"/>
    <w:rsid w:val="0F061A89"/>
    <w:rsid w:val="0F13775A"/>
    <w:rsid w:val="0F1A4DA8"/>
    <w:rsid w:val="0F2A7DD8"/>
    <w:rsid w:val="0F356E51"/>
    <w:rsid w:val="0F4A2641"/>
    <w:rsid w:val="0F574463"/>
    <w:rsid w:val="0F5F45FE"/>
    <w:rsid w:val="0F64798B"/>
    <w:rsid w:val="0F6950E4"/>
    <w:rsid w:val="0F7F17E7"/>
    <w:rsid w:val="0F89589C"/>
    <w:rsid w:val="0F8B6F03"/>
    <w:rsid w:val="0F8E574C"/>
    <w:rsid w:val="0F8F097A"/>
    <w:rsid w:val="0F9067A2"/>
    <w:rsid w:val="0F954833"/>
    <w:rsid w:val="0F9A112B"/>
    <w:rsid w:val="0FA222E0"/>
    <w:rsid w:val="0FD62C40"/>
    <w:rsid w:val="0FDA36B9"/>
    <w:rsid w:val="0FDD306A"/>
    <w:rsid w:val="0FDD5A0A"/>
    <w:rsid w:val="0FE37B56"/>
    <w:rsid w:val="0FFD18BB"/>
    <w:rsid w:val="101074FD"/>
    <w:rsid w:val="101D3B73"/>
    <w:rsid w:val="104270D4"/>
    <w:rsid w:val="104B3ACC"/>
    <w:rsid w:val="104B70E7"/>
    <w:rsid w:val="10516984"/>
    <w:rsid w:val="10581936"/>
    <w:rsid w:val="105A6065"/>
    <w:rsid w:val="106B1272"/>
    <w:rsid w:val="106D2F64"/>
    <w:rsid w:val="107D5C02"/>
    <w:rsid w:val="10810029"/>
    <w:rsid w:val="10984E7A"/>
    <w:rsid w:val="10AE4828"/>
    <w:rsid w:val="10B21230"/>
    <w:rsid w:val="10B63710"/>
    <w:rsid w:val="10BB7A63"/>
    <w:rsid w:val="10BF3BB0"/>
    <w:rsid w:val="10C353E2"/>
    <w:rsid w:val="10C9037F"/>
    <w:rsid w:val="10D174E0"/>
    <w:rsid w:val="10DC15F9"/>
    <w:rsid w:val="10E06909"/>
    <w:rsid w:val="10E4623C"/>
    <w:rsid w:val="10F10820"/>
    <w:rsid w:val="10FE598E"/>
    <w:rsid w:val="111C2F7A"/>
    <w:rsid w:val="113A3B38"/>
    <w:rsid w:val="113D2FCF"/>
    <w:rsid w:val="114B4CEE"/>
    <w:rsid w:val="114E12F0"/>
    <w:rsid w:val="11583B80"/>
    <w:rsid w:val="11592F86"/>
    <w:rsid w:val="115C32C2"/>
    <w:rsid w:val="11665CA1"/>
    <w:rsid w:val="117915DD"/>
    <w:rsid w:val="117C0C89"/>
    <w:rsid w:val="117C20EF"/>
    <w:rsid w:val="119377A7"/>
    <w:rsid w:val="11AA42CE"/>
    <w:rsid w:val="11AB6044"/>
    <w:rsid w:val="11BE4104"/>
    <w:rsid w:val="11D35936"/>
    <w:rsid w:val="11E85390"/>
    <w:rsid w:val="11F871D2"/>
    <w:rsid w:val="11FE1DCC"/>
    <w:rsid w:val="12244D7D"/>
    <w:rsid w:val="12295A5F"/>
    <w:rsid w:val="12453168"/>
    <w:rsid w:val="124D45AF"/>
    <w:rsid w:val="125157DB"/>
    <w:rsid w:val="12805850"/>
    <w:rsid w:val="12816876"/>
    <w:rsid w:val="12816925"/>
    <w:rsid w:val="129465AA"/>
    <w:rsid w:val="12997416"/>
    <w:rsid w:val="12E33098"/>
    <w:rsid w:val="12E82D9C"/>
    <w:rsid w:val="12EE5D3A"/>
    <w:rsid w:val="12F40DF6"/>
    <w:rsid w:val="13080E6B"/>
    <w:rsid w:val="130F292C"/>
    <w:rsid w:val="13135720"/>
    <w:rsid w:val="133574DA"/>
    <w:rsid w:val="133B13BC"/>
    <w:rsid w:val="133C40E3"/>
    <w:rsid w:val="13443A2E"/>
    <w:rsid w:val="134B1734"/>
    <w:rsid w:val="135C7EC8"/>
    <w:rsid w:val="135E44C2"/>
    <w:rsid w:val="13637D2A"/>
    <w:rsid w:val="13794D20"/>
    <w:rsid w:val="138664C1"/>
    <w:rsid w:val="139105E6"/>
    <w:rsid w:val="13951726"/>
    <w:rsid w:val="139A7007"/>
    <w:rsid w:val="13B2183F"/>
    <w:rsid w:val="13B67C0C"/>
    <w:rsid w:val="13C3529F"/>
    <w:rsid w:val="13D61C0A"/>
    <w:rsid w:val="13DE5E3F"/>
    <w:rsid w:val="13E96481"/>
    <w:rsid w:val="1405567C"/>
    <w:rsid w:val="140E29B7"/>
    <w:rsid w:val="14181159"/>
    <w:rsid w:val="1422736C"/>
    <w:rsid w:val="143316C5"/>
    <w:rsid w:val="14350EEC"/>
    <w:rsid w:val="14396509"/>
    <w:rsid w:val="14421C72"/>
    <w:rsid w:val="144B0B25"/>
    <w:rsid w:val="145428C2"/>
    <w:rsid w:val="14551C4C"/>
    <w:rsid w:val="145C04F7"/>
    <w:rsid w:val="145C7E39"/>
    <w:rsid w:val="147250E4"/>
    <w:rsid w:val="14776934"/>
    <w:rsid w:val="1483645B"/>
    <w:rsid w:val="14851BD5"/>
    <w:rsid w:val="148C2EFA"/>
    <w:rsid w:val="149B393A"/>
    <w:rsid w:val="14A02BEE"/>
    <w:rsid w:val="14C342C9"/>
    <w:rsid w:val="14C75E7F"/>
    <w:rsid w:val="14DA58D1"/>
    <w:rsid w:val="14DD2C3C"/>
    <w:rsid w:val="14E97E0C"/>
    <w:rsid w:val="14F26BE8"/>
    <w:rsid w:val="151A1FC1"/>
    <w:rsid w:val="152637B8"/>
    <w:rsid w:val="152A4FA3"/>
    <w:rsid w:val="152E2D2F"/>
    <w:rsid w:val="153126AC"/>
    <w:rsid w:val="15375C59"/>
    <w:rsid w:val="153F529E"/>
    <w:rsid w:val="15436065"/>
    <w:rsid w:val="1557247C"/>
    <w:rsid w:val="15587EDB"/>
    <w:rsid w:val="156F0B2D"/>
    <w:rsid w:val="156F4BB6"/>
    <w:rsid w:val="15854208"/>
    <w:rsid w:val="159401C6"/>
    <w:rsid w:val="159B3510"/>
    <w:rsid w:val="159F6110"/>
    <w:rsid w:val="15AB000D"/>
    <w:rsid w:val="15AF1C04"/>
    <w:rsid w:val="15B34F99"/>
    <w:rsid w:val="15C40D7D"/>
    <w:rsid w:val="15CE3B81"/>
    <w:rsid w:val="15CF52FD"/>
    <w:rsid w:val="15D00231"/>
    <w:rsid w:val="15D47BC8"/>
    <w:rsid w:val="15E92632"/>
    <w:rsid w:val="15EF16B6"/>
    <w:rsid w:val="16087E1D"/>
    <w:rsid w:val="162940D6"/>
    <w:rsid w:val="162A3EF9"/>
    <w:rsid w:val="162B50BD"/>
    <w:rsid w:val="1632283F"/>
    <w:rsid w:val="163C0DD2"/>
    <w:rsid w:val="16522B41"/>
    <w:rsid w:val="16614093"/>
    <w:rsid w:val="16670BD8"/>
    <w:rsid w:val="16736641"/>
    <w:rsid w:val="16784FB3"/>
    <w:rsid w:val="16827D92"/>
    <w:rsid w:val="16880286"/>
    <w:rsid w:val="169134E2"/>
    <w:rsid w:val="16A447B6"/>
    <w:rsid w:val="16CA243A"/>
    <w:rsid w:val="16CF5FEF"/>
    <w:rsid w:val="16D5422E"/>
    <w:rsid w:val="1712168F"/>
    <w:rsid w:val="17136D40"/>
    <w:rsid w:val="17216A1D"/>
    <w:rsid w:val="17316B01"/>
    <w:rsid w:val="173F40A4"/>
    <w:rsid w:val="174F1AF7"/>
    <w:rsid w:val="17545F49"/>
    <w:rsid w:val="175534CD"/>
    <w:rsid w:val="175C0A07"/>
    <w:rsid w:val="1770015F"/>
    <w:rsid w:val="17701D14"/>
    <w:rsid w:val="17735226"/>
    <w:rsid w:val="17810F51"/>
    <w:rsid w:val="17866050"/>
    <w:rsid w:val="179344BA"/>
    <w:rsid w:val="179930FC"/>
    <w:rsid w:val="17A52838"/>
    <w:rsid w:val="17AE3C19"/>
    <w:rsid w:val="17AE6EC5"/>
    <w:rsid w:val="17BB62F9"/>
    <w:rsid w:val="17DA5003"/>
    <w:rsid w:val="17F54C57"/>
    <w:rsid w:val="17FD3A54"/>
    <w:rsid w:val="18133ACD"/>
    <w:rsid w:val="181F6917"/>
    <w:rsid w:val="1823623F"/>
    <w:rsid w:val="182F4A31"/>
    <w:rsid w:val="183A1512"/>
    <w:rsid w:val="183A5092"/>
    <w:rsid w:val="18514491"/>
    <w:rsid w:val="18530A36"/>
    <w:rsid w:val="18562962"/>
    <w:rsid w:val="18583D14"/>
    <w:rsid w:val="18634390"/>
    <w:rsid w:val="18671A11"/>
    <w:rsid w:val="186A58F8"/>
    <w:rsid w:val="18994DC1"/>
    <w:rsid w:val="189F624C"/>
    <w:rsid w:val="18AD4005"/>
    <w:rsid w:val="18BF1F12"/>
    <w:rsid w:val="18DF1F83"/>
    <w:rsid w:val="18E0683E"/>
    <w:rsid w:val="18E629FF"/>
    <w:rsid w:val="191A0AF5"/>
    <w:rsid w:val="192346ED"/>
    <w:rsid w:val="1926319A"/>
    <w:rsid w:val="194014CF"/>
    <w:rsid w:val="19595958"/>
    <w:rsid w:val="19627CDB"/>
    <w:rsid w:val="19827528"/>
    <w:rsid w:val="19AB7E92"/>
    <w:rsid w:val="19BE5CBA"/>
    <w:rsid w:val="19CF1321"/>
    <w:rsid w:val="19DB3AD3"/>
    <w:rsid w:val="1A11215E"/>
    <w:rsid w:val="1A184E3D"/>
    <w:rsid w:val="1A1C66C0"/>
    <w:rsid w:val="1A366379"/>
    <w:rsid w:val="1A37449C"/>
    <w:rsid w:val="1A42393B"/>
    <w:rsid w:val="1A4F6FAB"/>
    <w:rsid w:val="1A5152E4"/>
    <w:rsid w:val="1A587D9C"/>
    <w:rsid w:val="1A5E21AC"/>
    <w:rsid w:val="1A614516"/>
    <w:rsid w:val="1A6745A4"/>
    <w:rsid w:val="1A83680F"/>
    <w:rsid w:val="1A8B2708"/>
    <w:rsid w:val="1AAD45DE"/>
    <w:rsid w:val="1AAF2347"/>
    <w:rsid w:val="1AB8411E"/>
    <w:rsid w:val="1AC93EAE"/>
    <w:rsid w:val="1AE835AF"/>
    <w:rsid w:val="1AEC55FD"/>
    <w:rsid w:val="1AFE3577"/>
    <w:rsid w:val="1B046F80"/>
    <w:rsid w:val="1B0566E0"/>
    <w:rsid w:val="1B1D2853"/>
    <w:rsid w:val="1B2608C3"/>
    <w:rsid w:val="1B3267B5"/>
    <w:rsid w:val="1B366B7C"/>
    <w:rsid w:val="1B3B669B"/>
    <w:rsid w:val="1B40161D"/>
    <w:rsid w:val="1B431B48"/>
    <w:rsid w:val="1B441859"/>
    <w:rsid w:val="1B4A5220"/>
    <w:rsid w:val="1B5D2D77"/>
    <w:rsid w:val="1B5D6194"/>
    <w:rsid w:val="1B5E086C"/>
    <w:rsid w:val="1B645507"/>
    <w:rsid w:val="1B6606B1"/>
    <w:rsid w:val="1B7601D6"/>
    <w:rsid w:val="1B836F85"/>
    <w:rsid w:val="1BA203D0"/>
    <w:rsid w:val="1BA764D7"/>
    <w:rsid w:val="1BAD007C"/>
    <w:rsid w:val="1BB83051"/>
    <w:rsid w:val="1BCA1AA5"/>
    <w:rsid w:val="1BCB5B13"/>
    <w:rsid w:val="1BEA2B04"/>
    <w:rsid w:val="1C0025BA"/>
    <w:rsid w:val="1C137C25"/>
    <w:rsid w:val="1C195FDD"/>
    <w:rsid w:val="1C237D92"/>
    <w:rsid w:val="1C2573D0"/>
    <w:rsid w:val="1C26166A"/>
    <w:rsid w:val="1C3A3FE9"/>
    <w:rsid w:val="1C3E0557"/>
    <w:rsid w:val="1C43338A"/>
    <w:rsid w:val="1C5C30AE"/>
    <w:rsid w:val="1C5E7925"/>
    <w:rsid w:val="1C6D261E"/>
    <w:rsid w:val="1C766366"/>
    <w:rsid w:val="1C773E6C"/>
    <w:rsid w:val="1C9443B9"/>
    <w:rsid w:val="1C9A0C60"/>
    <w:rsid w:val="1CB05D8E"/>
    <w:rsid w:val="1CC17C4F"/>
    <w:rsid w:val="1CCF2804"/>
    <w:rsid w:val="1CD677F9"/>
    <w:rsid w:val="1CF2540C"/>
    <w:rsid w:val="1CFD070F"/>
    <w:rsid w:val="1D234302"/>
    <w:rsid w:val="1D3A2879"/>
    <w:rsid w:val="1D497EAA"/>
    <w:rsid w:val="1D562F5F"/>
    <w:rsid w:val="1D5D57EA"/>
    <w:rsid w:val="1D5F6196"/>
    <w:rsid w:val="1D6132A5"/>
    <w:rsid w:val="1D6A1CA8"/>
    <w:rsid w:val="1D770915"/>
    <w:rsid w:val="1D781D9A"/>
    <w:rsid w:val="1D7F337C"/>
    <w:rsid w:val="1D8E56D5"/>
    <w:rsid w:val="1D943902"/>
    <w:rsid w:val="1D9D543A"/>
    <w:rsid w:val="1DA416E3"/>
    <w:rsid w:val="1DA63635"/>
    <w:rsid w:val="1DB13FB4"/>
    <w:rsid w:val="1DB945BC"/>
    <w:rsid w:val="1DBB00B3"/>
    <w:rsid w:val="1DD02E8A"/>
    <w:rsid w:val="1DDD2545"/>
    <w:rsid w:val="1DE47156"/>
    <w:rsid w:val="1E024154"/>
    <w:rsid w:val="1E0438E4"/>
    <w:rsid w:val="1E1A7FBF"/>
    <w:rsid w:val="1E32090B"/>
    <w:rsid w:val="1E4337F7"/>
    <w:rsid w:val="1E4A2C8E"/>
    <w:rsid w:val="1E5878A1"/>
    <w:rsid w:val="1E714513"/>
    <w:rsid w:val="1E7A43DA"/>
    <w:rsid w:val="1E895406"/>
    <w:rsid w:val="1E8E5E5D"/>
    <w:rsid w:val="1E93568A"/>
    <w:rsid w:val="1EA86D2A"/>
    <w:rsid w:val="1EC4505C"/>
    <w:rsid w:val="1EC8013C"/>
    <w:rsid w:val="1ED259B5"/>
    <w:rsid w:val="1EF147DB"/>
    <w:rsid w:val="1F1F42DA"/>
    <w:rsid w:val="1F3D2870"/>
    <w:rsid w:val="1F5148BB"/>
    <w:rsid w:val="1F520A97"/>
    <w:rsid w:val="1F521A61"/>
    <w:rsid w:val="1F5D78B6"/>
    <w:rsid w:val="1F6825C7"/>
    <w:rsid w:val="1F71152B"/>
    <w:rsid w:val="1F8E5C00"/>
    <w:rsid w:val="1F9279CD"/>
    <w:rsid w:val="1FA47700"/>
    <w:rsid w:val="1FA75FED"/>
    <w:rsid w:val="1FB35BE2"/>
    <w:rsid w:val="1FB46C0E"/>
    <w:rsid w:val="1FBB0173"/>
    <w:rsid w:val="1FBD5C5F"/>
    <w:rsid w:val="1FC449CE"/>
    <w:rsid w:val="1FC63B1B"/>
    <w:rsid w:val="1FE4051E"/>
    <w:rsid w:val="1FE7539E"/>
    <w:rsid w:val="1FE8583F"/>
    <w:rsid w:val="1FEA38E0"/>
    <w:rsid w:val="1FF27CDC"/>
    <w:rsid w:val="1FFE055E"/>
    <w:rsid w:val="20092F2B"/>
    <w:rsid w:val="200D799B"/>
    <w:rsid w:val="201B0E01"/>
    <w:rsid w:val="201C5155"/>
    <w:rsid w:val="201F5E2B"/>
    <w:rsid w:val="20227025"/>
    <w:rsid w:val="2024387A"/>
    <w:rsid w:val="202F346E"/>
    <w:rsid w:val="20321A3D"/>
    <w:rsid w:val="20435DF4"/>
    <w:rsid w:val="204B3037"/>
    <w:rsid w:val="204C29D7"/>
    <w:rsid w:val="205369CC"/>
    <w:rsid w:val="205921D7"/>
    <w:rsid w:val="20630DC6"/>
    <w:rsid w:val="20671BE0"/>
    <w:rsid w:val="20694BCD"/>
    <w:rsid w:val="206D63D1"/>
    <w:rsid w:val="20963CB8"/>
    <w:rsid w:val="20966B13"/>
    <w:rsid w:val="20A81A1B"/>
    <w:rsid w:val="20AD0A1D"/>
    <w:rsid w:val="20B07FB6"/>
    <w:rsid w:val="20B61DE1"/>
    <w:rsid w:val="20B646FB"/>
    <w:rsid w:val="20CF56D3"/>
    <w:rsid w:val="20EC5A83"/>
    <w:rsid w:val="20F46E50"/>
    <w:rsid w:val="210D4323"/>
    <w:rsid w:val="21161B46"/>
    <w:rsid w:val="21213388"/>
    <w:rsid w:val="212A7062"/>
    <w:rsid w:val="213B74B1"/>
    <w:rsid w:val="214236B8"/>
    <w:rsid w:val="214D035E"/>
    <w:rsid w:val="21504EF6"/>
    <w:rsid w:val="215A2310"/>
    <w:rsid w:val="216923A9"/>
    <w:rsid w:val="218C114D"/>
    <w:rsid w:val="2190748C"/>
    <w:rsid w:val="21912073"/>
    <w:rsid w:val="21C90A74"/>
    <w:rsid w:val="21CF6CE7"/>
    <w:rsid w:val="21DC537C"/>
    <w:rsid w:val="21DE318A"/>
    <w:rsid w:val="21DF6BBA"/>
    <w:rsid w:val="21E47D5F"/>
    <w:rsid w:val="21EF5B80"/>
    <w:rsid w:val="21F42C26"/>
    <w:rsid w:val="221B28B1"/>
    <w:rsid w:val="22576990"/>
    <w:rsid w:val="225B4E09"/>
    <w:rsid w:val="226C2D25"/>
    <w:rsid w:val="2277252C"/>
    <w:rsid w:val="227A175F"/>
    <w:rsid w:val="2298179E"/>
    <w:rsid w:val="229908FF"/>
    <w:rsid w:val="22A07540"/>
    <w:rsid w:val="22A92ABE"/>
    <w:rsid w:val="22AC349C"/>
    <w:rsid w:val="22B05D54"/>
    <w:rsid w:val="22DA011B"/>
    <w:rsid w:val="22E51211"/>
    <w:rsid w:val="22EF7A8D"/>
    <w:rsid w:val="22F12FE7"/>
    <w:rsid w:val="22F47480"/>
    <w:rsid w:val="22F66965"/>
    <w:rsid w:val="22FB2B11"/>
    <w:rsid w:val="22FB7ADB"/>
    <w:rsid w:val="231B6D92"/>
    <w:rsid w:val="232F7776"/>
    <w:rsid w:val="233345E0"/>
    <w:rsid w:val="23372A00"/>
    <w:rsid w:val="233E0BD5"/>
    <w:rsid w:val="234D327D"/>
    <w:rsid w:val="234E3AE6"/>
    <w:rsid w:val="23585430"/>
    <w:rsid w:val="235B62E4"/>
    <w:rsid w:val="23632B86"/>
    <w:rsid w:val="236406CD"/>
    <w:rsid w:val="236B4F06"/>
    <w:rsid w:val="236C0853"/>
    <w:rsid w:val="2377120D"/>
    <w:rsid w:val="23947E72"/>
    <w:rsid w:val="239F2A0B"/>
    <w:rsid w:val="23A16D44"/>
    <w:rsid w:val="23B84177"/>
    <w:rsid w:val="23C14081"/>
    <w:rsid w:val="23C30794"/>
    <w:rsid w:val="23CB52E0"/>
    <w:rsid w:val="23CE1B85"/>
    <w:rsid w:val="23D572E8"/>
    <w:rsid w:val="23DE1C48"/>
    <w:rsid w:val="23E92C59"/>
    <w:rsid w:val="23EE7110"/>
    <w:rsid w:val="23F46EA8"/>
    <w:rsid w:val="23FA00FA"/>
    <w:rsid w:val="240210CD"/>
    <w:rsid w:val="24076A07"/>
    <w:rsid w:val="2409047A"/>
    <w:rsid w:val="240D6D8F"/>
    <w:rsid w:val="241F70D9"/>
    <w:rsid w:val="242341FB"/>
    <w:rsid w:val="243467B4"/>
    <w:rsid w:val="24442983"/>
    <w:rsid w:val="244B45EE"/>
    <w:rsid w:val="24542938"/>
    <w:rsid w:val="2459453D"/>
    <w:rsid w:val="24667430"/>
    <w:rsid w:val="246A27EA"/>
    <w:rsid w:val="24763E94"/>
    <w:rsid w:val="247E6772"/>
    <w:rsid w:val="248316EC"/>
    <w:rsid w:val="249C3DDA"/>
    <w:rsid w:val="24BF09F7"/>
    <w:rsid w:val="24D75596"/>
    <w:rsid w:val="24EF1437"/>
    <w:rsid w:val="24FA4C4E"/>
    <w:rsid w:val="24FE5B05"/>
    <w:rsid w:val="25226758"/>
    <w:rsid w:val="252629BE"/>
    <w:rsid w:val="252A2B7A"/>
    <w:rsid w:val="252D53FE"/>
    <w:rsid w:val="25353C70"/>
    <w:rsid w:val="25357778"/>
    <w:rsid w:val="25363E8C"/>
    <w:rsid w:val="254F010E"/>
    <w:rsid w:val="256911D0"/>
    <w:rsid w:val="256A7324"/>
    <w:rsid w:val="25701523"/>
    <w:rsid w:val="258079AB"/>
    <w:rsid w:val="259B0619"/>
    <w:rsid w:val="25A0584E"/>
    <w:rsid w:val="25AD693C"/>
    <w:rsid w:val="25B94DF9"/>
    <w:rsid w:val="25E20B9E"/>
    <w:rsid w:val="25EC2D81"/>
    <w:rsid w:val="260943A7"/>
    <w:rsid w:val="2614066C"/>
    <w:rsid w:val="263E29B4"/>
    <w:rsid w:val="263E440B"/>
    <w:rsid w:val="26676E07"/>
    <w:rsid w:val="267833E4"/>
    <w:rsid w:val="26947512"/>
    <w:rsid w:val="26A0046A"/>
    <w:rsid w:val="26A254C7"/>
    <w:rsid w:val="26AB3266"/>
    <w:rsid w:val="26B46EE4"/>
    <w:rsid w:val="26BC3D32"/>
    <w:rsid w:val="26E04487"/>
    <w:rsid w:val="26E721A5"/>
    <w:rsid w:val="26EC2E91"/>
    <w:rsid w:val="26ED5463"/>
    <w:rsid w:val="26EF3957"/>
    <w:rsid w:val="26F81E69"/>
    <w:rsid w:val="26FD33DF"/>
    <w:rsid w:val="270F26C2"/>
    <w:rsid w:val="27471102"/>
    <w:rsid w:val="27484CC0"/>
    <w:rsid w:val="2759337D"/>
    <w:rsid w:val="2760503C"/>
    <w:rsid w:val="276C4FA7"/>
    <w:rsid w:val="276E51C4"/>
    <w:rsid w:val="276F230E"/>
    <w:rsid w:val="277057A2"/>
    <w:rsid w:val="27746A58"/>
    <w:rsid w:val="2777551D"/>
    <w:rsid w:val="277800AC"/>
    <w:rsid w:val="278875EC"/>
    <w:rsid w:val="2789241B"/>
    <w:rsid w:val="278B79FF"/>
    <w:rsid w:val="278F70C4"/>
    <w:rsid w:val="279E38CD"/>
    <w:rsid w:val="27A2756C"/>
    <w:rsid w:val="27B21627"/>
    <w:rsid w:val="27B32485"/>
    <w:rsid w:val="27CB5B40"/>
    <w:rsid w:val="27E2526A"/>
    <w:rsid w:val="27E930E8"/>
    <w:rsid w:val="27F00AA7"/>
    <w:rsid w:val="27F96557"/>
    <w:rsid w:val="28090A48"/>
    <w:rsid w:val="28094EEC"/>
    <w:rsid w:val="280A395A"/>
    <w:rsid w:val="280D3D1F"/>
    <w:rsid w:val="28816B0D"/>
    <w:rsid w:val="28972F0B"/>
    <w:rsid w:val="289B5D07"/>
    <w:rsid w:val="28A379E2"/>
    <w:rsid w:val="28A5439F"/>
    <w:rsid w:val="28BA0662"/>
    <w:rsid w:val="28BA349C"/>
    <w:rsid w:val="28CB4D7F"/>
    <w:rsid w:val="28CF4E13"/>
    <w:rsid w:val="28E120D3"/>
    <w:rsid w:val="28EC18AC"/>
    <w:rsid w:val="28ED24D4"/>
    <w:rsid w:val="291D65EA"/>
    <w:rsid w:val="29206EB8"/>
    <w:rsid w:val="29212DDA"/>
    <w:rsid w:val="292A6D65"/>
    <w:rsid w:val="293470FF"/>
    <w:rsid w:val="29487A29"/>
    <w:rsid w:val="29595666"/>
    <w:rsid w:val="295A24F6"/>
    <w:rsid w:val="29630516"/>
    <w:rsid w:val="29671ECA"/>
    <w:rsid w:val="29874881"/>
    <w:rsid w:val="29941AA7"/>
    <w:rsid w:val="29961668"/>
    <w:rsid w:val="29A21643"/>
    <w:rsid w:val="29AD52AD"/>
    <w:rsid w:val="29BC3690"/>
    <w:rsid w:val="29DC2B46"/>
    <w:rsid w:val="29E04ACC"/>
    <w:rsid w:val="29E325E0"/>
    <w:rsid w:val="29E51041"/>
    <w:rsid w:val="29EC0622"/>
    <w:rsid w:val="29EC741A"/>
    <w:rsid w:val="29F577EF"/>
    <w:rsid w:val="29FD7A9A"/>
    <w:rsid w:val="2A204819"/>
    <w:rsid w:val="2A362A21"/>
    <w:rsid w:val="2A39337C"/>
    <w:rsid w:val="2A3E1B0F"/>
    <w:rsid w:val="2A416FAD"/>
    <w:rsid w:val="2A45052D"/>
    <w:rsid w:val="2A452503"/>
    <w:rsid w:val="2A477857"/>
    <w:rsid w:val="2A4B643D"/>
    <w:rsid w:val="2A4F6BA6"/>
    <w:rsid w:val="2A5D6227"/>
    <w:rsid w:val="2A63301D"/>
    <w:rsid w:val="2A6707DC"/>
    <w:rsid w:val="2A725386"/>
    <w:rsid w:val="2A742BFA"/>
    <w:rsid w:val="2A802BD2"/>
    <w:rsid w:val="2A89613C"/>
    <w:rsid w:val="2A98368E"/>
    <w:rsid w:val="2AA009B5"/>
    <w:rsid w:val="2AA30DC3"/>
    <w:rsid w:val="2AC800C8"/>
    <w:rsid w:val="2AD05333"/>
    <w:rsid w:val="2AD56725"/>
    <w:rsid w:val="2AD917EB"/>
    <w:rsid w:val="2ADD3404"/>
    <w:rsid w:val="2AE02569"/>
    <w:rsid w:val="2AE92F72"/>
    <w:rsid w:val="2AEB7200"/>
    <w:rsid w:val="2AEF74C6"/>
    <w:rsid w:val="2B03441F"/>
    <w:rsid w:val="2B115C6C"/>
    <w:rsid w:val="2B1B076D"/>
    <w:rsid w:val="2B28400A"/>
    <w:rsid w:val="2B3271BF"/>
    <w:rsid w:val="2B38490C"/>
    <w:rsid w:val="2B3E4EAD"/>
    <w:rsid w:val="2B3F1EC7"/>
    <w:rsid w:val="2B595843"/>
    <w:rsid w:val="2B6F3972"/>
    <w:rsid w:val="2BA936A8"/>
    <w:rsid w:val="2BB86471"/>
    <w:rsid w:val="2BCD0739"/>
    <w:rsid w:val="2BF04FB4"/>
    <w:rsid w:val="2C012A96"/>
    <w:rsid w:val="2C043A79"/>
    <w:rsid w:val="2C082CBE"/>
    <w:rsid w:val="2C091A7E"/>
    <w:rsid w:val="2C15130D"/>
    <w:rsid w:val="2C1D0F66"/>
    <w:rsid w:val="2C315A5A"/>
    <w:rsid w:val="2C3C1996"/>
    <w:rsid w:val="2C4B1C25"/>
    <w:rsid w:val="2C4C08C5"/>
    <w:rsid w:val="2C4F090F"/>
    <w:rsid w:val="2C556036"/>
    <w:rsid w:val="2C5D42A3"/>
    <w:rsid w:val="2C611150"/>
    <w:rsid w:val="2C66206B"/>
    <w:rsid w:val="2C684D49"/>
    <w:rsid w:val="2C7B0A57"/>
    <w:rsid w:val="2C8C3115"/>
    <w:rsid w:val="2C8F664C"/>
    <w:rsid w:val="2C9365FF"/>
    <w:rsid w:val="2CB075F9"/>
    <w:rsid w:val="2CB84EBB"/>
    <w:rsid w:val="2CBA213B"/>
    <w:rsid w:val="2CE22D2D"/>
    <w:rsid w:val="2CF3592F"/>
    <w:rsid w:val="2D113C66"/>
    <w:rsid w:val="2D24180D"/>
    <w:rsid w:val="2D333C27"/>
    <w:rsid w:val="2D4926F1"/>
    <w:rsid w:val="2D5B5FD2"/>
    <w:rsid w:val="2D62342D"/>
    <w:rsid w:val="2D6958F4"/>
    <w:rsid w:val="2D831E43"/>
    <w:rsid w:val="2D910520"/>
    <w:rsid w:val="2D9E56F5"/>
    <w:rsid w:val="2DA23F86"/>
    <w:rsid w:val="2DA35D17"/>
    <w:rsid w:val="2DA90EF9"/>
    <w:rsid w:val="2DB476A8"/>
    <w:rsid w:val="2DC916B5"/>
    <w:rsid w:val="2DCF43D9"/>
    <w:rsid w:val="2DDD7629"/>
    <w:rsid w:val="2DE60129"/>
    <w:rsid w:val="2DE948E0"/>
    <w:rsid w:val="2DEE6D71"/>
    <w:rsid w:val="2E044BC7"/>
    <w:rsid w:val="2E060A6A"/>
    <w:rsid w:val="2E21205B"/>
    <w:rsid w:val="2E323E4A"/>
    <w:rsid w:val="2E344388"/>
    <w:rsid w:val="2E382087"/>
    <w:rsid w:val="2E3A20B4"/>
    <w:rsid w:val="2E4B4DC4"/>
    <w:rsid w:val="2E520DD3"/>
    <w:rsid w:val="2E667F96"/>
    <w:rsid w:val="2E771C92"/>
    <w:rsid w:val="2E803EBE"/>
    <w:rsid w:val="2E8226AB"/>
    <w:rsid w:val="2E901C1E"/>
    <w:rsid w:val="2E98762E"/>
    <w:rsid w:val="2EAD4823"/>
    <w:rsid w:val="2EAE5988"/>
    <w:rsid w:val="2EB20E40"/>
    <w:rsid w:val="2ED57D65"/>
    <w:rsid w:val="2ED6559C"/>
    <w:rsid w:val="2ED836DD"/>
    <w:rsid w:val="2EFA7F5D"/>
    <w:rsid w:val="2EFE6E2D"/>
    <w:rsid w:val="2F0A495B"/>
    <w:rsid w:val="2F106CB1"/>
    <w:rsid w:val="2F107C06"/>
    <w:rsid w:val="2F13638C"/>
    <w:rsid w:val="2F25085E"/>
    <w:rsid w:val="2F3F5975"/>
    <w:rsid w:val="2F4607D4"/>
    <w:rsid w:val="2F505562"/>
    <w:rsid w:val="2F6A01C6"/>
    <w:rsid w:val="2F80473B"/>
    <w:rsid w:val="2F926567"/>
    <w:rsid w:val="2F9917DC"/>
    <w:rsid w:val="2FAF6379"/>
    <w:rsid w:val="2FB83575"/>
    <w:rsid w:val="2FCC2FD7"/>
    <w:rsid w:val="2FCE6A17"/>
    <w:rsid w:val="2FD065E6"/>
    <w:rsid w:val="2FD96870"/>
    <w:rsid w:val="2FE31D0D"/>
    <w:rsid w:val="2FE36F31"/>
    <w:rsid w:val="2FE64E12"/>
    <w:rsid w:val="2FEA0DD6"/>
    <w:rsid w:val="2FF428E2"/>
    <w:rsid w:val="30045057"/>
    <w:rsid w:val="300D70B8"/>
    <w:rsid w:val="302633F8"/>
    <w:rsid w:val="30580BC9"/>
    <w:rsid w:val="30585A25"/>
    <w:rsid w:val="306E48EE"/>
    <w:rsid w:val="30817482"/>
    <w:rsid w:val="30873412"/>
    <w:rsid w:val="308C75A3"/>
    <w:rsid w:val="30974AB6"/>
    <w:rsid w:val="309B5612"/>
    <w:rsid w:val="30A73093"/>
    <w:rsid w:val="30B5309E"/>
    <w:rsid w:val="30BB0CDF"/>
    <w:rsid w:val="30BC25B1"/>
    <w:rsid w:val="30BF3145"/>
    <w:rsid w:val="30D60157"/>
    <w:rsid w:val="30F4662F"/>
    <w:rsid w:val="31010648"/>
    <w:rsid w:val="31073AB5"/>
    <w:rsid w:val="310F4B7A"/>
    <w:rsid w:val="31127A46"/>
    <w:rsid w:val="311B7225"/>
    <w:rsid w:val="311E2ED7"/>
    <w:rsid w:val="31202B64"/>
    <w:rsid w:val="312344DF"/>
    <w:rsid w:val="31245BB5"/>
    <w:rsid w:val="31373C2C"/>
    <w:rsid w:val="313A0891"/>
    <w:rsid w:val="31456FBE"/>
    <w:rsid w:val="314D6BE2"/>
    <w:rsid w:val="31546A99"/>
    <w:rsid w:val="315619EE"/>
    <w:rsid w:val="315878F1"/>
    <w:rsid w:val="315C3642"/>
    <w:rsid w:val="315C449C"/>
    <w:rsid w:val="315E231D"/>
    <w:rsid w:val="31705189"/>
    <w:rsid w:val="317F4035"/>
    <w:rsid w:val="3184710D"/>
    <w:rsid w:val="318E3ACA"/>
    <w:rsid w:val="31930A51"/>
    <w:rsid w:val="31AC642B"/>
    <w:rsid w:val="31B0782A"/>
    <w:rsid w:val="31B23B15"/>
    <w:rsid w:val="31B82709"/>
    <w:rsid w:val="31CC6C50"/>
    <w:rsid w:val="31D05482"/>
    <w:rsid w:val="31DC21CD"/>
    <w:rsid w:val="31E5120A"/>
    <w:rsid w:val="31E7034A"/>
    <w:rsid w:val="31E8346D"/>
    <w:rsid w:val="31E9080A"/>
    <w:rsid w:val="31EB5A82"/>
    <w:rsid w:val="32037AB4"/>
    <w:rsid w:val="320569DA"/>
    <w:rsid w:val="321B02C9"/>
    <w:rsid w:val="321D3DF8"/>
    <w:rsid w:val="322C4C5D"/>
    <w:rsid w:val="322D7C78"/>
    <w:rsid w:val="322E56F7"/>
    <w:rsid w:val="323844F2"/>
    <w:rsid w:val="32400B34"/>
    <w:rsid w:val="32430CC6"/>
    <w:rsid w:val="32440470"/>
    <w:rsid w:val="324429D3"/>
    <w:rsid w:val="324573BC"/>
    <w:rsid w:val="325F353F"/>
    <w:rsid w:val="32601100"/>
    <w:rsid w:val="326A6587"/>
    <w:rsid w:val="328221E2"/>
    <w:rsid w:val="329430FE"/>
    <w:rsid w:val="329567B8"/>
    <w:rsid w:val="329E6876"/>
    <w:rsid w:val="32A87F95"/>
    <w:rsid w:val="32D5251A"/>
    <w:rsid w:val="32D9438F"/>
    <w:rsid w:val="32E71CCE"/>
    <w:rsid w:val="32F868AE"/>
    <w:rsid w:val="33042E89"/>
    <w:rsid w:val="3307645C"/>
    <w:rsid w:val="33122EA7"/>
    <w:rsid w:val="331325C9"/>
    <w:rsid w:val="331C5AD4"/>
    <w:rsid w:val="333015F2"/>
    <w:rsid w:val="333756F5"/>
    <w:rsid w:val="334B6320"/>
    <w:rsid w:val="3355162E"/>
    <w:rsid w:val="335562D0"/>
    <w:rsid w:val="335C42DD"/>
    <w:rsid w:val="336A057D"/>
    <w:rsid w:val="336C4DFC"/>
    <w:rsid w:val="337575BE"/>
    <w:rsid w:val="338A31B1"/>
    <w:rsid w:val="338E014E"/>
    <w:rsid w:val="33A06705"/>
    <w:rsid w:val="33AB1A51"/>
    <w:rsid w:val="33B26C2A"/>
    <w:rsid w:val="33B6236F"/>
    <w:rsid w:val="33CC2C3D"/>
    <w:rsid w:val="33D00564"/>
    <w:rsid w:val="33D15844"/>
    <w:rsid w:val="33D3769A"/>
    <w:rsid w:val="33D91DBE"/>
    <w:rsid w:val="33D934D4"/>
    <w:rsid w:val="33E33780"/>
    <w:rsid w:val="33ED0EDE"/>
    <w:rsid w:val="33ED280B"/>
    <w:rsid w:val="33FA38B7"/>
    <w:rsid w:val="33FB3DB0"/>
    <w:rsid w:val="33FE2F6A"/>
    <w:rsid w:val="340D0847"/>
    <w:rsid w:val="340D1B3C"/>
    <w:rsid w:val="340E07E5"/>
    <w:rsid w:val="341341AD"/>
    <w:rsid w:val="34161BDA"/>
    <w:rsid w:val="34225500"/>
    <w:rsid w:val="34235BF7"/>
    <w:rsid w:val="342F7435"/>
    <w:rsid w:val="344F4D6B"/>
    <w:rsid w:val="34620B5F"/>
    <w:rsid w:val="347A69DA"/>
    <w:rsid w:val="349206C3"/>
    <w:rsid w:val="349E5AB3"/>
    <w:rsid w:val="34A05AFF"/>
    <w:rsid w:val="34CD3AA2"/>
    <w:rsid w:val="34CF1DAC"/>
    <w:rsid w:val="34D53F68"/>
    <w:rsid w:val="34E652D1"/>
    <w:rsid w:val="34EB7769"/>
    <w:rsid w:val="35047BB2"/>
    <w:rsid w:val="350A4B64"/>
    <w:rsid w:val="350B3E9A"/>
    <w:rsid w:val="350B4C81"/>
    <w:rsid w:val="35125BC0"/>
    <w:rsid w:val="35196AAB"/>
    <w:rsid w:val="352F0E2D"/>
    <w:rsid w:val="353C31AB"/>
    <w:rsid w:val="3544435F"/>
    <w:rsid w:val="35455D39"/>
    <w:rsid w:val="35467651"/>
    <w:rsid w:val="35510651"/>
    <w:rsid w:val="35544AA3"/>
    <w:rsid w:val="35637C8A"/>
    <w:rsid w:val="356E60CC"/>
    <w:rsid w:val="3575252C"/>
    <w:rsid w:val="358C5FA8"/>
    <w:rsid w:val="358F2367"/>
    <w:rsid w:val="35A25D33"/>
    <w:rsid w:val="35B51FF7"/>
    <w:rsid w:val="35C15DF1"/>
    <w:rsid w:val="35DE0DE5"/>
    <w:rsid w:val="35E344A1"/>
    <w:rsid w:val="36074A7F"/>
    <w:rsid w:val="360C4CA6"/>
    <w:rsid w:val="360E6C03"/>
    <w:rsid w:val="360F70A7"/>
    <w:rsid w:val="36572810"/>
    <w:rsid w:val="367753DB"/>
    <w:rsid w:val="36923549"/>
    <w:rsid w:val="36946ED0"/>
    <w:rsid w:val="369A4E6F"/>
    <w:rsid w:val="369C02A2"/>
    <w:rsid w:val="36A25A5E"/>
    <w:rsid w:val="36AC62D8"/>
    <w:rsid w:val="36B75FBF"/>
    <w:rsid w:val="36BD0C45"/>
    <w:rsid w:val="36D16A98"/>
    <w:rsid w:val="36DD5180"/>
    <w:rsid w:val="36EE71C6"/>
    <w:rsid w:val="36F667A1"/>
    <w:rsid w:val="37024BB8"/>
    <w:rsid w:val="37072E46"/>
    <w:rsid w:val="370A09FF"/>
    <w:rsid w:val="370F0E2E"/>
    <w:rsid w:val="37282B02"/>
    <w:rsid w:val="372875D2"/>
    <w:rsid w:val="37337A4C"/>
    <w:rsid w:val="375B4AEB"/>
    <w:rsid w:val="375E4C6F"/>
    <w:rsid w:val="376B527C"/>
    <w:rsid w:val="376D2DA2"/>
    <w:rsid w:val="377C7554"/>
    <w:rsid w:val="37823275"/>
    <w:rsid w:val="378567B2"/>
    <w:rsid w:val="378A7687"/>
    <w:rsid w:val="37BE4B92"/>
    <w:rsid w:val="37D06521"/>
    <w:rsid w:val="37DC32F5"/>
    <w:rsid w:val="37E00298"/>
    <w:rsid w:val="37E423E0"/>
    <w:rsid w:val="37EA2644"/>
    <w:rsid w:val="37FB4078"/>
    <w:rsid w:val="3800008F"/>
    <w:rsid w:val="38022EB7"/>
    <w:rsid w:val="3806567B"/>
    <w:rsid w:val="38163A53"/>
    <w:rsid w:val="38334291"/>
    <w:rsid w:val="383665E8"/>
    <w:rsid w:val="38375FCB"/>
    <w:rsid w:val="3848303F"/>
    <w:rsid w:val="385210CF"/>
    <w:rsid w:val="385C31E0"/>
    <w:rsid w:val="385F7199"/>
    <w:rsid w:val="386A64CE"/>
    <w:rsid w:val="386B4B13"/>
    <w:rsid w:val="3878590E"/>
    <w:rsid w:val="387D67B2"/>
    <w:rsid w:val="388F06A6"/>
    <w:rsid w:val="38A47E71"/>
    <w:rsid w:val="38AB025B"/>
    <w:rsid w:val="38B302F9"/>
    <w:rsid w:val="38C1786F"/>
    <w:rsid w:val="38C61C36"/>
    <w:rsid w:val="38CA12DA"/>
    <w:rsid w:val="38D11A83"/>
    <w:rsid w:val="38D5017F"/>
    <w:rsid w:val="38F12CD3"/>
    <w:rsid w:val="38F26AE2"/>
    <w:rsid w:val="38F94775"/>
    <w:rsid w:val="38FF50E4"/>
    <w:rsid w:val="39045B6D"/>
    <w:rsid w:val="391A7F47"/>
    <w:rsid w:val="392971ED"/>
    <w:rsid w:val="39325651"/>
    <w:rsid w:val="39442612"/>
    <w:rsid w:val="396150CE"/>
    <w:rsid w:val="396D0355"/>
    <w:rsid w:val="397460EF"/>
    <w:rsid w:val="397B729B"/>
    <w:rsid w:val="398051CE"/>
    <w:rsid w:val="39996B0D"/>
    <w:rsid w:val="399B78DA"/>
    <w:rsid w:val="39A47624"/>
    <w:rsid w:val="39A64475"/>
    <w:rsid w:val="39EA717E"/>
    <w:rsid w:val="39F25770"/>
    <w:rsid w:val="39F5123C"/>
    <w:rsid w:val="39FC0B55"/>
    <w:rsid w:val="3A0260C4"/>
    <w:rsid w:val="3A0550CD"/>
    <w:rsid w:val="3A136B3A"/>
    <w:rsid w:val="3A245508"/>
    <w:rsid w:val="3A247272"/>
    <w:rsid w:val="3A285B3C"/>
    <w:rsid w:val="3A301E70"/>
    <w:rsid w:val="3A3522D4"/>
    <w:rsid w:val="3A405A09"/>
    <w:rsid w:val="3A561A17"/>
    <w:rsid w:val="3A582F13"/>
    <w:rsid w:val="3A6937F9"/>
    <w:rsid w:val="3A6C1650"/>
    <w:rsid w:val="3A872856"/>
    <w:rsid w:val="3A881CA1"/>
    <w:rsid w:val="3A8D44A3"/>
    <w:rsid w:val="3A8F0139"/>
    <w:rsid w:val="3A911C74"/>
    <w:rsid w:val="3A921C72"/>
    <w:rsid w:val="3AAD6462"/>
    <w:rsid w:val="3AC34C47"/>
    <w:rsid w:val="3AC631C2"/>
    <w:rsid w:val="3AC86FDF"/>
    <w:rsid w:val="3ACC337A"/>
    <w:rsid w:val="3AD57913"/>
    <w:rsid w:val="3ADF497E"/>
    <w:rsid w:val="3AF55EB0"/>
    <w:rsid w:val="3B0941EF"/>
    <w:rsid w:val="3B0A7C29"/>
    <w:rsid w:val="3B237FD8"/>
    <w:rsid w:val="3B263191"/>
    <w:rsid w:val="3B3763D1"/>
    <w:rsid w:val="3B4A0D61"/>
    <w:rsid w:val="3B4F350D"/>
    <w:rsid w:val="3B5E3EC0"/>
    <w:rsid w:val="3B642C9C"/>
    <w:rsid w:val="3B655264"/>
    <w:rsid w:val="3B6C4655"/>
    <w:rsid w:val="3B7D65AB"/>
    <w:rsid w:val="3B8656FE"/>
    <w:rsid w:val="3B87274B"/>
    <w:rsid w:val="3B9062EA"/>
    <w:rsid w:val="3B95717B"/>
    <w:rsid w:val="3B9C533A"/>
    <w:rsid w:val="3BA037CA"/>
    <w:rsid w:val="3BA269CE"/>
    <w:rsid w:val="3BA473FB"/>
    <w:rsid w:val="3BC87F44"/>
    <w:rsid w:val="3BD6217F"/>
    <w:rsid w:val="3BDB0AC1"/>
    <w:rsid w:val="3BE85071"/>
    <w:rsid w:val="3BEE647B"/>
    <w:rsid w:val="3BFD283A"/>
    <w:rsid w:val="3C001F67"/>
    <w:rsid w:val="3C140075"/>
    <w:rsid w:val="3C2907CC"/>
    <w:rsid w:val="3C2F6E1E"/>
    <w:rsid w:val="3C3C42AB"/>
    <w:rsid w:val="3C3D32B2"/>
    <w:rsid w:val="3C47347A"/>
    <w:rsid w:val="3C4B2D22"/>
    <w:rsid w:val="3C4F64BA"/>
    <w:rsid w:val="3C4F7214"/>
    <w:rsid w:val="3C520466"/>
    <w:rsid w:val="3C593058"/>
    <w:rsid w:val="3C5E6630"/>
    <w:rsid w:val="3C733E98"/>
    <w:rsid w:val="3C776C7E"/>
    <w:rsid w:val="3C7A6687"/>
    <w:rsid w:val="3C836BC3"/>
    <w:rsid w:val="3C897384"/>
    <w:rsid w:val="3CAC2266"/>
    <w:rsid w:val="3CB506A6"/>
    <w:rsid w:val="3CBE1F59"/>
    <w:rsid w:val="3CD01D7C"/>
    <w:rsid w:val="3CDA245A"/>
    <w:rsid w:val="3CE276CC"/>
    <w:rsid w:val="3CE76C69"/>
    <w:rsid w:val="3D0F5CC4"/>
    <w:rsid w:val="3D1E06B7"/>
    <w:rsid w:val="3D227C33"/>
    <w:rsid w:val="3D2F4E49"/>
    <w:rsid w:val="3D3D5FC2"/>
    <w:rsid w:val="3D4032ED"/>
    <w:rsid w:val="3D5B3B8C"/>
    <w:rsid w:val="3D8D18BB"/>
    <w:rsid w:val="3D8E5F50"/>
    <w:rsid w:val="3D992977"/>
    <w:rsid w:val="3DAF28D6"/>
    <w:rsid w:val="3DB54A9C"/>
    <w:rsid w:val="3DC07AAB"/>
    <w:rsid w:val="3DD247B9"/>
    <w:rsid w:val="3DD91346"/>
    <w:rsid w:val="3DDA7AEF"/>
    <w:rsid w:val="3DE066FB"/>
    <w:rsid w:val="3DEE0A1C"/>
    <w:rsid w:val="3DFC34FF"/>
    <w:rsid w:val="3E077B01"/>
    <w:rsid w:val="3E12231A"/>
    <w:rsid w:val="3E1A27E8"/>
    <w:rsid w:val="3E301A97"/>
    <w:rsid w:val="3E3B6E09"/>
    <w:rsid w:val="3E3E5A56"/>
    <w:rsid w:val="3E432AAE"/>
    <w:rsid w:val="3E4365EB"/>
    <w:rsid w:val="3E5178AD"/>
    <w:rsid w:val="3E591C18"/>
    <w:rsid w:val="3E723399"/>
    <w:rsid w:val="3E751885"/>
    <w:rsid w:val="3E811B01"/>
    <w:rsid w:val="3E88414A"/>
    <w:rsid w:val="3E8C2D5F"/>
    <w:rsid w:val="3E914692"/>
    <w:rsid w:val="3E976C6B"/>
    <w:rsid w:val="3EA46CF7"/>
    <w:rsid w:val="3EA714DC"/>
    <w:rsid w:val="3EB83FB2"/>
    <w:rsid w:val="3EBD467B"/>
    <w:rsid w:val="3ECF176D"/>
    <w:rsid w:val="3EDA0523"/>
    <w:rsid w:val="3EE15DFE"/>
    <w:rsid w:val="3EE34713"/>
    <w:rsid w:val="3EE446CB"/>
    <w:rsid w:val="3EE967D6"/>
    <w:rsid w:val="3EEC2D0B"/>
    <w:rsid w:val="3EF118FE"/>
    <w:rsid w:val="3EF92AD4"/>
    <w:rsid w:val="3F3F5D0D"/>
    <w:rsid w:val="3F4773AA"/>
    <w:rsid w:val="3F535FA1"/>
    <w:rsid w:val="3F5B208B"/>
    <w:rsid w:val="3F5C459C"/>
    <w:rsid w:val="3F71105D"/>
    <w:rsid w:val="3F776098"/>
    <w:rsid w:val="3F7770B8"/>
    <w:rsid w:val="3F8361CE"/>
    <w:rsid w:val="3F975908"/>
    <w:rsid w:val="3FA72BC9"/>
    <w:rsid w:val="3FAA17A0"/>
    <w:rsid w:val="3FB37A25"/>
    <w:rsid w:val="3FC073A4"/>
    <w:rsid w:val="3FC71CAF"/>
    <w:rsid w:val="3FCE0034"/>
    <w:rsid w:val="3FD049EC"/>
    <w:rsid w:val="3FD53C6B"/>
    <w:rsid w:val="3FDC111C"/>
    <w:rsid w:val="3FE64863"/>
    <w:rsid w:val="3FE658CB"/>
    <w:rsid w:val="3FE71DAF"/>
    <w:rsid w:val="3FFC0E44"/>
    <w:rsid w:val="3FFC4EDC"/>
    <w:rsid w:val="40147E3B"/>
    <w:rsid w:val="40154CEE"/>
    <w:rsid w:val="402406BD"/>
    <w:rsid w:val="402C2504"/>
    <w:rsid w:val="402E457C"/>
    <w:rsid w:val="403E6BEF"/>
    <w:rsid w:val="403F35A9"/>
    <w:rsid w:val="405646D3"/>
    <w:rsid w:val="40642D97"/>
    <w:rsid w:val="406565FE"/>
    <w:rsid w:val="407139B2"/>
    <w:rsid w:val="40726F08"/>
    <w:rsid w:val="407A6407"/>
    <w:rsid w:val="407D2CB1"/>
    <w:rsid w:val="40840653"/>
    <w:rsid w:val="408C5F0F"/>
    <w:rsid w:val="409828FE"/>
    <w:rsid w:val="40AD2AE4"/>
    <w:rsid w:val="40BA02F6"/>
    <w:rsid w:val="40BD2E13"/>
    <w:rsid w:val="40C44D7C"/>
    <w:rsid w:val="40CC38B8"/>
    <w:rsid w:val="40D24A15"/>
    <w:rsid w:val="40E753F0"/>
    <w:rsid w:val="40F64B48"/>
    <w:rsid w:val="411351B1"/>
    <w:rsid w:val="411816ED"/>
    <w:rsid w:val="41412A8D"/>
    <w:rsid w:val="414C1C7A"/>
    <w:rsid w:val="414C5E24"/>
    <w:rsid w:val="4164729A"/>
    <w:rsid w:val="41667C90"/>
    <w:rsid w:val="41715FA1"/>
    <w:rsid w:val="41957F1D"/>
    <w:rsid w:val="41AA69A0"/>
    <w:rsid w:val="41AC7C60"/>
    <w:rsid w:val="41CA07FF"/>
    <w:rsid w:val="41E04EB7"/>
    <w:rsid w:val="41E31CCF"/>
    <w:rsid w:val="41E63DF2"/>
    <w:rsid w:val="41E84417"/>
    <w:rsid w:val="41EF6C4B"/>
    <w:rsid w:val="4200449D"/>
    <w:rsid w:val="420460B1"/>
    <w:rsid w:val="4211492D"/>
    <w:rsid w:val="421502BE"/>
    <w:rsid w:val="4217080E"/>
    <w:rsid w:val="422C04A5"/>
    <w:rsid w:val="423A3BCC"/>
    <w:rsid w:val="423C0C63"/>
    <w:rsid w:val="42420470"/>
    <w:rsid w:val="4249440B"/>
    <w:rsid w:val="424961B9"/>
    <w:rsid w:val="424E0AC5"/>
    <w:rsid w:val="424E57D2"/>
    <w:rsid w:val="425A40BD"/>
    <w:rsid w:val="42606617"/>
    <w:rsid w:val="426B0851"/>
    <w:rsid w:val="426E4307"/>
    <w:rsid w:val="426E502B"/>
    <w:rsid w:val="42834EBE"/>
    <w:rsid w:val="429876A7"/>
    <w:rsid w:val="42AF5D16"/>
    <w:rsid w:val="42B26C49"/>
    <w:rsid w:val="42B90FBF"/>
    <w:rsid w:val="42C65A5C"/>
    <w:rsid w:val="42CA71D2"/>
    <w:rsid w:val="42CA7BC2"/>
    <w:rsid w:val="42D156CE"/>
    <w:rsid w:val="42D77C69"/>
    <w:rsid w:val="42F61A8A"/>
    <w:rsid w:val="43006B5D"/>
    <w:rsid w:val="431A5665"/>
    <w:rsid w:val="431C742A"/>
    <w:rsid w:val="432A18F7"/>
    <w:rsid w:val="433510D4"/>
    <w:rsid w:val="433775B1"/>
    <w:rsid w:val="43393996"/>
    <w:rsid w:val="433A6FE6"/>
    <w:rsid w:val="43480868"/>
    <w:rsid w:val="43505D0E"/>
    <w:rsid w:val="4350713C"/>
    <w:rsid w:val="435C7C04"/>
    <w:rsid w:val="436653E0"/>
    <w:rsid w:val="43824C1A"/>
    <w:rsid w:val="4388356B"/>
    <w:rsid w:val="438F142A"/>
    <w:rsid w:val="43903BBF"/>
    <w:rsid w:val="439A1FB6"/>
    <w:rsid w:val="439B145D"/>
    <w:rsid w:val="43BE0A39"/>
    <w:rsid w:val="43BE6A30"/>
    <w:rsid w:val="43C4431A"/>
    <w:rsid w:val="43CA50D8"/>
    <w:rsid w:val="43D441A9"/>
    <w:rsid w:val="43DC1A0D"/>
    <w:rsid w:val="43FC697C"/>
    <w:rsid w:val="4407632C"/>
    <w:rsid w:val="4412126B"/>
    <w:rsid w:val="441427F7"/>
    <w:rsid w:val="44271E0D"/>
    <w:rsid w:val="44316F05"/>
    <w:rsid w:val="443F12AB"/>
    <w:rsid w:val="443F718B"/>
    <w:rsid w:val="444509C3"/>
    <w:rsid w:val="444536CB"/>
    <w:rsid w:val="4460496F"/>
    <w:rsid w:val="44746A03"/>
    <w:rsid w:val="4486674D"/>
    <w:rsid w:val="44870AFB"/>
    <w:rsid w:val="448D4BCB"/>
    <w:rsid w:val="44911240"/>
    <w:rsid w:val="44975979"/>
    <w:rsid w:val="449851D6"/>
    <w:rsid w:val="44A55BB5"/>
    <w:rsid w:val="44B951CC"/>
    <w:rsid w:val="44BC7B87"/>
    <w:rsid w:val="44CD14E0"/>
    <w:rsid w:val="44D06640"/>
    <w:rsid w:val="44D501F4"/>
    <w:rsid w:val="44F20B0B"/>
    <w:rsid w:val="44FE16D9"/>
    <w:rsid w:val="44FE7F99"/>
    <w:rsid w:val="45031ADD"/>
    <w:rsid w:val="450A500B"/>
    <w:rsid w:val="45154669"/>
    <w:rsid w:val="45276676"/>
    <w:rsid w:val="452B723A"/>
    <w:rsid w:val="452E5F4C"/>
    <w:rsid w:val="453E400A"/>
    <w:rsid w:val="454579D1"/>
    <w:rsid w:val="454B24FD"/>
    <w:rsid w:val="455E5698"/>
    <w:rsid w:val="455F19D3"/>
    <w:rsid w:val="45612018"/>
    <w:rsid w:val="456129DD"/>
    <w:rsid w:val="45667413"/>
    <w:rsid w:val="457E42BD"/>
    <w:rsid w:val="458946E9"/>
    <w:rsid w:val="459909CE"/>
    <w:rsid w:val="45A45A7D"/>
    <w:rsid w:val="45A47C0E"/>
    <w:rsid w:val="45C30031"/>
    <w:rsid w:val="461E4351"/>
    <w:rsid w:val="461F5BAF"/>
    <w:rsid w:val="46266042"/>
    <w:rsid w:val="462A63DE"/>
    <w:rsid w:val="462E1484"/>
    <w:rsid w:val="46330045"/>
    <w:rsid w:val="464C4636"/>
    <w:rsid w:val="4656621B"/>
    <w:rsid w:val="46577FD6"/>
    <w:rsid w:val="465F1A91"/>
    <w:rsid w:val="46856728"/>
    <w:rsid w:val="46A626EF"/>
    <w:rsid w:val="46A86ED7"/>
    <w:rsid w:val="46B46DF6"/>
    <w:rsid w:val="46C30B05"/>
    <w:rsid w:val="46C30F4B"/>
    <w:rsid w:val="46C6427C"/>
    <w:rsid w:val="46D955A7"/>
    <w:rsid w:val="46DB0D6D"/>
    <w:rsid w:val="46DD15C6"/>
    <w:rsid w:val="46EF5AE3"/>
    <w:rsid w:val="46F61ED5"/>
    <w:rsid w:val="47121270"/>
    <w:rsid w:val="47133957"/>
    <w:rsid w:val="4718276B"/>
    <w:rsid w:val="47545FCF"/>
    <w:rsid w:val="475E6263"/>
    <w:rsid w:val="475F7720"/>
    <w:rsid w:val="477B0B89"/>
    <w:rsid w:val="478C2F7C"/>
    <w:rsid w:val="478C4AD1"/>
    <w:rsid w:val="47A07E0C"/>
    <w:rsid w:val="47A7342F"/>
    <w:rsid w:val="47B70989"/>
    <w:rsid w:val="47DE509E"/>
    <w:rsid w:val="47E30BE0"/>
    <w:rsid w:val="47F26461"/>
    <w:rsid w:val="48085B87"/>
    <w:rsid w:val="481472CF"/>
    <w:rsid w:val="481B2AEE"/>
    <w:rsid w:val="481E3C65"/>
    <w:rsid w:val="48294CD4"/>
    <w:rsid w:val="482E73BA"/>
    <w:rsid w:val="482F0717"/>
    <w:rsid w:val="483B7406"/>
    <w:rsid w:val="483D231C"/>
    <w:rsid w:val="486D271A"/>
    <w:rsid w:val="4870272E"/>
    <w:rsid w:val="48717DA6"/>
    <w:rsid w:val="487E2BF6"/>
    <w:rsid w:val="488B30A3"/>
    <w:rsid w:val="48950E10"/>
    <w:rsid w:val="489C105F"/>
    <w:rsid w:val="48A20B4A"/>
    <w:rsid w:val="48AD1EE3"/>
    <w:rsid w:val="48B03EF7"/>
    <w:rsid w:val="48B11F3C"/>
    <w:rsid w:val="48B63D70"/>
    <w:rsid w:val="48BA062E"/>
    <w:rsid w:val="48E11931"/>
    <w:rsid w:val="48E34EEB"/>
    <w:rsid w:val="49116BA3"/>
    <w:rsid w:val="491D4A33"/>
    <w:rsid w:val="491D5CAA"/>
    <w:rsid w:val="49352A3F"/>
    <w:rsid w:val="494E5516"/>
    <w:rsid w:val="49542384"/>
    <w:rsid w:val="496B15DA"/>
    <w:rsid w:val="49767007"/>
    <w:rsid w:val="498039E7"/>
    <w:rsid w:val="499D3A89"/>
    <w:rsid w:val="49A13C8E"/>
    <w:rsid w:val="49AB0BC8"/>
    <w:rsid w:val="49AD1CBC"/>
    <w:rsid w:val="49C44535"/>
    <w:rsid w:val="49DC7715"/>
    <w:rsid w:val="49EB4AF7"/>
    <w:rsid w:val="49F421A0"/>
    <w:rsid w:val="4A023139"/>
    <w:rsid w:val="4A041457"/>
    <w:rsid w:val="4A044142"/>
    <w:rsid w:val="4A0A181B"/>
    <w:rsid w:val="4A1042CA"/>
    <w:rsid w:val="4A540FBA"/>
    <w:rsid w:val="4A7162AD"/>
    <w:rsid w:val="4A7B576F"/>
    <w:rsid w:val="4A801791"/>
    <w:rsid w:val="4A946D4D"/>
    <w:rsid w:val="4AA00539"/>
    <w:rsid w:val="4AA32AFD"/>
    <w:rsid w:val="4AA65C48"/>
    <w:rsid w:val="4AB00759"/>
    <w:rsid w:val="4AB540AF"/>
    <w:rsid w:val="4ABD65F0"/>
    <w:rsid w:val="4AEF3490"/>
    <w:rsid w:val="4AF561A9"/>
    <w:rsid w:val="4AFF2126"/>
    <w:rsid w:val="4B0A0ABA"/>
    <w:rsid w:val="4B16530D"/>
    <w:rsid w:val="4B1B26BD"/>
    <w:rsid w:val="4B1E0E0F"/>
    <w:rsid w:val="4B2D6A25"/>
    <w:rsid w:val="4B35377F"/>
    <w:rsid w:val="4B4B768A"/>
    <w:rsid w:val="4B550FE9"/>
    <w:rsid w:val="4B6A6FE7"/>
    <w:rsid w:val="4B77096E"/>
    <w:rsid w:val="4B7E5126"/>
    <w:rsid w:val="4B7F1787"/>
    <w:rsid w:val="4B7F5643"/>
    <w:rsid w:val="4B8841C1"/>
    <w:rsid w:val="4B8966E2"/>
    <w:rsid w:val="4B9D30D2"/>
    <w:rsid w:val="4BDF070C"/>
    <w:rsid w:val="4BE10695"/>
    <w:rsid w:val="4BFE4A52"/>
    <w:rsid w:val="4C043FD7"/>
    <w:rsid w:val="4C1930A0"/>
    <w:rsid w:val="4C1C69D1"/>
    <w:rsid w:val="4C235FE8"/>
    <w:rsid w:val="4C2945F5"/>
    <w:rsid w:val="4C3109FB"/>
    <w:rsid w:val="4C337EB2"/>
    <w:rsid w:val="4C342E3B"/>
    <w:rsid w:val="4C4A0649"/>
    <w:rsid w:val="4C6906E1"/>
    <w:rsid w:val="4C795C77"/>
    <w:rsid w:val="4C7E5ECA"/>
    <w:rsid w:val="4C7F2FDB"/>
    <w:rsid w:val="4C876AA5"/>
    <w:rsid w:val="4C906184"/>
    <w:rsid w:val="4C910464"/>
    <w:rsid w:val="4C922AA0"/>
    <w:rsid w:val="4C971953"/>
    <w:rsid w:val="4CA4286F"/>
    <w:rsid w:val="4CA67E7B"/>
    <w:rsid w:val="4CB46ED8"/>
    <w:rsid w:val="4CB56ED4"/>
    <w:rsid w:val="4CC020C3"/>
    <w:rsid w:val="4CC4569F"/>
    <w:rsid w:val="4CC96634"/>
    <w:rsid w:val="4CDC6AED"/>
    <w:rsid w:val="4CE216E4"/>
    <w:rsid w:val="4CE62875"/>
    <w:rsid w:val="4CE7301B"/>
    <w:rsid w:val="4CE86838"/>
    <w:rsid w:val="4CEF3D8B"/>
    <w:rsid w:val="4CF8573E"/>
    <w:rsid w:val="4CFC61A0"/>
    <w:rsid w:val="4D0E00FB"/>
    <w:rsid w:val="4D176606"/>
    <w:rsid w:val="4D1B2DC8"/>
    <w:rsid w:val="4D346D29"/>
    <w:rsid w:val="4D3F16F4"/>
    <w:rsid w:val="4D454EEE"/>
    <w:rsid w:val="4D575818"/>
    <w:rsid w:val="4D717422"/>
    <w:rsid w:val="4D782049"/>
    <w:rsid w:val="4D7B1C3E"/>
    <w:rsid w:val="4D852905"/>
    <w:rsid w:val="4D88099C"/>
    <w:rsid w:val="4D9F2F45"/>
    <w:rsid w:val="4DB31FFC"/>
    <w:rsid w:val="4DC06ABD"/>
    <w:rsid w:val="4DC94B5A"/>
    <w:rsid w:val="4DCC4263"/>
    <w:rsid w:val="4DCE1C69"/>
    <w:rsid w:val="4DE16DD2"/>
    <w:rsid w:val="4DEC4FB0"/>
    <w:rsid w:val="4DF90AA4"/>
    <w:rsid w:val="4DF948BD"/>
    <w:rsid w:val="4E075D8A"/>
    <w:rsid w:val="4E1101B6"/>
    <w:rsid w:val="4E123B12"/>
    <w:rsid w:val="4E154AC1"/>
    <w:rsid w:val="4E1F61FD"/>
    <w:rsid w:val="4E203A8C"/>
    <w:rsid w:val="4E385464"/>
    <w:rsid w:val="4E502C98"/>
    <w:rsid w:val="4E561312"/>
    <w:rsid w:val="4E695FA3"/>
    <w:rsid w:val="4E740505"/>
    <w:rsid w:val="4E7F3086"/>
    <w:rsid w:val="4E915170"/>
    <w:rsid w:val="4EA14958"/>
    <w:rsid w:val="4EB33287"/>
    <w:rsid w:val="4EB830B3"/>
    <w:rsid w:val="4EBC01AF"/>
    <w:rsid w:val="4EC00FAD"/>
    <w:rsid w:val="4EC25023"/>
    <w:rsid w:val="4EC30871"/>
    <w:rsid w:val="4EC64E1D"/>
    <w:rsid w:val="4ED54F22"/>
    <w:rsid w:val="4ED7041B"/>
    <w:rsid w:val="4EDD67D2"/>
    <w:rsid w:val="4EE409CE"/>
    <w:rsid w:val="4EF24A8F"/>
    <w:rsid w:val="4EF26F7E"/>
    <w:rsid w:val="4F065387"/>
    <w:rsid w:val="4F0C1877"/>
    <w:rsid w:val="4F1B43CF"/>
    <w:rsid w:val="4F23697E"/>
    <w:rsid w:val="4F2B665A"/>
    <w:rsid w:val="4F356A49"/>
    <w:rsid w:val="4F3630F3"/>
    <w:rsid w:val="4F505726"/>
    <w:rsid w:val="4F572094"/>
    <w:rsid w:val="4F682692"/>
    <w:rsid w:val="4F883A45"/>
    <w:rsid w:val="4F907742"/>
    <w:rsid w:val="4F9843DC"/>
    <w:rsid w:val="4F994D43"/>
    <w:rsid w:val="4FA16104"/>
    <w:rsid w:val="4FAB2261"/>
    <w:rsid w:val="4FBB1993"/>
    <w:rsid w:val="4FBC057E"/>
    <w:rsid w:val="4FC34AD8"/>
    <w:rsid w:val="4FC62A8C"/>
    <w:rsid w:val="4FDF651A"/>
    <w:rsid w:val="4FE20F0D"/>
    <w:rsid w:val="4FE51552"/>
    <w:rsid w:val="4FE91D72"/>
    <w:rsid w:val="4FFF4C90"/>
    <w:rsid w:val="50015B54"/>
    <w:rsid w:val="500D5809"/>
    <w:rsid w:val="501B1BE8"/>
    <w:rsid w:val="501D4CCE"/>
    <w:rsid w:val="501F17AD"/>
    <w:rsid w:val="501F487D"/>
    <w:rsid w:val="50283B9D"/>
    <w:rsid w:val="503A707E"/>
    <w:rsid w:val="503C0C40"/>
    <w:rsid w:val="50504C4B"/>
    <w:rsid w:val="50507CEE"/>
    <w:rsid w:val="5052061F"/>
    <w:rsid w:val="505D0899"/>
    <w:rsid w:val="50630D8E"/>
    <w:rsid w:val="506B270F"/>
    <w:rsid w:val="506B7C43"/>
    <w:rsid w:val="506F403E"/>
    <w:rsid w:val="508428DB"/>
    <w:rsid w:val="5097070D"/>
    <w:rsid w:val="509A3E3A"/>
    <w:rsid w:val="509C6E7C"/>
    <w:rsid w:val="50A216B3"/>
    <w:rsid w:val="50A75A6C"/>
    <w:rsid w:val="50A76AA5"/>
    <w:rsid w:val="50A94629"/>
    <w:rsid w:val="50C8299F"/>
    <w:rsid w:val="50C969EE"/>
    <w:rsid w:val="50CD2000"/>
    <w:rsid w:val="50DC2453"/>
    <w:rsid w:val="50E40542"/>
    <w:rsid w:val="50EE1E54"/>
    <w:rsid w:val="50EF64BE"/>
    <w:rsid w:val="50FA3321"/>
    <w:rsid w:val="51102208"/>
    <w:rsid w:val="51164929"/>
    <w:rsid w:val="5128244D"/>
    <w:rsid w:val="512D6258"/>
    <w:rsid w:val="51387EB4"/>
    <w:rsid w:val="513C3241"/>
    <w:rsid w:val="514C3280"/>
    <w:rsid w:val="515E0C76"/>
    <w:rsid w:val="5162104E"/>
    <w:rsid w:val="51656440"/>
    <w:rsid w:val="51765A67"/>
    <w:rsid w:val="51773BFD"/>
    <w:rsid w:val="517D0242"/>
    <w:rsid w:val="517E2545"/>
    <w:rsid w:val="5181490D"/>
    <w:rsid w:val="51823D83"/>
    <w:rsid w:val="51866396"/>
    <w:rsid w:val="51876B5A"/>
    <w:rsid w:val="518E3BE9"/>
    <w:rsid w:val="51906049"/>
    <w:rsid w:val="51B615F8"/>
    <w:rsid w:val="51C26D76"/>
    <w:rsid w:val="51CD59E0"/>
    <w:rsid w:val="51DC5462"/>
    <w:rsid w:val="51E27398"/>
    <w:rsid w:val="51EB4915"/>
    <w:rsid w:val="51F26758"/>
    <w:rsid w:val="52067070"/>
    <w:rsid w:val="52096EA3"/>
    <w:rsid w:val="521B6BD1"/>
    <w:rsid w:val="52253B47"/>
    <w:rsid w:val="524A7DB2"/>
    <w:rsid w:val="525B6A3D"/>
    <w:rsid w:val="52693194"/>
    <w:rsid w:val="528216CE"/>
    <w:rsid w:val="5293427F"/>
    <w:rsid w:val="52AA01E0"/>
    <w:rsid w:val="52B86AB8"/>
    <w:rsid w:val="52BB3AE5"/>
    <w:rsid w:val="52C247C8"/>
    <w:rsid w:val="52D13A64"/>
    <w:rsid w:val="52DD243D"/>
    <w:rsid w:val="52E866F1"/>
    <w:rsid w:val="52EB4869"/>
    <w:rsid w:val="52F83BC9"/>
    <w:rsid w:val="52F963FF"/>
    <w:rsid w:val="52FE11F1"/>
    <w:rsid w:val="5300383B"/>
    <w:rsid w:val="53081D8F"/>
    <w:rsid w:val="530B5424"/>
    <w:rsid w:val="53100B62"/>
    <w:rsid w:val="531A25CB"/>
    <w:rsid w:val="531A6BE9"/>
    <w:rsid w:val="531B6C3B"/>
    <w:rsid w:val="532D1437"/>
    <w:rsid w:val="534156ED"/>
    <w:rsid w:val="534E7632"/>
    <w:rsid w:val="53513120"/>
    <w:rsid w:val="5355652F"/>
    <w:rsid w:val="535D4AE6"/>
    <w:rsid w:val="535F6A6C"/>
    <w:rsid w:val="5363733A"/>
    <w:rsid w:val="537F7277"/>
    <w:rsid w:val="53856A26"/>
    <w:rsid w:val="53870432"/>
    <w:rsid w:val="5390665C"/>
    <w:rsid w:val="539A7EC1"/>
    <w:rsid w:val="53A039CC"/>
    <w:rsid w:val="53A1505A"/>
    <w:rsid w:val="53AA2BF1"/>
    <w:rsid w:val="53BD1CF8"/>
    <w:rsid w:val="53C808AA"/>
    <w:rsid w:val="53C85777"/>
    <w:rsid w:val="53E915AA"/>
    <w:rsid w:val="53F17567"/>
    <w:rsid w:val="54063E08"/>
    <w:rsid w:val="54160B4B"/>
    <w:rsid w:val="541A6A5D"/>
    <w:rsid w:val="543437E8"/>
    <w:rsid w:val="546A2443"/>
    <w:rsid w:val="54B00DFC"/>
    <w:rsid w:val="54CF16E3"/>
    <w:rsid w:val="54D34917"/>
    <w:rsid w:val="54D715F2"/>
    <w:rsid w:val="54DD2A26"/>
    <w:rsid w:val="54F33224"/>
    <w:rsid w:val="54F46459"/>
    <w:rsid w:val="54F73313"/>
    <w:rsid w:val="54F80955"/>
    <w:rsid w:val="55045F05"/>
    <w:rsid w:val="550A6883"/>
    <w:rsid w:val="55161039"/>
    <w:rsid w:val="551909AE"/>
    <w:rsid w:val="552F404A"/>
    <w:rsid w:val="55335197"/>
    <w:rsid w:val="553C3A71"/>
    <w:rsid w:val="55433202"/>
    <w:rsid w:val="555170A7"/>
    <w:rsid w:val="555B1A45"/>
    <w:rsid w:val="5561087C"/>
    <w:rsid w:val="556B6832"/>
    <w:rsid w:val="556C508E"/>
    <w:rsid w:val="556D3D87"/>
    <w:rsid w:val="5587536D"/>
    <w:rsid w:val="559B174B"/>
    <w:rsid w:val="559C7786"/>
    <w:rsid w:val="559E475B"/>
    <w:rsid w:val="55A97243"/>
    <w:rsid w:val="55AF6769"/>
    <w:rsid w:val="55B9424B"/>
    <w:rsid w:val="55BA6B37"/>
    <w:rsid w:val="55C672E7"/>
    <w:rsid w:val="55CE0CF4"/>
    <w:rsid w:val="55D40B44"/>
    <w:rsid w:val="55E2758F"/>
    <w:rsid w:val="55E52498"/>
    <w:rsid w:val="55F43D17"/>
    <w:rsid w:val="56030A8E"/>
    <w:rsid w:val="560D38DE"/>
    <w:rsid w:val="562C08C2"/>
    <w:rsid w:val="56511311"/>
    <w:rsid w:val="56656303"/>
    <w:rsid w:val="566C73E3"/>
    <w:rsid w:val="56794F48"/>
    <w:rsid w:val="569D4715"/>
    <w:rsid w:val="56AB60BD"/>
    <w:rsid w:val="56AF359F"/>
    <w:rsid w:val="56B22A9C"/>
    <w:rsid w:val="56B814C3"/>
    <w:rsid w:val="56CC3896"/>
    <w:rsid w:val="56D4595C"/>
    <w:rsid w:val="56DC40E1"/>
    <w:rsid w:val="56E74D98"/>
    <w:rsid w:val="56EE0769"/>
    <w:rsid w:val="56F3362B"/>
    <w:rsid w:val="56FF0237"/>
    <w:rsid w:val="570E129A"/>
    <w:rsid w:val="571630A8"/>
    <w:rsid w:val="5718516B"/>
    <w:rsid w:val="57390FCB"/>
    <w:rsid w:val="574669C8"/>
    <w:rsid w:val="574D29FE"/>
    <w:rsid w:val="575A2877"/>
    <w:rsid w:val="575B2648"/>
    <w:rsid w:val="57781ABC"/>
    <w:rsid w:val="577C5F68"/>
    <w:rsid w:val="57856F86"/>
    <w:rsid w:val="57877A01"/>
    <w:rsid w:val="579067E3"/>
    <w:rsid w:val="579655A5"/>
    <w:rsid w:val="579C4AA3"/>
    <w:rsid w:val="57A2548A"/>
    <w:rsid w:val="57AD7D84"/>
    <w:rsid w:val="57B166C8"/>
    <w:rsid w:val="57B72A76"/>
    <w:rsid w:val="57C3426C"/>
    <w:rsid w:val="57CE1F93"/>
    <w:rsid w:val="57CE7903"/>
    <w:rsid w:val="57D71BA8"/>
    <w:rsid w:val="57D72A5B"/>
    <w:rsid w:val="57EC3417"/>
    <w:rsid w:val="57FF63CE"/>
    <w:rsid w:val="58052609"/>
    <w:rsid w:val="58153C22"/>
    <w:rsid w:val="58304C51"/>
    <w:rsid w:val="58315385"/>
    <w:rsid w:val="58363A8C"/>
    <w:rsid w:val="584C6B87"/>
    <w:rsid w:val="584F21B4"/>
    <w:rsid w:val="58524C2F"/>
    <w:rsid w:val="58621FCD"/>
    <w:rsid w:val="58751100"/>
    <w:rsid w:val="587A29C5"/>
    <w:rsid w:val="588743D1"/>
    <w:rsid w:val="5887701A"/>
    <w:rsid w:val="588B2258"/>
    <w:rsid w:val="58A207C4"/>
    <w:rsid w:val="58A66462"/>
    <w:rsid w:val="58A94298"/>
    <w:rsid w:val="58B32FF0"/>
    <w:rsid w:val="58C26360"/>
    <w:rsid w:val="58C72ADD"/>
    <w:rsid w:val="58D520ED"/>
    <w:rsid w:val="58D52924"/>
    <w:rsid w:val="58DE4325"/>
    <w:rsid w:val="58F67C02"/>
    <w:rsid w:val="58FD07F2"/>
    <w:rsid w:val="590F1AB3"/>
    <w:rsid w:val="592F6CD3"/>
    <w:rsid w:val="5954056B"/>
    <w:rsid w:val="5954396A"/>
    <w:rsid w:val="596D4A2C"/>
    <w:rsid w:val="599353C0"/>
    <w:rsid w:val="599F0258"/>
    <w:rsid w:val="59A07C31"/>
    <w:rsid w:val="59A3685A"/>
    <w:rsid w:val="59A95FDF"/>
    <w:rsid w:val="59B57C7C"/>
    <w:rsid w:val="59B80F94"/>
    <w:rsid w:val="59BD7B71"/>
    <w:rsid w:val="59BE5BA2"/>
    <w:rsid w:val="59C0439F"/>
    <w:rsid w:val="59D03FD1"/>
    <w:rsid w:val="59E31E44"/>
    <w:rsid w:val="5A0245F7"/>
    <w:rsid w:val="5A036981"/>
    <w:rsid w:val="5A037997"/>
    <w:rsid w:val="5A0D7F9A"/>
    <w:rsid w:val="5A19444F"/>
    <w:rsid w:val="5A1F1C0B"/>
    <w:rsid w:val="5A2A06B7"/>
    <w:rsid w:val="5A387B5A"/>
    <w:rsid w:val="5A3A14C7"/>
    <w:rsid w:val="5A597055"/>
    <w:rsid w:val="5A5A35FA"/>
    <w:rsid w:val="5A5B6B4E"/>
    <w:rsid w:val="5A6177B4"/>
    <w:rsid w:val="5A6D00A5"/>
    <w:rsid w:val="5A7670E1"/>
    <w:rsid w:val="5A7840A0"/>
    <w:rsid w:val="5A8722D4"/>
    <w:rsid w:val="5AA21828"/>
    <w:rsid w:val="5AAC26B7"/>
    <w:rsid w:val="5ABE2233"/>
    <w:rsid w:val="5ABE3C84"/>
    <w:rsid w:val="5ADB27B3"/>
    <w:rsid w:val="5ADD4BE6"/>
    <w:rsid w:val="5ADF54B5"/>
    <w:rsid w:val="5AEC3F4C"/>
    <w:rsid w:val="5AEE4E28"/>
    <w:rsid w:val="5AFA086F"/>
    <w:rsid w:val="5AFE0EC3"/>
    <w:rsid w:val="5B1E6EF1"/>
    <w:rsid w:val="5B2744FC"/>
    <w:rsid w:val="5B444FE0"/>
    <w:rsid w:val="5B4544AC"/>
    <w:rsid w:val="5B494319"/>
    <w:rsid w:val="5B4B7E93"/>
    <w:rsid w:val="5B523ED9"/>
    <w:rsid w:val="5B575088"/>
    <w:rsid w:val="5B591DBE"/>
    <w:rsid w:val="5B6B63CD"/>
    <w:rsid w:val="5B6C02A2"/>
    <w:rsid w:val="5B6D2930"/>
    <w:rsid w:val="5B6D583B"/>
    <w:rsid w:val="5B9462A0"/>
    <w:rsid w:val="5B962018"/>
    <w:rsid w:val="5B980E55"/>
    <w:rsid w:val="5BD72CBE"/>
    <w:rsid w:val="5BDE677F"/>
    <w:rsid w:val="5BDF5D95"/>
    <w:rsid w:val="5BE1716F"/>
    <w:rsid w:val="5BE70AC5"/>
    <w:rsid w:val="5BE7607E"/>
    <w:rsid w:val="5BE865C8"/>
    <w:rsid w:val="5BFE7528"/>
    <w:rsid w:val="5C0A6562"/>
    <w:rsid w:val="5C1D0AD5"/>
    <w:rsid w:val="5C317F92"/>
    <w:rsid w:val="5C335720"/>
    <w:rsid w:val="5C596AEB"/>
    <w:rsid w:val="5C5E55C4"/>
    <w:rsid w:val="5CA55778"/>
    <w:rsid w:val="5CA76676"/>
    <w:rsid w:val="5CA92850"/>
    <w:rsid w:val="5CC60BB2"/>
    <w:rsid w:val="5CCA2238"/>
    <w:rsid w:val="5CDE5A74"/>
    <w:rsid w:val="5CE23AF5"/>
    <w:rsid w:val="5CE61C25"/>
    <w:rsid w:val="5CED63AD"/>
    <w:rsid w:val="5CF4469A"/>
    <w:rsid w:val="5D035628"/>
    <w:rsid w:val="5D162BCC"/>
    <w:rsid w:val="5D29222D"/>
    <w:rsid w:val="5D2F3F52"/>
    <w:rsid w:val="5D3F4F2B"/>
    <w:rsid w:val="5D450621"/>
    <w:rsid w:val="5D591EB0"/>
    <w:rsid w:val="5D6B25FD"/>
    <w:rsid w:val="5D80259E"/>
    <w:rsid w:val="5DA965B6"/>
    <w:rsid w:val="5DCD5A99"/>
    <w:rsid w:val="5DCF620D"/>
    <w:rsid w:val="5DD0078D"/>
    <w:rsid w:val="5DD0425E"/>
    <w:rsid w:val="5DDE1FE8"/>
    <w:rsid w:val="5DE1499C"/>
    <w:rsid w:val="5DEC756A"/>
    <w:rsid w:val="5DFE350F"/>
    <w:rsid w:val="5E016366"/>
    <w:rsid w:val="5E087146"/>
    <w:rsid w:val="5E2467F1"/>
    <w:rsid w:val="5E496D88"/>
    <w:rsid w:val="5E497526"/>
    <w:rsid w:val="5E5F1245"/>
    <w:rsid w:val="5E6153DA"/>
    <w:rsid w:val="5E6C5038"/>
    <w:rsid w:val="5E806603"/>
    <w:rsid w:val="5E810C58"/>
    <w:rsid w:val="5E836CBA"/>
    <w:rsid w:val="5E87083D"/>
    <w:rsid w:val="5E8A02FB"/>
    <w:rsid w:val="5E96232F"/>
    <w:rsid w:val="5E99390A"/>
    <w:rsid w:val="5EA522BA"/>
    <w:rsid w:val="5EB4043D"/>
    <w:rsid w:val="5EB72419"/>
    <w:rsid w:val="5EC836C0"/>
    <w:rsid w:val="5EC96260"/>
    <w:rsid w:val="5EC97F8E"/>
    <w:rsid w:val="5ED10E74"/>
    <w:rsid w:val="5EDB227D"/>
    <w:rsid w:val="5EDF1CBF"/>
    <w:rsid w:val="5EE115BD"/>
    <w:rsid w:val="5EE575AF"/>
    <w:rsid w:val="5EFB4E19"/>
    <w:rsid w:val="5EFE4168"/>
    <w:rsid w:val="5EFE555D"/>
    <w:rsid w:val="5F0438F5"/>
    <w:rsid w:val="5F1A2B43"/>
    <w:rsid w:val="5F271A0B"/>
    <w:rsid w:val="5F285829"/>
    <w:rsid w:val="5F2913F5"/>
    <w:rsid w:val="5F314132"/>
    <w:rsid w:val="5F401D42"/>
    <w:rsid w:val="5F4E73FE"/>
    <w:rsid w:val="5F542102"/>
    <w:rsid w:val="5F7B157F"/>
    <w:rsid w:val="5F7D04C9"/>
    <w:rsid w:val="5F824918"/>
    <w:rsid w:val="5F885186"/>
    <w:rsid w:val="5FB837BB"/>
    <w:rsid w:val="5FC6386E"/>
    <w:rsid w:val="5FD263BC"/>
    <w:rsid w:val="5FE86F35"/>
    <w:rsid w:val="5FF5286B"/>
    <w:rsid w:val="60096173"/>
    <w:rsid w:val="600C130C"/>
    <w:rsid w:val="601B7CDF"/>
    <w:rsid w:val="60245BFB"/>
    <w:rsid w:val="602C0A59"/>
    <w:rsid w:val="605233E2"/>
    <w:rsid w:val="60524F53"/>
    <w:rsid w:val="606D2CB9"/>
    <w:rsid w:val="607E2ADB"/>
    <w:rsid w:val="60844B35"/>
    <w:rsid w:val="60866102"/>
    <w:rsid w:val="608C34A3"/>
    <w:rsid w:val="60970C75"/>
    <w:rsid w:val="609F4F1C"/>
    <w:rsid w:val="60AE7E03"/>
    <w:rsid w:val="60C14974"/>
    <w:rsid w:val="60C469FD"/>
    <w:rsid w:val="60CC405A"/>
    <w:rsid w:val="60D275B7"/>
    <w:rsid w:val="60E51E26"/>
    <w:rsid w:val="60F12CDD"/>
    <w:rsid w:val="60F344DB"/>
    <w:rsid w:val="61033AE1"/>
    <w:rsid w:val="610E43FE"/>
    <w:rsid w:val="61442E84"/>
    <w:rsid w:val="61490112"/>
    <w:rsid w:val="616603F8"/>
    <w:rsid w:val="61807AA7"/>
    <w:rsid w:val="618D10BE"/>
    <w:rsid w:val="618D4387"/>
    <w:rsid w:val="61902441"/>
    <w:rsid w:val="619C40D0"/>
    <w:rsid w:val="61B13C78"/>
    <w:rsid w:val="61B532D2"/>
    <w:rsid w:val="61D41EFF"/>
    <w:rsid w:val="61DD15DB"/>
    <w:rsid w:val="61E20DFA"/>
    <w:rsid w:val="61E215D8"/>
    <w:rsid w:val="61E8546D"/>
    <w:rsid w:val="61ED4D6C"/>
    <w:rsid w:val="61F1450C"/>
    <w:rsid w:val="61F7475C"/>
    <w:rsid w:val="61FD7180"/>
    <w:rsid w:val="62010BB0"/>
    <w:rsid w:val="62052236"/>
    <w:rsid w:val="62143AB1"/>
    <w:rsid w:val="621B3775"/>
    <w:rsid w:val="622927F9"/>
    <w:rsid w:val="62364782"/>
    <w:rsid w:val="6246000D"/>
    <w:rsid w:val="624D3A11"/>
    <w:rsid w:val="62626B0C"/>
    <w:rsid w:val="62686692"/>
    <w:rsid w:val="6279377A"/>
    <w:rsid w:val="629A7A68"/>
    <w:rsid w:val="62A72182"/>
    <w:rsid w:val="62A85C93"/>
    <w:rsid w:val="62B27DA1"/>
    <w:rsid w:val="62DA02C8"/>
    <w:rsid w:val="62E74F2A"/>
    <w:rsid w:val="62E9346E"/>
    <w:rsid w:val="62F07803"/>
    <w:rsid w:val="62F61FB9"/>
    <w:rsid w:val="62F835B8"/>
    <w:rsid w:val="62F90EDA"/>
    <w:rsid w:val="62FE3CF1"/>
    <w:rsid w:val="63085C7A"/>
    <w:rsid w:val="633A3BD0"/>
    <w:rsid w:val="633E2CC9"/>
    <w:rsid w:val="63452E4E"/>
    <w:rsid w:val="634B00DE"/>
    <w:rsid w:val="63555439"/>
    <w:rsid w:val="63601319"/>
    <w:rsid w:val="637A4E4A"/>
    <w:rsid w:val="637C761A"/>
    <w:rsid w:val="6394356A"/>
    <w:rsid w:val="63A405D2"/>
    <w:rsid w:val="63BA479C"/>
    <w:rsid w:val="63BB75EA"/>
    <w:rsid w:val="63BF12AA"/>
    <w:rsid w:val="63C42251"/>
    <w:rsid w:val="63C61B2C"/>
    <w:rsid w:val="63D40BE9"/>
    <w:rsid w:val="63D64348"/>
    <w:rsid w:val="63E03A14"/>
    <w:rsid w:val="63E85918"/>
    <w:rsid w:val="63ED64A1"/>
    <w:rsid w:val="63F361C7"/>
    <w:rsid w:val="63FB1181"/>
    <w:rsid w:val="64084D62"/>
    <w:rsid w:val="64102431"/>
    <w:rsid w:val="64191ACC"/>
    <w:rsid w:val="64296CE9"/>
    <w:rsid w:val="643458AC"/>
    <w:rsid w:val="643B735F"/>
    <w:rsid w:val="644A09B9"/>
    <w:rsid w:val="64561319"/>
    <w:rsid w:val="64721148"/>
    <w:rsid w:val="64993CDF"/>
    <w:rsid w:val="649E1F3D"/>
    <w:rsid w:val="64A5243A"/>
    <w:rsid w:val="64A57CAA"/>
    <w:rsid w:val="64BF2F67"/>
    <w:rsid w:val="64C12EA6"/>
    <w:rsid w:val="64C71460"/>
    <w:rsid w:val="64D10F02"/>
    <w:rsid w:val="64ED5B8B"/>
    <w:rsid w:val="64F42187"/>
    <w:rsid w:val="64F531DE"/>
    <w:rsid w:val="64F9082A"/>
    <w:rsid w:val="64FC6433"/>
    <w:rsid w:val="650C112E"/>
    <w:rsid w:val="651027B1"/>
    <w:rsid w:val="651518EA"/>
    <w:rsid w:val="651D5F81"/>
    <w:rsid w:val="65204633"/>
    <w:rsid w:val="652748AF"/>
    <w:rsid w:val="65274B3E"/>
    <w:rsid w:val="652C3E1D"/>
    <w:rsid w:val="6530263E"/>
    <w:rsid w:val="65307C6E"/>
    <w:rsid w:val="65313143"/>
    <w:rsid w:val="653603C7"/>
    <w:rsid w:val="65373578"/>
    <w:rsid w:val="653A0321"/>
    <w:rsid w:val="653D2C28"/>
    <w:rsid w:val="655E60FC"/>
    <w:rsid w:val="6562083A"/>
    <w:rsid w:val="65766F2C"/>
    <w:rsid w:val="657F3B1C"/>
    <w:rsid w:val="65BC170A"/>
    <w:rsid w:val="65C15EE3"/>
    <w:rsid w:val="65DC4B5C"/>
    <w:rsid w:val="65E74E52"/>
    <w:rsid w:val="65F30245"/>
    <w:rsid w:val="66115C7A"/>
    <w:rsid w:val="66120B08"/>
    <w:rsid w:val="661A45FF"/>
    <w:rsid w:val="662D3A22"/>
    <w:rsid w:val="66361DF7"/>
    <w:rsid w:val="663C2220"/>
    <w:rsid w:val="664278C2"/>
    <w:rsid w:val="66691009"/>
    <w:rsid w:val="66812FFF"/>
    <w:rsid w:val="66972E76"/>
    <w:rsid w:val="669D0EBD"/>
    <w:rsid w:val="66A070C9"/>
    <w:rsid w:val="66A356BD"/>
    <w:rsid w:val="66A376FF"/>
    <w:rsid w:val="66AF2BA6"/>
    <w:rsid w:val="66BB6809"/>
    <w:rsid w:val="66E10C4D"/>
    <w:rsid w:val="66F874C2"/>
    <w:rsid w:val="67000C8D"/>
    <w:rsid w:val="671027F4"/>
    <w:rsid w:val="6711291C"/>
    <w:rsid w:val="67137B2E"/>
    <w:rsid w:val="671D7BCC"/>
    <w:rsid w:val="671F124A"/>
    <w:rsid w:val="6725437D"/>
    <w:rsid w:val="676768EB"/>
    <w:rsid w:val="67707630"/>
    <w:rsid w:val="677564D7"/>
    <w:rsid w:val="677A33C6"/>
    <w:rsid w:val="67843DCC"/>
    <w:rsid w:val="679333D6"/>
    <w:rsid w:val="679B6588"/>
    <w:rsid w:val="67AA0829"/>
    <w:rsid w:val="67B30841"/>
    <w:rsid w:val="67C61449"/>
    <w:rsid w:val="67C645D7"/>
    <w:rsid w:val="67D4520D"/>
    <w:rsid w:val="67DB4354"/>
    <w:rsid w:val="67EB0C74"/>
    <w:rsid w:val="67EC2B21"/>
    <w:rsid w:val="67F1253D"/>
    <w:rsid w:val="67F2512B"/>
    <w:rsid w:val="68054493"/>
    <w:rsid w:val="68055362"/>
    <w:rsid w:val="6807212C"/>
    <w:rsid w:val="680B5B3B"/>
    <w:rsid w:val="681F6961"/>
    <w:rsid w:val="68490412"/>
    <w:rsid w:val="68531FF7"/>
    <w:rsid w:val="68534DEC"/>
    <w:rsid w:val="685A5823"/>
    <w:rsid w:val="685B37A9"/>
    <w:rsid w:val="685C4177"/>
    <w:rsid w:val="68610A2F"/>
    <w:rsid w:val="686B482C"/>
    <w:rsid w:val="6874081E"/>
    <w:rsid w:val="68773FCA"/>
    <w:rsid w:val="68805514"/>
    <w:rsid w:val="688E0010"/>
    <w:rsid w:val="689A4B40"/>
    <w:rsid w:val="68AA7E13"/>
    <w:rsid w:val="68B52319"/>
    <w:rsid w:val="68BC0F39"/>
    <w:rsid w:val="68C94CDB"/>
    <w:rsid w:val="68CD134B"/>
    <w:rsid w:val="68E713C9"/>
    <w:rsid w:val="690B60F3"/>
    <w:rsid w:val="690E575F"/>
    <w:rsid w:val="69212202"/>
    <w:rsid w:val="69224224"/>
    <w:rsid w:val="69250469"/>
    <w:rsid w:val="69316E2F"/>
    <w:rsid w:val="69411ADB"/>
    <w:rsid w:val="694E2071"/>
    <w:rsid w:val="69513BED"/>
    <w:rsid w:val="69531902"/>
    <w:rsid w:val="6954076B"/>
    <w:rsid w:val="69766163"/>
    <w:rsid w:val="697835BB"/>
    <w:rsid w:val="697A3B33"/>
    <w:rsid w:val="69842B01"/>
    <w:rsid w:val="698F00A6"/>
    <w:rsid w:val="6995600F"/>
    <w:rsid w:val="69D435AA"/>
    <w:rsid w:val="69D44760"/>
    <w:rsid w:val="69D705B7"/>
    <w:rsid w:val="69DB7770"/>
    <w:rsid w:val="69DB7CCC"/>
    <w:rsid w:val="69FF18D0"/>
    <w:rsid w:val="6A144E15"/>
    <w:rsid w:val="6A1702C5"/>
    <w:rsid w:val="6A1D5C3B"/>
    <w:rsid w:val="6A2A1FCD"/>
    <w:rsid w:val="6A31335D"/>
    <w:rsid w:val="6A352D22"/>
    <w:rsid w:val="6A386DAC"/>
    <w:rsid w:val="6A3C6480"/>
    <w:rsid w:val="6A4F18F3"/>
    <w:rsid w:val="6A520EC7"/>
    <w:rsid w:val="6A5532D6"/>
    <w:rsid w:val="6A575068"/>
    <w:rsid w:val="6A5779B0"/>
    <w:rsid w:val="6A616165"/>
    <w:rsid w:val="6A6F6DD4"/>
    <w:rsid w:val="6A70612A"/>
    <w:rsid w:val="6A765325"/>
    <w:rsid w:val="6A86139C"/>
    <w:rsid w:val="6A8B02EE"/>
    <w:rsid w:val="6A9C3F56"/>
    <w:rsid w:val="6ABF0A53"/>
    <w:rsid w:val="6AD541DF"/>
    <w:rsid w:val="6ADA654B"/>
    <w:rsid w:val="6AE4752D"/>
    <w:rsid w:val="6AE53A3F"/>
    <w:rsid w:val="6AEB70B9"/>
    <w:rsid w:val="6AF633FF"/>
    <w:rsid w:val="6AF87E20"/>
    <w:rsid w:val="6B0413A1"/>
    <w:rsid w:val="6B160A06"/>
    <w:rsid w:val="6B31567F"/>
    <w:rsid w:val="6B322639"/>
    <w:rsid w:val="6B4B2BEF"/>
    <w:rsid w:val="6B6E0168"/>
    <w:rsid w:val="6B771B1E"/>
    <w:rsid w:val="6B833C3B"/>
    <w:rsid w:val="6B8E19D2"/>
    <w:rsid w:val="6B912312"/>
    <w:rsid w:val="6BB2184F"/>
    <w:rsid w:val="6BB32772"/>
    <w:rsid w:val="6BCF6EC0"/>
    <w:rsid w:val="6BD000B9"/>
    <w:rsid w:val="6BEF69B3"/>
    <w:rsid w:val="6C133210"/>
    <w:rsid w:val="6C1577BD"/>
    <w:rsid w:val="6C297704"/>
    <w:rsid w:val="6C2C7E2E"/>
    <w:rsid w:val="6C2F2734"/>
    <w:rsid w:val="6C2F7FCF"/>
    <w:rsid w:val="6C3C2CA5"/>
    <w:rsid w:val="6C515F03"/>
    <w:rsid w:val="6C5166A9"/>
    <w:rsid w:val="6C5971DA"/>
    <w:rsid w:val="6C5A540C"/>
    <w:rsid w:val="6C636C38"/>
    <w:rsid w:val="6C7930E8"/>
    <w:rsid w:val="6C881561"/>
    <w:rsid w:val="6C8A54D7"/>
    <w:rsid w:val="6C940171"/>
    <w:rsid w:val="6CB34B3B"/>
    <w:rsid w:val="6CBB5509"/>
    <w:rsid w:val="6CBC5656"/>
    <w:rsid w:val="6CC5750B"/>
    <w:rsid w:val="6CCA44BA"/>
    <w:rsid w:val="6CCA7CE1"/>
    <w:rsid w:val="6CD110AF"/>
    <w:rsid w:val="6CD2148F"/>
    <w:rsid w:val="6CEF565E"/>
    <w:rsid w:val="6CF60B3E"/>
    <w:rsid w:val="6D0B5668"/>
    <w:rsid w:val="6D434797"/>
    <w:rsid w:val="6D442969"/>
    <w:rsid w:val="6D4D62AE"/>
    <w:rsid w:val="6D52158E"/>
    <w:rsid w:val="6D560CEB"/>
    <w:rsid w:val="6D724A5E"/>
    <w:rsid w:val="6D7A44B2"/>
    <w:rsid w:val="6D7E1782"/>
    <w:rsid w:val="6D8D2B4F"/>
    <w:rsid w:val="6DAB5DE6"/>
    <w:rsid w:val="6DB02E95"/>
    <w:rsid w:val="6DB23676"/>
    <w:rsid w:val="6DB34098"/>
    <w:rsid w:val="6DB545B6"/>
    <w:rsid w:val="6DBC71A1"/>
    <w:rsid w:val="6DC9002B"/>
    <w:rsid w:val="6DD14348"/>
    <w:rsid w:val="6DD52256"/>
    <w:rsid w:val="6DDD7632"/>
    <w:rsid w:val="6DE02FB4"/>
    <w:rsid w:val="6DEB501C"/>
    <w:rsid w:val="6DF31446"/>
    <w:rsid w:val="6DF54C8C"/>
    <w:rsid w:val="6E00146B"/>
    <w:rsid w:val="6E01135A"/>
    <w:rsid w:val="6E110ACB"/>
    <w:rsid w:val="6E254026"/>
    <w:rsid w:val="6E504510"/>
    <w:rsid w:val="6E514CED"/>
    <w:rsid w:val="6E521F08"/>
    <w:rsid w:val="6E5477C8"/>
    <w:rsid w:val="6E5F6F99"/>
    <w:rsid w:val="6E7A7524"/>
    <w:rsid w:val="6E8201DA"/>
    <w:rsid w:val="6E860228"/>
    <w:rsid w:val="6E9C0F62"/>
    <w:rsid w:val="6EA45779"/>
    <w:rsid w:val="6EAC0C09"/>
    <w:rsid w:val="6EB563D5"/>
    <w:rsid w:val="6EBB5C2A"/>
    <w:rsid w:val="6EBD27F1"/>
    <w:rsid w:val="6EBF142E"/>
    <w:rsid w:val="6ED84825"/>
    <w:rsid w:val="6ED92677"/>
    <w:rsid w:val="6EDC4BC4"/>
    <w:rsid w:val="6EE92213"/>
    <w:rsid w:val="6EFA716F"/>
    <w:rsid w:val="6F043E7F"/>
    <w:rsid w:val="6F1F7B40"/>
    <w:rsid w:val="6F225983"/>
    <w:rsid w:val="6F28480D"/>
    <w:rsid w:val="6F356BA7"/>
    <w:rsid w:val="6F4356FB"/>
    <w:rsid w:val="6F60051B"/>
    <w:rsid w:val="6F7225F6"/>
    <w:rsid w:val="6F806E0F"/>
    <w:rsid w:val="6F865AA7"/>
    <w:rsid w:val="6F8D7B6E"/>
    <w:rsid w:val="6F9D5226"/>
    <w:rsid w:val="6FCB6011"/>
    <w:rsid w:val="6FCD61E4"/>
    <w:rsid w:val="6FFB6495"/>
    <w:rsid w:val="6FFC5590"/>
    <w:rsid w:val="70027A7D"/>
    <w:rsid w:val="70057314"/>
    <w:rsid w:val="70124986"/>
    <w:rsid w:val="701C532F"/>
    <w:rsid w:val="70337043"/>
    <w:rsid w:val="705767A8"/>
    <w:rsid w:val="705A04F0"/>
    <w:rsid w:val="705E1C96"/>
    <w:rsid w:val="706764AE"/>
    <w:rsid w:val="706B0D9D"/>
    <w:rsid w:val="706D1DD0"/>
    <w:rsid w:val="70731025"/>
    <w:rsid w:val="70736C4D"/>
    <w:rsid w:val="707618D1"/>
    <w:rsid w:val="70856B87"/>
    <w:rsid w:val="708C0B01"/>
    <w:rsid w:val="708D2289"/>
    <w:rsid w:val="70A61E67"/>
    <w:rsid w:val="70D527EE"/>
    <w:rsid w:val="70F550EA"/>
    <w:rsid w:val="70FC36FA"/>
    <w:rsid w:val="710A7769"/>
    <w:rsid w:val="710D46D2"/>
    <w:rsid w:val="71205797"/>
    <w:rsid w:val="712F7285"/>
    <w:rsid w:val="71455482"/>
    <w:rsid w:val="7146545D"/>
    <w:rsid w:val="71531B76"/>
    <w:rsid w:val="715401E3"/>
    <w:rsid w:val="7155645D"/>
    <w:rsid w:val="715B5300"/>
    <w:rsid w:val="716625E4"/>
    <w:rsid w:val="71780D04"/>
    <w:rsid w:val="717D1C47"/>
    <w:rsid w:val="717D35FD"/>
    <w:rsid w:val="71867D94"/>
    <w:rsid w:val="7195081B"/>
    <w:rsid w:val="719509D3"/>
    <w:rsid w:val="719D7F00"/>
    <w:rsid w:val="719F1C2A"/>
    <w:rsid w:val="719F4B7B"/>
    <w:rsid w:val="71C354EE"/>
    <w:rsid w:val="71C925E8"/>
    <w:rsid w:val="71D27F8A"/>
    <w:rsid w:val="71D76A8E"/>
    <w:rsid w:val="71E21CB0"/>
    <w:rsid w:val="71E8793D"/>
    <w:rsid w:val="71F8202A"/>
    <w:rsid w:val="7209645D"/>
    <w:rsid w:val="72243EF4"/>
    <w:rsid w:val="72274603"/>
    <w:rsid w:val="722C6DDA"/>
    <w:rsid w:val="72517A7C"/>
    <w:rsid w:val="72553024"/>
    <w:rsid w:val="725F6942"/>
    <w:rsid w:val="72615F47"/>
    <w:rsid w:val="72635099"/>
    <w:rsid w:val="726543F8"/>
    <w:rsid w:val="72657372"/>
    <w:rsid w:val="728C191F"/>
    <w:rsid w:val="72916AA2"/>
    <w:rsid w:val="72AE18BB"/>
    <w:rsid w:val="72BC2352"/>
    <w:rsid w:val="72BE14D3"/>
    <w:rsid w:val="72CA0F58"/>
    <w:rsid w:val="72DA6427"/>
    <w:rsid w:val="72E871A5"/>
    <w:rsid w:val="72E92F8F"/>
    <w:rsid w:val="72ED2FAE"/>
    <w:rsid w:val="72F64DB1"/>
    <w:rsid w:val="73053BF9"/>
    <w:rsid w:val="7306762B"/>
    <w:rsid w:val="73122968"/>
    <w:rsid w:val="731F0757"/>
    <w:rsid w:val="731F5D5E"/>
    <w:rsid w:val="732E707A"/>
    <w:rsid w:val="73307A1E"/>
    <w:rsid w:val="73326672"/>
    <w:rsid w:val="73384398"/>
    <w:rsid w:val="733E60E1"/>
    <w:rsid w:val="73426189"/>
    <w:rsid w:val="734F6255"/>
    <w:rsid w:val="73524C18"/>
    <w:rsid w:val="735935F3"/>
    <w:rsid w:val="735B5AF9"/>
    <w:rsid w:val="735D4362"/>
    <w:rsid w:val="736027A4"/>
    <w:rsid w:val="73605338"/>
    <w:rsid w:val="73657FF9"/>
    <w:rsid w:val="73703299"/>
    <w:rsid w:val="737B092A"/>
    <w:rsid w:val="73980993"/>
    <w:rsid w:val="739C6064"/>
    <w:rsid w:val="73A62BBC"/>
    <w:rsid w:val="73A729E2"/>
    <w:rsid w:val="73A91067"/>
    <w:rsid w:val="73BC4167"/>
    <w:rsid w:val="73BD26BE"/>
    <w:rsid w:val="73BE1AB2"/>
    <w:rsid w:val="73C37D79"/>
    <w:rsid w:val="73C51AD5"/>
    <w:rsid w:val="73CC2623"/>
    <w:rsid w:val="73CD1EF7"/>
    <w:rsid w:val="73D74B24"/>
    <w:rsid w:val="73DF1345"/>
    <w:rsid w:val="73EA06EE"/>
    <w:rsid w:val="73F349E2"/>
    <w:rsid w:val="740C6087"/>
    <w:rsid w:val="741E793C"/>
    <w:rsid w:val="74235D34"/>
    <w:rsid w:val="7430686E"/>
    <w:rsid w:val="74340E9A"/>
    <w:rsid w:val="743F641C"/>
    <w:rsid w:val="745370E2"/>
    <w:rsid w:val="745A1352"/>
    <w:rsid w:val="745C14A4"/>
    <w:rsid w:val="745E3944"/>
    <w:rsid w:val="74624D35"/>
    <w:rsid w:val="74686A62"/>
    <w:rsid w:val="74723889"/>
    <w:rsid w:val="747D7510"/>
    <w:rsid w:val="748247B2"/>
    <w:rsid w:val="748278C4"/>
    <w:rsid w:val="7489073B"/>
    <w:rsid w:val="748C0004"/>
    <w:rsid w:val="748D23C3"/>
    <w:rsid w:val="748F353E"/>
    <w:rsid w:val="748F5A45"/>
    <w:rsid w:val="74A77390"/>
    <w:rsid w:val="74AA5699"/>
    <w:rsid w:val="74E418D1"/>
    <w:rsid w:val="74F34823"/>
    <w:rsid w:val="74F57957"/>
    <w:rsid w:val="74FB6219"/>
    <w:rsid w:val="750B2C3B"/>
    <w:rsid w:val="751821BB"/>
    <w:rsid w:val="751C37B2"/>
    <w:rsid w:val="7524023C"/>
    <w:rsid w:val="75252800"/>
    <w:rsid w:val="7525334D"/>
    <w:rsid w:val="755347A2"/>
    <w:rsid w:val="75596A9F"/>
    <w:rsid w:val="755C0B5C"/>
    <w:rsid w:val="756E0DE3"/>
    <w:rsid w:val="757C0546"/>
    <w:rsid w:val="757D4FDD"/>
    <w:rsid w:val="75820730"/>
    <w:rsid w:val="75904446"/>
    <w:rsid w:val="75A10596"/>
    <w:rsid w:val="75AD4C78"/>
    <w:rsid w:val="75B3511C"/>
    <w:rsid w:val="75B6001F"/>
    <w:rsid w:val="75BB36C8"/>
    <w:rsid w:val="75CF6260"/>
    <w:rsid w:val="75EC50BF"/>
    <w:rsid w:val="7617766B"/>
    <w:rsid w:val="7635099D"/>
    <w:rsid w:val="763E2A77"/>
    <w:rsid w:val="765606BE"/>
    <w:rsid w:val="76564DE1"/>
    <w:rsid w:val="76624971"/>
    <w:rsid w:val="76676633"/>
    <w:rsid w:val="766E250E"/>
    <w:rsid w:val="767108AA"/>
    <w:rsid w:val="767773C6"/>
    <w:rsid w:val="767848D3"/>
    <w:rsid w:val="76941964"/>
    <w:rsid w:val="769D04B0"/>
    <w:rsid w:val="76BE0AAE"/>
    <w:rsid w:val="76C04379"/>
    <w:rsid w:val="76C66B7E"/>
    <w:rsid w:val="76CB77A5"/>
    <w:rsid w:val="76DC2BB0"/>
    <w:rsid w:val="76F105F2"/>
    <w:rsid w:val="76F13A74"/>
    <w:rsid w:val="772217BE"/>
    <w:rsid w:val="77246A9A"/>
    <w:rsid w:val="77345A04"/>
    <w:rsid w:val="773468B6"/>
    <w:rsid w:val="773B6251"/>
    <w:rsid w:val="773D76D3"/>
    <w:rsid w:val="774E4DA0"/>
    <w:rsid w:val="77580848"/>
    <w:rsid w:val="7758332B"/>
    <w:rsid w:val="775C42C8"/>
    <w:rsid w:val="776A2D60"/>
    <w:rsid w:val="77712AA8"/>
    <w:rsid w:val="77761527"/>
    <w:rsid w:val="77762421"/>
    <w:rsid w:val="778657E3"/>
    <w:rsid w:val="779C72EA"/>
    <w:rsid w:val="77A12BE9"/>
    <w:rsid w:val="77A37773"/>
    <w:rsid w:val="77AB69F3"/>
    <w:rsid w:val="77B56B1F"/>
    <w:rsid w:val="77C767E2"/>
    <w:rsid w:val="77C93A24"/>
    <w:rsid w:val="77CB32BC"/>
    <w:rsid w:val="77CD3571"/>
    <w:rsid w:val="77D5018A"/>
    <w:rsid w:val="77D84314"/>
    <w:rsid w:val="77DE46B5"/>
    <w:rsid w:val="77E438EC"/>
    <w:rsid w:val="77E82A17"/>
    <w:rsid w:val="77EC77F1"/>
    <w:rsid w:val="78070DCC"/>
    <w:rsid w:val="780F09F4"/>
    <w:rsid w:val="78173EFF"/>
    <w:rsid w:val="784323C5"/>
    <w:rsid w:val="784639BE"/>
    <w:rsid w:val="784D4DA5"/>
    <w:rsid w:val="785932D9"/>
    <w:rsid w:val="78760F2E"/>
    <w:rsid w:val="788965CD"/>
    <w:rsid w:val="78956CFA"/>
    <w:rsid w:val="78A90480"/>
    <w:rsid w:val="78B27294"/>
    <w:rsid w:val="78BB081E"/>
    <w:rsid w:val="78BD53BB"/>
    <w:rsid w:val="78BF1A46"/>
    <w:rsid w:val="78D12489"/>
    <w:rsid w:val="78D37FAF"/>
    <w:rsid w:val="78E10368"/>
    <w:rsid w:val="78E2391F"/>
    <w:rsid w:val="78E977D3"/>
    <w:rsid w:val="7902658A"/>
    <w:rsid w:val="7904429A"/>
    <w:rsid w:val="7922459D"/>
    <w:rsid w:val="792A2F3C"/>
    <w:rsid w:val="792C3B64"/>
    <w:rsid w:val="794962D0"/>
    <w:rsid w:val="795C61F7"/>
    <w:rsid w:val="79793477"/>
    <w:rsid w:val="799878F1"/>
    <w:rsid w:val="79AB46FA"/>
    <w:rsid w:val="79AD1196"/>
    <w:rsid w:val="79B16059"/>
    <w:rsid w:val="79B2542D"/>
    <w:rsid w:val="79B773C2"/>
    <w:rsid w:val="79B7793F"/>
    <w:rsid w:val="79D119B8"/>
    <w:rsid w:val="79D73BAF"/>
    <w:rsid w:val="79E37FF4"/>
    <w:rsid w:val="79E52CF6"/>
    <w:rsid w:val="79EC36DB"/>
    <w:rsid w:val="79EF3874"/>
    <w:rsid w:val="7A062C38"/>
    <w:rsid w:val="7A083891"/>
    <w:rsid w:val="7A0A6B34"/>
    <w:rsid w:val="7A100F19"/>
    <w:rsid w:val="7A230AC3"/>
    <w:rsid w:val="7A31659B"/>
    <w:rsid w:val="7A326F58"/>
    <w:rsid w:val="7A351EBE"/>
    <w:rsid w:val="7A364017"/>
    <w:rsid w:val="7A451E61"/>
    <w:rsid w:val="7A454494"/>
    <w:rsid w:val="7A61485B"/>
    <w:rsid w:val="7A7D11E2"/>
    <w:rsid w:val="7A803F44"/>
    <w:rsid w:val="7A823EF8"/>
    <w:rsid w:val="7A8265E1"/>
    <w:rsid w:val="7A85184A"/>
    <w:rsid w:val="7A8F38DA"/>
    <w:rsid w:val="7A981D07"/>
    <w:rsid w:val="7A9B5080"/>
    <w:rsid w:val="7AA61160"/>
    <w:rsid w:val="7AA6403A"/>
    <w:rsid w:val="7AB43E11"/>
    <w:rsid w:val="7AE6794A"/>
    <w:rsid w:val="7AF849DD"/>
    <w:rsid w:val="7B081E34"/>
    <w:rsid w:val="7B1A7EE7"/>
    <w:rsid w:val="7B1D69F2"/>
    <w:rsid w:val="7B2705A2"/>
    <w:rsid w:val="7B28306C"/>
    <w:rsid w:val="7B372494"/>
    <w:rsid w:val="7B3869D1"/>
    <w:rsid w:val="7B433199"/>
    <w:rsid w:val="7B62386D"/>
    <w:rsid w:val="7B676318"/>
    <w:rsid w:val="7B686D42"/>
    <w:rsid w:val="7B7176F9"/>
    <w:rsid w:val="7B7600BA"/>
    <w:rsid w:val="7B784E3E"/>
    <w:rsid w:val="7B7D371C"/>
    <w:rsid w:val="7B7E3660"/>
    <w:rsid w:val="7B841746"/>
    <w:rsid w:val="7B854078"/>
    <w:rsid w:val="7B854B05"/>
    <w:rsid w:val="7BA14395"/>
    <w:rsid w:val="7BA8704B"/>
    <w:rsid w:val="7BC745E2"/>
    <w:rsid w:val="7BDA78A7"/>
    <w:rsid w:val="7BDC04B4"/>
    <w:rsid w:val="7BEB41C7"/>
    <w:rsid w:val="7BEE3963"/>
    <w:rsid w:val="7BFA18CF"/>
    <w:rsid w:val="7C015130"/>
    <w:rsid w:val="7C18768D"/>
    <w:rsid w:val="7C4A4BC2"/>
    <w:rsid w:val="7C4C0B8B"/>
    <w:rsid w:val="7C4F491D"/>
    <w:rsid w:val="7C574AAC"/>
    <w:rsid w:val="7C5B052F"/>
    <w:rsid w:val="7C5C5FDC"/>
    <w:rsid w:val="7C69139D"/>
    <w:rsid w:val="7C6B5CEF"/>
    <w:rsid w:val="7C6C5AC7"/>
    <w:rsid w:val="7C6E0957"/>
    <w:rsid w:val="7C771A7F"/>
    <w:rsid w:val="7C8144A9"/>
    <w:rsid w:val="7C853A9C"/>
    <w:rsid w:val="7C9A4FEE"/>
    <w:rsid w:val="7CAB0170"/>
    <w:rsid w:val="7CB63E70"/>
    <w:rsid w:val="7CC6544B"/>
    <w:rsid w:val="7CCF3978"/>
    <w:rsid w:val="7CD04B69"/>
    <w:rsid w:val="7CE02371"/>
    <w:rsid w:val="7D0239FF"/>
    <w:rsid w:val="7D0572CD"/>
    <w:rsid w:val="7D33724D"/>
    <w:rsid w:val="7D4248B8"/>
    <w:rsid w:val="7D42543C"/>
    <w:rsid w:val="7D4366C3"/>
    <w:rsid w:val="7D450D50"/>
    <w:rsid w:val="7D512B53"/>
    <w:rsid w:val="7D5D2311"/>
    <w:rsid w:val="7D5E40CD"/>
    <w:rsid w:val="7D761851"/>
    <w:rsid w:val="7D8B2B30"/>
    <w:rsid w:val="7D956144"/>
    <w:rsid w:val="7DA97EE3"/>
    <w:rsid w:val="7DAA7B34"/>
    <w:rsid w:val="7DB07427"/>
    <w:rsid w:val="7DCB5487"/>
    <w:rsid w:val="7DCD56F2"/>
    <w:rsid w:val="7DDD7BDD"/>
    <w:rsid w:val="7DE92023"/>
    <w:rsid w:val="7E143D5E"/>
    <w:rsid w:val="7E207FE7"/>
    <w:rsid w:val="7E276538"/>
    <w:rsid w:val="7E413115"/>
    <w:rsid w:val="7E494870"/>
    <w:rsid w:val="7E6716EE"/>
    <w:rsid w:val="7E676E21"/>
    <w:rsid w:val="7E6D09FF"/>
    <w:rsid w:val="7E6D5F8B"/>
    <w:rsid w:val="7E741354"/>
    <w:rsid w:val="7E777023"/>
    <w:rsid w:val="7E812189"/>
    <w:rsid w:val="7E827775"/>
    <w:rsid w:val="7E99310B"/>
    <w:rsid w:val="7E9F1327"/>
    <w:rsid w:val="7EBE0DBA"/>
    <w:rsid w:val="7EBE7ED1"/>
    <w:rsid w:val="7EC92F85"/>
    <w:rsid w:val="7ED24295"/>
    <w:rsid w:val="7EE46EE5"/>
    <w:rsid w:val="7EE50A3C"/>
    <w:rsid w:val="7EE90166"/>
    <w:rsid w:val="7EF91302"/>
    <w:rsid w:val="7F001CE7"/>
    <w:rsid w:val="7F0C011F"/>
    <w:rsid w:val="7F1B7B34"/>
    <w:rsid w:val="7F27349C"/>
    <w:rsid w:val="7F2A644F"/>
    <w:rsid w:val="7F32680D"/>
    <w:rsid w:val="7F467C69"/>
    <w:rsid w:val="7F527316"/>
    <w:rsid w:val="7F5A06B6"/>
    <w:rsid w:val="7F5F1353"/>
    <w:rsid w:val="7F5F1CF9"/>
    <w:rsid w:val="7F9C5215"/>
    <w:rsid w:val="7FB35F05"/>
    <w:rsid w:val="7FC5019C"/>
    <w:rsid w:val="7FCB7818"/>
    <w:rsid w:val="7FD27807"/>
    <w:rsid w:val="7FD634AD"/>
    <w:rsid w:val="7FE47E50"/>
    <w:rsid w:val="7FE5758F"/>
    <w:rsid w:val="7FF8654D"/>
    <w:rsid w:val="7FFD3175"/>
    <w:rsid w:val="7FFD4B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9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99"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7">
    <w:name w:val="heading 4"/>
    <w:basedOn w:val="1"/>
    <w:next w:val="1"/>
    <w:qFormat/>
    <w:locked/>
    <w:uiPriority w:val="0"/>
    <w:pPr>
      <w:keepNext/>
      <w:keepLines/>
      <w:tabs>
        <w:tab w:val="left" w:pos="851"/>
      </w:tabs>
      <w:spacing w:before="120" w:after="120"/>
      <w:ind w:left="851" w:hanging="851"/>
      <w:outlineLvl w:val="3"/>
    </w:pPr>
    <w:rPr>
      <w:b/>
      <w:bCs/>
      <w:szCs w:val="28"/>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qFormat/>
    <w:uiPriority w:val="0"/>
    <w:pPr>
      <w:widowControl w:val="0"/>
      <w:autoSpaceDE w:val="0"/>
      <w:autoSpaceDN w:val="0"/>
      <w:adjustRightInd w:val="0"/>
    </w:pPr>
    <w:rPr>
      <w:rFonts w:ascii="宋体" w:hAnsi="Times New Roman" w:eastAsia="宋体" w:cs="宋体"/>
      <w:color w:val="000000"/>
      <w:sz w:val="24"/>
    </w:rPr>
  </w:style>
  <w:style w:type="paragraph" w:customStyle="1" w:styleId="3">
    <w:name w:val="表格标题"/>
    <w:basedOn w:val="4"/>
    <w:next w:val="1"/>
    <w:qFormat/>
    <w:uiPriority w:val="0"/>
    <w:pPr>
      <w:ind w:firstLine="480"/>
    </w:pPr>
  </w:style>
  <w:style w:type="paragraph" w:styleId="4">
    <w:name w:val="caption"/>
    <w:basedOn w:val="1"/>
    <w:next w:val="1"/>
    <w:qFormat/>
    <w:locked/>
    <w:uiPriority w:val="0"/>
    <w:pPr>
      <w:widowControl/>
      <w:snapToGrid w:val="0"/>
      <w:spacing w:before="50" w:beforeLines="50" w:line="360" w:lineRule="auto"/>
      <w:jc w:val="center"/>
    </w:pPr>
    <w:rPr>
      <w:rFonts w:hint="eastAsia" w:ascii="黑体" w:hAnsi="宋体" w:eastAsia="黑体"/>
    </w:rPr>
  </w:style>
  <w:style w:type="paragraph" w:styleId="8">
    <w:name w:val="E-mail Signature"/>
    <w:basedOn w:val="1"/>
    <w:next w:val="9"/>
    <w:qFormat/>
    <w:locked/>
    <w:uiPriority w:val="0"/>
    <w:pPr>
      <w:spacing w:before="60"/>
      <w:ind w:firstLine="482"/>
    </w:pPr>
    <w:rPr>
      <w:rFonts w:ascii="Arial" w:hAnsi="Arial" w:eastAsia="仿宋_GB2312" w:cs="Times New Roman"/>
      <w:sz w:val="24"/>
      <w:szCs w:val="22"/>
    </w:rPr>
  </w:style>
  <w:style w:type="paragraph" w:customStyle="1" w:styleId="9">
    <w:name w:val="文章"/>
    <w:basedOn w:val="1"/>
    <w:next w:val="10"/>
    <w:qFormat/>
    <w:uiPriority w:val="0"/>
    <w:pPr>
      <w:widowControl/>
      <w:ind w:firstLine="480"/>
      <w:jc w:val="center"/>
    </w:pPr>
    <w:rPr>
      <w:sz w:val="26"/>
    </w:rPr>
  </w:style>
  <w:style w:type="paragraph" w:styleId="10">
    <w:name w:val="List"/>
    <w:basedOn w:val="1"/>
    <w:next w:val="11"/>
    <w:qFormat/>
    <w:locked/>
    <w:uiPriority w:val="0"/>
    <w:pPr>
      <w:adjustRightInd w:val="0"/>
      <w:spacing w:line="560" w:lineRule="atLeast"/>
      <w:ind w:left="420" w:hanging="420"/>
    </w:pPr>
    <w:rPr>
      <w:rFonts w:hint="eastAsia" w:ascii="仿宋_GB2312" w:eastAsia="仿宋_GB2312"/>
      <w:color w:val="000000"/>
      <w:kern w:val="0"/>
      <w:sz w:val="32"/>
      <w:szCs w:val="20"/>
    </w:rPr>
  </w:style>
  <w:style w:type="paragraph" w:styleId="11">
    <w:name w:val="List Bullet 2"/>
    <w:basedOn w:val="1"/>
    <w:next w:val="12"/>
    <w:qFormat/>
    <w:locked/>
    <w:uiPriority w:val="0"/>
    <w:pPr>
      <w:numPr>
        <w:ilvl w:val="0"/>
        <w:numId w:val="1"/>
      </w:numPr>
    </w:pPr>
  </w:style>
  <w:style w:type="paragraph" w:customStyle="1" w:styleId="12">
    <w:name w:val="xl70"/>
    <w:basedOn w:val="1"/>
    <w:next w:val="13"/>
    <w:qFormat/>
    <w:uiPriority w:val="0"/>
    <w:pPr>
      <w:widowControl/>
      <w:spacing w:before="100" w:beforeAutospacing="1" w:after="100" w:afterAutospacing="1"/>
      <w:jc w:val="left"/>
    </w:pPr>
    <w:rPr>
      <w:rFonts w:ascii="宋体" w:hAnsi="宋体"/>
      <w:b/>
      <w:bCs/>
      <w:kern w:val="0"/>
      <w:sz w:val="22"/>
      <w:szCs w:val="22"/>
    </w:rPr>
  </w:style>
  <w:style w:type="paragraph" w:customStyle="1" w:styleId="13">
    <w:name w:val="正文缩进1"/>
    <w:basedOn w:val="1"/>
    <w:qFormat/>
    <w:uiPriority w:val="0"/>
    <w:pPr>
      <w:adjustRightInd w:val="0"/>
      <w:ind w:firstLine="420"/>
      <w:jc w:val="left"/>
      <w:textAlignment w:val="baseline"/>
    </w:pPr>
    <w:rPr>
      <w:sz w:val="24"/>
    </w:rPr>
  </w:style>
  <w:style w:type="paragraph" w:styleId="14">
    <w:name w:val="Normal Indent"/>
    <w:basedOn w:val="1"/>
    <w:next w:val="15"/>
    <w:qFormat/>
    <w:locked/>
    <w:uiPriority w:val="0"/>
    <w:pPr>
      <w:ind w:firstLine="420" w:firstLineChars="200"/>
    </w:pPr>
  </w:style>
  <w:style w:type="paragraph" w:styleId="15">
    <w:name w:val="footnote text"/>
    <w:basedOn w:val="1"/>
    <w:qFormat/>
    <w:locked/>
    <w:uiPriority w:val="0"/>
    <w:pPr>
      <w:snapToGrid w:val="0"/>
      <w:jc w:val="left"/>
    </w:pPr>
    <w:rPr>
      <w:sz w:val="18"/>
      <w:szCs w:val="18"/>
    </w:rPr>
  </w:style>
  <w:style w:type="paragraph" w:styleId="16">
    <w:name w:val="Document Map"/>
    <w:basedOn w:val="1"/>
    <w:next w:val="1"/>
    <w:qFormat/>
    <w:locked/>
    <w:uiPriority w:val="0"/>
    <w:rPr>
      <w:rFonts w:ascii="宋体"/>
      <w:sz w:val="18"/>
      <w:szCs w:val="18"/>
    </w:rPr>
  </w:style>
  <w:style w:type="paragraph" w:styleId="17">
    <w:name w:val="annotation text"/>
    <w:basedOn w:val="1"/>
    <w:link w:val="47"/>
    <w:semiHidden/>
    <w:qFormat/>
    <w:uiPriority w:val="0"/>
    <w:pPr>
      <w:jc w:val="left"/>
    </w:pPr>
    <w:rPr>
      <w:kern w:val="0"/>
      <w:sz w:val="24"/>
      <w:szCs w:val="20"/>
    </w:rPr>
  </w:style>
  <w:style w:type="paragraph" w:styleId="18">
    <w:name w:val="Body Text"/>
    <w:basedOn w:val="1"/>
    <w:next w:val="19"/>
    <w:link w:val="48"/>
    <w:qFormat/>
    <w:uiPriority w:val="0"/>
    <w:pPr>
      <w:widowControl/>
      <w:snapToGrid w:val="0"/>
      <w:spacing w:before="60" w:after="160" w:line="259" w:lineRule="auto"/>
      <w:ind w:right="113"/>
    </w:pPr>
    <w:rPr>
      <w:kern w:val="0"/>
      <w:sz w:val="18"/>
      <w:szCs w:val="20"/>
    </w:rPr>
  </w:style>
  <w:style w:type="paragraph" w:styleId="19">
    <w:name w:val="List Bullet 5"/>
    <w:basedOn w:val="1"/>
    <w:qFormat/>
    <w:locked/>
    <w:uiPriority w:val="0"/>
    <w:pPr>
      <w:numPr>
        <w:ilvl w:val="0"/>
        <w:numId w:val="2"/>
      </w:numPr>
    </w:pPr>
  </w:style>
  <w:style w:type="paragraph" w:styleId="20">
    <w:name w:val="Body Text Indent"/>
    <w:basedOn w:val="1"/>
    <w:link w:val="49"/>
    <w:qFormat/>
    <w:uiPriority w:val="0"/>
    <w:pPr>
      <w:spacing w:after="120"/>
      <w:ind w:left="420" w:leftChars="200"/>
    </w:pPr>
    <w:rPr>
      <w:kern w:val="0"/>
      <w:sz w:val="24"/>
      <w:szCs w:val="20"/>
    </w:rPr>
  </w:style>
  <w:style w:type="paragraph" w:styleId="21">
    <w:name w:val="Plain Text"/>
    <w:basedOn w:val="1"/>
    <w:next w:val="22"/>
    <w:qFormat/>
    <w:locked/>
    <w:uiPriority w:val="0"/>
    <w:rPr>
      <w:rFonts w:hAnsi="Courier New"/>
    </w:rPr>
  </w:style>
  <w:style w:type="paragraph" w:styleId="22">
    <w:name w:val="header"/>
    <w:basedOn w:val="1"/>
    <w:next w:val="23"/>
    <w:link w:val="53"/>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3">
    <w:name w:val="样式5"/>
    <w:basedOn w:val="24"/>
    <w:next w:val="25"/>
    <w:qFormat/>
    <w:uiPriority w:val="0"/>
    <w:pPr>
      <w:spacing w:line="360" w:lineRule="auto"/>
      <w:ind w:firstLine="510"/>
    </w:pPr>
    <w:rPr>
      <w:sz w:val="24"/>
    </w:rPr>
  </w:style>
  <w:style w:type="paragraph" w:customStyle="1" w:styleId="24">
    <w:name w:val="正文1"/>
    <w:basedOn w:val="16"/>
    <w:next w:val="1"/>
    <w:qFormat/>
    <w:uiPriority w:val="0"/>
    <w:pPr>
      <w:adjustRightInd w:val="0"/>
      <w:snapToGrid w:val="0"/>
      <w:spacing w:line="500" w:lineRule="atLeast"/>
      <w:ind w:firstLine="567"/>
    </w:pPr>
    <w:rPr>
      <w:sz w:val="28"/>
    </w:rPr>
  </w:style>
  <w:style w:type="paragraph" w:styleId="25">
    <w:name w:val="footer"/>
    <w:basedOn w:val="1"/>
    <w:link w:val="52"/>
    <w:qFormat/>
    <w:uiPriority w:val="99"/>
    <w:pPr>
      <w:tabs>
        <w:tab w:val="center" w:pos="4153"/>
        <w:tab w:val="right" w:pos="8306"/>
      </w:tabs>
      <w:snapToGrid w:val="0"/>
      <w:jc w:val="left"/>
    </w:pPr>
    <w:rPr>
      <w:kern w:val="0"/>
      <w:sz w:val="18"/>
      <w:szCs w:val="20"/>
    </w:rPr>
  </w:style>
  <w:style w:type="paragraph" w:styleId="26">
    <w:name w:val="Date"/>
    <w:basedOn w:val="1"/>
    <w:next w:val="1"/>
    <w:link w:val="50"/>
    <w:qFormat/>
    <w:uiPriority w:val="0"/>
    <w:pPr>
      <w:ind w:left="100" w:leftChars="2500"/>
    </w:pPr>
    <w:rPr>
      <w:kern w:val="0"/>
      <w:sz w:val="24"/>
      <w:szCs w:val="20"/>
    </w:rPr>
  </w:style>
  <w:style w:type="paragraph" w:styleId="27">
    <w:name w:val="Body Text Indent 2"/>
    <w:basedOn w:val="1"/>
    <w:qFormat/>
    <w:locked/>
    <w:uiPriority w:val="0"/>
    <w:pPr>
      <w:ind w:left="432" w:firstLine="407" w:firstLineChars="194"/>
    </w:pPr>
    <w:rPr>
      <w:rFonts w:ascii="宋体" w:hAnsi="宋体"/>
      <w:bCs/>
      <w:szCs w:val="28"/>
    </w:rPr>
  </w:style>
  <w:style w:type="paragraph" w:styleId="28">
    <w:name w:val="Balloon Text"/>
    <w:basedOn w:val="1"/>
    <w:link w:val="51"/>
    <w:semiHidden/>
    <w:qFormat/>
    <w:uiPriority w:val="0"/>
    <w:rPr>
      <w:kern w:val="0"/>
      <w:sz w:val="18"/>
      <w:szCs w:val="20"/>
    </w:rPr>
  </w:style>
  <w:style w:type="paragraph" w:styleId="29">
    <w:name w:val="toc 2"/>
    <w:basedOn w:val="1"/>
    <w:next w:val="8"/>
    <w:qFormat/>
    <w:locked/>
    <w:uiPriority w:val="99"/>
    <w:pPr>
      <w:tabs>
        <w:tab w:val="right" w:leader="dot" w:pos="9060"/>
      </w:tabs>
      <w:snapToGrid w:val="0"/>
      <w:ind w:left="240"/>
      <w:jc w:val="left"/>
    </w:pPr>
    <w:rPr>
      <w:smallCaps/>
      <w:sz w:val="20"/>
      <w:szCs w:val="20"/>
    </w:rPr>
  </w:style>
  <w:style w:type="paragraph" w:styleId="30">
    <w:name w:val="Normal (Web)"/>
    <w:basedOn w:val="1"/>
    <w:link w:val="54"/>
    <w:qFormat/>
    <w:uiPriority w:val="0"/>
    <w:pPr>
      <w:widowControl/>
      <w:spacing w:before="100" w:beforeAutospacing="1" w:after="100" w:afterAutospacing="1"/>
      <w:jc w:val="left"/>
    </w:pPr>
    <w:rPr>
      <w:rFonts w:ascii="宋体" w:hAnsi="宋体"/>
      <w:kern w:val="0"/>
      <w:sz w:val="24"/>
      <w:szCs w:val="20"/>
    </w:rPr>
  </w:style>
  <w:style w:type="paragraph" w:styleId="31">
    <w:name w:val="Title"/>
    <w:basedOn w:val="1"/>
    <w:next w:val="1"/>
    <w:qFormat/>
    <w:locked/>
    <w:uiPriority w:val="0"/>
    <w:pPr>
      <w:spacing w:before="120" w:after="60" w:line="480" w:lineRule="exact"/>
    </w:pPr>
    <w:rPr>
      <w:rFonts w:ascii="Cambria" w:hAnsi="Cambria"/>
      <w:b/>
      <w:bCs/>
      <w:sz w:val="28"/>
      <w:szCs w:val="28"/>
    </w:rPr>
  </w:style>
  <w:style w:type="paragraph" w:styleId="32">
    <w:name w:val="annotation subject"/>
    <w:basedOn w:val="17"/>
    <w:next w:val="17"/>
    <w:link w:val="55"/>
    <w:semiHidden/>
    <w:qFormat/>
    <w:uiPriority w:val="0"/>
    <w:rPr>
      <w:b/>
    </w:rPr>
  </w:style>
  <w:style w:type="paragraph" w:styleId="33">
    <w:name w:val="Body Text First Indent"/>
    <w:basedOn w:val="18"/>
    <w:next w:val="1"/>
    <w:qFormat/>
    <w:locked/>
    <w:uiPriority w:val="99"/>
    <w:pPr>
      <w:ind w:firstLine="420" w:firstLineChars="100"/>
    </w:pPr>
  </w:style>
  <w:style w:type="paragraph" w:styleId="34">
    <w:name w:val="Body Text First Indent 2"/>
    <w:basedOn w:val="20"/>
    <w:qFormat/>
    <w:locked/>
    <w:uiPriority w:val="0"/>
    <w:pPr>
      <w:ind w:firstLine="420" w:firstLineChars="200"/>
    </w:pPr>
  </w:style>
  <w:style w:type="table" w:styleId="36">
    <w:name w:val="Table Grid"/>
    <w:basedOn w:val="3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locked/>
    <w:uiPriority w:val="0"/>
    <w:rPr>
      <w:b/>
    </w:rPr>
  </w:style>
  <w:style w:type="character" w:styleId="39">
    <w:name w:val="page number"/>
    <w:basedOn w:val="37"/>
    <w:qFormat/>
    <w:locked/>
    <w:uiPriority w:val="0"/>
  </w:style>
  <w:style w:type="character" w:styleId="40">
    <w:name w:val="Hyperlink"/>
    <w:basedOn w:val="37"/>
    <w:qFormat/>
    <w:locked/>
    <w:uiPriority w:val="0"/>
    <w:rPr>
      <w:color w:val="0000FF"/>
      <w:u w:val="single"/>
    </w:rPr>
  </w:style>
  <w:style w:type="character" w:styleId="41">
    <w:name w:val="annotation reference"/>
    <w:semiHidden/>
    <w:qFormat/>
    <w:uiPriority w:val="0"/>
    <w:rPr>
      <w:sz w:val="21"/>
    </w:rPr>
  </w:style>
  <w:style w:type="paragraph" w:customStyle="1" w:styleId="42">
    <w:name w:val="表格"/>
    <w:basedOn w:val="43"/>
    <w:next w:val="1"/>
    <w:link w:val="59"/>
    <w:qFormat/>
    <w:uiPriority w:val="0"/>
    <w:pPr>
      <w:adjustRightInd w:val="0"/>
      <w:snapToGrid w:val="0"/>
      <w:spacing w:beforeLines="10" w:afterLines="10" w:line="259" w:lineRule="auto"/>
      <w:jc w:val="center"/>
    </w:pPr>
    <w:rPr>
      <w:rFonts w:ascii="宋体"/>
      <w:kern w:val="0"/>
      <w:szCs w:val="20"/>
    </w:rPr>
  </w:style>
  <w:style w:type="paragraph" w:customStyle="1" w:styleId="43">
    <w:name w:val="表格使用文字"/>
    <w:basedOn w:val="1"/>
    <w:qFormat/>
    <w:uiPriority w:val="99"/>
    <w:pPr>
      <w:jc w:val="center"/>
    </w:pPr>
    <w:rPr>
      <w:color w:val="000000"/>
      <w:szCs w:val="20"/>
    </w:rPr>
  </w:style>
  <w:style w:type="paragraph" w:customStyle="1" w:styleId="44">
    <w:name w:val="样式 正文文本缩进 + 行距: 1.5 倍行距"/>
    <w:basedOn w:val="45"/>
    <w:next w:val="1"/>
    <w:qFormat/>
    <w:uiPriority w:val="0"/>
    <w:pPr>
      <w:spacing w:line="360" w:lineRule="auto"/>
      <w:ind w:left="90" w:leftChars="32" w:firstLine="560" w:firstLineChars="200"/>
    </w:pPr>
    <w:rPr>
      <w:rFonts w:cs="宋体"/>
    </w:rPr>
  </w:style>
  <w:style w:type="paragraph" w:customStyle="1" w:styleId="45">
    <w:name w:val="正文文本缩进1"/>
    <w:basedOn w:val="1"/>
    <w:next w:val="44"/>
    <w:qFormat/>
    <w:uiPriority w:val="0"/>
    <w:pPr>
      <w:spacing w:after="120"/>
      <w:ind w:left="420" w:leftChars="200"/>
    </w:pPr>
    <w:rPr>
      <w:sz w:val="24"/>
    </w:rPr>
  </w:style>
  <w:style w:type="paragraph" w:customStyle="1" w:styleId="46">
    <w:name w:val="Body Text Indent"/>
    <w:basedOn w:val="1"/>
    <w:next w:val="44"/>
    <w:qFormat/>
    <w:uiPriority w:val="0"/>
    <w:pPr>
      <w:spacing w:after="120" w:afterLines="0"/>
      <w:ind w:left="420" w:leftChars="200"/>
    </w:pPr>
    <w:rPr>
      <w:rFonts w:ascii="Times New Roman" w:hAnsi="Times New Roman" w:eastAsia="宋体"/>
      <w:sz w:val="24"/>
    </w:rPr>
  </w:style>
  <w:style w:type="character" w:customStyle="1" w:styleId="47">
    <w:name w:val="批注文字 字符"/>
    <w:link w:val="17"/>
    <w:qFormat/>
    <w:locked/>
    <w:uiPriority w:val="0"/>
    <w:rPr>
      <w:rFonts w:ascii="Times New Roman" w:hAnsi="Times New Roman" w:eastAsia="宋体"/>
      <w:sz w:val="24"/>
    </w:rPr>
  </w:style>
  <w:style w:type="character" w:customStyle="1" w:styleId="48">
    <w:name w:val="正文文本 字符"/>
    <w:link w:val="18"/>
    <w:qFormat/>
    <w:locked/>
    <w:uiPriority w:val="0"/>
    <w:rPr>
      <w:sz w:val="18"/>
    </w:rPr>
  </w:style>
  <w:style w:type="character" w:customStyle="1" w:styleId="49">
    <w:name w:val="正文文本缩进 字符"/>
    <w:link w:val="20"/>
    <w:semiHidden/>
    <w:qFormat/>
    <w:locked/>
    <w:uiPriority w:val="0"/>
    <w:rPr>
      <w:rFonts w:ascii="Times New Roman" w:hAnsi="Times New Roman" w:eastAsia="宋体"/>
      <w:sz w:val="24"/>
    </w:rPr>
  </w:style>
  <w:style w:type="character" w:customStyle="1" w:styleId="50">
    <w:name w:val="日期 字符1"/>
    <w:link w:val="26"/>
    <w:qFormat/>
    <w:locked/>
    <w:uiPriority w:val="0"/>
    <w:rPr>
      <w:rFonts w:ascii="Times New Roman" w:hAnsi="Times New Roman" w:eastAsia="宋体"/>
      <w:sz w:val="24"/>
    </w:rPr>
  </w:style>
  <w:style w:type="character" w:customStyle="1" w:styleId="51">
    <w:name w:val="批注框文本 字符"/>
    <w:link w:val="28"/>
    <w:semiHidden/>
    <w:qFormat/>
    <w:locked/>
    <w:uiPriority w:val="0"/>
    <w:rPr>
      <w:rFonts w:ascii="Times New Roman" w:hAnsi="Times New Roman" w:eastAsia="宋体"/>
      <w:sz w:val="18"/>
    </w:rPr>
  </w:style>
  <w:style w:type="character" w:customStyle="1" w:styleId="52">
    <w:name w:val="页脚 字符1"/>
    <w:link w:val="25"/>
    <w:qFormat/>
    <w:locked/>
    <w:uiPriority w:val="99"/>
    <w:rPr>
      <w:sz w:val="18"/>
    </w:rPr>
  </w:style>
  <w:style w:type="character" w:customStyle="1" w:styleId="53">
    <w:name w:val="页眉 字符"/>
    <w:link w:val="22"/>
    <w:qFormat/>
    <w:locked/>
    <w:uiPriority w:val="0"/>
    <w:rPr>
      <w:sz w:val="18"/>
    </w:rPr>
  </w:style>
  <w:style w:type="character" w:customStyle="1" w:styleId="54">
    <w:name w:val="普通(网站) 字符"/>
    <w:link w:val="30"/>
    <w:qFormat/>
    <w:locked/>
    <w:uiPriority w:val="0"/>
    <w:rPr>
      <w:rFonts w:ascii="宋体" w:hAnsi="宋体" w:eastAsia="宋体"/>
      <w:sz w:val="24"/>
    </w:rPr>
  </w:style>
  <w:style w:type="character" w:customStyle="1" w:styleId="55">
    <w:name w:val="批注主题 字符"/>
    <w:link w:val="32"/>
    <w:semiHidden/>
    <w:qFormat/>
    <w:locked/>
    <w:uiPriority w:val="0"/>
    <w:rPr>
      <w:rFonts w:ascii="Times New Roman" w:hAnsi="Times New Roman" w:eastAsia="宋体"/>
      <w:b/>
      <w:kern w:val="2"/>
      <w:sz w:val="24"/>
    </w:rPr>
  </w:style>
  <w:style w:type="paragraph" w:customStyle="1" w:styleId="56">
    <w:name w:val="正文文本缩进11"/>
    <w:basedOn w:val="1"/>
    <w:next w:val="44"/>
    <w:qFormat/>
    <w:uiPriority w:val="0"/>
    <w:pPr>
      <w:spacing w:after="120"/>
      <w:ind w:left="420" w:leftChars="200"/>
    </w:pPr>
    <w:rPr>
      <w:sz w:val="24"/>
    </w:rPr>
  </w:style>
  <w:style w:type="character" w:customStyle="1" w:styleId="57">
    <w:name w:val="页脚 字符"/>
    <w:basedOn w:val="37"/>
    <w:qFormat/>
    <w:uiPriority w:val="99"/>
  </w:style>
  <w:style w:type="character" w:customStyle="1" w:styleId="58">
    <w:name w:val="正文文本 字符1"/>
    <w:semiHidden/>
    <w:qFormat/>
    <w:uiPriority w:val="0"/>
    <w:rPr>
      <w:rFonts w:ascii="Times New Roman" w:hAnsi="Times New Roman" w:eastAsia="宋体"/>
      <w:sz w:val="24"/>
    </w:rPr>
  </w:style>
  <w:style w:type="character" w:customStyle="1" w:styleId="59">
    <w:name w:val="表格 Char"/>
    <w:link w:val="42"/>
    <w:qFormat/>
    <w:locked/>
    <w:uiPriority w:val="0"/>
    <w:rPr>
      <w:rFonts w:ascii="宋体"/>
      <w:sz w:val="21"/>
    </w:rPr>
  </w:style>
  <w:style w:type="character" w:customStyle="1" w:styleId="60">
    <w:name w:val="日期 字符"/>
    <w:semiHidden/>
    <w:qFormat/>
    <w:uiPriority w:val="0"/>
    <w:rPr>
      <w:rFonts w:ascii="Times New Roman" w:hAnsi="Times New Roman" w:eastAsia="宋体"/>
      <w:sz w:val="24"/>
    </w:rPr>
  </w:style>
  <w:style w:type="character" w:customStyle="1" w:styleId="61">
    <w:name w:val="批注文字 字符1"/>
    <w:semiHidden/>
    <w:qFormat/>
    <w:uiPriority w:val="0"/>
    <w:rPr>
      <w:rFonts w:ascii="Times New Roman" w:hAnsi="Times New Roman" w:eastAsia="宋体"/>
      <w:sz w:val="24"/>
    </w:rPr>
  </w:style>
  <w:style w:type="paragraph" w:customStyle="1" w:styleId="6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4">
    <w:name w:val="样式 小四 行距: 1.5 倍行距 首行缩进:  2 字符"/>
    <w:basedOn w:val="1"/>
    <w:qFormat/>
    <w:uiPriority w:val="0"/>
    <w:pPr>
      <w:spacing w:line="360" w:lineRule="auto"/>
      <w:ind w:firstLine="480" w:firstLineChars="200"/>
    </w:pPr>
    <w:rPr>
      <w:color w:val="000000"/>
      <w:sz w:val="24"/>
    </w:rPr>
  </w:style>
  <w:style w:type="paragraph" w:customStyle="1" w:styleId="65">
    <w:name w:val="Table Paragraph"/>
    <w:basedOn w:val="1"/>
    <w:qFormat/>
    <w:uiPriority w:val="1"/>
    <w:rPr>
      <w:rFonts w:ascii="宋体" w:hAnsi="宋体" w:cs="宋体"/>
      <w:lang w:val="zh-CN" w:bidi="zh-CN"/>
    </w:rPr>
  </w:style>
  <w:style w:type="paragraph" w:customStyle="1" w:styleId="66">
    <w:name w:val="样式 宋体 小四 行距: 1.5 倍行距"/>
    <w:basedOn w:val="1"/>
    <w:qFormat/>
    <w:uiPriority w:val="0"/>
    <w:pPr>
      <w:spacing w:line="360" w:lineRule="auto"/>
      <w:ind w:firstLine="480" w:firstLineChars="200"/>
    </w:pPr>
    <w:rPr>
      <w:rFonts w:cs="宋体"/>
      <w:sz w:val="24"/>
      <w:szCs w:val="20"/>
    </w:rPr>
  </w:style>
  <w:style w:type="paragraph" w:customStyle="1" w:styleId="67">
    <w:name w:val="表（或图）标题 样式 宋体 五号 居中 SL CON"/>
    <w:basedOn w:val="1"/>
    <w:qFormat/>
    <w:uiPriority w:val="0"/>
    <w:pPr>
      <w:widowControl/>
      <w:tabs>
        <w:tab w:val="left" w:pos="377"/>
      </w:tabs>
      <w:spacing w:before="100" w:beforeAutospacing="1" w:line="360" w:lineRule="auto"/>
      <w:jc w:val="center"/>
    </w:pPr>
    <w:rPr>
      <w:rFonts w:ascii="宋体" w:hAnsi="宋体"/>
      <w:b/>
      <w:kern w:val="0"/>
      <w:sz w:val="20"/>
      <w:szCs w:val="20"/>
    </w:rPr>
  </w:style>
  <w:style w:type="paragraph" w:styleId="68">
    <w:name w:val="List Paragraph"/>
    <w:basedOn w:val="1"/>
    <w:qFormat/>
    <w:uiPriority w:val="0"/>
    <w:pPr>
      <w:ind w:firstLine="420" w:firstLineChars="200"/>
    </w:pPr>
  </w:style>
  <w:style w:type="paragraph" w:customStyle="1" w:styleId="69">
    <w:name w:val="样式2"/>
    <w:basedOn w:val="1"/>
    <w:qFormat/>
    <w:uiPriority w:val="0"/>
    <w:pPr>
      <w:adjustRightInd w:val="0"/>
      <w:spacing w:line="410" w:lineRule="atLeast"/>
      <w:jc w:val="left"/>
      <w:textAlignment w:val="baseline"/>
    </w:pPr>
    <w:rPr>
      <w:kern w:val="0"/>
      <w:sz w:val="24"/>
      <w:szCs w:val="20"/>
    </w:rPr>
  </w:style>
  <w:style w:type="paragraph" w:customStyle="1" w:styleId="70">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71">
    <w:name w:val="正文 首行缩进:  2 字符"/>
    <w:basedOn w:val="1"/>
    <w:qFormat/>
    <w:uiPriority w:val="0"/>
    <w:pPr>
      <w:snapToGrid w:val="0"/>
      <w:spacing w:line="500" w:lineRule="exact"/>
      <w:ind w:firstLine="480" w:firstLineChars="200"/>
      <w:jc w:val="left"/>
    </w:pPr>
    <w:rPr>
      <w:rFonts w:cs="宋体"/>
      <w:sz w:val="24"/>
    </w:rPr>
  </w:style>
  <w:style w:type="table" w:customStyle="1" w:styleId="72">
    <w:name w:val="Table Normal"/>
    <w:unhideWhenUsed/>
    <w:qFormat/>
    <w:uiPriority w:val="0"/>
    <w:tblPr>
      <w:tblCellMar>
        <w:top w:w="0" w:type="dxa"/>
        <w:left w:w="0" w:type="dxa"/>
        <w:bottom w:w="0" w:type="dxa"/>
        <w:right w:w="0" w:type="dxa"/>
      </w:tblCellMar>
    </w:tblPr>
  </w:style>
  <w:style w:type="paragraph" w:customStyle="1" w:styleId="73">
    <w:name w:val="正文_衔接"/>
    <w:qFormat/>
    <w:uiPriority w:val="0"/>
    <w:pPr>
      <w:widowControl w:val="0"/>
      <w:spacing w:before="120" w:after="120" w:line="360" w:lineRule="auto"/>
      <w:ind w:firstLine="720" w:firstLineChars="200"/>
      <w:jc w:val="both"/>
    </w:pPr>
    <w:rPr>
      <w:rFonts w:ascii="Times New Roman" w:hAnsi="Times New Roman" w:eastAsia="宋体" w:cs="Times New Roman"/>
      <w:kern w:val="2"/>
      <w:sz w:val="24"/>
      <w:szCs w:val="22"/>
      <w:lang w:val="en-US" w:eastAsia="zh-CN" w:bidi="ar-SA"/>
    </w:rPr>
  </w:style>
  <w:style w:type="paragraph" w:customStyle="1" w:styleId="74">
    <w:name w:val="小小标"/>
    <w:basedOn w:val="1"/>
    <w:qFormat/>
    <w:uiPriority w:val="0"/>
    <w:pPr>
      <w:spacing w:before="120" w:after="120" w:line="360" w:lineRule="auto"/>
      <w:ind w:firstLine="720" w:firstLineChars="200"/>
    </w:pPr>
    <w:rPr>
      <w:rFonts w:hint="eastAsia"/>
      <w:b/>
      <w:sz w:val="24"/>
      <w:szCs w:val="22"/>
    </w:rPr>
  </w:style>
  <w:style w:type="paragraph" w:customStyle="1" w:styleId="75">
    <w:name w:val="Table Text"/>
    <w:basedOn w:val="1"/>
    <w:semiHidden/>
    <w:qFormat/>
    <w:uiPriority w:val="0"/>
    <w:rPr>
      <w:rFonts w:ascii="宋体" w:hAnsi="宋体" w:cs="宋体"/>
      <w:sz w:val="24"/>
      <w:lang w:eastAsia="en-US"/>
    </w:rPr>
  </w:style>
  <w:style w:type="paragraph" w:customStyle="1" w:styleId="76">
    <w:name w:val="新格式表"/>
    <w:basedOn w:val="1"/>
    <w:qFormat/>
    <w:uiPriority w:val="0"/>
    <w:pPr>
      <w:adjustRightInd w:val="0"/>
      <w:snapToGrid w:val="0"/>
      <w:spacing w:line="0" w:lineRule="atLeast"/>
      <w:jc w:val="center"/>
    </w:pPr>
    <w:rPr>
      <w:szCs w:val="21"/>
    </w:rPr>
  </w:style>
  <w:style w:type="paragraph" w:customStyle="1" w:styleId="77">
    <w:name w:val="li_正文"/>
    <w:basedOn w:val="1"/>
    <w:qFormat/>
    <w:uiPriority w:val="0"/>
    <w:pPr>
      <w:ind w:firstLine="530" w:firstLineChars="200"/>
      <w:jc w:val="left"/>
    </w:pPr>
    <w:rPr>
      <w:rFonts w:ascii="Calibri" w:hAnsi="Calibri"/>
      <w:sz w:val="28"/>
      <w:szCs w:val="28"/>
    </w:rPr>
  </w:style>
  <w:style w:type="paragraph" w:customStyle="1" w:styleId="78">
    <w:name w:val="纯文本1"/>
    <w:basedOn w:val="1"/>
    <w:qFormat/>
    <w:uiPriority w:val="0"/>
    <w:rPr>
      <w:rFonts w:ascii="宋体" w:hAnsi="Courier New"/>
    </w:rPr>
  </w:style>
  <w:style w:type="paragraph" w:customStyle="1" w:styleId="79">
    <w:name w:val="样式35"/>
    <w:basedOn w:val="1"/>
    <w:next w:val="80"/>
    <w:qFormat/>
    <w:uiPriority w:val="0"/>
    <w:pPr>
      <w:spacing w:line="312" w:lineRule="auto"/>
      <w:ind w:firstLine="567"/>
    </w:pPr>
    <w:rPr>
      <w:rFonts w:ascii="宋体"/>
      <w:sz w:val="28"/>
    </w:rPr>
  </w:style>
  <w:style w:type="paragraph" w:customStyle="1" w:styleId="80">
    <w:name w:val="font6"/>
    <w:basedOn w:val="1"/>
    <w:next w:val="29"/>
    <w:qFormat/>
    <w:uiPriority w:val="0"/>
    <w:pPr>
      <w:widowControl/>
      <w:spacing w:before="100" w:beforeAutospacing="1" w:after="100" w:afterAutospacing="1"/>
      <w:jc w:val="left"/>
    </w:pPr>
    <w:rPr>
      <w:rFonts w:ascii="宋体" w:hAnsi="宋体"/>
      <w:b/>
      <w:bCs/>
      <w:kern w:val="0"/>
      <w:sz w:val="24"/>
    </w:rPr>
  </w:style>
  <w:style w:type="paragraph" w:customStyle="1" w:styleId="81">
    <w:name w:val="表内"/>
    <w:qFormat/>
    <w:uiPriority w:val="0"/>
    <w:pPr>
      <w:jc w:val="center"/>
    </w:pPr>
    <w:rPr>
      <w:rFonts w:ascii="Times New Roman" w:hAnsi="Times New Roman" w:eastAsia="宋体" w:cs="Times New Roman"/>
      <w:kern w:val="2"/>
      <w:sz w:val="21"/>
      <w:szCs w:val="24"/>
      <w:lang w:val="en-US" w:eastAsia="zh-CN" w:bidi="ar-SA"/>
    </w:rPr>
  </w:style>
  <w:style w:type="paragraph" w:customStyle="1" w:styleId="82">
    <w:name w:val="表格-居中"/>
    <w:basedOn w:val="1"/>
    <w:qFormat/>
    <w:uiPriority w:val="0"/>
    <w:pPr>
      <w:spacing w:line="320" w:lineRule="exact"/>
      <w:jc w:val="center"/>
    </w:pPr>
    <w:rPr>
      <w:rFonts w:ascii="宋体"/>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18cd9e62-5a61-44b8-88bd-82467ca3d549</errorID>
      <errorWord>》（试行）</errorWord>
      <group>L1_Word</group>
      <groupName>字词问题</groupName>
      <ability>L2_Typo</ability>
      <abilityName>字词错误</abilityName>
      <candidateList>
        <item>（试行）》</item>
      </candidateList>
      <explain/>
      <paraID>31175092</paraID>
      <start>27</start>
      <end>32</end>
      <status>ignored</status>
      <modifiedWord/>
      <trackRevisions>false</trackRevisions>
    </reviewItem>
    <reviewItem>
      <errorID>a884e325-751b-4cb4-aa8e-faf13a376701</errorID>
      <errorWord>【2021】12号</errorWord>
      <group>L1_Knowledge</group>
      <groupName>知识性问题</groupName>
      <ability>L2_Knowledge</ability>
      <abilityName>其他知识</abilityName>
      <candidateList>
        <item>〔2021〕12号</item>
      </candidateList>
      <explain>发文字号格式错误。</explain>
      <paraID>73BEC6CA</paraID>
      <start>97</start>
      <end>106</end>
      <status>ignored</status>
      <modifiedWord/>
      <trackRevisions>false</trackRevisions>
    </reviewItem>
    <reviewItem>
      <errorID>358dc2e9-6f96-4f82-95d7-b5bbcf6d0b4d</errorID>
      <errorWord>【2021】12号</errorWord>
      <group>L1_Knowledge</group>
      <groupName>知识性问题</groupName>
      <ability>L2_Knowledge</ability>
      <abilityName>其他知识</abilityName>
      <candidateList>
        <item>〔2021〕12号</item>
      </candidateList>
      <explain>发文字号格式错误。</explain>
      <paraID>7035F483</paraID>
      <start>45</start>
      <end>54</end>
      <status>ignored</status>
      <modifiedWord/>
      <trackRevisions>false</trackRevisions>
    </reviewItem>
    <reviewItem>
      <errorID>da65abd4-a408-4b89-b28c-ae8833353831</errorID>
      <errorWord>(</errorWord>
      <group>L1_Format</group>
      <groupName>格式问题</groupName>
      <ability>L2_HalfPunc</ability>
      <abilityName>全半角检查</abilityName>
      <candidateList>
        <item>（</item>
      </candidateList>
      <explain>文本全半角错误。</explain>
      <paraID>449D95A3</paraID>
      <start>129</start>
      <end>130</end>
      <status>ignored</status>
      <modifiedWord/>
      <trackRevisions>false</trackRevisions>
    </reviewItem>
    <reviewItem>
      <errorID>5b7bbc15-0169-42fa-bbaa-1b29b839f6b9</errorID>
      <errorWord>[2021]58号</errorWord>
      <group>L1_Knowledge</group>
      <groupName>知识性问题</groupName>
      <ability>L2_Knowledge</ability>
      <abilityName>其他知识</abilityName>
      <candidateList>
        <item>〔2021〕58号</item>
      </candidateList>
      <explain>发文字号格式错误。</explain>
      <paraID>449D95A3</paraID>
      <start>133</start>
      <end>142</end>
      <status>ignored</status>
      <modifiedWord/>
      <trackRevisions>false</trackRevisions>
    </reviewItem>
    <reviewItem>
      <errorID>1661857a-1b7a-4b15-b4d9-2fbb8e58dafe</errorID>
      <errorWord>地约</errorWord>
      <group>L1_Grammar</group>
      <groupName>语法问题</groupName>
      <ability>L2_Redundancy</ability>
      <abilityName>成分冗余</abilityName>
      <candidateList>
        <item>地</item>
      </candidateList>
      <explain>句子中可能存在主语、谓语、定语等成分的赘余或重复。</explain>
      <paraID>3A52C31B</paraID>
      <start>30</start>
      <end>32</end>
      <status>ignored</status>
      <modifiedWord/>
      <trackRevisions>false</trackRevisions>
    </reviewItem>
    <reviewItem>
      <errorID>8695f0cd-33b3-47b6-977e-3c833da37d71</errorID>
      <errorWord>其它</errorWord>
      <group>L1_Word</group>
      <groupName>字词问题</groupName>
      <ability>L2_Alias</ability>
      <abilityName>也作/曾用词</abilityName>
      <candidateList>
        <item>其他</item>
      </candidateList>
      <explain>词汇[其它]为不规范表述或旧称，其规范书面表述为[其他]。</explain>
      <paraID>3A52C31B</paraID>
      <start>55</start>
      <end>57</end>
      <status>ignored</status>
      <modifiedWord/>
      <trackRevisions>false</trackRevisions>
    </reviewItem>
    <reviewItem>
      <errorID>a87c2154-c141-4927-a252-7ffe9c8a7906</errorID>
      <errorWord>地约</errorWord>
      <group>L1_Grammar</group>
      <groupName>语法问题</groupName>
      <ability>L2_Redundancy</ability>
      <abilityName>成分冗余</abilityName>
      <candidateList>
        <item>地</item>
      </candidateList>
      <explain>句子中可能存在主语、谓语、定语等成分的赘余或重复。</explain>
      <paraID>6D28E2E9</paraID>
      <start>18</start>
      <end>20</end>
      <status>ignored</status>
      <modifiedWord/>
      <trackRevisions>false</trackRevisions>
    </reviewItem>
    <reviewItem>
      <errorID>968c0845-6d31-439f-a247-8926367c844b</errorID>
      <errorWord>0余</errorWord>
      <group>L1_Grammar</group>
      <groupName>语法问题</groupName>
      <ability>L2_Illogical</ability>
      <abilityName>不合逻辑</abilityName>
      <candidateList>
        <item>0</item>
      </candidateList>
      <explain>句子中可能存在因果关系错误、自相矛盾、概念误用、主客倒置、否定不当、前后缺乏呼应等问题。</explain>
      <paraID>247050BA</paraID>
      <start>23</start>
      <end>25</end>
      <status>ignored</status>
      <modifiedWord/>
      <trackRevisions>false</trackRevisions>
    </reviewItem>
    <reviewItem>
      <errorID>c03a155b-9623-4744-aff8-421c0d475727</errorID>
      <errorWord>(</errorWord>
      <group>L1_Format</group>
      <groupName>格式问题</groupName>
      <ability>L2_HalfPunc</ability>
      <abilityName>全半角检查</abilityName>
      <candidateList>
        <item>（</item>
      </candidateList>
      <explain>文本全半角错误。</explain>
      <paraID>27BF2C19</paraID>
      <start>6</start>
      <end>7</end>
      <status>ignored</status>
      <modifiedWord/>
      <trackRevisions>false</trackRevisions>
    </reviewItem>
    <reviewItem>
      <errorID>81044d7d-8d2e-4857-93e8-705aa9d3beb0</errorID>
      <errorWord>村内</errorWord>
      <group>L1_Word</group>
      <groupName>字词问题</groupName>
      <ability>L2_Typo</ability>
      <abilityName>字词错误</abilityName>
      <candidateList>
        <item>村</item>
      </candidateList>
      <explain/>
      <paraID>29DB00B4</paraID>
      <start>10</start>
      <end>12</end>
      <status>ignored</status>
      <modifiedWord/>
      <trackRevisions>false</trackRevisions>
    </reviewItem>
    <reviewItem>
      <errorID>35c803af-f365-49c1-adb1-b67b67f8534e</errorID>
      <errorWord>行业为主</errorWord>
      <group>L1_Grammar</group>
      <groupName>语法问题</groupName>
      <ability>L2_Confusion</ability>
      <abilityName>结构混乱</abilityName>
      <candidateList>
        <item>行业</item>
      </candidateList>
      <explain>句子中可能存在两种以上的句法结构，导致结构混乱。</explain>
      <paraID>29DB00B4</paraID>
      <start>52</start>
      <end>56</end>
      <status>ignored</status>
      <modifiedWord/>
      <trackRevisions>false</trackRevisions>
    </reviewItem>
    <reviewItem>
      <errorID>0fd10e8f-1f49-4675-b1d0-c455ab4feef4</errorID>
      <errorWord>制造为主</errorWord>
      <group>L1_Grammar</group>
      <groupName>语法问题</groupName>
      <ability>L2_Confusion</ability>
      <abilityName>结构混乱</abilityName>
      <candidateList>
        <item>制造</item>
      </candidateList>
      <explain>句子中可能存在两种以上的句法结构，导致结构混乱。</explain>
      <paraID>4D2D7349</paraID>
      <start>67</start>
      <end>71</end>
      <status>ignored</status>
      <modifiedWord/>
      <trackRevisions>false</trackRevisions>
    </reviewItem>
    <reviewItem>
      <errorID>89f95bc7-222a-4f1e-849d-9e108198c5c0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488E8C47</paraID>
      <start>0</start>
      <end>2</end>
      <status>ignored</status>
      <modifiedWord/>
      <trackRevisions>false</trackRevisions>
    </reviewItem>
    <reviewItem>
      <errorID>48676cea-82e8-49af-a30e-d7616956eea0</errorID>
      <errorWord>属</errorWord>
      <group>L1_Word</group>
      <groupName>字词问题</groupName>
      <ability>L2_Typo</ability>
      <abilityName>字词错误</abilityName>
      <candidateList>
        <item>属于</item>
      </candidateList>
      <explain/>
      <paraID> B540CC0</paraID>
      <start>119</start>
      <end>120</end>
      <status>ignored</status>
      <modifiedWord/>
      <trackRevisions>false</trackRevisions>
    </reviewItem>
    <reviewItem>
      <errorID>fd4deab7-2cf2-4aae-8831-30d46a7e46b3</errorID>
      <errorWord>[2011]35号</errorWord>
      <group>L1_Knowledge</group>
      <groupName>知识性问题</groupName>
      <ability>L2_Knowledge</ability>
      <abilityName>其他知识</abilityName>
      <candidateList>
        <item>〔2011〕35号</item>
      </candidateList>
      <explain>发文字号格式错误。</explain>
      <paraID>7531242C</paraID>
      <start>106</start>
      <end>115</end>
      <status>ignored</status>
      <modifiedWord/>
      <trackRevisions>false</trackRevisions>
    </reviewItem>
    <reviewItem>
      <errorID>91b46106-fd96-4b4a-a772-05261b53e260</errorID>
      <errorWord>属</errorWord>
      <group>L1_Word</group>
      <groupName>字词问题</groupName>
      <ability>L2_Typo</ability>
      <abilityName>字词错误</abilityName>
      <candidateList>
        <item>属于</item>
      </candidateList>
      <explain/>
      <paraID>7531242C</paraID>
      <start>135</start>
      <end>136</end>
      <status>ignored</status>
      <modifiedWord/>
      <trackRevisions>false</trackRevisions>
    </reviewItem>
    <reviewItem>
      <errorID>310e266f-ca4c-46df-87e7-de2d9ed2bce3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20C0E8D2</paraID>
      <start>0</start>
      <end>2</end>
      <status>ignored</status>
      <modifiedWord/>
      <trackRevisions>false</trackRevisions>
    </reviewItem>
    <reviewItem>
      <errorID>b84cc86b-5d73-4fe0-9903-9888864d3688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6F5CE40A</paraID>
      <start>135</start>
      <end>136</end>
      <status>ignored</status>
      <modifiedWord/>
      <trackRevisions>false</trackRevisions>
    </reviewItem>
    <reviewItem>
      <errorID>03759c46-9994-4c22-a255-cfcdc2c1fb07</errorID>
      <errorWord>-</errorWord>
      <group>L1_Format</group>
      <groupName>格式问题</groupName>
      <ability>L2_HalfPunc</ability>
      <abilityName>全半角检查</abilityName>
      <candidateList>
        <item>－</item>
      </candidateList>
      <explain>文本全半角错误。</explain>
      <paraID>6F5CE40A</paraID>
      <start>142</start>
      <end>143</end>
      <status>ignored</status>
      <modifiedWord/>
      <trackRevisions>false</trackRevisions>
    </reviewItem>
    <reviewItem>
      <errorID>4cf6937c-4ce2-400c-a74a-124284d96a93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63FD335C</paraID>
      <start>0</start>
      <end>2</end>
      <status>ignored</status>
      <modifiedWord/>
      <trackRevisions>false</trackRevisions>
    </reviewItem>
    <reviewItem>
      <errorID>f96e134e-3ffe-47be-87a8-50fda02a8006</errorID>
      <errorWord>(</errorWord>
      <group>L1_Format</group>
      <groupName>格式问题</groupName>
      <ability>L2_HalfPunc</ability>
      <abilityName>全半角检查</abilityName>
      <candidateList>
        <item>（</item>
      </candidateList>
      <explain>文本全半角错误。</explain>
      <paraID>7DD6D718</paraID>
      <start>110</start>
      <end>111</end>
      <status>ignored</status>
      <modifiedWord/>
      <trackRevisions>false</trackRevisions>
    </reviewItem>
    <reviewItem>
      <errorID>e02ae7e0-34b7-44c4-9f57-884b5e4cea22</errorID>
      <errorWord>(</errorWord>
      <group>L1_Format</group>
      <groupName>格式问题</groupName>
      <ability>L2_HalfPunc</ability>
      <abilityName>全半角检查</abilityName>
      <candidateList>
        <item>（</item>
      </candidateList>
      <explain>文本全半角错误。</explain>
      <paraID>7DD6D718</paraID>
      <start>144</start>
      <end>145</end>
      <status>ignored</status>
      <modifiedWord/>
      <trackRevisions>false</trackRevisions>
    </reviewItem>
    <reviewItem>
      <errorID>18ea2452-41bf-4618-8d87-94e2fcb90180</errorID>
      <errorWord>[2022]2207号</errorWord>
      <group>L1_Knowledge</group>
      <groupName>知识性问题</groupName>
      <ability>L2_Knowledge</ability>
      <abilityName>其他知识</abilityName>
      <candidateList>
        <item>〔2022〕2207号</item>
      </candidateList>
      <explain>发文字号格式错误。</explain>
      <paraID>7DD6D718</paraID>
      <start>150</start>
      <end>161</end>
      <status>ignored</status>
      <modifiedWord/>
      <trackRevisions>false</trackRevisions>
    </reviewItem>
    <reviewItem>
      <errorID>587333c2-6515-4b0e-a2ff-1f50a7f53388</errorID>
      <errorWord>(</errorWord>
      <group>L1_Format</group>
      <groupName>格式问题</groupName>
      <ability>L2_HalfPunc</ability>
      <abilityName>全半角检查</abilityName>
      <candidateList>
        <item>（</item>
      </candidateList>
      <explain>文本全半角错误。</explain>
      <paraID>7DD6D718</paraID>
      <start>176</start>
      <end>177</end>
      <status>ignored</status>
      <modifiedWord/>
      <trackRevisions>false</trackRevisions>
    </reviewItem>
    <reviewItem>
      <errorID>9bf16ae4-a6ae-4f71-98ab-fc4ff4cb6376</errorID>
      <errorWord>(</errorWord>
      <group>L1_Format</group>
      <groupName>格式问题</groupName>
      <ability>L2_HalfPunc</ability>
      <abilityName>全半角检查</abilityName>
      <candidateList>
        <item>（</item>
      </candidateList>
      <explain>文本全半角错误。</explain>
      <paraID>11DF672F</paraID>
      <start>73</start>
      <end>74</end>
      <status>ignored</status>
      <modifiedWord/>
      <trackRevisions>false</trackRevisions>
    </reviewItem>
    <reviewItem>
      <errorID>7502266a-a1ff-4015-8b0f-b834b02c9e23</errorID>
      <errorWord>(</errorWord>
      <group>L1_Format</group>
      <groupName>格式问题</groupName>
      <ability>L2_HalfPunc</ability>
      <abilityName>全半角检查</abilityName>
      <candidateList>
        <item>（</item>
      </candidateList>
      <explain>文本全半角错误。</explain>
      <paraID>11DF672F</paraID>
      <start>91</start>
      <end>92</end>
      <status>ignored</status>
      <modifiedWord/>
      <trackRevisions>false</trackRevisions>
    </reviewItem>
    <reviewItem>
      <errorID>f8d94a32-7d17-4f0d-8c97-e2181de36ca6</errorID>
      <errorWord>(</errorWord>
      <group>L1_Format</group>
      <groupName>格式问题</groupName>
      <ability>L2_HalfPunc</ability>
      <abilityName>全半角检查</abilityName>
      <candidateList>
        <item>（</item>
      </candidateList>
      <explain>文本全半角错误。</explain>
      <paraID>11DF672F</paraID>
      <start>111</start>
      <end>112</end>
      <status>ignored</status>
      <modifiedWord/>
      <trackRevisions>false</trackRevisions>
    </reviewItem>
    <reviewItem>
      <errorID>e6e569a2-bf81-4dfb-a920-f5a85c144a3e</errorID>
      <errorWord>(</errorWord>
      <group>L1_Format</group>
      <groupName>格式问题</groupName>
      <ability>L2_HalfPunc</ability>
      <abilityName>全半角检查</abilityName>
      <candidateList>
        <item>（</item>
      </candidateList>
      <explain>文本全半角错误。</explain>
      <paraID>11DF672F</paraID>
      <start>130</start>
      <end>131</end>
      <status>ignored</status>
      <modifiedWord/>
      <trackRevisions>false</trackRevisions>
    </reviewItem>
    <reviewItem>
      <errorID>6bf57d3d-fe8d-425f-8804-b9115362428c</errorID>
      <errorWord>(</errorWord>
      <group>L1_Format</group>
      <groupName>格式问题</groupName>
      <ability>L2_HalfPunc</ability>
      <abilityName>全半角检查</abilityName>
      <candidateList>
        <item>（</item>
      </candidateList>
      <explain>文本全半角错误。</explain>
      <paraID>11DF672F</paraID>
      <start>149</start>
      <end>150</end>
      <status>ignored</status>
      <modifiedWord/>
      <trackRevisions>false</trackRevisions>
    </reviewItem>
    <reviewItem>
      <errorID>40657978-d856-4e0f-8f3c-072449753f1b</errorID>
      <errorWord>(</errorWord>
      <group>L1_Format</group>
      <groupName>格式问题</groupName>
      <ability>L2_HalfPunc</ability>
      <abilityName>全半角检查</abilityName>
      <candidateList>
        <item>（</item>
      </candidateList>
      <explain>文本全半角错误。</explain>
      <paraID>11DF672F</paraID>
      <start>165</start>
      <end>166</end>
      <status>ignored</status>
      <modifiedWord/>
      <trackRevisions>false</trackRevisions>
    </reviewItem>
    <reviewItem>
      <errorID>0d83d13b-5915-4392-a76a-f73055966441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11DF672F</paraID>
      <start>289</start>
      <end>290</end>
      <status>ignored</status>
      <modifiedWord/>
      <trackRevisions>false</trackRevisions>
    </reviewItem>
    <reviewItem>
      <errorID>ed4c1d4a-c7ce-4f44-92b8-a18b91c0b25d</errorID>
      <errorWord>II类</errorWord>
      <group>L1_Knowledge</group>
      <groupName>知识性问题</groupName>
      <ability>L2_Knowledge</ability>
      <abilityName>其他知识</abilityName>
      <candidateList>
        <item>Ⅱ类</item>
      </candidateList>
      <explain/>
      <paraID>11DF672F</paraID>
      <start>339</start>
      <end>342</end>
      <status>ignored</status>
      <modifiedWord/>
      <trackRevisions>false</trackRevisions>
    </reviewItem>
    <reviewItem>
      <errorID>bfdb41f7-b50f-4086-8c0a-586c9a58d468</errorID>
      <errorWord>III类</errorWord>
      <group>L1_Knowledge</group>
      <groupName>知识性问题</groupName>
      <ability>L2_Knowledge</ability>
      <abilityName>其他知识</abilityName>
      <candidateList>
        <item>Ⅲ类</item>
      </candidateList>
      <explain/>
      <paraID>11DF672F</paraID>
      <start>371</start>
      <end>375</end>
      <status>ignored</status>
      <modifiedWord/>
      <trackRevisions>false</trackRevisions>
    </reviewItem>
    <reviewItem>
      <errorID>2ff80cc0-1e22-46c4-959f-ce356391ab4b</errorID>
      <errorWord>上线</errorWord>
      <group>L1_Word</group>
      <groupName>字词问题</groupName>
      <ability>L2_Typo</ability>
      <abilityName>字词错误</abilityName>
      <candidateList>
        <item>上限</item>
      </candidateList>
      <explain/>
      <paraID>3D4BB1BB</paraID>
      <start>203</start>
      <end>205</end>
      <status>ignored</status>
      <modifiedWord/>
      <trackRevisions>false</trackRevisions>
    </reviewItem>
    <reviewItem>
      <errorID>f9c3a166-cb1e-4ef7-908d-9a283d45a076</errorID>
      <errorWord>布</errorWord>
      <group>L1_Word</group>
      <groupName>字词问题</groupName>
      <ability>L2_Typo</ability>
      <abilityName>字词错误</abilityName>
      <candidateList>
        <item>不</item>
      </candidateList>
      <explain/>
      <paraID>710450E5</paraID>
      <start>2</start>
      <end>3</end>
      <status>ignored</status>
      <modifiedWord/>
      <trackRevisions>false</trackRevisions>
    </reviewItem>
    <reviewItem>
      <errorID>2b295e86-1d6c-4c9d-8bff-5f09f0e63606</errorID>
      <errorWord>主要污染物总量</errorWord>
      <group>L1_Political</group>
      <groupName>政治性问题</groupName>
      <ability>L2_Keyword</ability>
      <abilityName>固定表述</abilityName>
      <candidateList>
        <item>主要污染物排放量</item>
      </candidateList>
      <explain>词汇“主要污染物排放量”在特定场景下为固定表述形式，请确认此处的“主要污染物总量”是否存在不当。</explain>
      <paraID>5954AF9D</paraID>
      <start>2</start>
      <end>9</end>
      <status>ignored</status>
      <modifiedWord/>
      <trackRevisions>false</trackRevisions>
    </reviewItem>
    <reviewItem>
      <errorID>48e84645-75b0-4c91-b257-304bed9686f0</errorID>
      <errorWord>或是</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6D0C2E21</paraID>
      <start>22</start>
      <end>24</end>
      <status>ignored</status>
      <modifiedWord/>
      <trackRevisions>false</trackRevisions>
    </reviewItem>
    <reviewItem>
      <errorID>680b79c0-3622-4042-885a-e537a7ee95c6</errorID>
      <errorWord>无废城市</errorWord>
      <group>L1_Political</group>
      <groupName>政治性问题</groupName>
      <ability>L2_Keyword</ability>
      <abilityName>固定表述</abilityName>
      <candidateList>
        <item>“无废城市”</item>
      </candidateList>
      <explain>注意检查当前固定表述标点是否使用规范。</explain>
      <paraID>2AA83948</paraID>
      <start>21</start>
      <end>25</end>
      <status>ignored</status>
      <modifiedWord/>
      <trackRevisions>false</trackRevisions>
    </reviewItem>
    <reviewItem>
      <errorID>3287afb3-81a8-4131-a3a7-73922672daa4</errorID>
      <errorWord>全</errorWord>
      <group>L1_Word</group>
      <groupName>字词问题</groupName>
      <ability>L2_Typo</ability>
      <abilityName>字词错误</abilityName>
      <candidateList>
        <item>全过</item>
      </candidateList>
      <explain/>
      <paraID>2AA83948</paraID>
      <start>55</start>
      <end>56</end>
      <status>ignored</status>
      <modifiedWord/>
      <trackRevisions>false</trackRevisions>
    </reviewItem>
    <reviewItem>
      <errorID>f1e211c0-88f8-4050-a3e1-062e6fa1c472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6236C8</paraID>
      <start>0</start>
      <end>2</end>
      <status>ignored</status>
      <modifiedWord/>
      <trackRevisions>false</trackRevisions>
    </reviewItem>
    <reviewItem>
      <errorID>70b197e5-9bf3-4d76-a6be-5d0086bae36a</errorID>
      <errorWord>[2016]150号</errorWord>
      <group>L1_Knowledge</group>
      <groupName>知识性问题</groupName>
      <ability>L2_Knowledge</ability>
      <abilityName>其他知识</abilityName>
      <candidateList>
        <item>〔2016〕150号</item>
      </candidateList>
      <explain>发文字号格式错误。</explain>
      <paraID>  6236C8</paraID>
      <start>33</start>
      <end>43</end>
      <status>ignored</status>
      <modifiedWord/>
      <trackRevisions>false</trackRevisions>
    </reviewItem>
    <reviewItem>
      <errorID>55b541ce-7594-4a6e-b5f1-389ded1dfa80</errorID>
      <errorWord>[2016]150号</errorWord>
      <group>L1_Knowledge</group>
      <groupName>知识性问题</groupName>
      <ability>L2_Knowledge</ability>
      <abilityName>其他知识</abilityName>
      <candidateList>
        <item>〔2016〕150号</item>
      </candidateList>
      <explain>发文字号格式错误。</explain>
      <paraID> A44E6AC</paraID>
      <start>12</start>
      <end>22</end>
      <status>ignored</status>
      <modifiedWord/>
      <trackRevisions>false</trackRevisions>
    </reviewItem>
    <reviewItem>
      <errorID>e229c6ba-cea9-4900-8bb5-e2bad94e4b6a</errorID>
      <errorWord>[2016]150号</errorWord>
      <group>L1_Knowledge</group>
      <groupName>知识性问题</groupName>
      <ability>L2_Knowledge</ability>
      <abilityName>其他知识</abilityName>
      <candidateList>
        <item>〔2016〕150号</item>
      </candidateList>
      <explain>发文字号格式错误。</explain>
      <paraID>13BD8314</paraID>
      <start>45</start>
      <end>55</end>
      <status>ignored</status>
      <modifiedWord/>
      <trackRevisions>false</trackRevisions>
    </reviewItem>
    <reviewItem>
      <errorID>6c985e98-bb7d-40f5-83c3-1e4f085e96d8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607D6048</paraID>
      <start>0</start>
      <end>2</end>
      <status>ignored</status>
      <modifiedWord/>
      <trackRevisions>false</trackRevisions>
    </reviewItem>
    <reviewItem>
      <errorID>5192288a-d420-435b-8f8b-d1767d31a8af</errorID>
      <errorWord>法律、法规</errorWord>
      <group>L1_Word</group>
      <groupName>字词问题</groupName>
      <ability>L2_Typo</ability>
      <abilityName>字词错误</abilityName>
      <candidateList>
        <item>法律法规</item>
      </candidateList>
      <explain/>
      <paraID>52FE2BFF</paraID>
      <start>95</start>
      <end>100</end>
      <status>ignored</status>
      <modifiedWord/>
      <trackRevisions>false</trackRevisions>
    </reviewItem>
    <reviewItem>
      <errorID>cd0ee23c-b766-4f8b-a094-784c3b9bccae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149CE66C</paraID>
      <start>0</start>
      <end>2</end>
      <status>ignored</status>
      <modifiedWord/>
      <trackRevisions>false</trackRevisions>
    </reviewItem>
    <reviewItem>
      <errorID>7bc2f375-b912-4442-b52e-b85b4f400373</errorID>
      <errorWord>【2021】58号</errorWord>
      <group>L1_Knowledge</group>
      <groupName>知识性问题</groupName>
      <ability>L2_Knowledge</ability>
      <abilityName>其他知识</abilityName>
      <candidateList>
        <item>〔2021〕58号</item>
      </candidateList>
      <explain>发文字号格式错误。</explain>
      <paraID>149CE66C</paraID>
      <start>35</start>
      <end>44</end>
      <status>ignored</status>
      <modifiedWord/>
      <trackRevisions>false</trackRevisions>
    </reviewItem>
    <reviewItem>
      <errorID>a0d60f65-3a3f-4fd5-a5fe-c52e72a7dec5</errorID>
      <errorWord>【2021】58号</errorWord>
      <group>L1_Knowledge</group>
      <groupName>知识性问题</groupName>
      <ability>L2_Knowledge</ability>
      <abilityName>其他知识</abilityName>
      <candidateList>
        <item>〔2021〕58号</item>
      </candidateList>
      <explain>发文字号格式错误。</explain>
      <paraID>2707E61A</paraID>
      <start>37</start>
      <end>46</end>
      <status>ignored</status>
      <modifiedWord/>
      <trackRevisions>false</trackRevisions>
    </reviewItem>
    <reviewItem>
      <errorID>5c74436e-819c-4576-9127-a4a8aed35105</errorID>
      <errorWord>属</errorWord>
      <group>L1_Word</group>
      <groupName>字词问题</groupName>
      <ability>L2_Typo</ability>
      <abilityName>字词错误</abilityName>
      <candidateList>
        <item>属于</item>
      </candidateList>
      <explain/>
      <paraID>2DF7289D</paraID>
      <start>118</start>
      <end>119</end>
      <status>ignored</status>
      <modifiedWord/>
      <trackRevisions>false</trackRevisions>
    </reviewItem>
    <reviewItem>
      <errorID>3600ab64-422d-485a-bc9d-4d613792f3f9</errorID>
      <errorWord>属</errorWord>
      <group>L1_Word</group>
      <groupName>字词问题</groupName>
      <ability>L2_Typo</ability>
      <abilityName>字词错误</abilityName>
      <candidateList>
        <item>属于</item>
      </candidateList>
      <explain/>
      <paraID>6C8DE768</paraID>
      <start>118</start>
      <end>119</end>
      <status>ignored</status>
      <modifiedWord/>
      <trackRevisions>false</trackRevisions>
    </reviewItem>
    <reviewItem>
      <errorID>3868ef01-acfc-49db-b99d-df645a10d348</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31AEA8F8</paraID>
      <start>0</start>
      <end>2</end>
      <status>ignored</status>
      <modifiedWord/>
      <trackRevisions>false</trackRevisions>
    </reviewItem>
    <reviewItem>
      <errorID>e2fb5b62-06d5-4492-bc41-70ba7cb80e18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31AEA8F8</paraID>
      <start>42</start>
      <end>43</end>
      <status>ignored</status>
      <modifiedWord/>
      <trackRevisions>false</trackRevisions>
    </reviewItem>
    <reviewItem>
      <errorID>e52eb8bf-a5f5-4c2d-af05-ff3fdce75d5f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31AEA8F8</paraID>
      <start>71</start>
      <end>72</end>
      <status>ignored</status>
      <modifiedWord/>
      <trackRevisions>false</trackRevisions>
    </reviewItem>
    <reviewItem>
      <errorID>bcbc5b1a-0013-414e-bf78-0d965051008c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31AEA8F8</paraID>
      <start>100</start>
      <end>101</end>
      <status>ignored</status>
      <modifiedWord/>
      <trackRevisions>false</trackRevisions>
    </reviewItem>
    <reviewItem>
      <errorID>69e15a16-0d47-4eab-9a28-fa1005a9bbdd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1D6C9BE6</paraID>
      <start>21</start>
      <end>22</end>
      <status>ignored</status>
      <modifiedWord/>
      <trackRevisions>false</trackRevisions>
    </reviewItem>
    <reviewItem>
      <errorID>395e340f-e7e1-4441-b91e-c407046b1dc6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2123FFD</paraID>
      <start>21</start>
      <end>22</end>
      <status>ignored</status>
      <modifiedWord/>
      <trackRevisions>false</trackRevisions>
    </reviewItem>
    <reviewItem>
      <errorID>52fbfcef-b56c-447a-8636-fdd2a5bc678d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1F1A3279</paraID>
      <start>21</start>
      <end>22</end>
      <status>ignored</status>
      <modifiedWord/>
      <trackRevisions>false</trackRevisions>
    </reviewItem>
    <reviewItem>
      <errorID>22d42cfa-f9f4-42ba-9ccf-493f4174da3a</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40F0D59E</paraID>
      <start>0</start>
      <end>2</end>
      <status>ignored</status>
      <modifiedWord/>
      <trackRevisions>false</trackRevisions>
    </reviewItem>
    <reviewItem>
      <errorID>dd88a324-5468-47f3-9a77-c29658c079d0</errorID>
      <errorWord>方</errorWord>
      <group>L1_Word</group>
      <groupName>字词问题</groupName>
      <ability>L2_Typo</ability>
      <abilityName>字词错误</abilityName>
      <candidateList>
        <item>方米</item>
      </candidateList>
      <explain/>
      <paraID>13E5F176</paraID>
      <start>3</start>
      <end>4</end>
      <status>ignored</status>
      <modifiedWord/>
      <trackRevisions>false</trackRevisions>
    </reviewItem>
    <reviewItem>
      <errorID>64673600-acd2-407a-8b55-e9452a1ab1f9</errorID>
      <errorWord>震动</errorWord>
      <group>L1_Word</group>
      <groupName>字词问题</groupName>
      <ability>L2_Typo</ability>
      <abilityName>字词错误</abilityName>
      <candidateList>
        <item>振动</item>
      </candidateList>
      <explain>〈动〉物体通过一个中心位置，不断作往复运动。摆的运动就是振动。也叫振荡。</explain>
      <paraID>28652D65</paraID>
      <start>0</start>
      <end>2</end>
      <status>ignored</status>
      <modifiedWord/>
      <trackRevisions>false</trackRevisions>
    </reviewItem>
    <reviewItem>
      <errorID>719b94ff-f334-4dd5-a6d3-f67c369b7639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283FE190</paraID>
      <start>4</start>
      <end>5</end>
      <status>ignored</status>
      <modifiedWord/>
      <trackRevisions>false</trackRevisions>
    </reviewItem>
    <reviewItem>
      <errorID>35445cdb-0c2d-4859-8aef-a646f53bce41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8898ACD</paraID>
      <start>0</start>
      <end>2</end>
      <status>ignored</status>
      <modifiedWord/>
      <trackRevisions>false</trackRevisions>
    </reviewItem>
    <reviewItem>
      <errorID>22a1812f-c648-4c39-8849-602bd649d38d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D1FB7E4</paraID>
      <start>0</start>
      <end>2</end>
      <status>ignored</status>
      <modifiedWord/>
      <trackRevisions>false</trackRevisions>
    </reviewItem>
    <reviewItem>
      <errorID>68ceeced-0fcf-459e-b6b3-23b96d143b66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8F8A836</paraID>
      <start>0</start>
      <end>2</end>
      <status>ignored</status>
      <modifiedWord/>
      <trackRevisions>false</trackRevisions>
    </reviewItem>
    <reviewItem>
      <errorID>54c1d37b-4d5e-4d94-abfa-9daf7c3a6a75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2CD66F0E</paraID>
      <start>0</start>
      <end>2</end>
      <status>ignored</status>
      <modifiedWord/>
      <trackRevisions>false</trackRevisions>
    </reviewItem>
    <reviewItem>
      <errorID>492b188a-ee53-4c15-9caf-0829637b20ab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67ABC371</paraID>
      <start>0</start>
      <end>2</end>
      <status>ignored</status>
      <modifiedWord/>
      <trackRevisions>false</trackRevisions>
    </reviewItem>
    <reviewItem>
      <errorID>80677903-32c3-4afb-8108-093c34abf24a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380FCD9C</paraID>
      <start>0</start>
      <end>2</end>
      <status>ignored</status>
      <modifiedWord/>
      <trackRevisions>false</trackRevisions>
    </reviewItem>
    <reviewItem>
      <errorID>d4ad5c98-74ba-4d1e-b315-3a822e50a0ed</errorID>
      <errorWord>：用</errorWord>
      <group>L1_Word</group>
      <groupName>字词问题</groupName>
      <ability>L2_Typo</ability>
      <abilityName>字词错误</abilityName>
      <candidateList>
        <item>：</item>
      </candidateList>
      <explain/>
      <paraID>17A020F2</paraID>
      <start>2</start>
      <end>4</end>
      <status>ignored</status>
      <modifiedWord/>
      <trackRevisions>false</trackRevisions>
    </reviewItem>
    <reviewItem>
      <errorID>4548786e-624e-4b96-81ee-3740a919245c</errorID>
      <errorWord>工需</errorWord>
      <group>L1_Word</group>
      <groupName>字词问题</groupName>
      <ability>L2_Typo</ability>
      <abilityName>字词错误</abilityName>
      <candidateList>
        <item>工序</item>
      </candidateList>
      <explain/>
      <paraID>19AB4F93</paraID>
      <start>35</start>
      <end>37</end>
      <status>ignored</status>
      <modifiedWord/>
      <trackRevisions>false</trackRevisions>
    </reviewItem>
    <reviewItem>
      <errorID>82b44df8-59c1-45c4-a566-9e4ad9dcf9de</errorID>
      <errorWord>产是</errorWord>
      <group>L1_Word</group>
      <groupName>字词问题</groupName>
      <ability>L2_Typo</ability>
      <abilityName>字词错误</abilityName>
      <candidateList>
        <item>产生</item>
      </candidateList>
      <explain/>
      <paraID>19AB4F93</paraID>
      <start>38</start>
      <end>40</end>
      <status>ignored</status>
      <modifiedWord/>
      <trackRevisions>false</trackRevisions>
    </reviewItem>
    <reviewItem>
      <errorID>3599baa7-8d6f-405f-8444-8d2b902f498a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27450E2B</paraID>
      <start>0</start>
      <end>2</end>
      <status>ignored</status>
      <modifiedWord/>
      <trackRevisions>false</trackRevisions>
    </reviewItem>
    <reviewItem>
      <errorID>92973cac-8480-495f-8c5b-44f493d21c22</errorID>
      <errorWord>：用</errorWord>
      <group>L1_Word</group>
      <groupName>字词问题</groupName>
      <ability>L2_Typo</ability>
      <abilityName>字词错误</abilityName>
      <candidateList>
        <item>：</item>
      </candidateList>
      <explain/>
      <paraID>2BDADAA8</paraID>
      <start>2</start>
      <end>4</end>
      <status>ignored</status>
      <modifiedWord/>
      <trackRevisions>false</trackRevisions>
    </reviewItem>
    <reviewItem>
      <errorID>dae640d0-5dac-41cc-ae36-3b7bfa133d83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4ACACAD3</paraID>
      <start>0</start>
      <end>2</end>
      <status>ignored</status>
      <modifiedWord/>
      <trackRevisions>false</trackRevisions>
    </reviewItem>
    <reviewItem>
      <errorID>2494bf8c-d053-4286-86e3-c375ae18df6b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AFE9442</paraID>
      <start>0</start>
      <end>2</end>
      <status>ignored</status>
      <modifiedWord/>
      <trackRevisions>false</trackRevisions>
    </reviewItem>
    <reviewItem>
      <errorID>9c837ce0-ab57-4d41-bd00-1fecd3df1970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3AC530BE</paraID>
      <start>0</start>
      <end>2</end>
      <status>ignored</status>
      <modifiedWord/>
      <trackRevisions>false</trackRevisions>
    </reviewItem>
    <reviewItem>
      <errorID>0941ccf3-2885-4746-bf24-75dd93d87964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14493AAA</paraID>
      <start>0</start>
      <end>2</end>
      <status>ignored</status>
      <modifiedWord/>
      <trackRevisions>false</trackRevisions>
    </reviewItem>
    <reviewItem>
      <errorID>c922aa55-36f4-4dc6-aff2-519f985fe392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221052C7</paraID>
      <start>0</start>
      <end>2</end>
      <status>ignored</status>
      <modifiedWord/>
      <trackRevisions>false</trackRevisions>
    </reviewItem>
    <reviewItem>
      <errorID>ac8a8661-58a3-4ca7-bb96-8876d3ea62dc</errorID>
      <errorWord>(</errorWord>
      <group>L1_Format</group>
      <groupName>格式问题</groupName>
      <ability>L2_HalfPunc</ability>
      <abilityName>全半角检查</abilityName>
      <candidateList>
        <item>（</item>
      </candidateList>
      <explain>文本全半角错误。</explain>
      <paraID>3196AAF3</paraID>
      <start>66</start>
      <end>67</end>
      <status>ignored</status>
      <modifiedWord/>
      <trackRevisions>false</trackRevisions>
    </reviewItem>
    <reviewItem>
      <errorID>5ea1d47a-a9a1-4037-9a66-66821e278c52</errorID>
      <errorWord>(</errorWord>
      <group>L1_Format</group>
      <groupName>格式问题</groupName>
      <ability>L2_HalfPunc</ability>
      <abilityName>全半角检查</abilityName>
      <candidateList>
        <item>（</item>
      </candidateList>
      <explain>文本全半角错误。</explain>
      <paraID>3196AAF3</paraID>
      <start>84</start>
      <end>85</end>
      <status>ignored</status>
      <modifiedWord/>
      <trackRevisions>false</trackRevisions>
    </reviewItem>
    <reviewItem>
      <errorID>262549c3-5f67-459a-87b8-7861cdeab1ec</errorID>
      <errorWord>(</errorWord>
      <group>L1_Format</group>
      <groupName>格式问题</groupName>
      <ability>L2_HalfPunc</ability>
      <abilityName>全半角检查</abilityName>
      <candidateList>
        <item>（</item>
      </candidateList>
      <explain>文本全半角错误。</explain>
      <paraID>3196AAF3</paraID>
      <start>104</start>
      <end>105</end>
      <status>ignored</status>
      <modifiedWord/>
      <trackRevisions>false</trackRevisions>
    </reviewItem>
    <reviewItem>
      <errorID>c598be54-3ea9-4f4a-8d97-de5adfadfad8</errorID>
      <errorWord>(</errorWord>
      <group>L1_Format</group>
      <groupName>格式问题</groupName>
      <ability>L2_HalfPunc</ability>
      <abilityName>全半角检查</abilityName>
      <candidateList>
        <item>（</item>
      </candidateList>
      <explain>文本全半角错误。</explain>
      <paraID>3196AAF3</paraID>
      <start>123</start>
      <end>124</end>
      <status>ignored</status>
      <modifiedWord/>
      <trackRevisions>false</trackRevisions>
    </reviewItem>
    <reviewItem>
      <errorID>00d497d7-1bf2-4dc9-83ad-86c635161ecf</errorID>
      <errorWord>(</errorWord>
      <group>L1_Format</group>
      <groupName>格式问题</groupName>
      <ability>L2_HalfPunc</ability>
      <abilityName>全半角检查</abilityName>
      <candidateList>
        <item>（</item>
      </candidateList>
      <explain>文本全半角错误。</explain>
      <paraID>3196AAF3</paraID>
      <start>142</start>
      <end>143</end>
      <status>ignored</status>
      <modifiedWord/>
      <trackRevisions>false</trackRevisions>
    </reviewItem>
    <reviewItem>
      <errorID>4d94978d-d6a1-4092-9708-1e8c168052f0</errorID>
      <errorWord>(</errorWord>
      <group>L1_Format</group>
      <groupName>格式问题</groupName>
      <ability>L2_HalfPunc</ability>
      <abilityName>全半角检查</abilityName>
      <candidateList>
        <item>（</item>
      </candidateList>
      <explain>文本全半角错误。</explain>
      <paraID>3196AAF3</paraID>
      <start>158</start>
      <end>159</end>
      <status>ignored</status>
      <modifiedWord/>
      <trackRevisions>false</trackRevisions>
    </reviewItem>
    <reviewItem>
      <errorID>eb3e527b-4bcc-4482-b1e7-146968d42392</errorID>
      <errorWord>&lt;</errorWord>
      <group>L1_Format</group>
      <groupName>格式问题</groupName>
      <ability>L2_HalfPunc</ability>
      <abilityName>全半角检查</abilityName>
      <candidateList>
        <item>〈</item>
      </candidateList>
      <explain>文本全半角错误。</explain>
      <paraID>2C754C6B</paraID>
      <start>218</start>
      <end>219</end>
      <status>ignored</status>
      <modifiedWord/>
      <trackRevisions>false</trackRevisions>
    </reviewItem>
    <reviewItem>
      <errorID>3e16e7a2-56e4-4578-8bf2-406233cc14af</errorID>
      <errorWord>&gt;的通知》</errorWord>
      <group>L1_Punc</group>
      <groupName>标点问题</groupName>
      <ability>L2_Punc</ability>
      <abilityName>标点符号检查</abilityName>
      <candidateList>
        <item>〉的通知》</item>
      </candidateList>
      <explain/>
      <paraID>2C754C6B</paraID>
      <start>234</start>
      <end>239</end>
      <status>ignored</status>
      <modifiedWord/>
      <trackRevisions>false</trackRevisions>
    </reviewItem>
    <reviewItem>
      <errorID>ca09c759-58d5-4ce1-9759-edc2c75bc1a0</errorID>
      <errorWord>(</errorWord>
      <group>L1_Format</group>
      <groupName>格式问题</groupName>
      <ability>L2_HalfPunc</ability>
      <abilityName>全半角检查</abilityName>
      <candidateList>
        <item>（</item>
      </candidateList>
      <explain>文本全半角错误。</explain>
      <paraID>2C754C6B</paraID>
      <start>239</start>
      <end>240</end>
      <status>ignored</status>
      <modifiedWord/>
      <trackRevisions>false</trackRevisions>
    </reviewItem>
    <reviewItem>
      <errorID>58b1d361-9ed6-4ec5-95a1-8a571d38fbc7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DDB1C79</paraID>
      <start>0</start>
      <end>2</end>
      <status>ignored</status>
      <modifiedWord/>
      <trackRevisions>false</trackRevisions>
    </reviewItem>
    <reviewItem>
      <errorID>9fccde55-66c9-40ce-9bab-3f9a10f79fbc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5947E182</paraID>
      <start>51</start>
      <end>52</end>
      <status>ignored</status>
      <modifiedWord/>
      <trackRevisions>false</trackRevisions>
    </reviewItem>
    <reviewItem>
      <errorID>c0dc9ee0-87d0-461f-960d-4c28fd9309aa</errorID>
      <errorWord>II类</errorWord>
      <group>L1_Knowledge</group>
      <groupName>知识性问题</groupName>
      <ability>L2_Knowledge</ability>
      <abilityName>其他知识</abilityName>
      <candidateList>
        <item>Ⅱ类</item>
      </candidateList>
      <explain/>
      <paraID>5947E182</paraID>
      <start>101</start>
      <end>104</end>
      <status>ignored</status>
      <modifiedWord/>
      <trackRevisions>false</trackRevisions>
    </reviewItem>
    <reviewItem>
      <errorID>3a823d7b-7f2e-45c9-aa61-41828eec9c4b</errorID>
      <errorWord>III类</errorWord>
      <group>L1_Knowledge</group>
      <groupName>知识性问题</groupName>
      <ability>L2_Knowledge</ability>
      <abilityName>其他知识</abilityName>
      <candidateList>
        <item>Ⅲ类</item>
      </candidateList>
      <explain/>
      <paraID>5947E182</paraID>
      <start>133</start>
      <end>137</end>
      <status>ignored</status>
      <modifiedWord/>
      <trackRevisions>false</trackRevisions>
    </reviewItem>
    <reviewItem>
      <errorID>328c28f1-00ed-4cdb-af23-3e3f31f2e9bf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78FFC099</paraID>
      <start>0</start>
      <end>2</end>
      <status>ignored</status>
      <modifiedWord/>
      <trackRevisions>false</trackRevisions>
    </reviewItem>
    <reviewItem>
      <errorID>b7c595fb-2af2-4526-9fab-6b308d07b2a0</errorID>
      <errorWord>(</errorWord>
      <group>L1_Format</group>
      <groupName>格式问题</groupName>
      <ability>L2_HalfPunc</ability>
      <abilityName>全半角检查</abilityName>
      <candidateList>
        <item>（</item>
      </candidateList>
      <explain>文本全半角错误。</explain>
      <paraID>366121BA</paraID>
      <start>8</start>
      <end>9</end>
      <status>ignored</status>
      <modifiedWord/>
      <trackRevisions>false</trackRevisions>
    </reviewItem>
    <reviewItem>
      <errorID>9b29cce3-e556-4442-afc7-4fce04c96eac</errorID>
      <errorWord>(</errorWord>
      <group>L1_Format</group>
      <groupName>格式问题</groupName>
      <ability>L2_HalfPunc</ability>
      <abilityName>全半角检查</abilityName>
      <candidateList>
        <item>（</item>
      </candidateList>
      <explain>文本全半角错误。</explain>
      <paraID>299263D5</paraID>
      <start>10</start>
      <end>11</end>
      <status>ignored</status>
      <modifiedWord/>
      <trackRevisions>false</trackRevisions>
    </reviewItem>
    <reviewItem>
      <errorID>cad4bab2-8373-4ff0-afd1-a57c2a4c60c7</errorID>
      <errorWord>III类</errorWord>
      <group>L1_Knowledge</group>
      <groupName>知识性问题</groupName>
      <ability>L2_Knowledge</ability>
      <abilityName>其他知识</abilityName>
      <candidateList>
        <item>Ⅲ类</item>
      </candidateList>
      <explain/>
      <paraID>7C2AFEDC</paraID>
      <start>24</start>
      <end>28</end>
      <status>ignored</status>
      <modifiedWord/>
      <trackRevisions>false</trackRevisions>
    </reviewItem>
    <reviewItem>
      <errorID>9fa850f5-821a-471b-a397-ea597cce83f7</errorID>
      <errorWord>III类</errorWord>
      <group>L1_Knowledge</group>
      <groupName>知识性问题</groupName>
      <ability>L2_Knowledge</ability>
      <abilityName>其他知识</abilityName>
      <candidateList>
        <item>Ⅲ类</item>
      </candidateList>
      <explain/>
      <paraID>46082BC5</paraID>
      <start>25</start>
      <end>29</end>
      <status>ignored</status>
      <modifiedWord/>
      <trackRevisions>false</trackRevisions>
    </reviewItem>
    <reviewItem>
      <errorID>d1bdb2eb-9d65-498e-9e05-7c373dea5dd7</errorID>
      <errorWord>&lt;</errorWord>
      <group>L1_Format</group>
      <groupName>格式问题</groupName>
      <ability>L2_HalfPunc</ability>
      <abilityName>全半角检查</abilityName>
      <candidateList>
        <item>〈</item>
      </candidateList>
      <explain>文本全半角错误。</explain>
      <paraID>4A16E855</paraID>
      <start>7</start>
      <end>8</end>
      <status>ignored</status>
      <modifiedWord/>
      <trackRevisions>false</trackRevisions>
    </reviewItem>
    <reviewItem>
      <errorID>cd27e0fb-8798-4925-b0a3-ddf298d95fff</errorID>
      <errorWord>&gt;的通知》</errorWord>
      <group>L1_Punc</group>
      <groupName>标点问题</groupName>
      <ability>L2_Punc</ability>
      <abilityName>标点符号检查</abilityName>
      <candidateList>
        <item>〉的通知》</item>
      </candidateList>
      <explain/>
      <paraID>4A16E855</paraID>
      <start>32</start>
      <end>37</end>
      <status>ignored</status>
      <modifiedWord/>
      <trackRevisions>false</trackRevisions>
    </reviewItem>
    <reviewItem>
      <errorID>96c2adfa-7e5d-478a-b777-ebbf9232f80a</errorID>
      <errorWord>[2021]55号</errorWord>
      <group>L1_Knowledge</group>
      <groupName>知识性问题</groupName>
      <ability>L2_Knowledge</ability>
      <abilityName>其他知识</abilityName>
      <candidateList>
        <item>〔2021〕55号</item>
      </candidateList>
      <explain>发文字号格式错误。</explain>
      <paraID>4A16E855</paraID>
      <start>41</start>
      <end>50</end>
      <status>ignored</status>
      <modifiedWord/>
      <trackRevisions>false</trackRevisions>
    </reviewItem>
    <reviewItem>
      <errorID>f2a6039f-2552-428d-952a-8fc94c7bd273</errorID>
      <errorWord>[2019]132号</errorWord>
      <group>L1_Knowledge</group>
      <groupName>知识性问题</groupName>
      <ability>L2_Knowledge</ability>
      <abilityName>其他知识</abilityName>
      <candidateList>
        <item>〔2019〕132号</item>
      </candidateList>
      <explain>发文字号格式错误。</explain>
      <paraID>4A16E855</paraID>
      <start>127</start>
      <end>137</end>
      <status>ignored</status>
      <modifiedWord/>
      <trackRevisions>false</trackRevisions>
    </reviewItem>
    <reviewItem>
      <errorID>025e1223-c6dd-47ab-bdde-34ca72d67da2</errorID>
      <errorWord>[2021]57号</errorWord>
      <group>L1_Knowledge</group>
      <groupName>知识性问题</groupName>
      <ability>L2_Knowledge</ability>
      <abilityName>其他知识</abilityName>
      <candidateList>
        <item>〔2021〕57号</item>
      </candidateList>
      <explain>发文字号格式错误。</explain>
      <paraID>4A16E855</paraID>
      <start>171</start>
      <end>180</end>
      <status>ignored</status>
      <modifiedWord/>
      <trackRevisions>false</trackRevisions>
    </reviewItem>
    <reviewItem>
      <errorID>1a22b090-b7a9-4a48-9036-f9840c0f8c6d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443EE0E4</paraID>
      <start>0</start>
      <end>2</end>
      <status>ignored</status>
      <modifiedWord/>
      <trackRevisions>false</trackRevisions>
    </reviewItem>
    <reviewItem>
      <errorID>abb89675-b2e1-4015-b2ef-ec6d336dd41c</errorID>
      <errorWord>-</errorWord>
      <group>L1_Format</group>
      <groupName>格式问题</groupName>
      <ability>L2_HalfPunc</ability>
      <abilityName>全半角检查</abilityName>
      <candidateList>
        <item>－</item>
      </candidateList>
      <explain>文本全半角错误。</explain>
      <paraID>31B721A5</paraID>
      <start>33</start>
      <end>34</end>
      <status>ignored</status>
      <modifiedWord/>
      <trackRevisions>false</trackRevisions>
    </reviewItem>
    <reviewItem>
      <errorID>98265d36-b173-4949-99a9-c87f36025b85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48EDE58C</paraID>
      <start>63</start>
      <end>64</end>
      <status>ignored</status>
      <modifiedWord/>
      <trackRevisions>false</trackRevisions>
    </reviewItem>
    <reviewItem>
      <errorID>ced61898-60d4-43ea-8e3e-0caa8300640e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5641DC06</paraID>
      <start>61</start>
      <end>64</end>
      <status>ignored</status>
      <modifiedWord/>
      <trackRevisions>false</trackRevisions>
    </reviewItem>
    <reviewItem>
      <errorID>9a388963-5157-4e78-b252-c296b71c49d5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329B541</paraID>
      <start>61</start>
      <end>62</end>
      <status>ignored</status>
      <modifiedWord/>
      <trackRevisions>false</trackRevisions>
    </reviewItem>
    <reviewItem>
      <errorID>858a59c1-7776-4c27-bc09-3a605b05f27c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1669FB08</paraID>
      <start>71</start>
      <end>74</end>
      <status>ignored</status>
      <modifiedWord/>
      <trackRevisions>false</trackRevisions>
    </reviewItem>
    <reviewItem>
      <errorID>db40a53a-429f-4209-8d2f-11f127503af9</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36BF870</paraID>
      <start>62</start>
      <end>63</end>
      <status>ignored</status>
      <modifiedWord/>
      <trackRevisions>false</trackRevisions>
    </reviewItem>
    <reviewItem>
      <errorID>504a4471-5add-44d3-a7a7-c0ae18c38858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74C9EB11</paraID>
      <start>71</start>
      <end>74</end>
      <status>ignored</status>
      <modifiedWord/>
      <trackRevisions>false</trackRevisions>
    </reviewItem>
    <reviewItem>
      <errorID>b1eb5f93-1a89-4d91-948e-2211d8f5d5f8</errorID>
      <errorWord>出场</errorWord>
      <group>L1_Word</group>
      <groupName>字词问题</groupName>
      <ability>L2_Typo</ability>
      <abilityName>字词错误</abilityName>
      <candidateList>
        <item>出厂</item>
      </candidateList>
      <explain/>
      <paraID> BD44DAB</paraID>
      <start>7</start>
      <end>9</end>
      <status>ignored</status>
      <modifiedWord/>
      <trackRevisions>false</trackRevisions>
    </reviewItem>
    <reviewItem>
      <errorID>d29cf225-3eef-49ec-89a9-bf61c4b08b81</errorID>
      <errorWord>(</errorWord>
      <group>L1_Format</group>
      <groupName>格式问题</groupName>
      <ability>L2_HalfPunc</ability>
      <abilityName>全半角检查</abilityName>
      <candidateList>
        <item>（</item>
      </candidateList>
      <explain>文本全半角错误。</explain>
      <paraID>19869577</paraID>
      <start>3</start>
      <end>4</end>
      <status>ignored</status>
      <modifiedWord/>
      <trackRevisions>false</trackRevisions>
    </reviewItem>
    <reviewItem>
      <errorID>25bbd063-1e72-4706-ac15-202ae7d0d70b</errorID>
      <errorWord>(</errorWord>
      <group>L1_Format</group>
      <groupName>格式问题</groupName>
      <ability>L2_HalfPunc</ability>
      <abilityName>全半角检查</abilityName>
      <candidateList>
        <item>（</item>
      </candidateList>
      <explain>文本全半角错误。</explain>
      <paraID>7F18E7BE</paraID>
      <start>4</start>
      <end>5</end>
      <status>ignored</status>
      <modifiedWord/>
      <trackRevisions>false</trackRevisions>
    </reviewItem>
    <reviewItem>
      <errorID>519a9870-e4ad-46fe-9726-2f5f9c4a372c</errorID>
      <errorWord>(</errorWord>
      <group>L1_Format</group>
      <groupName>格式问题</groupName>
      <ability>L2_HalfPunc</ability>
      <abilityName>全半角检查</abilityName>
      <candidateList>
        <item>（</item>
      </candidateList>
      <explain>文本全半角错误。</explain>
      <paraID>378344F7</paraID>
      <start>3</start>
      <end>4</end>
      <status>ignored</status>
      <modifiedWord/>
      <trackRevisions>false</trackRevisions>
    </reviewItem>
    <reviewItem>
      <errorID>4d6a9203-c236-42ed-b596-3e57481c95bb</errorID>
      <errorWord>(</errorWord>
      <group>L1_Format</group>
      <groupName>格式问题</groupName>
      <ability>L2_HalfPunc</ability>
      <abilityName>全半角检查</abilityName>
      <candidateList>
        <item>（</item>
      </candidateList>
      <explain>文本全半角错误。</explain>
      <paraID> C1603A4</paraID>
      <start>4</start>
      <end>5</end>
      <status>ignored</status>
      <modifiedWord/>
      <trackRevisions>false</trackRevisions>
    </reviewItem>
    <reviewItem>
      <errorID>2c55f00c-8977-4bc1-b043-4f2cf4a11354</errorID>
      <errorWord>(</errorWord>
      <group>L1_Format</group>
      <groupName>格式问题</groupName>
      <ability>L2_HalfPunc</ability>
      <abilityName>全半角检查</abilityName>
      <candidateList>
        <item>（</item>
      </candidateList>
      <explain>文本全半角错误。</explain>
      <paraID>5E52853B</paraID>
      <start>4</start>
      <end>5</end>
      <status>ignored</status>
      <modifiedWord/>
      <trackRevisions>false</trackRevisions>
    </reviewItem>
    <reviewItem>
      <errorID>ffa3a445-f2e2-4502-8b35-4a1834221e35</errorID>
      <errorWord>(</errorWord>
      <group>L1_Format</group>
      <groupName>格式问题</groupName>
      <ability>L2_HalfPunc</ability>
      <abilityName>全半角检查</abilityName>
      <candidateList>
        <item>（</item>
      </candidateList>
      <explain>文本全半角错误。</explain>
      <paraID>1458B186</paraID>
      <start>3</start>
      <end>4</end>
      <status>ignored</status>
      <modifiedWord/>
      <trackRevisions>false</trackRevisions>
    </reviewItem>
    <reviewItem>
      <errorID>c1ffda19-3b6d-4770-a2a0-241fee76d963</errorID>
      <errorWord>(</errorWord>
      <group>L1_Format</group>
      <groupName>格式问题</groupName>
      <ability>L2_HalfPunc</ability>
      <abilityName>全半角检查</abilityName>
      <candidateList>
        <item>（</item>
      </candidateList>
      <explain>文本全半角错误。</explain>
      <paraID> D1C009A</paraID>
      <start>4</start>
      <end>5</end>
      <status>ignored</status>
      <modifiedWord/>
      <trackRevisions>false</trackRevisions>
    </reviewItem>
    <reviewItem>
      <errorID>ba6e6aff-3817-45bc-be2d-e25150b6047f</errorID>
      <errorWord>(</errorWord>
      <group>L1_Format</group>
      <groupName>格式问题</groupName>
      <ability>L2_HalfPunc</ability>
      <abilityName>全半角检查</abilityName>
      <candidateList>
        <item>（</item>
      </candidateList>
      <explain>文本全半角错误。</explain>
      <paraID>2BD0574F</paraID>
      <start>4</start>
      <end>5</end>
      <status>ignored</status>
      <modifiedWord/>
      <trackRevisions>false</trackRevisions>
    </reviewItem>
    <reviewItem>
      <errorID>4460d45e-bef4-4d59-8170-ad97e409172b</errorID>
      <errorWord>(</errorWord>
      <group>L1_Format</group>
      <groupName>格式问题</groupName>
      <ability>L2_HalfPunc</ability>
      <abilityName>全半角检查</abilityName>
      <candidateList>
        <item>（</item>
      </candidateList>
      <explain>文本全半角错误。</explain>
      <paraID>5D5B8860</paraID>
      <start>2</start>
      <end>3</end>
      <status>ignored</status>
      <modifiedWord/>
      <trackRevisions>false</trackRevisions>
    </reviewItem>
    <reviewItem>
      <errorID>f9f0d648-6de5-4450-ac56-8d6a3fbb4c69</errorID>
      <errorWord>(</errorWord>
      <group>L1_Format</group>
      <groupName>格式问题</groupName>
      <ability>L2_HalfPunc</ability>
      <abilityName>全半角检查</abilityName>
      <candidateList>
        <item>（</item>
      </candidateList>
      <explain>文本全半角错误。</explain>
      <paraID>49931648</paraID>
      <start>4</start>
      <end>5</end>
      <status>ignored</status>
      <modifiedWord/>
      <trackRevisions>false</trackRevisions>
    </reviewItem>
    <reviewItem>
      <errorID>cb40a4c1-a5d0-4cd1-b989-3e80e6b32737</errorID>
      <errorWord>(</errorWord>
      <group>L1_Format</group>
      <groupName>格式问题</groupName>
      <ability>L2_HalfPunc</ability>
      <abilityName>全半角检查</abilityName>
      <candidateList>
        <item>（</item>
      </candidateList>
      <explain>文本全半角错误。</explain>
      <paraID>4A6984EC</paraID>
      <start>4</start>
      <end>5</end>
      <status>ignored</status>
      <modifiedWord/>
      <trackRevisions>false</trackRevisions>
    </reviewItem>
    <reviewItem>
      <errorID>3656a5dc-502f-4ccb-ae95-b4af63e3ec20</errorID>
      <errorWord>(</errorWord>
      <group>L1_Format</group>
      <groupName>格式问题</groupName>
      <ability>L2_HalfPunc</ability>
      <abilityName>全半角检查</abilityName>
      <candidateList>
        <item>（</item>
      </candidateList>
      <explain>文本全半角错误。</explain>
      <paraID>18893C14</paraID>
      <start>4</start>
      <end>5</end>
      <status>ignored</status>
      <modifiedWord/>
      <trackRevisions>false</trackRevisions>
    </reviewItem>
    <reviewItem>
      <errorID>cbcc7e6c-239d-4bdf-8628-5c57290146ac</errorID>
      <errorWord>(</errorWord>
      <group>L1_Format</group>
      <groupName>格式问题</groupName>
      <ability>L2_HalfPunc</ability>
      <abilityName>全半角检查</abilityName>
      <candidateList>
        <item>（</item>
      </candidateList>
      <explain>文本全半角错误。</explain>
      <paraID>1E664351</paraID>
      <start>4</start>
      <end>5</end>
      <status>ignored</status>
      <modifiedWord/>
      <trackRevisions>false</trackRevisions>
    </reviewItem>
    <reviewItem>
      <errorID>fbd5e3e5-306a-4d04-b541-d7c95d37bf7b</errorID>
      <errorWord>(</errorWord>
      <group>L1_Format</group>
      <groupName>格式问题</groupName>
      <ability>L2_HalfPunc</ability>
      <abilityName>全半角检查</abilityName>
      <candidateList>
        <item>（</item>
      </candidateList>
      <explain>文本全半角错误。</explain>
      <paraID> 4D7B313</paraID>
      <start>4</start>
      <end>5</end>
      <status>ignored</status>
      <modifiedWord/>
      <trackRevisions>false</trackRevisions>
    </reviewItem>
    <reviewItem>
      <errorID>302c22a6-38e6-4ad5-8dac-f6367dbf3e46</errorID>
      <errorWord>(</errorWord>
      <group>L1_Format</group>
      <groupName>格式问题</groupName>
      <ability>L2_HalfPunc</ability>
      <abilityName>全半角检查</abilityName>
      <candidateList>
        <item>（</item>
      </candidateList>
      <explain>文本全半角错误。</explain>
      <paraID>13C21A43</paraID>
      <start>66</start>
      <end>67</end>
      <status>ignored</status>
      <modifiedWord/>
      <trackRevisions>false</trackRevisions>
    </reviewItem>
    <reviewItem>
      <errorID>45e07fef-5674-4f91-88eb-f43b69fc6479</errorID>
      <errorWord>(</errorWord>
      <group>L1_Format</group>
      <groupName>格式问题</groupName>
      <ability>L2_HalfPunc</ability>
      <abilityName>全半角检查</abilityName>
      <candidateList>
        <item>（</item>
      </candidateList>
      <explain>文本全半角错误。</explain>
      <paraID>13C21A43</paraID>
      <start>84</start>
      <end>85</end>
      <status>ignored</status>
      <modifiedWord/>
      <trackRevisions>false</trackRevisions>
    </reviewItem>
    <reviewItem>
      <errorID>32942a15-b029-42a1-986a-517c46bd7f3e</errorID>
      <errorWord>(</errorWord>
      <group>L1_Format</group>
      <groupName>格式问题</groupName>
      <ability>L2_HalfPunc</ability>
      <abilityName>全半角检查</abilityName>
      <candidateList>
        <item>（</item>
      </candidateList>
      <explain>文本全半角错误。</explain>
      <paraID>13C21A43</paraID>
      <start>104</start>
      <end>105</end>
      <status>ignored</status>
      <modifiedWord/>
      <trackRevisions>false</trackRevisions>
    </reviewItem>
    <reviewItem>
      <errorID>03939ebf-9c60-4f20-9b7d-a53dd44e3b1a</errorID>
      <errorWord>(</errorWord>
      <group>L1_Format</group>
      <groupName>格式问题</groupName>
      <ability>L2_HalfPunc</ability>
      <abilityName>全半角检查</abilityName>
      <candidateList>
        <item>（</item>
      </candidateList>
      <explain>文本全半角错误。</explain>
      <paraID>13C21A43</paraID>
      <start>123</start>
      <end>124</end>
      <status>ignored</status>
      <modifiedWord/>
      <trackRevisions>false</trackRevisions>
    </reviewItem>
    <reviewItem>
      <errorID>86413981-0693-424d-a17a-f298c9df1dad</errorID>
      <errorWord>(</errorWord>
      <group>L1_Format</group>
      <groupName>格式问题</groupName>
      <ability>L2_HalfPunc</ability>
      <abilityName>全半角检查</abilityName>
      <candidateList>
        <item>（</item>
      </candidateList>
      <explain>文本全半角错误。</explain>
      <paraID>13C21A43</paraID>
      <start>142</start>
      <end>143</end>
      <status>ignored</status>
      <modifiedWord/>
      <trackRevisions>false</trackRevisions>
    </reviewItem>
    <reviewItem>
      <errorID>d3a43c56-e862-4156-919b-99164e6b7d2b</errorID>
      <errorWord>(</errorWord>
      <group>L1_Format</group>
      <groupName>格式问题</groupName>
      <ability>L2_HalfPunc</ability>
      <abilityName>全半角检查</abilityName>
      <candidateList>
        <item>（</item>
      </candidateList>
      <explain>文本全半角错误。</explain>
      <paraID>13C21A43</paraID>
      <start>158</start>
      <end>159</end>
      <status>ignored</status>
      <modifiedWord/>
      <trackRevisions>false</trackRevisions>
    </reviewItem>
    <reviewItem>
      <errorID>de2ec568-982d-4b74-aef2-77f0f52c9c84</errorID>
      <errorWord>）</errorWord>
      <group>L1_Word</group>
      <groupName>字词问题</groupName>
      <ability>L2_Typo</ability>
      <abilityName>字词错误</abilityName>
      <candidateList>
        <item>）和</item>
      </candidateList>
      <explain/>
      <paraID>4562D16D</paraID>
      <start>232</start>
      <end>233</end>
      <status>ignored</status>
      <modifiedWord/>
      <trackRevisions>false</trackRevisions>
    </reviewItem>
    <reviewItem>
      <errorID>18f3cb8f-c8f6-4899-85c7-2c63ffb24e7e</errorID>
      <errorWord>；。</errorWord>
      <group>L1_Punc</group>
      <groupName>标点问题</groupName>
      <ability>L2_Punc</ability>
      <abilityName>标点符号检查</abilityName>
      <candidateList>
        <item>；</item>
      </candidateList>
      <explain/>
      <paraID>4562D16D</paraID>
      <start>477</start>
      <end>479</end>
      <status>ignored</status>
      <modifiedWord/>
      <trackRevisions>false</trackRevisions>
    </reviewItem>
    <reviewItem>
      <errorID>bbb28e7a-e842-4505-af23-aff1ee1a0bd8</errorID>
      <errorWord>等效声后</errorWord>
      <group>L1_Knowledge</group>
      <groupName>知识性问题</groupName>
      <ability>L2_Term</ability>
      <abilityName>专业术语</abilityName>
      <candidateList>
        <item>等效声级</item>
      </candidateList>
      <explain/>
      <paraID>59E9A680</paraID>
      <start>3</start>
      <end>7</end>
      <status>ignored</status>
      <modifiedWord/>
      <trackRevisions>false</trackRevisions>
    </reviewItem>
    <reviewItem>
      <errorID>adcb4b01-c4ad-4e5a-9c93-0eff1e1bf408</errorID>
      <errorWord>（</errorWord>
      <group>L1_Format</group>
      <groupName>格式问题</groupName>
      <ability>L2_HalfPunc</ability>
      <abilityName>全半角检查</abilityName>
      <candidateList>
        <item>(</item>
      </candidateList>
      <explain>文本全半角错误。</explain>
      <paraID>76D47712</paraID>
      <start>16</start>
      <end>17</end>
      <status>ignored</status>
      <modifiedWord/>
      <trackRevisions>false</trackRevisions>
    </reviewItem>
    <reviewItem>
      <errorID>50d93929-88d7-4e74-aac4-21f45c401d33</errorID>
      <errorWord>）</errorWord>
      <group>L1_Format</group>
      <groupName>格式问题</groupName>
      <ability>L2_HalfPunc</ability>
      <abilityName>全半角检查</abilityName>
      <candidateList>
        <item>)</item>
      </candidateList>
      <explain>文本全半角错误。</explain>
      <paraID>76D47712</paraID>
      <start>41</start>
      <end>42</end>
      <status>ignored</status>
      <modifiedWord/>
      <trackRevisions>false</trackRevisions>
    </reviewItem>
    <reviewItem>
      <errorID>ad187bc6-0049-4ad7-aa23-863609827df4</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5121515F</paraID>
      <start>0</start>
      <end>2</end>
      <status>ignored</status>
      <modifiedWord/>
      <trackRevisions>false</trackRevisions>
    </reviewItem>
    <reviewItem>
      <errorID>2c450eda-457a-4ad6-85cb-2ef33025b0b6</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2D0CECE4</paraID>
      <start>0</start>
      <end>2</end>
      <status>ignored</status>
      <modifiedWord/>
      <trackRevisions>false</trackRevisions>
    </reviewItem>
    <reviewItem>
      <errorID>622a4f40-bec9-4aca-8dd9-39ba44e3c365</errorID>
      <errorWord>（</errorWord>
      <group>L1_Format</group>
      <groupName>格式问题</groupName>
      <ability>L2_HalfPunc</ability>
      <abilityName>全半角检查</abilityName>
      <candidateList>
        <item>(</item>
      </candidateList>
      <explain>文本全半角错误。</explain>
      <paraID>6C24F1A8</paraID>
      <start>9</start>
      <end>10</end>
      <status>ignored</status>
      <modifiedWord/>
      <trackRevisions>false</trackRevisions>
    </reviewItem>
    <reviewItem>
      <errorID>95b144eb-49e3-4f11-aad1-5f3075e05006</errorID>
      <errorWord>）</errorWord>
      <group>L1_Format</group>
      <groupName>格式问题</groupName>
      <ability>L2_HalfPunc</ability>
      <abilityName>全半角检查</abilityName>
      <candidateList>
        <item>)</item>
      </candidateList>
      <explain>文本全半角错误。</explain>
      <paraID>6C24F1A8</paraID>
      <start>11</start>
      <end>12</end>
      <status>ignored</status>
      <modifiedWord/>
      <trackRevisions>false</trackRevisions>
    </reviewItem>
    <reviewItem>
      <errorID>1d313a09-cd7c-4bc7-a0dc-e3e362c4ab80</errorID>
      <errorWord>a、</errorWord>
      <group>L1_Format</group>
      <groupName>格式问题</groupName>
      <ability>L2_Ordinal</ability>
      <abilityName>序号格式</abilityName>
      <candidateList>
        <item>a.</item>
      </candidateList>
      <explain>当前序号格式不规范，建议修改为规范格式[a.]。</explain>
      <paraID> 18D35B5</paraID>
      <start>0</start>
      <end>2</end>
      <status>ignored</status>
      <modifiedWord/>
      <trackRevisions>false</trackRevisions>
    </reviewItem>
    <reviewItem>
      <errorID>10cfd735-2491-4efd-8bad-64e6373840a5</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328CB820</paraID>
      <start>0</start>
      <end>2</end>
      <status>ignored</status>
      <modifiedWord/>
      <trackRevisions>false</trackRevisions>
    </reviewItem>
    <reviewItem>
      <errorID>45c98bf0-e5f3-49bf-97b2-99d4d92c32fa</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101B0F27</paraID>
      <start>0</start>
      <end>2</end>
      <status>ignored</status>
      <modifiedWord/>
      <trackRevisions>false</trackRevisions>
    </reviewItem>
    <reviewItem>
      <errorID>ac2e7394-56ff-413f-bf60-a65ac8c9f69e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6ABF8472</paraID>
      <start>0</start>
      <end>2</end>
      <status>ignored</status>
      <modifiedWord/>
      <trackRevisions>false</trackRevisions>
    </reviewItem>
    <reviewItem>
      <errorID>c0e3087a-23d4-4bd4-b26b-b809dd1d8469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3FE3AA58</paraID>
      <start>0</start>
      <end>2</end>
      <status>ignored</status>
      <modifiedWord/>
      <trackRevisions>false</trackRevisions>
    </reviewItem>
    <reviewItem>
      <errorID>c4515e04-41ca-4164-bc07-d0c78892e6ea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3FB0FF4A</paraID>
      <start>0</start>
      <end>2</end>
      <status>ignored</status>
      <modifiedWord/>
      <trackRevisions>false</trackRevisions>
    </reviewItem>
    <reviewItem>
      <errorID>fa129486-2df8-4b7e-b40a-a4a35759eb45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5517D077</paraID>
      <start>0</start>
      <end>2</end>
      <status>ignored</status>
      <modifiedWord/>
      <trackRevisions>false</trackRevisions>
    </reviewItem>
    <reviewItem>
      <errorID>cdc3dbf0-ce0a-4433-9319-242ba66e5025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64BAA07D</paraID>
      <start>0</start>
      <end>2</end>
      <status>ignored</status>
      <modifiedWord/>
      <trackRevisions>false</trackRevisions>
    </reviewItem>
    <reviewItem>
      <errorID>de0bae93-1d91-48df-a3ad-8a8ce6914272</errorID>
      <errorWord>(</errorWord>
      <group>L1_Format</group>
      <groupName>格式问题</groupName>
      <ability>L2_HalfPunc</ability>
      <abilityName>全半角检查</abilityName>
      <candidateList>
        <item>（</item>
      </candidateList>
      <explain>文本全半角错误。</explain>
      <paraID>766D8C77</paraID>
      <start>61</start>
      <end>62</end>
      <status>ignored</status>
      <modifiedWord/>
      <trackRevisions>false</trackRevisions>
    </reviewItem>
    <reviewItem>
      <errorID>cb39c21d-da95-46f6-a991-8a1f407cd3cc</errorID>
      <errorWord>(</errorWord>
      <group>L1_Format</group>
      <groupName>格式问题</groupName>
      <ability>L2_HalfPunc</ability>
      <abilityName>全半角检查</abilityName>
      <candidateList>
        <item>（</item>
      </candidateList>
      <explain>文本全半角错误。</explain>
      <paraID>682B5077</paraID>
      <start>74</start>
      <end>75</end>
      <status>ignored</status>
      <modifiedWord/>
      <trackRevisions>false</trackRevisions>
    </reviewItem>
    <reviewItem>
      <errorID>ffddcf10-1f98-4065-aa97-a040ee27e143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5728ED7F</paraID>
      <start>0</start>
      <end>2</end>
      <status>ignored</status>
      <modifiedWord/>
      <trackRevisions>false</trackRevisions>
    </reviewItem>
    <reviewItem>
      <errorID>5bdd0621-35df-4ae3-9e5c-54c4921842bb</errorID>
      <errorWord>：</errorWord>
      <group>L1_Format</group>
      <groupName>格式问题</groupName>
      <ability>L2_HalfPunc</ability>
      <abilityName>全半角检查</abilityName>
      <candidateList>
        <item>:</item>
      </candidateList>
      <explain>文本全半角错误。</explain>
      <paraID>32D9BF80</paraID>
      <start>43</start>
      <end>44</end>
      <status>ignored</status>
      <modifiedWord/>
      <trackRevisions>false</trackRevisions>
    </reviewItem>
    <reviewItem>
      <errorID>c3580411-8eed-4ca4-a130-c9193084e537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1C60E93B</paraID>
      <start>0</start>
      <end>2</end>
      <status>ignored</status>
      <modifiedWord/>
      <trackRevisions>false</trackRevisions>
    </reviewItem>
    <reviewItem>
      <errorID>c865717d-759e-483d-9b9f-25ea94d91735</errorID>
      <errorWord>[2020]5号</errorWord>
      <group>L1_Knowledge</group>
      <groupName>知识性问题</groupName>
      <ability>L2_Knowledge</ability>
      <abilityName>其他知识</abilityName>
      <candidateList>
        <item>〔2020〕5号</item>
      </candidateList>
      <explain>发文字号格式错误。</explain>
      <paraID>2F6BD53D</paraID>
      <start>108</start>
      <end>116</end>
      <status>ignored</status>
      <modifiedWord/>
      <trackRevisions>false</trackRevisions>
    </reviewItem>
    <reviewItem>
      <errorID>4ebd5bf6-3235-4d51-84fc-ca31e208ae98</errorID>
      <errorWord>法制观念</errorWord>
      <group>L1_Political</group>
      <groupName>政治性问题</groupName>
      <ability>L2_Unpolitical</ability>
      <abilityName>政治敏感错误</abilityName>
      <candidateList>
        <item>法治观念</item>
      </candidateList>
      <explain/>
      <paraID>2B8C8367</paraID>
      <start>51</start>
      <end>55</end>
      <status>ignored</status>
      <modifiedWord/>
      <trackRevisions>false</trackRevisions>
    </reviewItem>
    <reviewItem>
      <errorID>b0efa9db-e90e-4657-9b5a-efb0f0858d68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9C13162</paraID>
      <start>49</start>
      <end>50</end>
      <status>ignored</status>
      <modifiedWord/>
      <trackRevisions>false</trackRevisions>
    </reviewItem>
    <reviewItem>
      <errorID>00a2caf0-edf2-4d31-aefb-c1a00e9545bf</errorID>
      <errorWord>提高</errorWord>
      <group>L1_Grammar</group>
      <groupName>语法问题</groupName>
      <ability>L2_Grammar</ability>
      <abilityName>语法错误</abilityName>
      <candidateList>
        <item>增强</item>
      </candidateList>
      <explain>“提高～意识”搭配不当，建议修改为“增强～意识”。</explain>
      <paraID>7C4C61EA</paraID>
      <start>22</start>
      <end>24</end>
      <status>ignored</status>
      <modifiedWord/>
      <trackRevisions>false</trackRevisions>
    </reviewItem>
    <reviewItem>
      <errorID>0ba02519-aba7-4545-99dd-1904100a7d20</errorID>
      <errorWord>(</errorWord>
      <group>L1_Format</group>
      <groupName>格式问题</groupName>
      <ability>L2_HalfPunc</ability>
      <abilityName>全半角检查</abilityName>
      <candidateList>
        <item>（</item>
      </candidateList>
      <explain>文本全半角错误。</explain>
      <paraID>40C280D1</paraID>
      <start>3</start>
      <end>4</end>
      <status>ignored</status>
      <modifiedWord/>
      <trackRevisions>false</trackRevisions>
    </reviewItem>
    <reviewItem>
      <errorID>329224c4-594a-472e-8410-96a40de0ef2d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50C6F664</paraID>
      <start>0</start>
      <end>2</end>
      <status>ignored</status>
      <modifiedWord/>
      <trackRevisions>false</trackRevisions>
    </reviewItem>
    <reviewItem>
      <errorID>2578b65e-a04f-426a-ac15-4b7a8ed6ba47</errorID>
      <errorWord>建立的</errorWord>
      <group>L1_Word</group>
      <groupName>字词问题</groupName>
      <ability>L2_Typo</ability>
      <abilityName>字词错误</abilityName>
      <candidateList>
        <item>建立</item>
      </candidateList>
      <explain>〈动〉❶开始成立：～政权｜～新的工业基地。❷开始产生；开始形成：～友谊｜～邦交。</explain>
      <paraID>43DFC98C</paraID>
      <start>76</start>
      <end>79</end>
      <status>ignored</status>
      <modifiedWord/>
      <trackRevisions>false</trackRevisions>
    </reviewItem>
    <reviewItem>
      <errorID>6e9771ef-d689-43d9-95a9-eec44222cbd4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5A353C66</paraID>
      <start>0</start>
      <end>2</end>
      <status>ignored</status>
      <modifiedWord/>
      <trackRevisions>false</trackRevisions>
    </reviewItem>
    <reviewItem>
      <errorID>d3cb02da-294a-4bb9-907b-973246b40fc1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6CF7A95A</paraID>
      <start>36</start>
      <end>39</end>
      <status>ignored</status>
      <modifiedWord/>
      <trackRevisions>false</trackRevisions>
    </reviewItem>
    <reviewItem>
      <errorID>06aca6cb-fd13-4148-a993-47ff8e4a97af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554F1146</paraID>
      <start>0</start>
      <end>2</end>
      <status>ignored</status>
      <modifiedWord/>
      <trackRevisions>false</trackRevisions>
    </reviewItem>
    <reviewItem>
      <errorID>e7a11b9e-ae51-406a-9b5a-e6cb66f145d8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63F3BED</paraID>
      <start>0</start>
      <end>2</end>
      <status>ignored</status>
      <modifiedWord/>
      <trackRevisions>false</trackRevisions>
    </reviewItem>
    <reviewItem>
      <errorID>1f69b1be-cf9b-4da5-a8a0-0b42fdc52fe6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394ECF92</paraID>
      <start>0</start>
      <end>2</end>
      <status>ignored</status>
      <modifiedWord/>
      <trackRevisions>false</trackRevisions>
    </reviewItem>
    <reviewItem>
      <errorID>7b405070-9326-4fd1-be7f-2553eb6c34f4</errorID>
      <errorWord>报告表</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64474AEF</paraID>
      <start>146</start>
      <end>149</end>
      <status>ignored</status>
      <modifiedWord/>
      <trackRevisions>false</trackRevisions>
    </reviewItem>
    <reviewItem>
      <errorID>8cede02b-f046-484a-a3ae-7911a62415b7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56678F60</paraID>
      <start>17</start>
      <end>20</end>
      <status>ignored</status>
      <modifiedWord/>
      <trackRevisions>false</trackRevisions>
    </reviewItem>
    <reviewItem>
      <errorID>a75149a3-daf2-4b19-a292-cebc751768a8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56678F60</paraID>
      <start>32</start>
      <end>35</end>
      <status>ignored</status>
      <modifiedWord/>
      <trackRevisions>false</trackRevisions>
    </reviewItem>
    <reviewItem>
      <errorID>c95d088f-9bbf-4b5c-9caa-17f9b29c89b4</errorID>
      <errorWord>2026年03月18日</errorWord>
      <group>L1_Knowledge</group>
      <groupName>知识性问题</groupName>
      <ability>L2_Time</ability>
      <abilityName>日期时间</abilityName>
      <candidateList>
        <item>2026年3月18日</item>
      </candidateList>
      <explain>根据日常书写习惯，月份一般会省略前导零。</explain>
      <paraID>246FB5A8</paraID>
      <start>0</start>
      <end>11</end>
      <status>ignored</status>
      <modifiedWord/>
      <trackRevisions>false</trackRevisions>
    </reviewItem>
    <reviewItem>
      <errorID>73ecb058-d1ba-436c-adff-8cc7edc4c5c3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19876821</paraID>
      <start>27</start>
      <end>28</end>
      <status>ignored</status>
      <modifiedWord/>
      <trackRevisions>false</trackRevisions>
    </reviewItem>
    <reviewItem>
      <errorID>d89187d8-a4f7-4fa5-86a1-041eee41d2d9</errorID>
      <errorWord>-</errorWord>
      <group>L1_Format</group>
      <groupName>格式问题</groupName>
      <ability>L2_HalfPunc</ability>
      <abilityName>全半角检查</abilityName>
      <candidateList>
        <item>－</item>
      </candidateList>
      <explain>文本全半角错误。</explain>
      <paraID>19876821</paraID>
      <start>34</start>
      <end>35</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24c030-e9b7-4b39-9e0e-2ee3385d4f57}">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70</Pages>
  <Words>11325</Words>
  <Characters>11927</Characters>
  <Lines>289</Lines>
  <Paragraphs>81</Paragraphs>
  <TotalTime>14</TotalTime>
  <ScaleCrop>false</ScaleCrop>
  <LinksUpToDate>false</LinksUpToDate>
  <CharactersWithSpaces>11980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2024-06-15T02:05:00Z</dcterms:created>
  <dc:creator>lhj</dc:creator>
  <cp:lastModifiedBy>宇悦</cp:lastModifiedBy>
  <cp:lastPrinted>2021-04-27T08:11:00Z</cp:lastPrinted>
  <dcterms:modified xsi:type="dcterms:W3CDTF">2026-03-27T05:22:05Z</dcterms:modified>
  <dc:title>附件2</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5CC4BC36CAAA4A65B4D56FADB370BB6F</vt:lpwstr>
  </property>
  <property fmtid="{D5CDD505-2E9C-101B-9397-08002B2CF9AE}" pid="4" name="KSOTemplateDocerSaveRecord">
    <vt:lpwstr>eyJoZGlkIjoiZDY3NDA3MzNlOTdjYTc3YTJjZWNjODY2NGUwYjgxMTciLCJ1c2VySWQiOiIzMjU5MDYzMDUifQ==</vt:lpwstr>
  </property>
</Properties>
</file>