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wmf" ContentType="image/x-w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C00CE8B">
      <w:pPr>
        <w:keepNext w:val="0"/>
        <w:keepLines w:val="0"/>
        <w:pageBreakBefore w:val="0"/>
        <w:widowControl w:val="0"/>
        <w:kinsoku/>
        <w:wordWrap/>
        <w:overflowPunct/>
        <w:topLinePunct w:val="0"/>
        <w:bidi w:val="0"/>
        <w:rPr>
          <w:rFonts w:hint="default" w:ascii="Times New Roman" w:hAnsi="Times New Roman" w:eastAsia="宋体" w:cs="Times New Roman"/>
          <w:color w:val="auto"/>
          <w:sz w:val="36"/>
          <w:szCs w:val="36"/>
        </w:rPr>
      </w:pPr>
    </w:p>
    <w:p w14:paraId="66006397">
      <w:pPr>
        <w:keepNext w:val="0"/>
        <w:keepLines w:val="0"/>
        <w:pageBreakBefore w:val="0"/>
        <w:widowControl w:val="0"/>
        <w:kinsoku/>
        <w:wordWrap/>
        <w:overflowPunct/>
        <w:topLinePunct w:val="0"/>
        <w:bidi w:val="0"/>
        <w:rPr>
          <w:rFonts w:hint="default" w:ascii="Times New Roman" w:hAnsi="Times New Roman" w:eastAsia="宋体" w:cs="Times New Roman"/>
          <w:color w:val="auto"/>
          <w:sz w:val="36"/>
          <w:szCs w:val="36"/>
        </w:rPr>
      </w:pPr>
    </w:p>
    <w:p w14:paraId="37F9816E">
      <w:pPr>
        <w:keepNext w:val="0"/>
        <w:keepLines w:val="0"/>
        <w:pageBreakBefore w:val="0"/>
        <w:widowControl w:val="0"/>
        <w:kinsoku/>
        <w:wordWrap/>
        <w:overflowPunct/>
        <w:topLinePunct w:val="0"/>
        <w:bidi w:val="0"/>
        <w:rPr>
          <w:rFonts w:hint="default" w:ascii="Times New Roman" w:hAnsi="Times New Roman" w:eastAsia="宋体" w:cs="Times New Roman"/>
          <w:color w:val="auto"/>
          <w:sz w:val="36"/>
          <w:szCs w:val="36"/>
        </w:rPr>
      </w:pPr>
    </w:p>
    <w:p w14:paraId="79E7302D">
      <w:pPr>
        <w:keepNext w:val="0"/>
        <w:keepLines w:val="0"/>
        <w:pageBreakBefore w:val="0"/>
        <w:widowControl w:val="0"/>
        <w:kinsoku/>
        <w:wordWrap/>
        <w:overflowPunct/>
        <w:topLinePunct w:val="0"/>
        <w:bidi w:val="0"/>
        <w:rPr>
          <w:rFonts w:hint="default" w:ascii="Times New Roman" w:hAnsi="Times New Roman" w:eastAsia="宋体" w:cs="Times New Roman"/>
          <w:color w:val="auto"/>
          <w:sz w:val="36"/>
          <w:szCs w:val="36"/>
        </w:rPr>
      </w:pPr>
    </w:p>
    <w:p w14:paraId="353018AC">
      <w:pPr>
        <w:keepNext w:val="0"/>
        <w:keepLines w:val="0"/>
        <w:pageBreakBefore w:val="0"/>
        <w:widowControl w:val="0"/>
        <w:kinsoku/>
        <w:wordWrap/>
        <w:overflowPunct/>
        <w:topLinePunct w:val="0"/>
        <w:bidi w:val="0"/>
        <w:rPr>
          <w:rFonts w:hint="default" w:ascii="Times New Roman" w:hAnsi="Times New Roman" w:eastAsia="宋体" w:cs="Times New Roman"/>
          <w:color w:val="auto"/>
          <w:sz w:val="36"/>
          <w:szCs w:val="36"/>
        </w:rPr>
      </w:pPr>
    </w:p>
    <w:p w14:paraId="112F4EBC">
      <w:pPr>
        <w:keepNext w:val="0"/>
        <w:keepLines w:val="0"/>
        <w:pageBreakBefore w:val="0"/>
        <w:widowControl w:val="0"/>
        <w:kinsoku/>
        <w:wordWrap/>
        <w:overflowPunct/>
        <w:topLinePunct w:val="0"/>
        <w:bidi w:val="0"/>
        <w:adjustRightInd w:val="0"/>
        <w:snapToGrid w:val="0"/>
        <w:jc w:val="center"/>
        <w:outlineLvl w:val="0"/>
        <w:rPr>
          <w:rFonts w:hint="default" w:ascii="Times New Roman" w:hAnsi="Times New Roman" w:eastAsia="宋体" w:cs="Times New Roman"/>
          <w:bCs/>
          <w:color w:val="auto"/>
          <w:sz w:val="72"/>
          <w:szCs w:val="72"/>
        </w:rPr>
      </w:pPr>
      <w:r>
        <w:rPr>
          <w:rFonts w:hint="default" w:ascii="Times New Roman" w:hAnsi="Times New Roman" w:eastAsia="宋体" w:cs="Times New Roman"/>
          <w:bCs/>
          <w:color w:val="auto"/>
          <w:sz w:val="72"/>
          <w:szCs w:val="72"/>
        </w:rPr>
        <w:t>建设项目环境影响报告表</w:t>
      </w:r>
    </w:p>
    <w:p w14:paraId="5EEC4A60">
      <w:pPr>
        <w:keepNext w:val="0"/>
        <w:keepLines w:val="0"/>
        <w:pageBreakBefore w:val="0"/>
        <w:widowControl w:val="0"/>
        <w:kinsoku/>
        <w:wordWrap/>
        <w:overflowPunct/>
        <w:topLinePunct w:val="0"/>
        <w:bidi w:val="0"/>
        <w:adjustRightInd w:val="0"/>
        <w:snapToGrid w:val="0"/>
        <w:spacing w:before="192" w:beforeLines="80"/>
        <w:jc w:val="center"/>
        <w:rPr>
          <w:rFonts w:hint="default" w:ascii="Times New Roman" w:hAnsi="Times New Roman" w:eastAsia="宋体" w:cs="Times New Roman"/>
          <w:bCs/>
          <w:color w:val="auto"/>
          <w:sz w:val="48"/>
          <w:szCs w:val="48"/>
        </w:rPr>
      </w:pPr>
      <w:r>
        <w:rPr>
          <w:rFonts w:hint="default" w:ascii="Times New Roman" w:hAnsi="Times New Roman" w:eastAsia="宋体" w:cs="Times New Roman"/>
          <w:bCs/>
          <w:color w:val="auto"/>
          <w:sz w:val="48"/>
          <w:szCs w:val="48"/>
        </w:rPr>
        <w:t>（污染影响类）</w:t>
      </w:r>
    </w:p>
    <w:p w14:paraId="29EE3B0A">
      <w:pPr>
        <w:keepNext w:val="0"/>
        <w:keepLines w:val="0"/>
        <w:pageBreakBefore w:val="0"/>
        <w:widowControl w:val="0"/>
        <w:kinsoku/>
        <w:wordWrap/>
        <w:overflowPunct/>
        <w:topLinePunct w:val="0"/>
        <w:bidi w:val="0"/>
        <w:adjustRightInd w:val="0"/>
        <w:snapToGrid w:val="0"/>
        <w:spacing w:line="288" w:lineRule="auto"/>
        <w:jc w:val="center"/>
        <w:rPr>
          <w:rFonts w:hint="default" w:ascii="Times New Roman" w:hAnsi="Times New Roman" w:eastAsia="宋体" w:cs="Times New Roman"/>
          <w:color w:val="auto"/>
          <w:kern w:val="44"/>
          <w:sz w:val="44"/>
          <w:szCs w:val="44"/>
        </w:rPr>
      </w:pPr>
    </w:p>
    <w:p w14:paraId="335BB345">
      <w:pPr>
        <w:keepNext w:val="0"/>
        <w:keepLines w:val="0"/>
        <w:pageBreakBefore w:val="0"/>
        <w:widowControl w:val="0"/>
        <w:kinsoku/>
        <w:wordWrap/>
        <w:overflowPunct/>
        <w:topLinePunct w:val="0"/>
        <w:bidi w:val="0"/>
        <w:jc w:val="center"/>
        <w:rPr>
          <w:rFonts w:hint="default" w:ascii="Times New Roman" w:hAnsi="Times New Roman" w:eastAsia="宋体" w:cs="Times New Roman"/>
          <w:color w:val="auto"/>
          <w:sz w:val="52"/>
          <w:szCs w:val="52"/>
        </w:rPr>
      </w:pPr>
    </w:p>
    <w:p w14:paraId="5FF9203A">
      <w:pPr>
        <w:keepNext w:val="0"/>
        <w:keepLines w:val="0"/>
        <w:pageBreakBefore w:val="0"/>
        <w:widowControl w:val="0"/>
        <w:kinsoku/>
        <w:wordWrap/>
        <w:overflowPunct/>
        <w:topLinePunct w:val="0"/>
        <w:bidi w:val="0"/>
        <w:ind w:firstLine="1040"/>
        <w:rPr>
          <w:rFonts w:hint="default" w:ascii="Times New Roman" w:hAnsi="Times New Roman" w:eastAsia="宋体" w:cs="Times New Roman"/>
          <w:color w:val="auto"/>
          <w:sz w:val="44"/>
          <w:szCs w:val="44"/>
        </w:rPr>
      </w:pPr>
    </w:p>
    <w:p w14:paraId="735639D1">
      <w:pPr>
        <w:keepNext w:val="0"/>
        <w:keepLines w:val="0"/>
        <w:pageBreakBefore w:val="0"/>
        <w:widowControl w:val="0"/>
        <w:kinsoku/>
        <w:wordWrap/>
        <w:overflowPunct/>
        <w:topLinePunct w:val="0"/>
        <w:bidi w:val="0"/>
        <w:ind w:firstLine="1040"/>
        <w:rPr>
          <w:rFonts w:hint="default" w:ascii="Times New Roman" w:hAnsi="Times New Roman" w:eastAsia="宋体" w:cs="Times New Roman"/>
          <w:color w:val="auto"/>
          <w:sz w:val="44"/>
          <w:szCs w:val="44"/>
        </w:rPr>
      </w:pPr>
    </w:p>
    <w:p w14:paraId="4DF50494">
      <w:pPr>
        <w:keepNext w:val="0"/>
        <w:keepLines w:val="0"/>
        <w:pageBreakBefore w:val="0"/>
        <w:widowControl w:val="0"/>
        <w:kinsoku/>
        <w:wordWrap/>
        <w:overflowPunct/>
        <w:topLinePunct w:val="0"/>
        <w:bidi w:val="0"/>
        <w:ind w:firstLine="1040"/>
        <w:rPr>
          <w:rFonts w:hint="default" w:ascii="Times New Roman" w:hAnsi="Times New Roman" w:eastAsia="宋体" w:cs="Times New Roman"/>
          <w:color w:val="auto"/>
          <w:sz w:val="44"/>
          <w:szCs w:val="44"/>
        </w:rPr>
      </w:pPr>
    </w:p>
    <w:p w14:paraId="0AEFA203">
      <w:pPr>
        <w:keepNext w:val="0"/>
        <w:keepLines w:val="0"/>
        <w:pageBreakBefore w:val="0"/>
        <w:widowControl w:val="0"/>
        <w:kinsoku/>
        <w:wordWrap/>
        <w:overflowPunct/>
        <w:topLinePunct w:val="0"/>
        <w:bidi w:val="0"/>
        <w:ind w:firstLine="1040"/>
        <w:rPr>
          <w:rFonts w:hint="default" w:ascii="Times New Roman" w:hAnsi="Times New Roman" w:eastAsia="宋体" w:cs="Times New Roman"/>
          <w:color w:val="auto"/>
          <w:sz w:val="44"/>
          <w:szCs w:val="44"/>
          <w:lang w:val="en-US" w:eastAsia="zh-CN"/>
        </w:rPr>
      </w:pPr>
    </w:p>
    <w:p w14:paraId="3D301AEA">
      <w:pPr>
        <w:keepNext w:val="0"/>
        <w:keepLines w:val="0"/>
        <w:pageBreakBefore w:val="0"/>
        <w:widowControl w:val="0"/>
        <w:kinsoku/>
        <w:wordWrap/>
        <w:overflowPunct/>
        <w:topLinePunct w:val="0"/>
        <w:bidi w:val="0"/>
        <w:ind w:firstLine="1040"/>
        <w:rPr>
          <w:rFonts w:hint="default" w:ascii="Times New Roman" w:hAnsi="Times New Roman" w:eastAsia="宋体" w:cs="Times New Roman"/>
          <w:color w:val="auto"/>
          <w:sz w:val="44"/>
          <w:szCs w:val="44"/>
          <w:lang w:val="en-US" w:eastAsia="zh-CN"/>
        </w:rPr>
      </w:pPr>
    </w:p>
    <w:p w14:paraId="4BBD9322">
      <w:pPr>
        <w:keepNext w:val="0"/>
        <w:keepLines w:val="0"/>
        <w:pageBreakBefore w:val="0"/>
        <w:widowControl w:val="0"/>
        <w:kinsoku/>
        <w:wordWrap/>
        <w:overflowPunct/>
        <w:topLinePunct w:val="0"/>
        <w:bidi w:val="0"/>
        <w:ind w:firstLine="1040"/>
        <w:rPr>
          <w:rFonts w:hint="default" w:ascii="Times New Roman" w:hAnsi="Times New Roman" w:eastAsia="宋体" w:cs="Times New Roman"/>
          <w:color w:val="auto"/>
          <w:sz w:val="44"/>
          <w:szCs w:val="44"/>
        </w:rPr>
      </w:pPr>
    </w:p>
    <w:p w14:paraId="42C2525F">
      <w:pPr>
        <w:keepNext w:val="0"/>
        <w:keepLines w:val="0"/>
        <w:pageBreakBefore w:val="0"/>
        <w:widowControl w:val="0"/>
        <w:kinsoku/>
        <w:wordWrap/>
        <w:overflowPunct/>
        <w:topLinePunct w:val="0"/>
        <w:bidi w:val="0"/>
        <w:adjustRightInd w:val="0"/>
        <w:snapToGrid w:val="0"/>
        <w:spacing w:line="288" w:lineRule="auto"/>
        <w:ind w:left="1800" w:hanging="1800" w:hangingChars="500"/>
        <w:rPr>
          <w:rFonts w:hint="default" w:ascii="Times New Roman" w:hAnsi="Times New Roman" w:eastAsia="宋体" w:cs="Times New Roman"/>
          <w:color w:val="auto"/>
          <w:sz w:val="36"/>
          <w:szCs w:val="36"/>
          <w:u w:val="single"/>
          <w:lang w:eastAsia="zh-CN"/>
        </w:rPr>
      </w:pPr>
      <w:r>
        <w:rPr>
          <w:rFonts w:hint="default" w:ascii="Times New Roman" w:hAnsi="Times New Roman" w:eastAsia="宋体" w:cs="Times New Roman"/>
          <w:color w:val="auto"/>
          <w:sz w:val="36"/>
          <w:szCs w:val="36"/>
        </w:rPr>
        <w:t>项目名称：</w:t>
      </w:r>
      <w:r>
        <w:rPr>
          <w:rFonts w:hint="default" w:ascii="Times New Roman" w:hAnsi="Times New Roman" w:eastAsia="宋体" w:cs="Times New Roman"/>
          <w:color w:val="auto"/>
          <w:sz w:val="36"/>
          <w:szCs w:val="36"/>
          <w:u w:val="single"/>
          <w:lang w:eastAsia="zh-CN"/>
        </w:rPr>
        <w:t>淄博启新新材料科技有限公司年产1万吨超硬复合新材料项目</w:t>
      </w:r>
    </w:p>
    <w:p w14:paraId="33DEEA3E">
      <w:pPr>
        <w:keepNext w:val="0"/>
        <w:keepLines w:val="0"/>
        <w:pageBreakBefore w:val="0"/>
        <w:widowControl w:val="0"/>
        <w:kinsoku/>
        <w:wordWrap/>
        <w:overflowPunct/>
        <w:topLinePunct w:val="0"/>
        <w:bidi w:val="0"/>
        <w:adjustRightInd w:val="0"/>
        <w:snapToGrid w:val="0"/>
        <w:spacing w:line="288" w:lineRule="auto"/>
        <w:rPr>
          <w:rFonts w:hint="default" w:ascii="Times New Roman" w:hAnsi="Times New Roman" w:eastAsia="宋体" w:cs="Times New Roman"/>
          <w:color w:val="auto"/>
          <w:sz w:val="36"/>
          <w:szCs w:val="36"/>
          <w:u w:val="single"/>
          <w:lang w:eastAsia="zh-CN"/>
        </w:rPr>
      </w:pPr>
      <w:r>
        <w:rPr>
          <w:rFonts w:hint="default" w:ascii="Times New Roman" w:hAnsi="Times New Roman" w:eastAsia="宋体" w:cs="Times New Roman"/>
          <w:color w:val="auto"/>
          <w:sz w:val="36"/>
          <w:szCs w:val="36"/>
        </w:rPr>
        <w:t>建设单位（盖章）：</w:t>
      </w:r>
      <w:r>
        <w:rPr>
          <w:rFonts w:hint="default" w:ascii="Times New Roman" w:hAnsi="Times New Roman" w:eastAsia="宋体" w:cs="Times New Roman"/>
          <w:color w:val="auto"/>
          <w:sz w:val="36"/>
          <w:szCs w:val="36"/>
          <w:u w:val="single"/>
          <w:lang w:eastAsia="zh-CN"/>
        </w:rPr>
        <w:t>淄博启新新材料科技有限公司</w:t>
      </w:r>
    </w:p>
    <w:p w14:paraId="09CD1D4D">
      <w:pPr>
        <w:keepNext w:val="0"/>
        <w:keepLines w:val="0"/>
        <w:pageBreakBefore w:val="0"/>
        <w:widowControl w:val="0"/>
        <w:kinsoku/>
        <w:wordWrap/>
        <w:overflowPunct/>
        <w:topLinePunct w:val="0"/>
        <w:bidi w:val="0"/>
        <w:adjustRightInd w:val="0"/>
        <w:snapToGrid w:val="0"/>
        <w:spacing w:line="288" w:lineRule="auto"/>
        <w:rPr>
          <w:rFonts w:hint="default" w:ascii="Times New Roman" w:hAnsi="Times New Roman" w:eastAsia="宋体" w:cs="Times New Roman"/>
          <w:color w:val="auto"/>
          <w:sz w:val="36"/>
          <w:szCs w:val="36"/>
          <w:u w:val="single"/>
        </w:rPr>
      </w:pPr>
      <w:r>
        <w:rPr>
          <w:rFonts w:hint="default" w:ascii="Times New Roman" w:hAnsi="Times New Roman" w:eastAsia="宋体" w:cs="Times New Roman"/>
          <w:color w:val="auto"/>
          <w:sz w:val="36"/>
          <w:szCs w:val="36"/>
        </w:rPr>
        <w:t>编制日期：</w:t>
      </w:r>
      <w:r>
        <w:rPr>
          <w:rFonts w:hint="default" w:ascii="Times New Roman" w:hAnsi="Times New Roman" w:eastAsia="宋体" w:cs="Times New Roman"/>
          <w:color w:val="auto"/>
          <w:sz w:val="36"/>
          <w:szCs w:val="36"/>
          <w:u w:val="single"/>
        </w:rPr>
        <w:t>202</w:t>
      </w:r>
      <w:r>
        <w:rPr>
          <w:rFonts w:hint="default" w:ascii="Times New Roman" w:hAnsi="Times New Roman" w:eastAsia="宋体" w:cs="Times New Roman"/>
          <w:color w:val="auto"/>
          <w:sz w:val="36"/>
          <w:szCs w:val="36"/>
          <w:u w:val="single"/>
          <w:lang w:val="en-US" w:eastAsia="zh-CN"/>
        </w:rPr>
        <w:t>5</w:t>
      </w:r>
      <w:r>
        <w:rPr>
          <w:rFonts w:hint="default" w:ascii="Times New Roman" w:hAnsi="Times New Roman" w:eastAsia="宋体" w:cs="Times New Roman"/>
          <w:color w:val="auto"/>
          <w:sz w:val="36"/>
          <w:szCs w:val="36"/>
          <w:u w:val="single"/>
        </w:rPr>
        <w:t>年</w:t>
      </w:r>
      <w:r>
        <w:rPr>
          <w:rFonts w:hint="default" w:ascii="Times New Roman" w:hAnsi="Times New Roman" w:eastAsia="宋体" w:cs="Times New Roman"/>
          <w:color w:val="auto"/>
          <w:sz w:val="36"/>
          <w:szCs w:val="36"/>
          <w:u w:val="single"/>
          <w:lang w:val="en-US" w:eastAsia="zh-CN"/>
        </w:rPr>
        <w:t>4</w:t>
      </w:r>
      <w:r>
        <w:rPr>
          <w:rFonts w:hint="default" w:ascii="Times New Roman" w:hAnsi="Times New Roman" w:eastAsia="宋体" w:cs="Times New Roman"/>
          <w:color w:val="auto"/>
          <w:sz w:val="36"/>
          <w:szCs w:val="36"/>
          <w:u w:val="single"/>
        </w:rPr>
        <w:t>月</w:t>
      </w:r>
    </w:p>
    <w:p w14:paraId="1CE9BF1C">
      <w:pPr>
        <w:keepNext w:val="0"/>
        <w:keepLines w:val="0"/>
        <w:pageBreakBefore w:val="0"/>
        <w:widowControl w:val="0"/>
        <w:kinsoku/>
        <w:wordWrap/>
        <w:overflowPunct/>
        <w:topLinePunct w:val="0"/>
        <w:bidi w:val="0"/>
        <w:adjustRightInd w:val="0"/>
        <w:snapToGrid w:val="0"/>
        <w:spacing w:line="288" w:lineRule="auto"/>
        <w:ind w:firstLine="1040"/>
        <w:rPr>
          <w:rFonts w:hint="default" w:ascii="Times New Roman" w:hAnsi="Times New Roman" w:eastAsia="宋体" w:cs="Times New Roman"/>
          <w:color w:val="auto"/>
          <w:sz w:val="36"/>
          <w:szCs w:val="36"/>
          <w:u w:val="single"/>
        </w:rPr>
      </w:pPr>
      <w:bookmarkStart w:id="0" w:name="_Hlk57884087"/>
    </w:p>
    <w:p w14:paraId="4E55481F">
      <w:pPr>
        <w:keepNext w:val="0"/>
        <w:keepLines w:val="0"/>
        <w:pageBreakBefore w:val="0"/>
        <w:widowControl w:val="0"/>
        <w:kinsoku/>
        <w:wordWrap/>
        <w:overflowPunct/>
        <w:topLinePunct w:val="0"/>
        <w:bidi w:val="0"/>
        <w:adjustRightInd w:val="0"/>
        <w:snapToGrid w:val="0"/>
        <w:spacing w:line="288" w:lineRule="auto"/>
        <w:ind w:firstLine="1040"/>
        <w:rPr>
          <w:rFonts w:hint="default" w:ascii="Times New Roman" w:hAnsi="Times New Roman" w:eastAsia="宋体" w:cs="Times New Roman"/>
          <w:color w:val="auto"/>
          <w:sz w:val="36"/>
          <w:szCs w:val="36"/>
        </w:rPr>
      </w:pPr>
    </w:p>
    <w:p w14:paraId="38BCBAE2">
      <w:pPr>
        <w:keepNext w:val="0"/>
        <w:keepLines w:val="0"/>
        <w:pageBreakBefore w:val="0"/>
        <w:widowControl w:val="0"/>
        <w:kinsoku/>
        <w:wordWrap/>
        <w:overflowPunct/>
        <w:topLinePunct w:val="0"/>
        <w:bidi w:val="0"/>
        <w:adjustRightInd w:val="0"/>
        <w:snapToGrid w:val="0"/>
        <w:spacing w:line="288" w:lineRule="auto"/>
        <w:ind w:firstLine="1040"/>
        <w:rPr>
          <w:rFonts w:hint="default" w:ascii="Times New Roman" w:hAnsi="Times New Roman" w:eastAsia="宋体" w:cs="Times New Roman"/>
          <w:color w:val="auto"/>
          <w:sz w:val="36"/>
          <w:szCs w:val="36"/>
        </w:rPr>
      </w:pPr>
    </w:p>
    <w:p w14:paraId="3B5A3FFA">
      <w:pPr>
        <w:keepNext w:val="0"/>
        <w:keepLines w:val="0"/>
        <w:pageBreakBefore w:val="0"/>
        <w:widowControl w:val="0"/>
        <w:kinsoku/>
        <w:wordWrap/>
        <w:overflowPunct/>
        <w:topLinePunct w:val="0"/>
        <w:bidi w:val="0"/>
        <w:adjustRightInd w:val="0"/>
        <w:snapToGrid w:val="0"/>
        <w:spacing w:line="288" w:lineRule="auto"/>
        <w:ind w:firstLine="1040"/>
        <w:rPr>
          <w:rFonts w:hint="default" w:ascii="Times New Roman" w:hAnsi="Times New Roman" w:eastAsia="宋体" w:cs="Times New Roman"/>
          <w:color w:val="auto"/>
          <w:sz w:val="36"/>
          <w:szCs w:val="36"/>
        </w:rPr>
      </w:pPr>
    </w:p>
    <w:p w14:paraId="1055256D">
      <w:pPr>
        <w:keepNext w:val="0"/>
        <w:keepLines w:val="0"/>
        <w:pageBreakBefore w:val="0"/>
        <w:widowControl w:val="0"/>
        <w:kinsoku/>
        <w:wordWrap/>
        <w:overflowPunct/>
        <w:topLinePunct w:val="0"/>
        <w:bidi w:val="0"/>
        <w:adjustRightInd w:val="0"/>
        <w:snapToGrid w:val="0"/>
        <w:spacing w:line="288" w:lineRule="auto"/>
        <w:ind w:firstLine="1040"/>
        <w:rPr>
          <w:rFonts w:hint="default" w:ascii="Times New Roman" w:hAnsi="Times New Roman" w:eastAsia="宋体" w:cs="Times New Roman"/>
          <w:color w:val="auto"/>
          <w:sz w:val="36"/>
          <w:szCs w:val="36"/>
        </w:rPr>
      </w:pPr>
    </w:p>
    <w:bookmarkEnd w:id="0"/>
    <w:p w14:paraId="2D8984A4">
      <w:pPr>
        <w:keepNext w:val="0"/>
        <w:keepLines w:val="0"/>
        <w:pageBreakBefore w:val="0"/>
        <w:widowControl w:val="0"/>
        <w:kinsoku/>
        <w:wordWrap/>
        <w:overflowPunct/>
        <w:topLinePunct w:val="0"/>
        <w:bidi w:val="0"/>
        <w:adjustRightInd w:val="0"/>
        <w:snapToGrid w:val="0"/>
        <w:spacing w:line="288" w:lineRule="auto"/>
        <w:jc w:val="center"/>
        <w:rPr>
          <w:rFonts w:hint="default" w:ascii="Times New Roman" w:hAnsi="Times New Roman" w:eastAsia="宋体" w:cs="Times New Roman"/>
          <w:color w:val="auto"/>
          <w:sz w:val="36"/>
          <w:szCs w:val="36"/>
        </w:rPr>
        <w:sectPr>
          <w:footerReference r:id="rId3" w:type="default"/>
          <w:footerReference r:id="rId4" w:type="even"/>
          <w:pgSz w:w="11906" w:h="16838"/>
          <w:pgMar w:top="1701" w:right="1531" w:bottom="1701" w:left="1531" w:header="851" w:footer="1077" w:gutter="0"/>
          <w:pgBorders>
            <w:top w:val="none" w:sz="0" w:space="0"/>
            <w:left w:val="none" w:sz="0" w:space="0"/>
            <w:bottom w:val="none" w:sz="0" w:space="0"/>
            <w:right w:val="none" w:sz="0" w:space="0"/>
          </w:pgBorders>
          <w:pgNumType w:start="3"/>
          <w:cols w:space="720" w:num="1"/>
          <w:docGrid w:linePitch="312" w:charSpace="0"/>
        </w:sectPr>
      </w:pPr>
      <w:r>
        <w:rPr>
          <w:rFonts w:hint="default" w:ascii="Times New Roman" w:hAnsi="Times New Roman" w:eastAsia="宋体" w:cs="Times New Roman"/>
          <w:color w:val="auto"/>
          <w:sz w:val="36"/>
          <w:szCs w:val="36"/>
        </w:rPr>
        <w:t>中华人民共和国生态环境部制</w:t>
      </w:r>
    </w:p>
    <w:p w14:paraId="583B2683">
      <w:pPr>
        <w:pStyle w:val="13"/>
        <w:keepNext w:val="0"/>
        <w:keepLines w:val="0"/>
        <w:pageBreakBefore w:val="0"/>
        <w:widowControl w:val="0"/>
        <w:kinsoku/>
        <w:wordWrap/>
        <w:overflowPunct/>
        <w:topLinePunct w:val="0"/>
        <w:bidi w:val="0"/>
        <w:jc w:val="center"/>
        <w:outlineLvl w:val="0"/>
        <w:rPr>
          <w:rFonts w:hint="default" w:ascii="Times New Roman" w:hAnsi="Times New Roman" w:eastAsia="宋体" w:cs="Times New Roman"/>
          <w:snapToGrid w:val="0"/>
          <w:color w:val="auto"/>
          <w:sz w:val="30"/>
          <w:szCs w:val="30"/>
          <w:lang w:eastAsia="zh-CN"/>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rPr>
          <w:rFonts w:hint="default" w:ascii="Times New Roman" w:hAnsi="Times New Roman" w:eastAsia="宋体" w:cs="Times New Roman"/>
          <w:color w:val="auto"/>
        </w:rPr>
        <w:drawing>
          <wp:inline distT="0" distB="0" distL="114300" distR="114300">
            <wp:extent cx="5272405" cy="7548880"/>
            <wp:effectExtent l="0" t="0" r="4445" b="13970"/>
            <wp:docPr id="4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8"/>
                    <pic:cNvPicPr>
                      <a:picLocks noChangeAspect="1"/>
                    </pic:cNvPicPr>
                  </pic:nvPicPr>
                  <pic:blipFill>
                    <a:blip r:embed="rId8"/>
                    <a:stretch>
                      <a:fillRect/>
                    </a:stretch>
                  </pic:blipFill>
                  <pic:spPr>
                    <a:xfrm>
                      <a:off x="0" y="0"/>
                      <a:ext cx="5272405" cy="7548880"/>
                    </a:xfrm>
                    <a:prstGeom prst="rect">
                      <a:avLst/>
                    </a:prstGeom>
                    <a:noFill/>
                    <a:ln>
                      <a:noFill/>
                    </a:ln>
                  </pic:spPr>
                </pic:pic>
              </a:graphicData>
            </a:graphic>
          </wp:inline>
        </w:drawing>
      </w:r>
      <w:r>
        <w:rPr>
          <w:rFonts w:hint="default" w:ascii="Times New Roman" w:hAnsi="Times New Roman" w:eastAsia="宋体" w:cs="Times New Roman"/>
          <w:snapToGrid w:val="0"/>
          <w:color w:val="auto"/>
          <w:sz w:val="30"/>
          <w:szCs w:val="30"/>
          <w:lang w:eastAsia="zh-CN"/>
        </w:rPr>
        <w:drawing>
          <wp:inline distT="0" distB="0" distL="114300" distR="114300">
            <wp:extent cx="7432040" cy="5262245"/>
            <wp:effectExtent l="0" t="0" r="14605" b="16510"/>
            <wp:docPr id="60" name="图片 60" descr="8a01d2b7e042a95cc15b829a62f87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8a01d2b7e042a95cc15b829a62f87ac"/>
                    <pic:cNvPicPr>
                      <a:picLocks noChangeAspect="1"/>
                    </pic:cNvPicPr>
                  </pic:nvPicPr>
                  <pic:blipFill>
                    <a:blip r:embed="rId9"/>
                    <a:stretch>
                      <a:fillRect/>
                    </a:stretch>
                  </pic:blipFill>
                  <pic:spPr>
                    <a:xfrm rot="16200000">
                      <a:off x="0" y="0"/>
                      <a:ext cx="7432040" cy="5262245"/>
                    </a:xfrm>
                    <a:prstGeom prst="rect">
                      <a:avLst/>
                    </a:prstGeom>
                  </pic:spPr>
                </pic:pic>
              </a:graphicData>
            </a:graphic>
          </wp:inline>
        </w:drawing>
      </w:r>
      <w:r>
        <w:rPr>
          <w:rFonts w:hint="default" w:ascii="Times New Roman" w:hAnsi="Times New Roman" w:eastAsia="宋体" w:cs="Times New Roman"/>
          <w:snapToGrid w:val="0"/>
          <w:color w:val="auto"/>
          <w:sz w:val="30"/>
          <w:szCs w:val="30"/>
          <w:lang w:eastAsia="zh-CN"/>
        </w:rPr>
        <w:drawing>
          <wp:inline distT="0" distB="0" distL="114300" distR="114300">
            <wp:extent cx="5272405" cy="7452360"/>
            <wp:effectExtent l="0" t="0" r="4445" b="15240"/>
            <wp:docPr id="61" name="图片 61" descr="2a3259ac423d35a7a0bf77fe4e5e46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2a3259ac423d35a7a0bf77fe4e5e46e"/>
                    <pic:cNvPicPr>
                      <a:picLocks noChangeAspect="1"/>
                    </pic:cNvPicPr>
                  </pic:nvPicPr>
                  <pic:blipFill>
                    <a:blip r:embed="rId10"/>
                    <a:stretch>
                      <a:fillRect/>
                    </a:stretch>
                  </pic:blipFill>
                  <pic:spPr>
                    <a:xfrm>
                      <a:off x="0" y="0"/>
                      <a:ext cx="5272405" cy="7452360"/>
                    </a:xfrm>
                    <a:prstGeom prst="rect">
                      <a:avLst/>
                    </a:prstGeom>
                  </pic:spPr>
                </pic:pic>
              </a:graphicData>
            </a:graphic>
          </wp:inline>
        </w:drawing>
      </w:r>
      <w:r>
        <w:rPr>
          <w:rFonts w:hint="default" w:ascii="Times New Roman" w:hAnsi="Times New Roman" w:eastAsia="宋体" w:cs="Times New Roman"/>
          <w:color w:val="auto"/>
        </w:rPr>
        <w:drawing>
          <wp:inline distT="0" distB="0" distL="114300" distR="114300">
            <wp:extent cx="5272405" cy="7463790"/>
            <wp:effectExtent l="0" t="0" r="4445" b="3810"/>
            <wp:docPr id="6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9"/>
                    <pic:cNvPicPr>
                      <a:picLocks noChangeAspect="1"/>
                    </pic:cNvPicPr>
                  </pic:nvPicPr>
                  <pic:blipFill>
                    <a:blip r:embed="rId11"/>
                    <a:stretch>
                      <a:fillRect/>
                    </a:stretch>
                  </pic:blipFill>
                  <pic:spPr>
                    <a:xfrm>
                      <a:off x="0" y="0"/>
                      <a:ext cx="5272405" cy="7463790"/>
                    </a:xfrm>
                    <a:prstGeom prst="rect">
                      <a:avLst/>
                    </a:prstGeom>
                    <a:noFill/>
                    <a:ln>
                      <a:noFill/>
                    </a:ln>
                  </pic:spPr>
                </pic:pic>
              </a:graphicData>
            </a:graphic>
          </wp:inline>
        </w:drawing>
      </w:r>
      <w:r>
        <w:rPr>
          <w:rFonts w:hint="default" w:ascii="Times New Roman" w:hAnsi="Times New Roman" w:eastAsia="宋体" w:cs="Times New Roman"/>
          <w:color w:val="auto"/>
        </w:rPr>
        <w:drawing>
          <wp:inline distT="0" distB="0" distL="114300" distR="114300">
            <wp:extent cx="5273675" cy="7458075"/>
            <wp:effectExtent l="0" t="0" r="3175" b="9525"/>
            <wp:docPr id="6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10"/>
                    <pic:cNvPicPr>
                      <a:picLocks noChangeAspect="1"/>
                    </pic:cNvPicPr>
                  </pic:nvPicPr>
                  <pic:blipFill>
                    <a:blip r:embed="rId12"/>
                    <a:stretch>
                      <a:fillRect/>
                    </a:stretch>
                  </pic:blipFill>
                  <pic:spPr>
                    <a:xfrm>
                      <a:off x="0" y="0"/>
                      <a:ext cx="5273675" cy="7458075"/>
                    </a:xfrm>
                    <a:prstGeom prst="rect">
                      <a:avLst/>
                    </a:prstGeom>
                    <a:noFill/>
                    <a:ln>
                      <a:noFill/>
                    </a:ln>
                  </pic:spPr>
                </pic:pic>
              </a:graphicData>
            </a:graphic>
          </wp:inline>
        </w:drawing>
      </w:r>
      <w:r>
        <w:rPr>
          <w:rFonts w:hint="default" w:ascii="Times New Roman" w:hAnsi="Times New Roman" w:eastAsia="宋体" w:cs="Times New Roman"/>
          <w:color w:val="auto"/>
        </w:rPr>
        <w:drawing>
          <wp:inline distT="0" distB="0" distL="114300" distR="114300">
            <wp:extent cx="5273675" cy="7458075"/>
            <wp:effectExtent l="0" t="0" r="3175" b="9525"/>
            <wp:docPr id="6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1"/>
                    <pic:cNvPicPr>
                      <a:picLocks noChangeAspect="1"/>
                    </pic:cNvPicPr>
                  </pic:nvPicPr>
                  <pic:blipFill>
                    <a:blip r:embed="rId13"/>
                    <a:stretch>
                      <a:fillRect/>
                    </a:stretch>
                  </pic:blipFill>
                  <pic:spPr>
                    <a:xfrm>
                      <a:off x="0" y="0"/>
                      <a:ext cx="5273675" cy="7458075"/>
                    </a:xfrm>
                    <a:prstGeom prst="rect">
                      <a:avLst/>
                    </a:prstGeom>
                    <a:noFill/>
                    <a:ln>
                      <a:noFill/>
                    </a:ln>
                  </pic:spPr>
                </pic:pic>
              </a:graphicData>
            </a:graphic>
          </wp:inline>
        </w:drawing>
      </w:r>
    </w:p>
    <w:p w14:paraId="45DABF60">
      <w:pPr>
        <w:pStyle w:val="13"/>
        <w:keepNext w:val="0"/>
        <w:keepLines w:val="0"/>
        <w:pageBreakBefore w:val="0"/>
        <w:widowControl w:val="0"/>
        <w:kinsoku/>
        <w:wordWrap/>
        <w:overflowPunct/>
        <w:topLinePunct w:val="0"/>
        <w:bidi w:val="0"/>
        <w:jc w:val="center"/>
        <w:outlineLvl w:val="0"/>
        <w:rPr>
          <w:rFonts w:hint="default" w:ascii="Times New Roman" w:hAnsi="Times New Roman" w:eastAsia="宋体" w:cs="Times New Roman"/>
          <w:snapToGrid w:val="0"/>
          <w:color w:val="auto"/>
          <w:sz w:val="30"/>
          <w:szCs w:val="30"/>
        </w:rPr>
      </w:pPr>
      <w:r>
        <w:rPr>
          <w:rFonts w:hint="default" w:ascii="Times New Roman" w:hAnsi="Times New Roman" w:eastAsia="宋体" w:cs="Times New Roman"/>
          <w:snapToGrid w:val="0"/>
          <w:color w:val="auto"/>
          <w:sz w:val="30"/>
          <w:szCs w:val="30"/>
        </w:rPr>
        <w:t>一、建设项目基本情况</w:t>
      </w:r>
    </w:p>
    <w:tbl>
      <w:tblPr>
        <w:tblStyle w:val="14"/>
        <w:tblW w:w="8989"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1550"/>
        <w:gridCol w:w="1993"/>
        <w:gridCol w:w="2250"/>
        <w:gridCol w:w="3196"/>
      </w:tblGrid>
      <w:tr w14:paraId="2784C66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24" w:hRule="atLeast"/>
          <w:jc w:val="center"/>
        </w:trPr>
        <w:tc>
          <w:tcPr>
            <w:tcW w:w="1550" w:type="dxa"/>
            <w:tcMar>
              <w:top w:w="16" w:type="dxa"/>
              <w:left w:w="16" w:type="dxa"/>
              <w:right w:w="16" w:type="dxa"/>
            </w:tcMar>
            <w:vAlign w:val="center"/>
          </w:tcPr>
          <w:p w14:paraId="73ECA28F">
            <w:pPr>
              <w:keepNext w:val="0"/>
              <w:keepLines w:val="0"/>
              <w:pageBreakBefore w:val="0"/>
              <w:widowControl w:val="0"/>
              <w:kinsoku/>
              <w:wordWrap/>
              <w:overflowPunct/>
              <w:topLinePunct w:val="0"/>
              <w:bidi w:val="0"/>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建设项目名称</w:t>
            </w:r>
          </w:p>
        </w:tc>
        <w:tc>
          <w:tcPr>
            <w:tcW w:w="7439" w:type="dxa"/>
            <w:gridSpan w:val="3"/>
            <w:vAlign w:val="center"/>
          </w:tcPr>
          <w:p w14:paraId="58253C3D">
            <w:pPr>
              <w:keepNext w:val="0"/>
              <w:keepLines w:val="0"/>
              <w:pageBreakBefore w:val="0"/>
              <w:widowControl w:val="0"/>
              <w:kinsoku/>
              <w:wordWrap/>
              <w:overflowPunct/>
              <w:topLinePunct w:val="0"/>
              <w:bidi w:val="0"/>
              <w:adjustRightInd w:val="0"/>
              <w:snapToGrid w:val="0"/>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淄博启新新材料科技有限公司年产1万吨超硬复合新材料项目</w:t>
            </w:r>
          </w:p>
        </w:tc>
      </w:tr>
      <w:tr w14:paraId="394623D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24" w:hRule="atLeast"/>
          <w:jc w:val="center"/>
        </w:trPr>
        <w:tc>
          <w:tcPr>
            <w:tcW w:w="1550" w:type="dxa"/>
            <w:tcMar>
              <w:top w:w="16" w:type="dxa"/>
              <w:left w:w="16" w:type="dxa"/>
              <w:right w:w="16" w:type="dxa"/>
            </w:tcMar>
            <w:vAlign w:val="center"/>
          </w:tcPr>
          <w:p w14:paraId="2BBC39E2">
            <w:pPr>
              <w:keepNext w:val="0"/>
              <w:keepLines w:val="0"/>
              <w:pageBreakBefore w:val="0"/>
              <w:widowControl w:val="0"/>
              <w:kinsoku/>
              <w:wordWrap/>
              <w:overflowPunct/>
              <w:topLinePunct w:val="0"/>
              <w:bidi w:val="0"/>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项目代码</w:t>
            </w:r>
          </w:p>
        </w:tc>
        <w:tc>
          <w:tcPr>
            <w:tcW w:w="7439" w:type="dxa"/>
            <w:gridSpan w:val="3"/>
            <w:vAlign w:val="center"/>
          </w:tcPr>
          <w:p w14:paraId="6F054C1F">
            <w:pPr>
              <w:keepNext w:val="0"/>
              <w:keepLines w:val="0"/>
              <w:pageBreakBefore w:val="0"/>
              <w:widowControl w:val="0"/>
              <w:kinsoku/>
              <w:wordWrap/>
              <w:overflowPunct/>
              <w:topLinePunct w:val="0"/>
              <w:bidi w:val="0"/>
              <w:adjustRightInd w:val="0"/>
              <w:snapToGrid w:val="0"/>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2502-370392-89-02-507180</w:t>
            </w:r>
          </w:p>
        </w:tc>
      </w:tr>
      <w:tr w14:paraId="7B92B82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4" w:hRule="atLeast"/>
          <w:jc w:val="center"/>
        </w:trPr>
        <w:tc>
          <w:tcPr>
            <w:tcW w:w="1550" w:type="dxa"/>
            <w:tcMar>
              <w:top w:w="16" w:type="dxa"/>
              <w:left w:w="16" w:type="dxa"/>
              <w:right w:w="16" w:type="dxa"/>
            </w:tcMar>
            <w:vAlign w:val="center"/>
          </w:tcPr>
          <w:p w14:paraId="52DAD6FC">
            <w:pPr>
              <w:keepNext w:val="0"/>
              <w:keepLines w:val="0"/>
              <w:pageBreakBefore w:val="0"/>
              <w:widowControl w:val="0"/>
              <w:kinsoku/>
              <w:wordWrap/>
              <w:overflowPunct/>
              <w:topLinePunct w:val="0"/>
              <w:bidi w:val="0"/>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建设单位联系人</w:t>
            </w:r>
          </w:p>
        </w:tc>
        <w:tc>
          <w:tcPr>
            <w:tcW w:w="1993" w:type="dxa"/>
            <w:vAlign w:val="center"/>
          </w:tcPr>
          <w:p w14:paraId="30766B7F">
            <w:pPr>
              <w:keepNext w:val="0"/>
              <w:keepLines w:val="0"/>
              <w:pageBreakBefore w:val="0"/>
              <w:widowControl w:val="0"/>
              <w:kinsoku/>
              <w:wordWrap/>
              <w:overflowPunct/>
              <w:topLinePunct w:val="0"/>
              <w:bidi w:val="0"/>
              <w:adjustRightInd w:val="0"/>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魏云鹏</w:t>
            </w:r>
          </w:p>
        </w:tc>
        <w:tc>
          <w:tcPr>
            <w:tcW w:w="2250" w:type="dxa"/>
            <w:vAlign w:val="center"/>
          </w:tcPr>
          <w:p w14:paraId="4A06BAD5">
            <w:pPr>
              <w:keepNext w:val="0"/>
              <w:keepLines w:val="0"/>
              <w:pageBreakBefore w:val="0"/>
              <w:widowControl w:val="0"/>
              <w:kinsoku/>
              <w:wordWrap/>
              <w:overflowPunct/>
              <w:topLinePunct w:val="0"/>
              <w:bidi w:val="0"/>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联系方式</w:t>
            </w:r>
          </w:p>
        </w:tc>
        <w:tc>
          <w:tcPr>
            <w:tcW w:w="3196" w:type="dxa"/>
            <w:vAlign w:val="center"/>
          </w:tcPr>
          <w:p w14:paraId="7F3A5318">
            <w:pPr>
              <w:keepNext w:val="0"/>
              <w:keepLines w:val="0"/>
              <w:pageBreakBefore w:val="0"/>
              <w:widowControl w:val="0"/>
              <w:kinsoku/>
              <w:wordWrap/>
              <w:overflowPunct/>
              <w:topLinePunct w:val="0"/>
              <w:bidi w:val="0"/>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18560891119</w:t>
            </w:r>
          </w:p>
        </w:tc>
      </w:tr>
      <w:tr w14:paraId="3CC80FE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84" w:hRule="atLeast"/>
          <w:jc w:val="center"/>
        </w:trPr>
        <w:tc>
          <w:tcPr>
            <w:tcW w:w="1550" w:type="dxa"/>
            <w:tcMar>
              <w:top w:w="16" w:type="dxa"/>
              <w:left w:w="16" w:type="dxa"/>
              <w:right w:w="16" w:type="dxa"/>
            </w:tcMar>
            <w:vAlign w:val="center"/>
          </w:tcPr>
          <w:p w14:paraId="46AE9FEE">
            <w:pPr>
              <w:keepNext w:val="0"/>
              <w:keepLines w:val="0"/>
              <w:pageBreakBefore w:val="0"/>
              <w:widowControl w:val="0"/>
              <w:kinsoku/>
              <w:wordWrap/>
              <w:overflowPunct/>
              <w:topLinePunct w:val="0"/>
              <w:bidi w:val="0"/>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建设地点</w:t>
            </w:r>
          </w:p>
        </w:tc>
        <w:tc>
          <w:tcPr>
            <w:tcW w:w="7439" w:type="dxa"/>
            <w:gridSpan w:val="3"/>
            <w:vAlign w:val="center"/>
          </w:tcPr>
          <w:p w14:paraId="343A547D">
            <w:pPr>
              <w:keepNext w:val="0"/>
              <w:keepLines w:val="0"/>
              <w:pageBreakBefore w:val="0"/>
              <w:widowControl w:val="0"/>
              <w:kinsoku/>
              <w:wordWrap/>
              <w:overflowPunct/>
              <w:topLinePunct w:val="0"/>
              <w:bidi w:val="0"/>
              <w:adjustRightInd w:val="0"/>
              <w:snapToGrid w:val="0"/>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山东省淄博市文昌湖区萌水镇萌三村（村委南1000米）</w:t>
            </w:r>
          </w:p>
        </w:tc>
      </w:tr>
      <w:tr w14:paraId="0D4C908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24" w:hRule="atLeast"/>
          <w:jc w:val="center"/>
        </w:trPr>
        <w:tc>
          <w:tcPr>
            <w:tcW w:w="1550" w:type="dxa"/>
            <w:tcMar>
              <w:top w:w="16" w:type="dxa"/>
              <w:left w:w="16" w:type="dxa"/>
              <w:right w:w="16" w:type="dxa"/>
            </w:tcMar>
            <w:vAlign w:val="center"/>
          </w:tcPr>
          <w:p w14:paraId="62162E16">
            <w:pPr>
              <w:keepNext w:val="0"/>
              <w:keepLines w:val="0"/>
              <w:pageBreakBefore w:val="0"/>
              <w:widowControl w:val="0"/>
              <w:kinsoku/>
              <w:wordWrap/>
              <w:overflowPunct/>
              <w:topLinePunct w:val="0"/>
              <w:bidi w:val="0"/>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地理坐标</w:t>
            </w:r>
          </w:p>
        </w:tc>
        <w:tc>
          <w:tcPr>
            <w:tcW w:w="7439" w:type="dxa"/>
            <w:gridSpan w:val="3"/>
            <w:vAlign w:val="center"/>
          </w:tcPr>
          <w:p w14:paraId="07F2EBCB">
            <w:pPr>
              <w:keepNext w:val="0"/>
              <w:keepLines w:val="0"/>
              <w:pageBreakBefore w:val="0"/>
              <w:widowControl w:val="0"/>
              <w:kinsoku/>
              <w:wordWrap/>
              <w:overflowPunct/>
              <w:topLinePunct w:val="0"/>
              <w:bidi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u w:val="single"/>
              </w:rPr>
              <w:t>117</w:t>
            </w:r>
            <w:r>
              <w:rPr>
                <w:rFonts w:hint="default" w:ascii="Times New Roman" w:hAnsi="Times New Roman" w:eastAsia="宋体" w:cs="Times New Roman"/>
                <w:color w:val="auto"/>
                <w:sz w:val="21"/>
                <w:szCs w:val="21"/>
              </w:rPr>
              <w:t>度</w:t>
            </w:r>
            <w:r>
              <w:rPr>
                <w:rFonts w:hint="default" w:ascii="Times New Roman" w:hAnsi="Times New Roman" w:eastAsia="宋体" w:cs="Times New Roman"/>
                <w:color w:val="auto"/>
                <w:sz w:val="21"/>
                <w:szCs w:val="21"/>
                <w:u w:val="single"/>
              </w:rPr>
              <w:t>5</w:t>
            </w:r>
            <w:r>
              <w:rPr>
                <w:rFonts w:hint="default" w:ascii="Times New Roman" w:hAnsi="Times New Roman" w:eastAsia="宋体" w:cs="Times New Roman"/>
                <w:color w:val="auto"/>
                <w:sz w:val="21"/>
                <w:szCs w:val="21"/>
                <w:u w:val="single"/>
                <w:lang w:val="en-US" w:eastAsia="zh-CN"/>
              </w:rPr>
              <w:t>4</w:t>
            </w:r>
            <w:r>
              <w:rPr>
                <w:rFonts w:hint="default" w:ascii="Times New Roman" w:hAnsi="Times New Roman" w:eastAsia="宋体" w:cs="Times New Roman"/>
                <w:color w:val="auto"/>
                <w:sz w:val="21"/>
                <w:szCs w:val="21"/>
              </w:rPr>
              <w:t>分</w:t>
            </w:r>
            <w:r>
              <w:rPr>
                <w:rFonts w:hint="default" w:ascii="Times New Roman" w:hAnsi="Times New Roman" w:eastAsia="宋体" w:cs="Times New Roman"/>
                <w:color w:val="auto"/>
                <w:sz w:val="21"/>
                <w:szCs w:val="21"/>
                <w:u w:val="single"/>
              </w:rPr>
              <w:t>36.537</w:t>
            </w:r>
            <w:r>
              <w:rPr>
                <w:rFonts w:hint="default" w:ascii="Times New Roman" w:hAnsi="Times New Roman" w:eastAsia="宋体" w:cs="Times New Roman"/>
                <w:color w:val="auto"/>
                <w:sz w:val="21"/>
                <w:szCs w:val="21"/>
              </w:rPr>
              <w:t>秒，</w:t>
            </w:r>
            <w:r>
              <w:rPr>
                <w:rFonts w:hint="default" w:ascii="Times New Roman" w:hAnsi="Times New Roman" w:eastAsia="宋体" w:cs="Times New Roman"/>
                <w:color w:val="auto"/>
                <w:sz w:val="21"/>
                <w:szCs w:val="21"/>
                <w:u w:val="single"/>
              </w:rPr>
              <w:t>36</w:t>
            </w:r>
            <w:r>
              <w:rPr>
                <w:rFonts w:hint="default" w:ascii="Times New Roman" w:hAnsi="Times New Roman" w:eastAsia="宋体" w:cs="Times New Roman"/>
                <w:color w:val="auto"/>
                <w:sz w:val="21"/>
                <w:szCs w:val="21"/>
              </w:rPr>
              <w:t>度</w:t>
            </w:r>
            <w:r>
              <w:rPr>
                <w:rFonts w:hint="default" w:ascii="Times New Roman" w:hAnsi="Times New Roman" w:eastAsia="宋体" w:cs="Times New Roman"/>
                <w:color w:val="auto"/>
                <w:sz w:val="21"/>
                <w:szCs w:val="21"/>
                <w:u w:val="single"/>
              </w:rPr>
              <w:t>4</w:t>
            </w:r>
            <w:r>
              <w:rPr>
                <w:rFonts w:hint="default" w:ascii="Times New Roman" w:hAnsi="Times New Roman" w:eastAsia="宋体" w:cs="Times New Roman"/>
                <w:color w:val="auto"/>
                <w:sz w:val="21"/>
                <w:szCs w:val="21"/>
                <w:u w:val="single"/>
                <w:lang w:val="en-US" w:eastAsia="zh-CN"/>
              </w:rPr>
              <w:t>3</w:t>
            </w:r>
            <w:r>
              <w:rPr>
                <w:rFonts w:hint="default" w:ascii="Times New Roman" w:hAnsi="Times New Roman" w:eastAsia="宋体" w:cs="Times New Roman"/>
                <w:color w:val="auto"/>
                <w:sz w:val="21"/>
                <w:szCs w:val="21"/>
              </w:rPr>
              <w:t>分</w:t>
            </w:r>
            <w:r>
              <w:rPr>
                <w:rFonts w:hint="default" w:ascii="Times New Roman" w:hAnsi="Times New Roman" w:eastAsia="宋体" w:cs="Times New Roman"/>
                <w:color w:val="auto"/>
                <w:sz w:val="21"/>
                <w:szCs w:val="21"/>
                <w:u w:val="single"/>
              </w:rPr>
              <w:t>21.471</w:t>
            </w:r>
            <w:r>
              <w:rPr>
                <w:rFonts w:hint="default" w:ascii="Times New Roman" w:hAnsi="Times New Roman" w:eastAsia="宋体" w:cs="Times New Roman"/>
                <w:color w:val="auto"/>
                <w:sz w:val="21"/>
                <w:szCs w:val="21"/>
              </w:rPr>
              <w:t>秒）</w:t>
            </w:r>
          </w:p>
        </w:tc>
      </w:tr>
      <w:tr w14:paraId="549AF05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42" w:hRule="atLeast"/>
          <w:jc w:val="center"/>
        </w:trPr>
        <w:tc>
          <w:tcPr>
            <w:tcW w:w="1550" w:type="dxa"/>
            <w:tcMar>
              <w:top w:w="16" w:type="dxa"/>
              <w:left w:w="16" w:type="dxa"/>
              <w:right w:w="16" w:type="dxa"/>
            </w:tcMar>
            <w:vAlign w:val="center"/>
          </w:tcPr>
          <w:p w14:paraId="4D5082D3">
            <w:pPr>
              <w:keepNext w:val="0"/>
              <w:keepLines w:val="0"/>
              <w:pageBreakBefore w:val="0"/>
              <w:widowControl w:val="0"/>
              <w:kinsoku/>
              <w:wordWrap/>
              <w:overflowPunct/>
              <w:topLinePunct w:val="0"/>
              <w:bidi w:val="0"/>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国民经济</w:t>
            </w:r>
          </w:p>
          <w:p w14:paraId="24B7A9F4">
            <w:pPr>
              <w:keepNext w:val="0"/>
              <w:keepLines w:val="0"/>
              <w:pageBreakBefore w:val="0"/>
              <w:widowControl w:val="0"/>
              <w:kinsoku/>
              <w:wordWrap/>
              <w:overflowPunct/>
              <w:topLinePunct w:val="0"/>
              <w:bidi w:val="0"/>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行业类别</w:t>
            </w:r>
          </w:p>
        </w:tc>
        <w:tc>
          <w:tcPr>
            <w:tcW w:w="1993" w:type="dxa"/>
            <w:vAlign w:val="center"/>
          </w:tcPr>
          <w:p w14:paraId="34FFAC30">
            <w:pPr>
              <w:keepNext w:val="0"/>
              <w:keepLines w:val="0"/>
              <w:pageBreakBefore w:val="0"/>
              <w:widowControl w:val="0"/>
              <w:kinsoku/>
              <w:wordWrap/>
              <w:overflowPunct/>
              <w:topLinePunct w:val="0"/>
              <w:bidi w:val="0"/>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C3099其他非金属矿物制品制造</w:t>
            </w:r>
          </w:p>
        </w:tc>
        <w:tc>
          <w:tcPr>
            <w:tcW w:w="2250" w:type="dxa"/>
            <w:vAlign w:val="center"/>
          </w:tcPr>
          <w:p w14:paraId="4F7D9044">
            <w:pPr>
              <w:keepNext w:val="0"/>
              <w:keepLines w:val="0"/>
              <w:pageBreakBefore w:val="0"/>
              <w:widowControl w:val="0"/>
              <w:kinsoku/>
              <w:wordWrap/>
              <w:overflowPunct/>
              <w:topLinePunct w:val="0"/>
              <w:bidi w:val="0"/>
              <w:adjustRightInd w:val="0"/>
              <w:snapToGrid w:val="0"/>
              <w:jc w:val="center"/>
              <w:rPr>
                <w:rFonts w:hint="default" w:ascii="Times New Roman" w:hAnsi="Times New Roman" w:eastAsia="宋体" w:cs="Times New Roman"/>
                <w:color w:val="auto"/>
                <w:sz w:val="21"/>
                <w:szCs w:val="21"/>
              </w:rPr>
            </w:pPr>
            <w:bookmarkStart w:id="1" w:name="_Hlk49843745"/>
            <w:r>
              <w:rPr>
                <w:rFonts w:hint="default" w:ascii="Times New Roman" w:hAnsi="Times New Roman" w:eastAsia="宋体" w:cs="Times New Roman"/>
                <w:color w:val="auto"/>
                <w:sz w:val="21"/>
                <w:szCs w:val="21"/>
              </w:rPr>
              <w:t>建设项目</w:t>
            </w:r>
          </w:p>
          <w:p w14:paraId="1F1470F3">
            <w:pPr>
              <w:keepNext w:val="0"/>
              <w:keepLines w:val="0"/>
              <w:pageBreakBefore w:val="0"/>
              <w:widowControl w:val="0"/>
              <w:kinsoku/>
              <w:wordWrap/>
              <w:overflowPunct/>
              <w:topLinePunct w:val="0"/>
              <w:bidi w:val="0"/>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行业类别</w:t>
            </w:r>
            <w:bookmarkEnd w:id="1"/>
          </w:p>
        </w:tc>
        <w:tc>
          <w:tcPr>
            <w:tcW w:w="3196" w:type="dxa"/>
            <w:vAlign w:val="center"/>
          </w:tcPr>
          <w:p w14:paraId="6E3DD17F">
            <w:pPr>
              <w:keepNext w:val="0"/>
              <w:keepLines w:val="0"/>
              <w:pageBreakBefore w:val="0"/>
              <w:widowControl w:val="0"/>
              <w:kinsoku/>
              <w:wordWrap/>
              <w:overflowPunct/>
              <w:topLinePunct w:val="0"/>
              <w:bidi w:val="0"/>
              <w:adjustRightInd w:val="0"/>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二十七、非金属矿物制品业30</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石墨及其他非金属矿物制品制造309</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val="en-US" w:eastAsia="zh-CN"/>
              </w:rPr>
              <w:t>其他</w:t>
            </w:r>
          </w:p>
        </w:tc>
      </w:tr>
      <w:tr w14:paraId="4C1A8A6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300" w:hRule="atLeast"/>
          <w:jc w:val="center"/>
        </w:trPr>
        <w:tc>
          <w:tcPr>
            <w:tcW w:w="1550" w:type="dxa"/>
            <w:tcMar>
              <w:top w:w="16" w:type="dxa"/>
              <w:left w:w="16" w:type="dxa"/>
              <w:right w:w="16" w:type="dxa"/>
            </w:tcMar>
            <w:vAlign w:val="center"/>
          </w:tcPr>
          <w:p w14:paraId="570244F1">
            <w:pPr>
              <w:keepNext w:val="0"/>
              <w:keepLines w:val="0"/>
              <w:pageBreakBefore w:val="0"/>
              <w:widowControl w:val="0"/>
              <w:kinsoku/>
              <w:wordWrap/>
              <w:overflowPunct/>
              <w:topLinePunct w:val="0"/>
              <w:bidi w:val="0"/>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建设性质</w:t>
            </w:r>
          </w:p>
        </w:tc>
        <w:tc>
          <w:tcPr>
            <w:tcW w:w="1993" w:type="dxa"/>
            <w:vAlign w:val="center"/>
          </w:tcPr>
          <w:p w14:paraId="0D1BB283">
            <w:pPr>
              <w:keepNext w:val="0"/>
              <w:keepLines w:val="0"/>
              <w:pageBreakBefore w:val="0"/>
              <w:widowControl w:val="0"/>
              <w:kinsoku/>
              <w:wordWrap/>
              <w:overflowPunct/>
              <w:topLinePunct w:val="0"/>
              <w:bidi w:val="0"/>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新建（迁建）</w:t>
            </w:r>
          </w:p>
          <w:p w14:paraId="7A9C00B6">
            <w:pPr>
              <w:keepNext w:val="0"/>
              <w:keepLines w:val="0"/>
              <w:pageBreakBefore w:val="0"/>
              <w:widowControl w:val="0"/>
              <w:kinsoku/>
              <w:wordWrap/>
              <w:overflowPunct/>
              <w:topLinePunct w:val="0"/>
              <w:bidi w:val="0"/>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改建</w:t>
            </w:r>
          </w:p>
          <w:p w14:paraId="4DD43E00">
            <w:pPr>
              <w:keepNext w:val="0"/>
              <w:keepLines w:val="0"/>
              <w:pageBreakBefore w:val="0"/>
              <w:widowControl w:val="0"/>
              <w:kinsoku/>
              <w:wordWrap/>
              <w:overflowPunct/>
              <w:topLinePunct w:val="0"/>
              <w:bidi w:val="0"/>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扩建</w:t>
            </w:r>
          </w:p>
          <w:p w14:paraId="625B77D0">
            <w:pPr>
              <w:keepNext w:val="0"/>
              <w:keepLines w:val="0"/>
              <w:pageBreakBefore w:val="0"/>
              <w:widowControl w:val="0"/>
              <w:kinsoku/>
              <w:wordWrap/>
              <w:overflowPunct/>
              <w:topLinePunct w:val="0"/>
              <w:bidi w:val="0"/>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技术改造</w:t>
            </w:r>
          </w:p>
        </w:tc>
        <w:tc>
          <w:tcPr>
            <w:tcW w:w="2250" w:type="dxa"/>
            <w:vAlign w:val="center"/>
          </w:tcPr>
          <w:p w14:paraId="6A106364">
            <w:pPr>
              <w:keepNext w:val="0"/>
              <w:keepLines w:val="0"/>
              <w:pageBreakBefore w:val="0"/>
              <w:widowControl w:val="0"/>
              <w:kinsoku/>
              <w:wordWrap/>
              <w:overflowPunct/>
              <w:topLinePunct w:val="0"/>
              <w:bidi w:val="0"/>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建设项目</w:t>
            </w:r>
          </w:p>
          <w:p w14:paraId="11C1E4B3">
            <w:pPr>
              <w:keepNext w:val="0"/>
              <w:keepLines w:val="0"/>
              <w:pageBreakBefore w:val="0"/>
              <w:widowControl w:val="0"/>
              <w:kinsoku/>
              <w:wordWrap/>
              <w:overflowPunct/>
              <w:topLinePunct w:val="0"/>
              <w:bidi w:val="0"/>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申报情形</w:t>
            </w:r>
          </w:p>
        </w:tc>
        <w:tc>
          <w:tcPr>
            <w:tcW w:w="3196" w:type="dxa"/>
            <w:vAlign w:val="center"/>
          </w:tcPr>
          <w:p w14:paraId="566F53AF">
            <w:pPr>
              <w:keepNext w:val="0"/>
              <w:keepLines w:val="0"/>
              <w:pageBreakBefore w:val="0"/>
              <w:widowControl w:val="0"/>
              <w:kinsoku/>
              <w:wordWrap/>
              <w:overflowPunct/>
              <w:topLinePunct w:val="0"/>
              <w:bidi w:val="0"/>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首次申报项目</w:t>
            </w:r>
          </w:p>
          <w:p w14:paraId="07EA444F">
            <w:pPr>
              <w:keepNext w:val="0"/>
              <w:keepLines w:val="0"/>
              <w:pageBreakBefore w:val="0"/>
              <w:widowControl w:val="0"/>
              <w:kinsoku/>
              <w:wordWrap/>
              <w:overflowPunct/>
              <w:topLinePunct w:val="0"/>
              <w:bidi w:val="0"/>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不予批准后再次申报项目</w:t>
            </w:r>
          </w:p>
          <w:p w14:paraId="414B351C">
            <w:pPr>
              <w:keepNext w:val="0"/>
              <w:keepLines w:val="0"/>
              <w:pageBreakBefore w:val="0"/>
              <w:widowControl w:val="0"/>
              <w:kinsoku/>
              <w:wordWrap/>
              <w:overflowPunct/>
              <w:topLinePunct w:val="0"/>
              <w:bidi w:val="0"/>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超五年重新审核项目</w:t>
            </w:r>
          </w:p>
          <w:p w14:paraId="7D4145AA">
            <w:pPr>
              <w:keepNext w:val="0"/>
              <w:keepLines w:val="0"/>
              <w:pageBreakBefore w:val="0"/>
              <w:widowControl w:val="0"/>
              <w:kinsoku/>
              <w:wordWrap/>
              <w:overflowPunct/>
              <w:topLinePunct w:val="0"/>
              <w:bidi w:val="0"/>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重大变动重新报批项目</w:t>
            </w:r>
          </w:p>
        </w:tc>
      </w:tr>
      <w:tr w14:paraId="3E636E6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23" w:hRule="atLeast"/>
          <w:jc w:val="center"/>
        </w:trPr>
        <w:tc>
          <w:tcPr>
            <w:tcW w:w="1550" w:type="dxa"/>
            <w:tcMar>
              <w:top w:w="16" w:type="dxa"/>
              <w:left w:w="16" w:type="dxa"/>
              <w:right w:w="16" w:type="dxa"/>
            </w:tcMar>
            <w:vAlign w:val="center"/>
          </w:tcPr>
          <w:p w14:paraId="313DB1F2">
            <w:pPr>
              <w:keepNext w:val="0"/>
              <w:keepLines w:val="0"/>
              <w:pageBreakBefore w:val="0"/>
              <w:widowControl w:val="0"/>
              <w:kinsoku/>
              <w:wordWrap/>
              <w:overflowPunct/>
              <w:topLinePunct w:val="0"/>
              <w:bidi w:val="0"/>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项目审批（备案）部门（选填）</w:t>
            </w:r>
          </w:p>
        </w:tc>
        <w:tc>
          <w:tcPr>
            <w:tcW w:w="1993" w:type="dxa"/>
            <w:vAlign w:val="center"/>
          </w:tcPr>
          <w:p w14:paraId="26E060CA">
            <w:pPr>
              <w:keepNext w:val="0"/>
              <w:keepLines w:val="0"/>
              <w:pageBreakBefore w:val="0"/>
              <w:widowControl w:val="0"/>
              <w:kinsoku/>
              <w:wordWrap/>
              <w:overflowPunct/>
              <w:topLinePunct w:val="0"/>
              <w:bidi w:val="0"/>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淄博市文昌湖省级旅游度假区经济发展局</w:t>
            </w:r>
          </w:p>
        </w:tc>
        <w:tc>
          <w:tcPr>
            <w:tcW w:w="2250" w:type="dxa"/>
            <w:vAlign w:val="center"/>
          </w:tcPr>
          <w:p w14:paraId="08EDF0FD">
            <w:pPr>
              <w:keepNext w:val="0"/>
              <w:keepLines w:val="0"/>
              <w:pageBreakBefore w:val="0"/>
              <w:widowControl w:val="0"/>
              <w:kinsoku/>
              <w:wordWrap/>
              <w:overflowPunct/>
              <w:topLinePunct w:val="0"/>
              <w:bidi w:val="0"/>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项目审批（备案）文号（选填）</w:t>
            </w:r>
          </w:p>
        </w:tc>
        <w:tc>
          <w:tcPr>
            <w:tcW w:w="3196" w:type="dxa"/>
            <w:vAlign w:val="center"/>
          </w:tcPr>
          <w:p w14:paraId="2B42D7F4">
            <w:pPr>
              <w:keepNext w:val="0"/>
              <w:keepLines w:val="0"/>
              <w:pageBreakBefore w:val="0"/>
              <w:widowControl w:val="0"/>
              <w:kinsoku/>
              <w:wordWrap/>
              <w:overflowPunct/>
              <w:topLinePunct w:val="0"/>
              <w:bidi w:val="0"/>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2502-370392-89-02-507180</w:t>
            </w:r>
          </w:p>
        </w:tc>
      </w:tr>
      <w:tr w14:paraId="0F165CB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78" w:hRule="atLeast"/>
          <w:jc w:val="center"/>
        </w:trPr>
        <w:tc>
          <w:tcPr>
            <w:tcW w:w="1550" w:type="dxa"/>
            <w:tcMar>
              <w:top w:w="16" w:type="dxa"/>
              <w:left w:w="16" w:type="dxa"/>
              <w:right w:w="16" w:type="dxa"/>
            </w:tcMar>
            <w:vAlign w:val="center"/>
          </w:tcPr>
          <w:p w14:paraId="078F3931">
            <w:pPr>
              <w:keepNext w:val="0"/>
              <w:keepLines w:val="0"/>
              <w:pageBreakBefore w:val="0"/>
              <w:widowControl w:val="0"/>
              <w:kinsoku/>
              <w:wordWrap/>
              <w:overflowPunct/>
              <w:topLinePunct w:val="0"/>
              <w:bidi w:val="0"/>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总投资（万元）</w:t>
            </w:r>
          </w:p>
        </w:tc>
        <w:tc>
          <w:tcPr>
            <w:tcW w:w="1993" w:type="dxa"/>
            <w:vAlign w:val="center"/>
          </w:tcPr>
          <w:p w14:paraId="1C91C320">
            <w:pPr>
              <w:keepNext w:val="0"/>
              <w:keepLines w:val="0"/>
              <w:pageBreakBefore w:val="0"/>
              <w:widowControl w:val="0"/>
              <w:kinsoku/>
              <w:wordWrap/>
              <w:overflowPunct/>
              <w:topLinePunct w:val="0"/>
              <w:bidi w:val="0"/>
              <w:adjustRightInd w:val="0"/>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520</w:t>
            </w:r>
          </w:p>
        </w:tc>
        <w:tc>
          <w:tcPr>
            <w:tcW w:w="2250" w:type="dxa"/>
            <w:tcMar>
              <w:top w:w="16" w:type="dxa"/>
              <w:left w:w="16" w:type="dxa"/>
              <w:right w:w="16" w:type="dxa"/>
            </w:tcMar>
            <w:vAlign w:val="center"/>
          </w:tcPr>
          <w:p w14:paraId="1EF7708E">
            <w:pPr>
              <w:keepNext w:val="0"/>
              <w:keepLines w:val="0"/>
              <w:pageBreakBefore w:val="0"/>
              <w:widowControl w:val="0"/>
              <w:kinsoku/>
              <w:wordWrap/>
              <w:overflowPunct/>
              <w:topLinePunct w:val="0"/>
              <w:bidi w:val="0"/>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环保投资（万元）</w:t>
            </w:r>
          </w:p>
        </w:tc>
        <w:tc>
          <w:tcPr>
            <w:tcW w:w="3196" w:type="dxa"/>
            <w:vAlign w:val="center"/>
          </w:tcPr>
          <w:p w14:paraId="15A5A778">
            <w:pPr>
              <w:keepNext w:val="0"/>
              <w:keepLines w:val="0"/>
              <w:pageBreakBefore w:val="0"/>
              <w:widowControl w:val="0"/>
              <w:kinsoku/>
              <w:wordWrap/>
              <w:overflowPunct/>
              <w:topLinePunct w:val="0"/>
              <w:bidi w:val="0"/>
              <w:adjustRightInd w:val="0"/>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10</w:t>
            </w:r>
          </w:p>
        </w:tc>
      </w:tr>
      <w:tr w14:paraId="6F69B56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550" w:type="dxa"/>
            <w:tcMar>
              <w:top w:w="16" w:type="dxa"/>
              <w:left w:w="16" w:type="dxa"/>
              <w:right w:w="16" w:type="dxa"/>
            </w:tcMar>
            <w:vAlign w:val="center"/>
          </w:tcPr>
          <w:p w14:paraId="67EED1AF">
            <w:pPr>
              <w:keepNext w:val="0"/>
              <w:keepLines w:val="0"/>
              <w:pageBreakBefore w:val="0"/>
              <w:widowControl w:val="0"/>
              <w:kinsoku/>
              <w:wordWrap/>
              <w:overflowPunct/>
              <w:topLinePunct w:val="0"/>
              <w:bidi w:val="0"/>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环保投资占比（%）</w:t>
            </w:r>
          </w:p>
        </w:tc>
        <w:tc>
          <w:tcPr>
            <w:tcW w:w="1993" w:type="dxa"/>
            <w:vAlign w:val="center"/>
          </w:tcPr>
          <w:p w14:paraId="4FEF092E">
            <w:pPr>
              <w:keepNext w:val="0"/>
              <w:keepLines w:val="0"/>
              <w:pageBreakBefore w:val="0"/>
              <w:widowControl w:val="0"/>
              <w:kinsoku/>
              <w:wordWrap/>
              <w:overflowPunct/>
              <w:topLinePunct w:val="0"/>
              <w:bidi w:val="0"/>
              <w:adjustRightInd w:val="0"/>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1.9</w:t>
            </w:r>
          </w:p>
        </w:tc>
        <w:tc>
          <w:tcPr>
            <w:tcW w:w="2250" w:type="dxa"/>
            <w:tcMar>
              <w:top w:w="16" w:type="dxa"/>
              <w:left w:w="16" w:type="dxa"/>
              <w:right w:w="16" w:type="dxa"/>
            </w:tcMar>
            <w:vAlign w:val="center"/>
          </w:tcPr>
          <w:p w14:paraId="2040050D">
            <w:pPr>
              <w:keepNext w:val="0"/>
              <w:keepLines w:val="0"/>
              <w:pageBreakBefore w:val="0"/>
              <w:widowControl w:val="0"/>
              <w:kinsoku/>
              <w:wordWrap/>
              <w:overflowPunct/>
              <w:topLinePunct w:val="0"/>
              <w:bidi w:val="0"/>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施工工期</w:t>
            </w:r>
          </w:p>
        </w:tc>
        <w:tc>
          <w:tcPr>
            <w:tcW w:w="3196" w:type="dxa"/>
            <w:vAlign w:val="center"/>
          </w:tcPr>
          <w:p w14:paraId="530E874F">
            <w:pPr>
              <w:keepNext w:val="0"/>
              <w:keepLines w:val="0"/>
              <w:pageBreakBefore w:val="0"/>
              <w:widowControl w:val="0"/>
              <w:kinsoku/>
              <w:wordWrap/>
              <w:overflowPunct/>
              <w:topLinePunct w:val="0"/>
              <w:bidi w:val="0"/>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3个月</w:t>
            </w:r>
          </w:p>
        </w:tc>
      </w:tr>
      <w:tr w14:paraId="7276C21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550" w:type="dxa"/>
            <w:tcMar>
              <w:top w:w="16" w:type="dxa"/>
              <w:left w:w="16" w:type="dxa"/>
              <w:right w:w="16" w:type="dxa"/>
            </w:tcMar>
            <w:vAlign w:val="center"/>
          </w:tcPr>
          <w:p w14:paraId="4560B969">
            <w:pPr>
              <w:keepNext w:val="0"/>
              <w:keepLines w:val="0"/>
              <w:pageBreakBefore w:val="0"/>
              <w:widowControl w:val="0"/>
              <w:kinsoku/>
              <w:wordWrap/>
              <w:overflowPunct/>
              <w:topLinePunct w:val="0"/>
              <w:bidi w:val="0"/>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是否开工建设</w:t>
            </w:r>
          </w:p>
        </w:tc>
        <w:tc>
          <w:tcPr>
            <w:tcW w:w="1993" w:type="dxa"/>
            <w:vAlign w:val="center"/>
          </w:tcPr>
          <w:p w14:paraId="2AB5C331">
            <w:pPr>
              <w:keepNext w:val="0"/>
              <w:keepLines w:val="0"/>
              <w:pageBreakBefore w:val="0"/>
              <w:widowControl w:val="0"/>
              <w:kinsoku/>
              <w:wordWrap/>
              <w:overflowPunct/>
              <w:topLinePunct w:val="0"/>
              <w:bidi w:val="0"/>
              <w:adjustRightInd w:val="0"/>
              <w:snapToGrid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☑否</w:t>
            </w:r>
          </w:p>
          <w:p w14:paraId="1A0E04AC">
            <w:pPr>
              <w:keepNext w:val="0"/>
              <w:keepLines w:val="0"/>
              <w:pageBreakBefore w:val="0"/>
              <w:widowControl w:val="0"/>
              <w:kinsoku/>
              <w:wordWrap/>
              <w:overflowPunct/>
              <w:topLinePunct w:val="0"/>
              <w:bidi w:val="0"/>
              <w:adjustRightInd w:val="0"/>
              <w:snapToGrid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是：</w:t>
            </w:r>
          </w:p>
        </w:tc>
        <w:tc>
          <w:tcPr>
            <w:tcW w:w="2250" w:type="dxa"/>
            <w:tcMar>
              <w:top w:w="16" w:type="dxa"/>
              <w:left w:w="16" w:type="dxa"/>
              <w:right w:w="16" w:type="dxa"/>
            </w:tcMar>
            <w:vAlign w:val="center"/>
          </w:tcPr>
          <w:p w14:paraId="26D5F41B">
            <w:pPr>
              <w:keepNext w:val="0"/>
              <w:keepLines w:val="0"/>
              <w:pageBreakBefore w:val="0"/>
              <w:widowControl w:val="0"/>
              <w:kinsoku/>
              <w:wordWrap/>
              <w:overflowPunct/>
              <w:topLinePunct w:val="0"/>
              <w:bidi w:val="0"/>
              <w:adjustRightInd w:val="0"/>
              <w:snapToGrid w:val="0"/>
              <w:jc w:val="center"/>
              <w:rPr>
                <w:rFonts w:hint="default" w:ascii="Times New Roman" w:hAnsi="Times New Roman" w:eastAsia="宋体" w:cs="Times New Roman"/>
                <w:color w:val="auto"/>
                <w:spacing w:val="-6"/>
                <w:sz w:val="21"/>
                <w:szCs w:val="21"/>
              </w:rPr>
            </w:pPr>
            <w:r>
              <w:rPr>
                <w:rFonts w:hint="default" w:ascii="Times New Roman" w:hAnsi="Times New Roman" w:eastAsia="宋体" w:cs="Times New Roman"/>
                <w:color w:val="auto"/>
                <w:spacing w:val="-6"/>
                <w:sz w:val="21"/>
                <w:szCs w:val="21"/>
              </w:rPr>
              <w:t>用地（用海）</w:t>
            </w:r>
          </w:p>
          <w:p w14:paraId="79027D6E">
            <w:pPr>
              <w:keepNext w:val="0"/>
              <w:keepLines w:val="0"/>
              <w:pageBreakBefore w:val="0"/>
              <w:widowControl w:val="0"/>
              <w:kinsoku/>
              <w:wordWrap/>
              <w:overflowPunct/>
              <w:topLinePunct w:val="0"/>
              <w:bidi w:val="0"/>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6"/>
                <w:sz w:val="21"/>
                <w:szCs w:val="21"/>
              </w:rPr>
              <w:t>面积（m</w:t>
            </w:r>
            <w:r>
              <w:rPr>
                <w:rFonts w:hint="default" w:ascii="Times New Roman" w:hAnsi="Times New Roman" w:eastAsia="宋体" w:cs="Times New Roman"/>
                <w:color w:val="auto"/>
                <w:spacing w:val="-6"/>
                <w:sz w:val="21"/>
                <w:szCs w:val="21"/>
                <w:vertAlign w:val="superscript"/>
              </w:rPr>
              <w:t>2</w:t>
            </w:r>
            <w:r>
              <w:rPr>
                <w:rFonts w:hint="default" w:ascii="Times New Roman" w:hAnsi="Times New Roman" w:eastAsia="宋体" w:cs="Times New Roman"/>
                <w:color w:val="auto"/>
                <w:spacing w:val="-6"/>
                <w:sz w:val="21"/>
                <w:szCs w:val="21"/>
              </w:rPr>
              <w:t>）</w:t>
            </w:r>
          </w:p>
        </w:tc>
        <w:tc>
          <w:tcPr>
            <w:tcW w:w="3196" w:type="dxa"/>
            <w:vAlign w:val="center"/>
          </w:tcPr>
          <w:p w14:paraId="6F92EC0E">
            <w:pPr>
              <w:keepNext w:val="0"/>
              <w:keepLines w:val="0"/>
              <w:pageBreakBefore w:val="0"/>
              <w:widowControl w:val="0"/>
              <w:kinsoku/>
              <w:wordWrap/>
              <w:overflowPunct/>
              <w:topLinePunct w:val="0"/>
              <w:bidi w:val="0"/>
              <w:adjustRightInd w:val="0"/>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2500</w:t>
            </w:r>
          </w:p>
        </w:tc>
      </w:tr>
      <w:tr w14:paraId="4F184BE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44" w:hRule="atLeast"/>
          <w:jc w:val="center"/>
        </w:trPr>
        <w:tc>
          <w:tcPr>
            <w:tcW w:w="1550" w:type="dxa"/>
            <w:vAlign w:val="center"/>
          </w:tcPr>
          <w:p w14:paraId="51016ABC">
            <w:pPr>
              <w:keepNext w:val="0"/>
              <w:keepLines w:val="0"/>
              <w:pageBreakBefore w:val="0"/>
              <w:widowControl w:val="0"/>
              <w:kinsoku/>
              <w:wordWrap/>
              <w:overflowPunct/>
              <w:topLinePunct w:val="0"/>
              <w:autoSpaceDE w:val="0"/>
              <w:autoSpaceDN w:val="0"/>
              <w:bidi w:val="0"/>
              <w:adjustRightInd w:val="0"/>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专项评价设置情况</w:t>
            </w:r>
          </w:p>
        </w:tc>
        <w:tc>
          <w:tcPr>
            <w:tcW w:w="7439" w:type="dxa"/>
            <w:gridSpan w:val="3"/>
            <w:vAlign w:val="center"/>
          </w:tcPr>
          <w:tbl>
            <w:tblPr>
              <w:tblStyle w:val="14"/>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21"/>
              <w:gridCol w:w="3349"/>
              <w:gridCol w:w="2139"/>
              <w:gridCol w:w="700"/>
            </w:tblGrid>
            <w:tr w14:paraId="1E58B2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8" w:type="pct"/>
                  <w:shd w:val="clear" w:color="auto" w:fill="auto"/>
                  <w:noWrap w:val="0"/>
                  <w:vAlign w:val="center"/>
                </w:tcPr>
                <w:p w14:paraId="358AF270">
                  <w:pPr>
                    <w:pStyle w:val="22"/>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专项评价的类别</w:t>
                  </w:r>
                </w:p>
              </w:tc>
              <w:tc>
                <w:tcPr>
                  <w:tcW w:w="2322" w:type="pct"/>
                  <w:shd w:val="clear" w:color="auto" w:fill="auto"/>
                  <w:noWrap w:val="0"/>
                  <w:vAlign w:val="center"/>
                </w:tcPr>
                <w:p w14:paraId="604B4F4D">
                  <w:pPr>
                    <w:pStyle w:val="22"/>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设置原则</w:t>
                  </w:r>
                </w:p>
              </w:tc>
              <w:tc>
                <w:tcPr>
                  <w:tcW w:w="1483" w:type="pct"/>
                  <w:shd w:val="clear" w:color="auto" w:fill="auto"/>
                  <w:noWrap w:val="0"/>
                  <w:vAlign w:val="center"/>
                </w:tcPr>
                <w:p w14:paraId="12DE372E">
                  <w:pPr>
                    <w:pStyle w:val="22"/>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本项目情况</w:t>
                  </w:r>
                </w:p>
              </w:tc>
              <w:tc>
                <w:tcPr>
                  <w:tcW w:w="485" w:type="pct"/>
                  <w:shd w:val="clear" w:color="auto" w:fill="auto"/>
                  <w:noWrap w:val="0"/>
                  <w:vAlign w:val="center"/>
                </w:tcPr>
                <w:p w14:paraId="3D51775D">
                  <w:pPr>
                    <w:pStyle w:val="22"/>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是否设置专项</w:t>
                  </w:r>
                </w:p>
              </w:tc>
            </w:tr>
            <w:tr w14:paraId="64DA71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8" w:type="pct"/>
                  <w:shd w:val="clear" w:color="auto" w:fill="auto"/>
                  <w:noWrap w:val="0"/>
                  <w:vAlign w:val="center"/>
                </w:tcPr>
                <w:p w14:paraId="477879C3">
                  <w:pPr>
                    <w:pStyle w:val="22"/>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大气</w:t>
                  </w:r>
                </w:p>
              </w:tc>
              <w:tc>
                <w:tcPr>
                  <w:tcW w:w="2322" w:type="pct"/>
                  <w:shd w:val="clear" w:color="auto" w:fill="auto"/>
                  <w:noWrap w:val="0"/>
                  <w:vAlign w:val="center"/>
                </w:tcPr>
                <w:p w14:paraId="11A362DF">
                  <w:pPr>
                    <w:pStyle w:val="22"/>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排放废气含有毒有害污染物、二噁英、苯并[</w:t>
                  </w:r>
                  <w:r>
                    <w:rPr>
                      <w:rFonts w:hint="default" w:ascii="Times New Roman" w:hAnsi="Times New Roman" w:eastAsia="宋体" w:cs="Times New Roman"/>
                      <w:i/>
                      <w:color w:val="auto"/>
                      <w:sz w:val="21"/>
                      <w:szCs w:val="21"/>
                    </w:rPr>
                    <w:t>a</w:t>
                  </w:r>
                  <w:r>
                    <w:rPr>
                      <w:rFonts w:hint="default" w:ascii="Times New Roman" w:hAnsi="Times New Roman" w:eastAsia="宋体" w:cs="Times New Roman"/>
                      <w:color w:val="auto"/>
                      <w:sz w:val="21"/>
                      <w:szCs w:val="21"/>
                    </w:rPr>
                    <w:t>]芘、氰化</w:t>
                  </w:r>
                  <w:r>
                    <w:rPr>
                      <w:rFonts w:hint="default" w:ascii="Times New Roman" w:hAnsi="Times New Roman" w:eastAsia="宋体" w:cs="Times New Roman"/>
                      <w:color w:val="auto"/>
                      <w:spacing w:val="-8"/>
                      <w:sz w:val="21"/>
                      <w:szCs w:val="21"/>
                    </w:rPr>
                    <w:t>物、氯气且厂界外</w:t>
                  </w:r>
                  <w:r>
                    <w:rPr>
                      <w:rFonts w:hint="default" w:ascii="Times New Roman" w:hAnsi="Times New Roman" w:eastAsia="宋体" w:cs="Times New Roman"/>
                      <w:color w:val="auto"/>
                      <w:sz w:val="21"/>
                      <w:szCs w:val="21"/>
                    </w:rPr>
                    <w:t>500</w:t>
                  </w:r>
                  <w:r>
                    <w:rPr>
                      <w:rFonts w:hint="default" w:ascii="Times New Roman" w:hAnsi="Times New Roman" w:eastAsia="宋体" w:cs="Times New Roman"/>
                      <w:color w:val="auto"/>
                      <w:spacing w:val="-17"/>
                      <w:sz w:val="21"/>
                      <w:szCs w:val="21"/>
                    </w:rPr>
                    <w:t>米范围</w:t>
                  </w:r>
                  <w:r>
                    <w:rPr>
                      <w:rFonts w:hint="default" w:ascii="Times New Roman" w:hAnsi="Times New Roman" w:eastAsia="宋体" w:cs="Times New Roman"/>
                      <w:color w:val="auto"/>
                      <w:spacing w:val="-4"/>
                      <w:sz w:val="21"/>
                      <w:szCs w:val="21"/>
                    </w:rPr>
                    <w:t>内有环境空气保护目标的建设</w:t>
                  </w:r>
                  <w:r>
                    <w:rPr>
                      <w:rFonts w:hint="default" w:ascii="Times New Roman" w:hAnsi="Times New Roman" w:eastAsia="宋体" w:cs="Times New Roman"/>
                      <w:color w:val="auto"/>
                      <w:sz w:val="21"/>
                      <w:szCs w:val="21"/>
                    </w:rPr>
                    <w:t>项目</w:t>
                  </w:r>
                </w:p>
              </w:tc>
              <w:tc>
                <w:tcPr>
                  <w:tcW w:w="1483" w:type="pct"/>
                  <w:shd w:val="clear" w:color="auto" w:fill="auto"/>
                  <w:noWrap w:val="0"/>
                  <w:vAlign w:val="center"/>
                </w:tcPr>
                <w:p w14:paraId="0E3FD49D">
                  <w:pPr>
                    <w:pStyle w:val="22"/>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不涉及，无须设置</w:t>
                  </w:r>
                </w:p>
              </w:tc>
              <w:tc>
                <w:tcPr>
                  <w:tcW w:w="485" w:type="pct"/>
                  <w:shd w:val="clear" w:color="auto" w:fill="auto"/>
                  <w:noWrap w:val="0"/>
                  <w:vAlign w:val="center"/>
                </w:tcPr>
                <w:p w14:paraId="30335C55">
                  <w:pPr>
                    <w:pStyle w:val="22"/>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否</w:t>
                  </w:r>
                </w:p>
              </w:tc>
            </w:tr>
            <w:tr w14:paraId="537F38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8" w:type="pct"/>
                  <w:shd w:val="clear" w:color="auto" w:fill="auto"/>
                  <w:noWrap w:val="0"/>
                  <w:vAlign w:val="center"/>
                </w:tcPr>
                <w:p w14:paraId="5FCB305B">
                  <w:pPr>
                    <w:pStyle w:val="22"/>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地表水</w:t>
                  </w:r>
                </w:p>
              </w:tc>
              <w:tc>
                <w:tcPr>
                  <w:tcW w:w="2322" w:type="pct"/>
                  <w:shd w:val="clear" w:color="auto" w:fill="auto"/>
                  <w:noWrap w:val="0"/>
                  <w:vAlign w:val="center"/>
                </w:tcPr>
                <w:p w14:paraId="050BAD6B">
                  <w:pPr>
                    <w:pStyle w:val="22"/>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新增工业废水直排建设项目（槽罐车外送污水处理厂的除外）；新增废水直排的污水集中处理厂</w:t>
                  </w:r>
                </w:p>
              </w:tc>
              <w:tc>
                <w:tcPr>
                  <w:tcW w:w="1483" w:type="pct"/>
                  <w:shd w:val="clear" w:color="auto" w:fill="auto"/>
                  <w:noWrap w:val="0"/>
                  <w:vAlign w:val="center"/>
                </w:tcPr>
                <w:p w14:paraId="47B0A419">
                  <w:pPr>
                    <w:pStyle w:val="22"/>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本项目不新增</w:t>
                  </w:r>
                  <w:r>
                    <w:rPr>
                      <w:rFonts w:hint="default" w:ascii="Times New Roman" w:hAnsi="Times New Roman" w:eastAsia="宋体" w:cs="Times New Roman"/>
                      <w:color w:val="auto"/>
                      <w:sz w:val="21"/>
                      <w:szCs w:val="21"/>
                      <w:lang w:eastAsia="zh-CN"/>
                    </w:rPr>
                    <w:t>工业</w:t>
                  </w:r>
                  <w:r>
                    <w:rPr>
                      <w:rFonts w:hint="default" w:ascii="Times New Roman" w:hAnsi="Times New Roman" w:eastAsia="宋体" w:cs="Times New Roman"/>
                      <w:color w:val="auto"/>
                      <w:sz w:val="21"/>
                      <w:szCs w:val="21"/>
                    </w:rPr>
                    <w:t>废水直排。</w:t>
                  </w:r>
                </w:p>
              </w:tc>
              <w:tc>
                <w:tcPr>
                  <w:tcW w:w="485" w:type="pct"/>
                  <w:shd w:val="clear" w:color="auto" w:fill="auto"/>
                  <w:noWrap w:val="0"/>
                  <w:vAlign w:val="center"/>
                </w:tcPr>
                <w:p w14:paraId="31114233">
                  <w:pPr>
                    <w:pStyle w:val="22"/>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否</w:t>
                  </w:r>
                </w:p>
              </w:tc>
            </w:tr>
            <w:tr w14:paraId="2B3CCE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8" w:type="pct"/>
                  <w:shd w:val="clear" w:color="auto" w:fill="auto"/>
                  <w:noWrap w:val="0"/>
                  <w:vAlign w:val="center"/>
                </w:tcPr>
                <w:p w14:paraId="6D05690E">
                  <w:pPr>
                    <w:pStyle w:val="22"/>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环境风险</w:t>
                  </w:r>
                </w:p>
              </w:tc>
              <w:tc>
                <w:tcPr>
                  <w:tcW w:w="2322" w:type="pct"/>
                  <w:shd w:val="clear" w:color="auto" w:fill="auto"/>
                  <w:noWrap w:val="0"/>
                  <w:vAlign w:val="center"/>
                </w:tcPr>
                <w:p w14:paraId="2B3DCFA3">
                  <w:pPr>
                    <w:pStyle w:val="22"/>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有毒有害和易燃易爆危险物质存储量超过临界量的建设项目</w:t>
                  </w:r>
                </w:p>
              </w:tc>
              <w:tc>
                <w:tcPr>
                  <w:tcW w:w="1483" w:type="pct"/>
                  <w:shd w:val="clear" w:color="auto" w:fill="auto"/>
                  <w:noWrap w:val="0"/>
                  <w:vAlign w:val="center"/>
                </w:tcPr>
                <w:p w14:paraId="44AA4ABA">
                  <w:pPr>
                    <w:pStyle w:val="22"/>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不涉及，无须设置。</w:t>
                  </w:r>
                </w:p>
              </w:tc>
              <w:tc>
                <w:tcPr>
                  <w:tcW w:w="485" w:type="pct"/>
                  <w:shd w:val="clear" w:color="auto" w:fill="auto"/>
                  <w:noWrap w:val="0"/>
                  <w:vAlign w:val="center"/>
                </w:tcPr>
                <w:p w14:paraId="1BB495B3">
                  <w:pPr>
                    <w:pStyle w:val="22"/>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否</w:t>
                  </w:r>
                </w:p>
              </w:tc>
            </w:tr>
            <w:tr w14:paraId="626596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8" w:type="pct"/>
                  <w:shd w:val="clear" w:color="auto" w:fill="auto"/>
                  <w:noWrap w:val="0"/>
                  <w:vAlign w:val="center"/>
                </w:tcPr>
                <w:p w14:paraId="500989DE">
                  <w:pPr>
                    <w:pStyle w:val="22"/>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生态</w:t>
                  </w:r>
                </w:p>
              </w:tc>
              <w:tc>
                <w:tcPr>
                  <w:tcW w:w="2322" w:type="pct"/>
                  <w:shd w:val="clear" w:color="auto" w:fill="auto"/>
                  <w:noWrap w:val="0"/>
                  <w:vAlign w:val="center"/>
                </w:tcPr>
                <w:p w14:paraId="74E84ACB">
                  <w:pPr>
                    <w:pStyle w:val="22"/>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10"/>
                      <w:sz w:val="21"/>
                      <w:szCs w:val="21"/>
                    </w:rPr>
                    <w:t>取水口下游</w:t>
                  </w:r>
                  <w:r>
                    <w:rPr>
                      <w:rFonts w:hint="default" w:ascii="Times New Roman" w:hAnsi="Times New Roman" w:eastAsia="宋体" w:cs="Times New Roman"/>
                      <w:color w:val="auto"/>
                      <w:sz w:val="21"/>
                      <w:szCs w:val="21"/>
                    </w:rPr>
                    <w:t>500</w:t>
                  </w:r>
                  <w:r>
                    <w:rPr>
                      <w:rFonts w:hint="default" w:ascii="Times New Roman" w:hAnsi="Times New Roman" w:eastAsia="宋体" w:cs="Times New Roman"/>
                      <w:color w:val="auto"/>
                      <w:spacing w:val="-11"/>
                      <w:sz w:val="21"/>
                      <w:szCs w:val="21"/>
                    </w:rPr>
                    <w:t>米范围内有重</w:t>
                  </w:r>
                  <w:r>
                    <w:rPr>
                      <w:rFonts w:hint="default" w:ascii="Times New Roman" w:hAnsi="Times New Roman" w:eastAsia="宋体" w:cs="Times New Roman"/>
                      <w:color w:val="auto"/>
                      <w:spacing w:val="-4"/>
                      <w:sz w:val="21"/>
                      <w:szCs w:val="21"/>
                    </w:rPr>
                    <w:t>要水生生物的自然产卵场、索饵场、越冬场和洄游通道的新</w:t>
                  </w:r>
                  <w:r>
                    <w:rPr>
                      <w:rFonts w:hint="default" w:ascii="Times New Roman" w:hAnsi="Times New Roman" w:eastAsia="宋体" w:cs="Times New Roman"/>
                      <w:color w:val="auto"/>
                      <w:spacing w:val="-3"/>
                      <w:sz w:val="21"/>
                      <w:szCs w:val="21"/>
                    </w:rPr>
                    <w:t>增河道取水的污染类建设项目</w:t>
                  </w:r>
                </w:p>
              </w:tc>
              <w:tc>
                <w:tcPr>
                  <w:tcW w:w="1483" w:type="pct"/>
                  <w:shd w:val="clear" w:color="auto" w:fill="auto"/>
                  <w:noWrap w:val="0"/>
                  <w:vAlign w:val="center"/>
                </w:tcPr>
                <w:p w14:paraId="5C181E26">
                  <w:pPr>
                    <w:pStyle w:val="22"/>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不涉及，无须设置。</w:t>
                  </w:r>
                </w:p>
              </w:tc>
              <w:tc>
                <w:tcPr>
                  <w:tcW w:w="485" w:type="pct"/>
                  <w:shd w:val="clear" w:color="auto" w:fill="auto"/>
                  <w:noWrap w:val="0"/>
                  <w:vAlign w:val="center"/>
                </w:tcPr>
                <w:p w14:paraId="6CBCEA52">
                  <w:pPr>
                    <w:pStyle w:val="22"/>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否</w:t>
                  </w:r>
                </w:p>
              </w:tc>
            </w:tr>
            <w:tr w14:paraId="42E645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8" w:type="pct"/>
                  <w:shd w:val="clear" w:color="auto" w:fill="auto"/>
                  <w:noWrap w:val="0"/>
                  <w:vAlign w:val="center"/>
                </w:tcPr>
                <w:p w14:paraId="41CB3E50">
                  <w:pPr>
                    <w:pStyle w:val="22"/>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海洋</w:t>
                  </w:r>
                </w:p>
              </w:tc>
              <w:tc>
                <w:tcPr>
                  <w:tcW w:w="2322" w:type="pct"/>
                  <w:shd w:val="clear" w:color="auto" w:fill="auto"/>
                  <w:noWrap w:val="0"/>
                  <w:vAlign w:val="center"/>
                </w:tcPr>
                <w:p w14:paraId="4990B4BE">
                  <w:pPr>
                    <w:pStyle w:val="22"/>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直接向海排放污染物的海洋工程建设项目</w:t>
                  </w:r>
                </w:p>
              </w:tc>
              <w:tc>
                <w:tcPr>
                  <w:tcW w:w="1483" w:type="pct"/>
                  <w:shd w:val="clear" w:color="auto" w:fill="auto"/>
                  <w:noWrap w:val="0"/>
                  <w:vAlign w:val="center"/>
                </w:tcPr>
                <w:p w14:paraId="7EFF5886">
                  <w:pPr>
                    <w:pStyle w:val="22"/>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本项目不属</w:t>
                  </w:r>
                </w:p>
                <w:p w14:paraId="320A47E0">
                  <w:pPr>
                    <w:pStyle w:val="22"/>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于海洋工程项目</w:t>
                  </w:r>
                </w:p>
              </w:tc>
              <w:tc>
                <w:tcPr>
                  <w:tcW w:w="485" w:type="pct"/>
                  <w:shd w:val="clear" w:color="auto" w:fill="auto"/>
                  <w:noWrap w:val="0"/>
                  <w:vAlign w:val="center"/>
                </w:tcPr>
                <w:p w14:paraId="5035AE50">
                  <w:pPr>
                    <w:pStyle w:val="22"/>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否</w:t>
                  </w:r>
                </w:p>
              </w:tc>
            </w:tr>
          </w:tbl>
          <w:p w14:paraId="0D88522E">
            <w:pPr>
              <w:keepNext w:val="0"/>
              <w:keepLines w:val="0"/>
              <w:pageBreakBefore w:val="0"/>
              <w:widowControl w:val="0"/>
              <w:kinsoku/>
              <w:wordWrap/>
              <w:overflowPunct/>
              <w:topLinePunct w:val="0"/>
              <w:autoSpaceDE w:val="0"/>
              <w:autoSpaceDN w:val="0"/>
              <w:bidi w:val="0"/>
              <w:adjustRightInd w:val="0"/>
              <w:snapToGrid w:val="0"/>
              <w:jc w:val="center"/>
              <w:rPr>
                <w:rFonts w:hint="default" w:ascii="Times New Roman" w:hAnsi="Times New Roman" w:eastAsia="宋体" w:cs="Times New Roman"/>
                <w:color w:val="auto"/>
                <w:kern w:val="0"/>
                <w:sz w:val="21"/>
                <w:szCs w:val="21"/>
              </w:rPr>
            </w:pPr>
          </w:p>
        </w:tc>
      </w:tr>
      <w:tr w14:paraId="34B8D8A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27" w:hRule="atLeast"/>
          <w:jc w:val="center"/>
        </w:trPr>
        <w:tc>
          <w:tcPr>
            <w:tcW w:w="1550" w:type="dxa"/>
            <w:vAlign w:val="center"/>
          </w:tcPr>
          <w:p w14:paraId="722491BD">
            <w:pPr>
              <w:keepNext w:val="0"/>
              <w:keepLines w:val="0"/>
              <w:pageBreakBefore w:val="0"/>
              <w:widowControl w:val="0"/>
              <w:kinsoku/>
              <w:wordWrap/>
              <w:overflowPunct/>
              <w:topLinePunct w:val="0"/>
              <w:autoSpaceDE w:val="0"/>
              <w:autoSpaceDN w:val="0"/>
              <w:bidi w:val="0"/>
              <w:adjustRightInd w:val="0"/>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sz w:val="21"/>
                <w:szCs w:val="21"/>
              </w:rPr>
              <w:t>规划情况</w:t>
            </w:r>
          </w:p>
        </w:tc>
        <w:tc>
          <w:tcPr>
            <w:tcW w:w="7439" w:type="dxa"/>
            <w:gridSpan w:val="3"/>
            <w:vAlign w:val="center"/>
          </w:tcPr>
          <w:p w14:paraId="7FF80208">
            <w:pPr>
              <w:keepNext w:val="0"/>
              <w:keepLines w:val="0"/>
              <w:pageBreakBefore w:val="0"/>
              <w:widowControl w:val="0"/>
              <w:kinsoku/>
              <w:wordWrap/>
              <w:overflowPunct/>
              <w:topLinePunct w:val="0"/>
              <w:autoSpaceDE w:val="0"/>
              <w:autoSpaceDN w:val="0"/>
              <w:bidi w:val="0"/>
              <w:adjustRightInd w:val="0"/>
              <w:snapToGrid w:val="0"/>
              <w:spacing w:line="360" w:lineRule="auto"/>
              <w:ind w:firstLine="420" w:firstLineChars="200"/>
              <w:jc w:val="left"/>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规划名称：《关于划定萌水镇、商家镇工业集聚区的意见》</w:t>
            </w:r>
          </w:p>
          <w:p w14:paraId="6872EF34">
            <w:pPr>
              <w:keepNext w:val="0"/>
              <w:keepLines w:val="0"/>
              <w:pageBreakBefore w:val="0"/>
              <w:widowControl w:val="0"/>
              <w:kinsoku/>
              <w:wordWrap/>
              <w:overflowPunct/>
              <w:topLinePunct w:val="0"/>
              <w:autoSpaceDE w:val="0"/>
              <w:autoSpaceDN w:val="0"/>
              <w:bidi w:val="0"/>
              <w:adjustRightInd w:val="0"/>
              <w:snapToGrid w:val="0"/>
              <w:spacing w:line="360" w:lineRule="auto"/>
              <w:ind w:firstLine="420" w:firstLineChars="200"/>
              <w:jc w:val="left"/>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发布机关：淄博文昌湖省级旅游度假区管理委员会</w:t>
            </w:r>
          </w:p>
          <w:p w14:paraId="1C4F994D">
            <w:pPr>
              <w:keepNext w:val="0"/>
              <w:keepLines w:val="0"/>
              <w:pageBreakBefore w:val="0"/>
              <w:widowControl w:val="0"/>
              <w:kinsoku/>
              <w:wordWrap/>
              <w:overflowPunct/>
              <w:topLinePunct w:val="0"/>
              <w:autoSpaceDE w:val="0"/>
              <w:autoSpaceDN w:val="0"/>
              <w:bidi w:val="0"/>
              <w:adjustRightInd w:val="0"/>
              <w:snapToGrid w:val="0"/>
              <w:spacing w:line="360" w:lineRule="auto"/>
              <w:ind w:firstLine="420" w:firstLineChars="200"/>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rPr>
              <w:t>审批文件名称及文号：淄博文昌湖省级旅游度假区管理委员会《关于划定萌水镇、商家镇工业集聚区的意见》（淄文昌管发</w:t>
            </w:r>
            <w:r>
              <w:rPr>
                <w:rFonts w:hint="default" w:ascii="Times New Roman" w:hAnsi="Times New Roman" w:eastAsia="宋体" w:cs="Times New Roman"/>
                <w:color w:val="auto"/>
                <w:kern w:val="0"/>
                <w:sz w:val="21"/>
                <w:szCs w:val="21"/>
                <w:lang w:eastAsia="zh-CN"/>
              </w:rPr>
              <w:t>〔2021〕12号</w:t>
            </w:r>
            <w:r>
              <w:rPr>
                <w:rFonts w:hint="default" w:ascii="Times New Roman" w:hAnsi="Times New Roman" w:eastAsia="宋体" w:cs="Times New Roman"/>
                <w:color w:val="auto"/>
                <w:kern w:val="0"/>
                <w:sz w:val="21"/>
                <w:szCs w:val="21"/>
              </w:rPr>
              <w:t>）</w:t>
            </w:r>
          </w:p>
        </w:tc>
      </w:tr>
      <w:tr w14:paraId="7DEA373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550" w:type="dxa"/>
            <w:vAlign w:val="center"/>
          </w:tcPr>
          <w:p w14:paraId="325CECB7">
            <w:pPr>
              <w:keepNext w:val="0"/>
              <w:keepLines w:val="0"/>
              <w:pageBreakBefore w:val="0"/>
              <w:widowControl w:val="0"/>
              <w:kinsoku/>
              <w:wordWrap/>
              <w:overflowPunct/>
              <w:topLinePunct w:val="0"/>
              <w:bidi w:val="0"/>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规划环境影响</w:t>
            </w:r>
          </w:p>
          <w:p w14:paraId="31F20518">
            <w:pPr>
              <w:keepNext w:val="0"/>
              <w:keepLines w:val="0"/>
              <w:pageBreakBefore w:val="0"/>
              <w:widowControl w:val="0"/>
              <w:kinsoku/>
              <w:wordWrap/>
              <w:overflowPunct/>
              <w:topLinePunct w:val="0"/>
              <w:bidi w:val="0"/>
              <w:adjustRightInd w:val="0"/>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sz w:val="21"/>
                <w:szCs w:val="21"/>
              </w:rPr>
              <w:t>评价情况</w:t>
            </w:r>
          </w:p>
        </w:tc>
        <w:tc>
          <w:tcPr>
            <w:tcW w:w="7439" w:type="dxa"/>
            <w:gridSpan w:val="3"/>
            <w:vAlign w:val="center"/>
          </w:tcPr>
          <w:p w14:paraId="2CBA30AD">
            <w:pPr>
              <w:keepNext w:val="0"/>
              <w:keepLines w:val="0"/>
              <w:pageBreakBefore w:val="0"/>
              <w:widowControl w:val="0"/>
              <w:kinsoku/>
              <w:wordWrap/>
              <w:overflowPunct/>
              <w:topLinePunct w:val="0"/>
              <w:autoSpaceDE w:val="0"/>
              <w:autoSpaceDN w:val="0"/>
              <w:bidi w:val="0"/>
              <w:adjustRightInd w:val="0"/>
              <w:spacing w:line="360" w:lineRule="auto"/>
              <w:jc w:val="center"/>
              <w:rPr>
                <w:rFonts w:hint="default" w:ascii="Times New Roman" w:hAnsi="Times New Roman" w:eastAsia="宋体" w:cs="Times New Roman"/>
                <w:color w:val="auto"/>
                <w:kern w:val="0"/>
                <w:sz w:val="21"/>
                <w:szCs w:val="21"/>
                <w:highlight w:val="yellow"/>
              </w:rPr>
            </w:pPr>
            <w:r>
              <w:rPr>
                <w:rFonts w:hint="default" w:ascii="Times New Roman" w:hAnsi="Times New Roman" w:eastAsia="宋体" w:cs="Times New Roman"/>
                <w:color w:val="auto"/>
                <w:kern w:val="0"/>
                <w:sz w:val="21"/>
                <w:szCs w:val="21"/>
              </w:rPr>
              <w:t>无</w:t>
            </w:r>
          </w:p>
        </w:tc>
      </w:tr>
      <w:tr w14:paraId="5F83DC2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36" w:hRule="atLeast"/>
          <w:jc w:val="center"/>
        </w:trPr>
        <w:tc>
          <w:tcPr>
            <w:tcW w:w="1550" w:type="dxa"/>
            <w:vAlign w:val="center"/>
          </w:tcPr>
          <w:p w14:paraId="1D54EEB5">
            <w:pPr>
              <w:keepNext w:val="0"/>
              <w:keepLines w:val="0"/>
              <w:pageBreakBefore w:val="0"/>
              <w:widowControl w:val="0"/>
              <w:kinsoku/>
              <w:wordWrap/>
              <w:overflowPunct/>
              <w:topLinePunct w:val="0"/>
              <w:autoSpaceDE w:val="0"/>
              <w:autoSpaceDN w:val="0"/>
              <w:bidi w:val="0"/>
              <w:adjustRightInd w:val="0"/>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规划及规划环境影响评价符合性分析</w:t>
            </w:r>
          </w:p>
        </w:tc>
        <w:tc>
          <w:tcPr>
            <w:tcW w:w="7439" w:type="dxa"/>
            <w:gridSpan w:val="3"/>
            <w:vAlign w:val="center"/>
          </w:tcPr>
          <w:p w14:paraId="5E56525F">
            <w:pPr>
              <w:keepNext w:val="0"/>
              <w:keepLines w:val="0"/>
              <w:pageBreakBefore w:val="0"/>
              <w:widowControl w:val="0"/>
              <w:kinsoku/>
              <w:wordWrap/>
              <w:overflowPunct/>
              <w:topLinePunct w:val="0"/>
              <w:autoSpaceDE w:val="0"/>
              <w:autoSpaceDN w:val="0"/>
              <w:bidi w:val="0"/>
              <w:adjustRightInd w:val="0"/>
              <w:snapToGrid w:val="0"/>
              <w:spacing w:line="360" w:lineRule="auto"/>
              <w:ind w:firstLine="420" w:firstLineChars="20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本</w:t>
            </w:r>
            <w:r>
              <w:rPr>
                <w:rFonts w:hint="default" w:ascii="Times New Roman" w:hAnsi="Times New Roman" w:eastAsia="宋体" w:cs="Times New Roman"/>
                <w:color w:val="auto"/>
                <w:sz w:val="21"/>
                <w:szCs w:val="21"/>
              </w:rPr>
              <w:t>项目与淄博文昌湖省级旅游度假区管理委员会关于规划萌水镇、商家镇工业集聚区的意见（淄文昌管发</w:t>
            </w:r>
            <w:r>
              <w:rPr>
                <w:rFonts w:hint="default" w:ascii="Times New Roman" w:hAnsi="Times New Roman" w:eastAsia="宋体" w:cs="Times New Roman"/>
                <w:color w:val="auto"/>
                <w:sz w:val="21"/>
                <w:szCs w:val="21"/>
                <w:lang w:eastAsia="zh-CN"/>
              </w:rPr>
              <w:t>〔2021〕12号</w:t>
            </w:r>
            <w:r>
              <w:rPr>
                <w:rFonts w:hint="default" w:ascii="Times New Roman" w:hAnsi="Times New Roman" w:eastAsia="宋体" w:cs="Times New Roman"/>
                <w:color w:val="auto"/>
                <w:sz w:val="21"/>
                <w:szCs w:val="21"/>
              </w:rPr>
              <w:t>）符合性分析：</w:t>
            </w:r>
          </w:p>
          <w:p w14:paraId="30A2DE54">
            <w:pPr>
              <w:pStyle w:val="20"/>
              <w:keepNext w:val="0"/>
              <w:keepLines w:val="0"/>
              <w:pageBreakBefore w:val="0"/>
              <w:widowControl w:val="0"/>
              <w:kinsoku/>
              <w:wordWrap/>
              <w:overflowPunct/>
              <w:topLinePunct w:val="0"/>
              <w:bidi w:val="0"/>
              <w:spacing w:beforeLines="0"/>
              <w:ind w:firstLineChars="200"/>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根据淄博文昌湖省级旅游度假区管理委员会出</w:t>
            </w:r>
            <w:r>
              <w:rPr>
                <w:rFonts w:hint="default" w:ascii="Times New Roman" w:hAnsi="Times New Roman" w:eastAsia="宋体" w:cs="Times New Roman"/>
                <w:color w:val="auto"/>
                <w:sz w:val="21"/>
                <w:szCs w:val="21"/>
                <w:lang w:eastAsia="zh-CN"/>
              </w:rPr>
              <w:t>具的</w:t>
            </w:r>
            <w:r>
              <w:rPr>
                <w:rFonts w:hint="default" w:ascii="Times New Roman" w:hAnsi="Times New Roman" w:eastAsia="宋体" w:cs="Times New Roman"/>
                <w:color w:val="auto"/>
                <w:sz w:val="21"/>
                <w:szCs w:val="21"/>
              </w:rPr>
              <w:t>关于规划萌水镇、商家镇工业集聚区的意见：为推动经济高质量发展和生态环境高水平保护，按照省生态环境厅、省发展和改革委员会、省工业和信息化厅、省自然资源厅联合下发的《关于严格项目审批工作坚决防止新上“散乱污”项目的通知》</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鲁环字</w:t>
            </w:r>
            <w:r>
              <w:rPr>
                <w:rFonts w:hint="default" w:ascii="Times New Roman" w:hAnsi="Times New Roman" w:eastAsia="宋体" w:cs="Times New Roman"/>
                <w:color w:val="auto"/>
                <w:sz w:val="21"/>
                <w:szCs w:val="21"/>
                <w:lang w:eastAsia="zh-CN"/>
              </w:rPr>
              <w:t>〔2021〕58号）</w:t>
            </w:r>
            <w:r>
              <w:rPr>
                <w:rFonts w:hint="default" w:ascii="Times New Roman" w:hAnsi="Times New Roman" w:eastAsia="宋体" w:cs="Times New Roman"/>
                <w:color w:val="auto"/>
                <w:sz w:val="21"/>
                <w:szCs w:val="21"/>
              </w:rPr>
              <w:t>要求，新建有污染物排放的工业项目，除在安全生产等方面有特殊要求的以外，应当进入工业园区或工业集聚区。经区管委会研究，确定在萌水镇和商家镇划定工业集聚区范围，按照产业定位和有关要求，规范审批工业项目，推动经济发展。</w:t>
            </w:r>
          </w:p>
          <w:p w14:paraId="733811DB">
            <w:pPr>
              <w:pStyle w:val="20"/>
              <w:keepNext w:val="0"/>
              <w:keepLines w:val="0"/>
              <w:pageBreakBefore w:val="0"/>
              <w:widowControl w:val="0"/>
              <w:kinsoku/>
              <w:wordWrap/>
              <w:overflowPunct/>
              <w:topLinePunct w:val="0"/>
              <w:bidi w:val="0"/>
              <w:spacing w:beforeLines="0"/>
              <w:ind w:firstLineChars="200"/>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一、萌水镇工业集聚区</w:t>
            </w:r>
          </w:p>
          <w:p w14:paraId="4911FA7D">
            <w:pPr>
              <w:pStyle w:val="20"/>
              <w:keepNext w:val="0"/>
              <w:keepLines w:val="0"/>
              <w:pageBreakBefore w:val="0"/>
              <w:widowControl w:val="0"/>
              <w:kinsoku/>
              <w:wordWrap/>
              <w:overflowPunct/>
              <w:topLinePunct w:val="0"/>
              <w:bidi w:val="0"/>
              <w:spacing w:beforeLines="0"/>
              <w:ind w:firstLineChars="200"/>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1.萌水镇新材料产业片区</w:t>
            </w:r>
          </w:p>
          <w:p w14:paraId="51C37808">
            <w:pPr>
              <w:pStyle w:val="20"/>
              <w:keepNext w:val="0"/>
              <w:keepLines w:val="0"/>
              <w:pageBreakBefore w:val="0"/>
              <w:widowControl w:val="0"/>
              <w:kinsoku/>
              <w:wordWrap/>
              <w:overflowPunct/>
              <w:topLinePunct w:val="0"/>
              <w:bidi w:val="0"/>
              <w:spacing w:beforeLines="0"/>
              <w:ind w:firstLineChars="200"/>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位于庆淄路两侧、文昌大道以北、杨萌路以南、张博附线以西，总占</w:t>
            </w:r>
            <w:r>
              <w:rPr>
                <w:rFonts w:hint="default" w:ascii="Times New Roman" w:hAnsi="Times New Roman" w:eastAsia="宋体" w:cs="Times New Roman"/>
                <w:color w:val="auto"/>
                <w:sz w:val="21"/>
                <w:szCs w:val="21"/>
                <w:lang w:eastAsia="zh-CN"/>
              </w:rPr>
              <w:t>地约</w:t>
            </w:r>
            <w:r>
              <w:rPr>
                <w:rFonts w:hint="default" w:ascii="Times New Roman" w:hAnsi="Times New Roman" w:eastAsia="宋体" w:cs="Times New Roman"/>
                <w:color w:val="auto"/>
                <w:sz w:val="21"/>
                <w:szCs w:val="21"/>
              </w:rPr>
              <w:t>1300余亩。主导产业：金属磨料、非金属磨料、</w:t>
            </w:r>
            <w:r>
              <w:rPr>
                <w:rFonts w:hint="default" w:ascii="Times New Roman" w:hAnsi="Times New Roman" w:eastAsia="宋体" w:cs="Times New Roman"/>
                <w:color w:val="auto"/>
                <w:sz w:val="21"/>
                <w:szCs w:val="21"/>
                <w:lang w:eastAsia="zh-CN"/>
              </w:rPr>
              <w:t>其他</w:t>
            </w:r>
            <w:r>
              <w:rPr>
                <w:rFonts w:hint="default" w:ascii="Times New Roman" w:hAnsi="Times New Roman" w:eastAsia="宋体" w:cs="Times New Roman"/>
                <w:color w:val="auto"/>
                <w:sz w:val="21"/>
                <w:szCs w:val="21"/>
              </w:rPr>
              <w:t>新材料等，形成新材料产业集群。</w:t>
            </w:r>
          </w:p>
          <w:p w14:paraId="52E0B6F4">
            <w:pPr>
              <w:pStyle w:val="20"/>
              <w:keepNext w:val="0"/>
              <w:keepLines w:val="0"/>
              <w:pageBreakBefore w:val="0"/>
              <w:widowControl w:val="0"/>
              <w:kinsoku/>
              <w:wordWrap/>
              <w:overflowPunct/>
              <w:topLinePunct w:val="0"/>
              <w:bidi w:val="0"/>
              <w:spacing w:beforeLines="0"/>
              <w:ind w:firstLineChars="200"/>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2.萌水镇智能制造产业片区</w:t>
            </w:r>
          </w:p>
          <w:p w14:paraId="11D785A3">
            <w:pPr>
              <w:pStyle w:val="20"/>
              <w:keepNext w:val="0"/>
              <w:keepLines w:val="0"/>
              <w:pageBreakBefore w:val="0"/>
              <w:widowControl w:val="0"/>
              <w:kinsoku/>
              <w:wordWrap/>
              <w:overflowPunct/>
              <w:topLinePunct w:val="0"/>
              <w:bidi w:val="0"/>
              <w:spacing w:beforeLines="0"/>
              <w:ind w:firstLineChars="200"/>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位于张博附线以东及原三衣工业园，总占</w:t>
            </w:r>
            <w:r>
              <w:rPr>
                <w:rFonts w:hint="default" w:ascii="Times New Roman" w:hAnsi="Times New Roman" w:eastAsia="宋体" w:cs="Times New Roman"/>
                <w:color w:val="auto"/>
                <w:sz w:val="21"/>
                <w:szCs w:val="21"/>
                <w:lang w:eastAsia="zh-CN"/>
              </w:rPr>
              <w:t>地约</w:t>
            </w:r>
            <w:r>
              <w:rPr>
                <w:rFonts w:hint="default" w:ascii="Times New Roman" w:hAnsi="Times New Roman" w:eastAsia="宋体" w:cs="Times New Roman"/>
                <w:color w:val="auto"/>
                <w:sz w:val="21"/>
                <w:szCs w:val="21"/>
              </w:rPr>
              <w:t>1500余亩。主导产业：装备制造、新能源汽车配套装备等，形成智能制造产业集群。</w:t>
            </w:r>
          </w:p>
          <w:p w14:paraId="142E6D46">
            <w:pPr>
              <w:pStyle w:val="20"/>
              <w:keepNext w:val="0"/>
              <w:keepLines w:val="0"/>
              <w:pageBreakBefore w:val="0"/>
              <w:widowControl w:val="0"/>
              <w:kinsoku/>
              <w:wordWrap/>
              <w:overflowPunct/>
              <w:topLinePunct w:val="0"/>
              <w:bidi w:val="0"/>
              <w:spacing w:beforeLines="0"/>
              <w:ind w:firstLineChars="200"/>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3.萌水镇仓储物流产业片区</w:t>
            </w:r>
          </w:p>
          <w:p w14:paraId="5422CC9A">
            <w:pPr>
              <w:pStyle w:val="20"/>
              <w:keepNext w:val="0"/>
              <w:keepLines w:val="0"/>
              <w:pageBreakBefore w:val="0"/>
              <w:widowControl w:val="0"/>
              <w:kinsoku/>
              <w:wordWrap/>
              <w:overflowPunct/>
              <w:topLinePunct w:val="0"/>
              <w:bidi w:val="0"/>
              <w:spacing w:beforeLines="0"/>
              <w:ind w:firstLineChars="200"/>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位于文昌湖高速路下路口两侧及对面，总占地约360余亩。主导产业：冷链物流、仓储运输、集散配送等，形成物流仓储产业集群。</w:t>
            </w:r>
          </w:p>
          <w:p w14:paraId="5610164C">
            <w:pPr>
              <w:pStyle w:val="20"/>
              <w:keepNext w:val="0"/>
              <w:keepLines w:val="0"/>
              <w:pageBreakBefore w:val="0"/>
              <w:widowControl w:val="0"/>
              <w:kinsoku/>
              <w:wordWrap/>
              <w:overflowPunct/>
              <w:topLinePunct w:val="0"/>
              <w:bidi w:val="0"/>
              <w:spacing w:beforeLines="0"/>
              <w:ind w:firstLineChars="200"/>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4.三衣西片</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龙口龙泉北安扈家</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产业片区</w:t>
            </w:r>
          </w:p>
          <w:p w14:paraId="42344018">
            <w:pPr>
              <w:pStyle w:val="20"/>
              <w:keepNext w:val="0"/>
              <w:keepLines w:val="0"/>
              <w:pageBreakBefore w:val="0"/>
              <w:widowControl w:val="0"/>
              <w:kinsoku/>
              <w:wordWrap/>
              <w:overflowPunct/>
              <w:topLinePunct w:val="0"/>
              <w:bidi w:val="0"/>
              <w:spacing w:beforeLines="0"/>
              <w:ind w:firstLineChars="200"/>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包含龙口、龙泉、北安</w:t>
            </w:r>
            <w:r>
              <w:rPr>
                <w:rFonts w:hint="default" w:ascii="Times New Roman" w:hAnsi="Times New Roman" w:eastAsia="宋体" w:cs="Times New Roman"/>
                <w:color w:val="auto"/>
                <w:sz w:val="21"/>
                <w:szCs w:val="21"/>
                <w:lang w:eastAsia="zh-CN"/>
              </w:rPr>
              <w:t>村</w:t>
            </w:r>
            <w:r>
              <w:rPr>
                <w:rFonts w:hint="default" w:ascii="Times New Roman" w:hAnsi="Times New Roman" w:eastAsia="宋体" w:cs="Times New Roman"/>
                <w:color w:val="auto"/>
                <w:sz w:val="21"/>
                <w:szCs w:val="21"/>
              </w:rPr>
              <w:t>产业片区，占地约1157亩，企业77家，园区内分布有磨料、玻璃制品、机械、针织等</w:t>
            </w:r>
            <w:r>
              <w:rPr>
                <w:rFonts w:hint="default" w:ascii="Times New Roman" w:hAnsi="Times New Roman" w:eastAsia="宋体" w:cs="Times New Roman"/>
                <w:color w:val="auto"/>
                <w:sz w:val="21"/>
                <w:szCs w:val="21"/>
                <w:lang w:eastAsia="zh-CN"/>
              </w:rPr>
              <w:t>行业</w:t>
            </w:r>
            <w:r>
              <w:rPr>
                <w:rFonts w:hint="default" w:ascii="Times New Roman" w:hAnsi="Times New Roman" w:eastAsia="宋体" w:cs="Times New Roman"/>
                <w:color w:val="auto"/>
                <w:sz w:val="21"/>
                <w:szCs w:val="21"/>
              </w:rPr>
              <w:t>。</w:t>
            </w:r>
          </w:p>
          <w:p w14:paraId="698BB46E">
            <w:pPr>
              <w:pStyle w:val="20"/>
              <w:keepNext w:val="0"/>
              <w:keepLines w:val="0"/>
              <w:pageBreakBefore w:val="0"/>
              <w:widowControl w:val="0"/>
              <w:kinsoku/>
              <w:wordWrap/>
              <w:overflowPunct/>
              <w:topLinePunct w:val="0"/>
              <w:bidi w:val="0"/>
              <w:spacing w:beforeLines="0"/>
              <w:ind w:firstLineChars="200"/>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5.萌水镇中心工业片区</w:t>
            </w:r>
          </w:p>
          <w:p w14:paraId="2F95C664">
            <w:pPr>
              <w:pStyle w:val="20"/>
              <w:keepNext w:val="0"/>
              <w:keepLines w:val="0"/>
              <w:pageBreakBefore w:val="0"/>
              <w:widowControl w:val="0"/>
              <w:kinsoku/>
              <w:wordWrap/>
              <w:overflowPunct/>
              <w:topLinePunct w:val="0"/>
              <w:bidi w:val="0"/>
              <w:spacing w:beforeLines="0"/>
              <w:ind w:firstLineChars="200"/>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包括镇政府驻地、官三村、水磨工业园内原三元公司、三利绸缎印染、现丰雁电子元件、淄博瑞泽非制造布有限公司等企业及湿地公园、污水处理厂、嘉丰公司等，规划约</w:t>
            </w:r>
            <w:r>
              <w:rPr>
                <w:rFonts w:hint="default" w:ascii="Times New Roman" w:hAnsi="Times New Roman" w:eastAsia="宋体" w:cs="Times New Roman"/>
                <w:color w:val="auto"/>
                <w:sz w:val="21"/>
                <w:szCs w:val="21"/>
                <w:lang w:val="en-US" w:eastAsia="zh-CN"/>
              </w:rPr>
              <w:t>800</w:t>
            </w:r>
            <w:r>
              <w:rPr>
                <w:rFonts w:hint="default" w:ascii="Times New Roman" w:hAnsi="Times New Roman" w:eastAsia="宋体" w:cs="Times New Roman"/>
                <w:color w:val="auto"/>
                <w:sz w:val="21"/>
                <w:szCs w:val="21"/>
              </w:rPr>
              <w:t>余亩，主要有电子元件和玻璃机械等行业。</w:t>
            </w:r>
          </w:p>
          <w:p w14:paraId="1FE8A96C">
            <w:pPr>
              <w:pStyle w:val="20"/>
              <w:keepNext w:val="0"/>
              <w:keepLines w:val="0"/>
              <w:pageBreakBefore w:val="0"/>
              <w:widowControl w:val="0"/>
              <w:kinsoku/>
              <w:wordWrap/>
              <w:overflowPunct/>
              <w:topLinePunct w:val="0"/>
              <w:bidi w:val="0"/>
              <w:spacing w:beforeLines="0"/>
              <w:ind w:firstLineChars="200"/>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6.萌水镇西工业片区</w:t>
            </w:r>
          </w:p>
          <w:p w14:paraId="3BB84576">
            <w:pPr>
              <w:pStyle w:val="20"/>
              <w:keepNext w:val="0"/>
              <w:keepLines w:val="0"/>
              <w:pageBreakBefore w:val="0"/>
              <w:widowControl w:val="0"/>
              <w:kinsoku/>
              <w:wordWrap/>
              <w:overflowPunct/>
              <w:topLinePunct w:val="0"/>
              <w:bidi w:val="0"/>
              <w:spacing w:beforeLines="0"/>
              <w:ind w:firstLineChars="200"/>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包括萌水镇城乡统筹服务中心、北王工业园及正阳路以西、S102两侧的部分企业，总占地面积约300亩，主要以医疗器械、机械制造、纺织、家具制造为主。</w:t>
            </w:r>
          </w:p>
          <w:p w14:paraId="274DA6AC">
            <w:pPr>
              <w:pStyle w:val="20"/>
              <w:keepNext w:val="0"/>
              <w:keepLines w:val="0"/>
              <w:pageBreakBefore w:val="0"/>
              <w:widowControl w:val="0"/>
              <w:kinsoku/>
              <w:wordWrap/>
              <w:overflowPunct/>
              <w:topLinePunct w:val="0"/>
              <w:bidi w:val="0"/>
              <w:spacing w:beforeLines="0"/>
              <w:ind w:firstLineChars="200"/>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二、商家镇工业集聚区</w:t>
            </w:r>
          </w:p>
          <w:p w14:paraId="68FFD00D">
            <w:pPr>
              <w:pStyle w:val="20"/>
              <w:keepNext w:val="0"/>
              <w:keepLines w:val="0"/>
              <w:pageBreakBefore w:val="0"/>
              <w:widowControl w:val="0"/>
              <w:kinsoku/>
              <w:wordWrap/>
              <w:overflowPunct/>
              <w:topLinePunct w:val="0"/>
              <w:bidi w:val="0"/>
              <w:spacing w:beforeLines="0"/>
              <w:ind w:firstLineChars="200"/>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1.山东松柳智能制造产业片区</w:t>
            </w:r>
          </w:p>
          <w:p w14:paraId="38DD6C13">
            <w:pPr>
              <w:pStyle w:val="20"/>
              <w:keepNext w:val="0"/>
              <w:keepLines w:val="0"/>
              <w:pageBreakBefore w:val="0"/>
              <w:widowControl w:val="0"/>
              <w:kinsoku/>
              <w:wordWrap/>
              <w:overflowPunct/>
              <w:topLinePunct w:val="0"/>
              <w:bidi w:val="0"/>
              <w:spacing w:beforeLines="0"/>
              <w:ind w:firstLineChars="200"/>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东起杨家村中心大街，西至冶西村，北至胶王路，南至冲山。规划占地面积约600亩，以承接高端装备制造、工业机器人、高端电子靶材等为主。</w:t>
            </w:r>
          </w:p>
          <w:p w14:paraId="2187D737">
            <w:pPr>
              <w:pStyle w:val="20"/>
              <w:keepNext w:val="0"/>
              <w:keepLines w:val="0"/>
              <w:pageBreakBefore w:val="0"/>
              <w:widowControl w:val="0"/>
              <w:kinsoku/>
              <w:wordWrap/>
              <w:overflowPunct/>
              <w:topLinePunct w:val="0"/>
              <w:bidi w:val="0"/>
              <w:spacing w:beforeLines="0"/>
              <w:ind w:firstLineChars="200"/>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2.齐鲁智能制造产业片区</w:t>
            </w:r>
          </w:p>
          <w:p w14:paraId="7358294D">
            <w:pPr>
              <w:pStyle w:val="20"/>
              <w:keepNext w:val="0"/>
              <w:keepLines w:val="0"/>
              <w:pageBreakBefore w:val="0"/>
              <w:widowControl w:val="0"/>
              <w:kinsoku/>
              <w:wordWrap/>
              <w:overflowPunct/>
              <w:topLinePunct w:val="0"/>
              <w:bidi w:val="0"/>
              <w:spacing w:beforeLines="0"/>
              <w:ind w:firstLineChars="200"/>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位于商家镇西部，东起山东宜景生态科技有限公司，西至镇边界，北至商中路，南至冲山。规划总用地40.96公顷，园区以胶王路为界划分为南、北两个区域，以汽车配件、五金机械配件、新材料等产业为主。</w:t>
            </w:r>
          </w:p>
          <w:p w14:paraId="18356463">
            <w:pPr>
              <w:pStyle w:val="20"/>
              <w:keepNext w:val="0"/>
              <w:keepLines w:val="0"/>
              <w:pageBreakBefore w:val="0"/>
              <w:widowControl w:val="0"/>
              <w:kinsoku/>
              <w:wordWrap/>
              <w:overflowPunct/>
              <w:topLinePunct w:val="0"/>
              <w:bidi w:val="0"/>
              <w:spacing w:beforeLines="0"/>
              <w:ind w:firstLineChars="200"/>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3.冶头工业片区</w:t>
            </w:r>
          </w:p>
          <w:p w14:paraId="5358F5B7">
            <w:pPr>
              <w:pStyle w:val="20"/>
              <w:keepNext w:val="0"/>
              <w:keepLines w:val="0"/>
              <w:pageBreakBefore w:val="0"/>
              <w:widowControl w:val="0"/>
              <w:kinsoku/>
              <w:wordWrap/>
              <w:overflowPunct/>
              <w:topLinePunct w:val="0"/>
              <w:bidi w:val="0"/>
              <w:spacing w:beforeLines="0"/>
              <w:ind w:firstLineChars="200"/>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东起正阳西路，西至七河村村西端，南至胶王路、齐鲁智能制造产业园，北至七河村村北端，总占地面积约800亩，以机械制造、五金加工、服装加工、建材、木器加工、新材料等产业为主。</w:t>
            </w:r>
          </w:p>
          <w:p w14:paraId="16D75FD3">
            <w:pPr>
              <w:pStyle w:val="20"/>
              <w:keepNext w:val="0"/>
              <w:keepLines w:val="0"/>
              <w:pageBreakBefore w:val="0"/>
              <w:widowControl w:val="0"/>
              <w:kinsoku/>
              <w:wordWrap/>
              <w:overflowPunct/>
              <w:topLinePunct w:val="0"/>
              <w:bidi w:val="0"/>
              <w:spacing w:beforeLines="0"/>
              <w:ind w:firstLineChars="200"/>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淄博启新新材料科技有限公司</w:t>
            </w:r>
            <w:r>
              <w:rPr>
                <w:rFonts w:hint="default" w:ascii="Times New Roman" w:hAnsi="Times New Roman" w:eastAsia="宋体" w:cs="Times New Roman"/>
                <w:color w:val="auto"/>
                <w:sz w:val="21"/>
                <w:szCs w:val="21"/>
              </w:rPr>
              <w:t>为非金属矿物制品业，</w:t>
            </w:r>
            <w:r>
              <w:rPr>
                <w:rFonts w:hint="default" w:ascii="Times New Roman" w:hAnsi="Times New Roman" w:eastAsia="宋体" w:cs="Times New Roman"/>
                <w:color w:val="auto"/>
                <w:sz w:val="21"/>
                <w:szCs w:val="21"/>
                <w:lang w:val="en-US" w:eastAsia="zh-CN"/>
              </w:rPr>
              <w:t>刚玉砂超硬复合新材料制造</w:t>
            </w:r>
            <w:r>
              <w:rPr>
                <w:rFonts w:hint="default" w:ascii="Times New Roman" w:hAnsi="Times New Roman" w:eastAsia="宋体" w:cs="Times New Roman"/>
                <w:color w:val="auto"/>
                <w:sz w:val="21"/>
                <w:szCs w:val="21"/>
              </w:rPr>
              <w:t>，位于萌水镇新材料产业片区，符合国土空间规划和产业发展规划要求。</w:t>
            </w:r>
          </w:p>
        </w:tc>
      </w:tr>
      <w:tr w14:paraId="5E295FD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550" w:type="dxa"/>
            <w:vAlign w:val="center"/>
          </w:tcPr>
          <w:p w14:paraId="60A25880">
            <w:pPr>
              <w:keepNext w:val="0"/>
              <w:keepLines w:val="0"/>
              <w:pageBreakBefore w:val="0"/>
              <w:widowControl w:val="0"/>
              <w:kinsoku/>
              <w:wordWrap/>
              <w:overflowPunct/>
              <w:topLinePunct w:val="0"/>
              <w:autoSpaceDE w:val="0"/>
              <w:autoSpaceDN w:val="0"/>
              <w:bidi w:val="0"/>
              <w:adjustRightInd w:val="0"/>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其他符合性分析</w:t>
            </w:r>
          </w:p>
        </w:tc>
        <w:tc>
          <w:tcPr>
            <w:tcW w:w="7439" w:type="dxa"/>
            <w:gridSpan w:val="3"/>
            <w:vAlign w:val="center"/>
          </w:tcPr>
          <w:p w14:paraId="4F2A2281">
            <w:pPr>
              <w:keepNext w:val="0"/>
              <w:keepLines w:val="0"/>
              <w:pageBreakBefore w:val="0"/>
              <w:widowControl w:val="0"/>
              <w:kinsoku/>
              <w:wordWrap/>
              <w:overflowPunct/>
              <w:topLinePunct w:val="0"/>
              <w:bidi w:val="0"/>
              <w:spacing w:line="360" w:lineRule="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1、产业政策符合性</w:t>
            </w:r>
          </w:p>
          <w:p w14:paraId="263AEA52">
            <w:pPr>
              <w:keepNext w:val="0"/>
              <w:keepLines w:val="0"/>
              <w:pageBreakBefore w:val="0"/>
              <w:widowControl w:val="0"/>
              <w:kinsoku/>
              <w:wordWrap/>
              <w:overflowPunct/>
              <w:topLinePunct w:val="0"/>
              <w:bidi w:val="0"/>
              <w:spacing w:line="360" w:lineRule="auto"/>
              <w:ind w:firstLine="420" w:firstLineChars="200"/>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本项目属于《国民经济行业分类（2019修订版）》（GB/T4754-2017）中C3099其他非金属矿物制品制造，不属于《产业结构调整指导目录（2024年本）》中鼓励类、限制类和淘汰类行业，属于允许建设项目，符合国家的产业政策。</w:t>
            </w:r>
          </w:p>
          <w:p w14:paraId="2008C303">
            <w:pPr>
              <w:keepNext w:val="0"/>
              <w:keepLines w:val="0"/>
              <w:pageBreakBefore w:val="0"/>
              <w:widowControl w:val="0"/>
              <w:kinsoku/>
              <w:wordWrap/>
              <w:overflowPunct/>
              <w:topLinePunct w:val="0"/>
              <w:bidi w:val="0"/>
              <w:spacing w:line="360" w:lineRule="auto"/>
              <w:ind w:firstLine="420" w:firstLineChars="200"/>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本项目所用设备、生产工艺不属于淄博市《全市重点淘汰的落后工艺技术、装备及产品目录》中落后的工艺技术、装备及产品项目，不属于《淄博市人民政府办公厅关于印发淄博市产业结构调整指导意见和指导目录的通知》（淄政办发〔2011〕35号）中鼓励类、限制类和淘汰类之列，故该项目属于允许建设项目，符合淄博市的产业政策。</w:t>
            </w:r>
          </w:p>
          <w:p w14:paraId="1E7AA04F">
            <w:pPr>
              <w:keepNext w:val="0"/>
              <w:keepLines w:val="0"/>
              <w:pageBreakBefore w:val="0"/>
              <w:widowControl w:val="0"/>
              <w:kinsoku/>
              <w:wordWrap/>
              <w:overflowPunct/>
              <w:topLinePunct w:val="0"/>
              <w:bidi w:val="0"/>
              <w:spacing w:line="360" w:lineRule="auto"/>
              <w:ind w:firstLine="420" w:firstLineChars="200"/>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项目已取得山东省建设项目备案证明，项目代码为：</w:t>
            </w:r>
            <w:r>
              <w:rPr>
                <w:rFonts w:hint="default" w:ascii="Times New Roman" w:hAnsi="Times New Roman" w:eastAsia="宋体" w:cs="Times New Roman"/>
                <w:color w:val="auto"/>
                <w:kern w:val="0"/>
                <w:sz w:val="21"/>
                <w:szCs w:val="21"/>
                <w:lang w:eastAsia="zh-CN"/>
              </w:rPr>
              <w:t>2502-370392-89-02-507180</w:t>
            </w:r>
            <w:r>
              <w:rPr>
                <w:rFonts w:hint="default" w:ascii="Times New Roman" w:hAnsi="Times New Roman" w:eastAsia="宋体" w:cs="Times New Roman"/>
                <w:color w:val="auto"/>
                <w:kern w:val="0"/>
                <w:sz w:val="21"/>
                <w:szCs w:val="21"/>
              </w:rPr>
              <w:t>。</w:t>
            </w:r>
          </w:p>
          <w:p w14:paraId="6164AA53">
            <w:pPr>
              <w:keepNext w:val="0"/>
              <w:keepLines w:val="0"/>
              <w:pageBreakBefore w:val="0"/>
              <w:widowControl w:val="0"/>
              <w:kinsoku/>
              <w:wordWrap/>
              <w:overflowPunct/>
              <w:topLinePunct w:val="0"/>
              <w:bidi w:val="0"/>
              <w:spacing w:line="360" w:lineRule="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2、土地政策符合性</w:t>
            </w:r>
          </w:p>
          <w:p w14:paraId="6DE711C2">
            <w:pPr>
              <w:keepNext w:val="0"/>
              <w:keepLines w:val="0"/>
              <w:pageBreakBefore w:val="0"/>
              <w:widowControl w:val="0"/>
              <w:kinsoku/>
              <w:wordWrap/>
              <w:overflowPunct/>
              <w:topLinePunct w:val="0"/>
              <w:bidi w:val="0"/>
              <w:spacing w:line="360" w:lineRule="auto"/>
              <w:ind w:firstLine="420" w:firstLineChars="200"/>
              <w:rPr>
                <w:rFonts w:hint="default" w:ascii="Times New Roman" w:hAnsi="Times New Roman" w:eastAsia="宋体" w:cs="Times New Roman"/>
                <w:bCs/>
                <w:color w:val="auto"/>
                <w:sz w:val="21"/>
                <w:szCs w:val="21"/>
              </w:rPr>
            </w:pPr>
            <w:r>
              <w:rPr>
                <w:rFonts w:hint="default" w:ascii="Times New Roman" w:hAnsi="Times New Roman" w:eastAsia="宋体" w:cs="Times New Roman"/>
                <w:color w:val="auto"/>
                <w:kern w:val="0"/>
                <w:sz w:val="21"/>
                <w:szCs w:val="21"/>
              </w:rPr>
              <w:t>本项目位于</w:t>
            </w:r>
            <w:r>
              <w:rPr>
                <w:rFonts w:hint="default" w:ascii="Times New Roman" w:hAnsi="Times New Roman" w:eastAsia="宋体" w:cs="Times New Roman"/>
                <w:color w:val="auto"/>
                <w:kern w:val="0"/>
                <w:sz w:val="21"/>
                <w:szCs w:val="21"/>
                <w:lang w:eastAsia="zh-CN"/>
              </w:rPr>
              <w:t>山东省淄博市文昌湖区萌水镇萌三村（村委南1000米）</w:t>
            </w:r>
            <w:r>
              <w:rPr>
                <w:rFonts w:hint="default" w:ascii="Times New Roman" w:hAnsi="Times New Roman" w:eastAsia="宋体" w:cs="Times New Roman"/>
                <w:color w:val="auto"/>
                <w:kern w:val="0"/>
                <w:sz w:val="21"/>
                <w:szCs w:val="21"/>
              </w:rPr>
              <w:t>，根据国土资源部、国家发展和改革委员会关于发布实施《限制用地项目目录（2012年本）》和《禁止用地项目目录（2012年本）</w:t>
            </w:r>
            <w:r>
              <w:rPr>
                <w:rFonts w:hint="default" w:ascii="Times New Roman" w:hAnsi="Times New Roman" w:eastAsia="宋体" w:cs="Times New Roman"/>
                <w:color w:val="auto"/>
                <w:kern w:val="0"/>
                <w:sz w:val="21"/>
                <w:szCs w:val="21"/>
                <w:lang w:eastAsia="zh-CN"/>
              </w:rPr>
              <w:t>》的</w:t>
            </w:r>
            <w:r>
              <w:rPr>
                <w:rFonts w:hint="default" w:ascii="Times New Roman" w:hAnsi="Times New Roman" w:eastAsia="宋体" w:cs="Times New Roman"/>
                <w:color w:val="auto"/>
                <w:kern w:val="0"/>
                <w:sz w:val="21"/>
                <w:szCs w:val="21"/>
              </w:rPr>
              <w:t>通</w:t>
            </w:r>
            <w:r>
              <w:rPr>
                <w:rFonts w:hint="default" w:ascii="Times New Roman" w:hAnsi="Times New Roman" w:eastAsia="宋体" w:cs="Times New Roman"/>
                <w:color w:val="auto"/>
                <w:kern w:val="0"/>
                <w:sz w:val="21"/>
                <w:szCs w:val="21"/>
                <w:lang w:eastAsia="zh-CN"/>
              </w:rPr>
              <w:t>知</w:t>
            </w:r>
            <w:r>
              <w:rPr>
                <w:rFonts w:hint="default" w:ascii="Times New Roman" w:hAnsi="Times New Roman" w:eastAsia="宋体" w:cs="Times New Roman"/>
                <w:color w:val="auto"/>
                <w:kern w:val="0"/>
                <w:sz w:val="21"/>
                <w:szCs w:val="21"/>
              </w:rPr>
              <w:t>，不属于限制用地和禁止用地范围，不涉及饮用水水源保护区及自然保护区、风景名胜区等环境敏感地区。项目用地符合国家要求，选址合理。</w:t>
            </w:r>
          </w:p>
          <w:p w14:paraId="70919CC0">
            <w:pPr>
              <w:keepNext w:val="0"/>
              <w:keepLines w:val="0"/>
              <w:pageBreakBefore w:val="0"/>
              <w:widowControl w:val="0"/>
              <w:kinsoku/>
              <w:wordWrap/>
              <w:overflowPunct/>
              <w:topLinePunct w:val="0"/>
              <w:bidi w:val="0"/>
              <w:spacing w:line="360" w:lineRule="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3、项目选址合理性分析</w:t>
            </w:r>
          </w:p>
          <w:p w14:paraId="3F3E7BCD">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color w:val="auto"/>
                <w:kern w:val="0"/>
                <w:sz w:val="21"/>
                <w:szCs w:val="21"/>
              </w:rPr>
              <w:t>本项目位于</w:t>
            </w:r>
            <w:r>
              <w:rPr>
                <w:rFonts w:hint="default" w:ascii="Times New Roman" w:hAnsi="Times New Roman" w:eastAsia="宋体" w:cs="Times New Roman"/>
                <w:color w:val="auto"/>
                <w:kern w:val="0"/>
                <w:sz w:val="21"/>
                <w:szCs w:val="21"/>
                <w:lang w:eastAsia="zh-CN"/>
              </w:rPr>
              <w:t>山东省淄博市文昌湖区萌水镇萌三村（村委南1000米）</w:t>
            </w:r>
            <w:r>
              <w:rPr>
                <w:rFonts w:hint="default" w:ascii="Times New Roman" w:hAnsi="Times New Roman" w:eastAsia="宋体" w:cs="Times New Roman"/>
                <w:b w:val="0"/>
                <w:bCs w:val="0"/>
                <w:color w:val="auto"/>
                <w:sz w:val="21"/>
                <w:szCs w:val="21"/>
              </w:rPr>
              <w:t>，项目厂区所在区域供水、供电等公用工程配套设施完善，交通、通信十分方便；综上所述，项目规划选址是合理的。</w:t>
            </w:r>
          </w:p>
          <w:p w14:paraId="54A136FC">
            <w:pPr>
              <w:keepNext w:val="0"/>
              <w:keepLines w:val="0"/>
              <w:pageBreakBefore w:val="0"/>
              <w:widowControl w:val="0"/>
              <w:kinsoku/>
              <w:wordWrap/>
              <w:overflowPunct/>
              <w:topLinePunct w:val="0"/>
              <w:bidi w:val="0"/>
              <w:spacing w:line="360" w:lineRule="auto"/>
              <w:rPr>
                <w:rFonts w:hint="default" w:ascii="Times New Roman" w:hAnsi="Times New Roman" w:eastAsia="宋体" w:cs="Times New Roman"/>
                <w:b/>
                <w:color w:val="auto"/>
                <w:sz w:val="21"/>
                <w:szCs w:val="21"/>
              </w:rPr>
            </w:pPr>
            <w:r>
              <w:rPr>
                <w:rFonts w:hint="default" w:ascii="Times New Roman" w:hAnsi="Times New Roman" w:eastAsia="宋体" w:cs="Times New Roman"/>
                <w:b/>
                <w:bCs/>
                <w:color w:val="auto"/>
                <w:sz w:val="21"/>
                <w:szCs w:val="21"/>
                <w:lang w:val="en-US" w:eastAsia="zh-CN"/>
              </w:rPr>
              <w:t>4</w:t>
            </w:r>
            <w:r>
              <w:rPr>
                <w:rFonts w:hint="default" w:ascii="Times New Roman" w:hAnsi="Times New Roman" w:eastAsia="宋体" w:cs="Times New Roman"/>
                <w:b/>
                <w:bCs/>
                <w:color w:val="auto"/>
                <w:sz w:val="21"/>
                <w:szCs w:val="21"/>
              </w:rPr>
              <w:t>、</w:t>
            </w:r>
            <w:r>
              <w:rPr>
                <w:rFonts w:hint="default" w:ascii="Times New Roman" w:hAnsi="Times New Roman" w:eastAsia="宋体" w:cs="Times New Roman"/>
                <w:b/>
                <w:color w:val="auto"/>
                <w:sz w:val="21"/>
                <w:szCs w:val="21"/>
              </w:rPr>
              <w:t>与“三区三线”符合性</w:t>
            </w:r>
          </w:p>
          <w:p w14:paraId="1B80CEEB">
            <w:pPr>
              <w:keepNext w:val="0"/>
              <w:keepLines w:val="0"/>
              <w:pageBreakBefore w:val="0"/>
              <w:widowControl w:val="0"/>
              <w:kinsoku/>
              <w:wordWrap/>
              <w:overflowPunct/>
              <w:topLinePunct w:val="0"/>
              <w:bidi w:val="0"/>
              <w:spacing w:line="360" w:lineRule="auto"/>
              <w:ind w:firstLine="420" w:firstLineChars="20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（1）与淄博市国土空间规划及“三区三线”符合性分析</w:t>
            </w:r>
          </w:p>
          <w:p w14:paraId="4D003CAF">
            <w:pPr>
              <w:keepNext w:val="0"/>
              <w:keepLines w:val="0"/>
              <w:pageBreakBefore w:val="0"/>
              <w:widowControl w:val="0"/>
              <w:kinsoku/>
              <w:wordWrap/>
              <w:overflowPunct/>
              <w:topLinePunct w:val="0"/>
              <w:bidi w:val="0"/>
              <w:spacing w:line="360" w:lineRule="auto"/>
              <w:ind w:firstLine="420" w:firstLineChars="20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rPr>
              <w:t>本项目位于</w:t>
            </w:r>
            <w:r>
              <w:rPr>
                <w:rFonts w:hint="default" w:ascii="Times New Roman" w:hAnsi="Times New Roman" w:eastAsia="宋体" w:cs="Times New Roman"/>
                <w:color w:val="auto"/>
                <w:kern w:val="0"/>
                <w:sz w:val="21"/>
                <w:szCs w:val="21"/>
                <w:lang w:eastAsia="zh-CN"/>
              </w:rPr>
              <w:t>山东省淄博市文昌湖区萌水镇萌三村（村委南1000米）</w:t>
            </w:r>
            <w:r>
              <w:rPr>
                <w:rFonts w:hint="default" w:ascii="Times New Roman" w:hAnsi="Times New Roman" w:eastAsia="宋体" w:cs="Times New Roman"/>
                <w:color w:val="auto"/>
                <w:sz w:val="21"/>
                <w:szCs w:val="21"/>
              </w:rPr>
              <w:t>，根据淄博市国土空间总体规划，本项目位于城镇发展边界内，且不占用生态保护红线和基本农田。</w:t>
            </w:r>
          </w:p>
          <w:p w14:paraId="3B539BAA">
            <w:pPr>
              <w:keepNext w:val="0"/>
              <w:keepLines w:val="0"/>
              <w:pageBreakBefore w:val="0"/>
              <w:widowControl w:val="0"/>
              <w:kinsoku/>
              <w:wordWrap/>
              <w:overflowPunct/>
              <w:topLinePunct w:val="0"/>
              <w:bidi w:val="0"/>
              <w:spacing w:line="360" w:lineRule="auto"/>
              <w:ind w:firstLine="420" w:firstLineChars="20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val="en-US" w:eastAsia="zh-CN"/>
              </w:rPr>
              <w:t>2</w:t>
            </w:r>
            <w:r>
              <w:rPr>
                <w:rFonts w:hint="default" w:ascii="Times New Roman" w:hAnsi="Times New Roman" w:eastAsia="宋体" w:cs="Times New Roman"/>
                <w:color w:val="auto"/>
                <w:sz w:val="21"/>
                <w:szCs w:val="21"/>
              </w:rPr>
              <w:t>）环境质量底线符合性判定</w:t>
            </w:r>
          </w:p>
          <w:p w14:paraId="3B33E74D">
            <w:pPr>
              <w:keepNext w:val="0"/>
              <w:keepLines w:val="0"/>
              <w:pageBreakBefore w:val="0"/>
              <w:widowControl w:val="0"/>
              <w:kinsoku/>
              <w:wordWrap/>
              <w:overflowPunct/>
              <w:topLinePunct w:val="0"/>
              <w:bidi w:val="0"/>
              <w:spacing w:line="360" w:lineRule="auto"/>
              <w:ind w:firstLine="420" w:firstLineChars="200"/>
              <w:rPr>
                <w:rFonts w:hint="default" w:ascii="Times New Roman" w:hAnsi="Times New Roman" w:eastAsia="宋体" w:cs="Times New Roman"/>
                <w:color w:val="auto"/>
                <w:kern w:val="0"/>
                <w:sz w:val="21"/>
                <w:szCs w:val="21"/>
                <w:lang w:val="zh-CN"/>
              </w:rPr>
            </w:pPr>
            <w:r>
              <w:rPr>
                <w:rFonts w:hint="default" w:ascii="Times New Roman" w:hAnsi="Times New Roman" w:eastAsia="宋体" w:cs="Times New Roman"/>
                <w:color w:val="auto"/>
                <w:kern w:val="0"/>
                <w:sz w:val="21"/>
                <w:szCs w:val="21"/>
                <w:lang w:val="zh-CN"/>
              </w:rPr>
              <w:t>环境质量底线是国家和地方设置的大气、水和土壤环境质量目标，也是改善环境质量的基准线。有关规划环评应落实区域环境质量目标管理要求，提出区域或行业污染物排放总量管控建议以及优化区域或行业发展布局、结构和规模的对策措施。项目环评应对照区域环境质量目标，深入分析预测项目建设对环境质量的影响，强化污染防治措施和污染物协同控制要求。</w:t>
            </w:r>
          </w:p>
          <w:p w14:paraId="4B98BEA7">
            <w:pPr>
              <w:keepNext w:val="0"/>
              <w:keepLines w:val="0"/>
              <w:pageBreakBefore w:val="0"/>
              <w:widowControl w:val="0"/>
              <w:kinsoku/>
              <w:wordWrap/>
              <w:overflowPunct/>
              <w:topLinePunct w:val="0"/>
              <w:bidi w:val="0"/>
              <w:spacing w:line="360" w:lineRule="auto"/>
              <w:ind w:firstLine="420" w:firstLineChars="200"/>
              <w:rPr>
                <w:rFonts w:hint="default" w:ascii="Times New Roman" w:hAnsi="Times New Roman" w:eastAsia="宋体" w:cs="Times New Roman"/>
                <w:color w:val="auto"/>
                <w:kern w:val="0"/>
                <w:sz w:val="21"/>
                <w:szCs w:val="21"/>
                <w:lang w:val="zh-CN"/>
              </w:rPr>
            </w:pPr>
            <w:r>
              <w:rPr>
                <w:rFonts w:hint="default" w:ascii="Times New Roman" w:hAnsi="Times New Roman" w:eastAsia="宋体" w:cs="Times New Roman"/>
                <w:color w:val="auto"/>
                <w:kern w:val="0"/>
                <w:sz w:val="21"/>
                <w:szCs w:val="21"/>
                <w:lang w:val="zh-CN"/>
              </w:rPr>
              <w:t>主要目标：全市水环境质量持续改善，国控、省控、市控断面优良水质比例稳步提升，全面消除劣Ⅴ类水质控制断面，国控断面优良水质比例不低于50%，省控及以上断面优良水质比例不低于30%；县级及以上城市集中式饮用水水源水质全部达到或优于Ⅲ类；建成区黑臭水体全面消除，镇村黑臭水体数量持续减少。大气环境质量持续改善，全市PM</w:t>
            </w:r>
            <w:r>
              <w:rPr>
                <w:rFonts w:hint="default" w:ascii="Times New Roman" w:hAnsi="Times New Roman" w:eastAsia="宋体" w:cs="Times New Roman"/>
                <w:color w:val="auto"/>
                <w:kern w:val="0"/>
                <w:sz w:val="21"/>
                <w:szCs w:val="21"/>
                <w:vertAlign w:val="subscript"/>
                <w:lang w:val="zh-CN"/>
              </w:rPr>
              <w:t>2.5</w:t>
            </w:r>
            <w:r>
              <w:rPr>
                <w:rFonts w:hint="default" w:ascii="Times New Roman" w:hAnsi="Times New Roman" w:eastAsia="宋体" w:cs="Times New Roman"/>
                <w:color w:val="auto"/>
                <w:kern w:val="0"/>
                <w:sz w:val="21"/>
                <w:szCs w:val="21"/>
                <w:lang w:val="zh-CN"/>
              </w:rPr>
              <w:t>浓度不高于48μg/m</w:t>
            </w:r>
            <w:r>
              <w:rPr>
                <w:rFonts w:hint="default" w:ascii="Times New Roman" w:hAnsi="Times New Roman" w:eastAsia="宋体" w:cs="Times New Roman"/>
                <w:color w:val="auto"/>
                <w:kern w:val="0"/>
                <w:sz w:val="21"/>
                <w:szCs w:val="21"/>
                <w:vertAlign w:val="superscript"/>
                <w:lang w:val="zh-CN"/>
              </w:rPr>
              <w:t>3</w:t>
            </w:r>
            <w:r>
              <w:rPr>
                <w:rFonts w:hint="default" w:ascii="Times New Roman" w:hAnsi="Times New Roman" w:eastAsia="宋体" w:cs="Times New Roman"/>
                <w:color w:val="auto"/>
                <w:kern w:val="0"/>
                <w:sz w:val="21"/>
                <w:szCs w:val="21"/>
                <w:lang w:val="zh-CN"/>
              </w:rPr>
              <w:t>，空气质量优良天数比率不低于70%，臭氧污染得到有效遏制，重度及以上污染天数比率在2020年的基础上持续下降。土壤环境质量稳定改善，农用地、建设用地土壤环境风险防控能力逐步提升。全市受污染耕地安全利用率和污染地块安全利用率分别不低于95%。环境质量改善目标动态衔接“十四五”生态环境质量考核指标，以“十四五”生态环境质量考核指标为准。</w:t>
            </w:r>
          </w:p>
          <w:p w14:paraId="558DC374">
            <w:pPr>
              <w:keepNext w:val="0"/>
              <w:keepLines w:val="0"/>
              <w:pageBreakBefore w:val="0"/>
              <w:widowControl w:val="0"/>
              <w:kinsoku/>
              <w:wordWrap/>
              <w:overflowPunct/>
              <w:topLinePunct w:val="0"/>
              <w:bidi w:val="0"/>
              <w:spacing w:line="360" w:lineRule="auto"/>
              <w:ind w:firstLine="420" w:firstLineChars="200"/>
              <w:rPr>
                <w:rFonts w:hint="default" w:ascii="Times New Roman" w:hAnsi="Times New Roman" w:eastAsia="宋体" w:cs="Times New Roman"/>
                <w:color w:val="auto"/>
                <w:kern w:val="0"/>
                <w:sz w:val="21"/>
                <w:szCs w:val="21"/>
                <w:lang w:val="zh-CN" w:eastAsia="zh-CN"/>
              </w:rPr>
            </w:pPr>
            <w:r>
              <w:rPr>
                <w:rFonts w:hint="default" w:ascii="Times New Roman" w:hAnsi="Times New Roman" w:eastAsia="宋体" w:cs="Times New Roman"/>
                <w:color w:val="auto"/>
                <w:kern w:val="0"/>
                <w:sz w:val="21"/>
                <w:szCs w:val="21"/>
                <w:lang w:val="zh-CN"/>
              </w:rPr>
              <w:t>根据淄博市生态环境局202</w:t>
            </w:r>
            <w:r>
              <w:rPr>
                <w:rFonts w:hint="default" w:ascii="Times New Roman" w:hAnsi="Times New Roman" w:eastAsia="宋体" w:cs="Times New Roman"/>
                <w:color w:val="auto"/>
                <w:kern w:val="0"/>
                <w:sz w:val="21"/>
                <w:szCs w:val="21"/>
              </w:rPr>
              <w:t>4</w:t>
            </w:r>
            <w:r>
              <w:rPr>
                <w:rFonts w:hint="default" w:ascii="Times New Roman" w:hAnsi="Times New Roman" w:eastAsia="宋体" w:cs="Times New Roman"/>
                <w:color w:val="auto"/>
                <w:kern w:val="0"/>
                <w:sz w:val="21"/>
                <w:szCs w:val="21"/>
                <w:lang w:val="zh-CN"/>
              </w:rPr>
              <w:t>年</w:t>
            </w:r>
            <w:r>
              <w:rPr>
                <w:rFonts w:hint="default" w:ascii="Times New Roman" w:hAnsi="Times New Roman" w:eastAsia="宋体" w:cs="Times New Roman"/>
                <w:color w:val="auto"/>
                <w:kern w:val="0"/>
                <w:sz w:val="21"/>
                <w:szCs w:val="21"/>
                <w:lang w:val="en-US" w:eastAsia="zh-CN"/>
              </w:rPr>
              <w:t>7</w:t>
            </w:r>
            <w:r>
              <w:rPr>
                <w:rFonts w:hint="default" w:ascii="Times New Roman" w:hAnsi="Times New Roman" w:eastAsia="宋体" w:cs="Times New Roman"/>
                <w:color w:val="auto"/>
                <w:kern w:val="0"/>
                <w:sz w:val="21"/>
                <w:szCs w:val="21"/>
                <w:lang w:val="zh-CN"/>
              </w:rPr>
              <w:t>月</w:t>
            </w:r>
            <w:r>
              <w:rPr>
                <w:rFonts w:hint="default" w:ascii="Times New Roman" w:hAnsi="Times New Roman" w:eastAsia="宋体" w:cs="Times New Roman"/>
                <w:color w:val="auto"/>
                <w:kern w:val="0"/>
                <w:sz w:val="21"/>
                <w:szCs w:val="21"/>
                <w:lang w:val="en-US" w:eastAsia="zh-CN"/>
              </w:rPr>
              <w:t>31</w:t>
            </w:r>
            <w:r>
              <w:rPr>
                <w:rFonts w:hint="default" w:ascii="Times New Roman" w:hAnsi="Times New Roman" w:eastAsia="宋体" w:cs="Times New Roman"/>
                <w:color w:val="auto"/>
                <w:kern w:val="0"/>
                <w:sz w:val="21"/>
                <w:szCs w:val="21"/>
                <w:lang w:val="zh-CN"/>
              </w:rPr>
              <w:t>日公布的《2024年6月份及上半年环境空气质量情况通报》可知，文昌湖区202</w:t>
            </w:r>
            <w:r>
              <w:rPr>
                <w:rFonts w:hint="default" w:ascii="Times New Roman" w:hAnsi="Times New Roman" w:eastAsia="宋体" w:cs="Times New Roman"/>
                <w:color w:val="auto"/>
                <w:kern w:val="0"/>
                <w:sz w:val="21"/>
                <w:szCs w:val="21"/>
                <w:lang w:val="en-US" w:eastAsia="zh-CN"/>
              </w:rPr>
              <w:t>4</w:t>
            </w:r>
            <w:r>
              <w:rPr>
                <w:rFonts w:hint="default" w:ascii="Times New Roman" w:hAnsi="Times New Roman" w:eastAsia="宋体" w:cs="Times New Roman"/>
                <w:color w:val="auto"/>
                <w:kern w:val="0"/>
                <w:sz w:val="21"/>
                <w:szCs w:val="21"/>
                <w:lang w:val="zh-CN"/>
              </w:rPr>
              <w:t>年</w:t>
            </w:r>
            <w:r>
              <w:rPr>
                <w:rFonts w:hint="default" w:ascii="Times New Roman" w:hAnsi="Times New Roman" w:eastAsia="宋体" w:cs="Times New Roman"/>
                <w:color w:val="auto"/>
                <w:kern w:val="0"/>
                <w:sz w:val="21"/>
                <w:szCs w:val="21"/>
                <w:lang w:val="en-US" w:eastAsia="zh-CN"/>
              </w:rPr>
              <w:t>1—6月份</w:t>
            </w:r>
            <w:r>
              <w:rPr>
                <w:rFonts w:hint="default" w:ascii="Times New Roman" w:hAnsi="Times New Roman" w:eastAsia="宋体" w:cs="Times New Roman"/>
                <w:color w:val="auto"/>
                <w:kern w:val="0"/>
                <w:sz w:val="21"/>
                <w:szCs w:val="21"/>
                <w:lang w:val="zh-CN"/>
              </w:rPr>
              <w:t>环境空气质量状况</w:t>
            </w:r>
            <w:r>
              <w:rPr>
                <w:rFonts w:hint="default" w:ascii="Times New Roman" w:hAnsi="Times New Roman" w:eastAsia="宋体" w:cs="Times New Roman"/>
                <w:color w:val="auto"/>
                <w:kern w:val="0"/>
                <w:sz w:val="21"/>
                <w:szCs w:val="21"/>
              </w:rPr>
              <w:t>为</w:t>
            </w:r>
            <w:r>
              <w:rPr>
                <w:rFonts w:hint="default" w:ascii="Times New Roman" w:hAnsi="Times New Roman" w:eastAsia="宋体" w:cs="Times New Roman"/>
                <w:color w:val="auto"/>
                <w:kern w:val="0"/>
                <w:sz w:val="21"/>
                <w:szCs w:val="21"/>
                <w:lang w:val="zh-CN"/>
              </w:rPr>
              <w:t>二氧化硫（SO</w:t>
            </w:r>
            <w:r>
              <w:rPr>
                <w:rFonts w:hint="default" w:ascii="Times New Roman" w:hAnsi="Times New Roman" w:eastAsia="宋体" w:cs="Times New Roman"/>
                <w:color w:val="auto"/>
                <w:kern w:val="0"/>
                <w:sz w:val="21"/>
                <w:szCs w:val="21"/>
                <w:vertAlign w:val="subscript"/>
                <w:lang w:val="zh-CN"/>
              </w:rPr>
              <w:t>2</w:t>
            </w:r>
            <w:r>
              <w:rPr>
                <w:rFonts w:hint="default" w:ascii="Times New Roman" w:hAnsi="Times New Roman" w:eastAsia="宋体" w:cs="Times New Roman"/>
                <w:color w:val="auto"/>
                <w:kern w:val="0"/>
                <w:sz w:val="21"/>
                <w:szCs w:val="21"/>
                <w:lang w:val="zh-CN"/>
              </w:rPr>
              <w:t>）1</w:t>
            </w:r>
            <w:r>
              <w:rPr>
                <w:rFonts w:hint="default" w:ascii="Times New Roman" w:hAnsi="Times New Roman" w:eastAsia="宋体" w:cs="Times New Roman"/>
                <w:color w:val="auto"/>
                <w:kern w:val="0"/>
                <w:sz w:val="21"/>
                <w:szCs w:val="21"/>
                <w:lang w:val="en-US" w:eastAsia="zh-CN"/>
              </w:rPr>
              <w:t>1</w:t>
            </w:r>
            <w:r>
              <w:rPr>
                <w:rFonts w:hint="default" w:ascii="Times New Roman" w:hAnsi="Times New Roman" w:eastAsia="宋体" w:cs="Times New Roman"/>
                <w:color w:val="auto"/>
                <w:kern w:val="0"/>
                <w:sz w:val="21"/>
                <w:szCs w:val="21"/>
                <w:lang w:val="zh-CN"/>
              </w:rPr>
              <w:t>微克/立方米，</w:t>
            </w:r>
            <w:r>
              <w:rPr>
                <w:rFonts w:hint="default" w:ascii="Times New Roman" w:hAnsi="Times New Roman" w:eastAsia="宋体" w:cs="Times New Roman"/>
                <w:color w:val="auto"/>
                <w:kern w:val="0"/>
                <w:sz w:val="21"/>
                <w:szCs w:val="21"/>
              </w:rPr>
              <w:t>达标</w:t>
            </w:r>
            <w:r>
              <w:rPr>
                <w:rFonts w:hint="default" w:ascii="Times New Roman" w:hAnsi="Times New Roman" w:eastAsia="宋体" w:cs="Times New Roman"/>
                <w:color w:val="auto"/>
                <w:kern w:val="0"/>
                <w:sz w:val="21"/>
                <w:szCs w:val="21"/>
                <w:lang w:val="zh-CN"/>
              </w:rPr>
              <w:t>；二氧化氮（NO</w:t>
            </w:r>
            <w:r>
              <w:rPr>
                <w:rFonts w:hint="default" w:ascii="Times New Roman" w:hAnsi="Times New Roman" w:eastAsia="宋体" w:cs="Times New Roman"/>
                <w:color w:val="auto"/>
                <w:kern w:val="0"/>
                <w:sz w:val="21"/>
                <w:szCs w:val="21"/>
                <w:vertAlign w:val="subscript"/>
                <w:lang w:val="zh-CN"/>
              </w:rPr>
              <w:t>2</w:t>
            </w:r>
            <w:r>
              <w:rPr>
                <w:rFonts w:hint="default" w:ascii="Times New Roman" w:hAnsi="Times New Roman" w:eastAsia="宋体" w:cs="Times New Roman"/>
                <w:color w:val="auto"/>
                <w:kern w:val="0"/>
                <w:sz w:val="21"/>
                <w:szCs w:val="21"/>
                <w:lang w:val="zh-CN"/>
              </w:rPr>
              <w:t>）</w:t>
            </w:r>
            <w:r>
              <w:rPr>
                <w:rFonts w:hint="default" w:ascii="Times New Roman" w:hAnsi="Times New Roman" w:eastAsia="宋体" w:cs="Times New Roman"/>
                <w:color w:val="auto"/>
                <w:kern w:val="0"/>
                <w:sz w:val="21"/>
                <w:szCs w:val="21"/>
                <w:lang w:val="en-US" w:eastAsia="zh-CN"/>
              </w:rPr>
              <w:t>30</w:t>
            </w:r>
            <w:r>
              <w:rPr>
                <w:rFonts w:hint="default" w:ascii="Times New Roman" w:hAnsi="Times New Roman" w:eastAsia="宋体" w:cs="Times New Roman"/>
                <w:color w:val="auto"/>
                <w:kern w:val="0"/>
                <w:sz w:val="21"/>
                <w:szCs w:val="21"/>
                <w:lang w:val="zh-CN"/>
              </w:rPr>
              <w:t>微克/立方米，</w:t>
            </w:r>
            <w:r>
              <w:rPr>
                <w:rFonts w:hint="default" w:ascii="Times New Roman" w:hAnsi="Times New Roman" w:eastAsia="宋体" w:cs="Times New Roman"/>
                <w:color w:val="auto"/>
                <w:kern w:val="0"/>
                <w:sz w:val="21"/>
                <w:szCs w:val="21"/>
              </w:rPr>
              <w:t>达标</w:t>
            </w:r>
            <w:r>
              <w:rPr>
                <w:rFonts w:hint="default" w:ascii="Times New Roman" w:hAnsi="Times New Roman" w:eastAsia="宋体" w:cs="Times New Roman"/>
                <w:color w:val="auto"/>
                <w:kern w:val="0"/>
                <w:sz w:val="21"/>
                <w:szCs w:val="21"/>
                <w:lang w:val="zh-CN"/>
              </w:rPr>
              <w:t>；可吸入颗粒物（PM</w:t>
            </w:r>
            <w:r>
              <w:rPr>
                <w:rFonts w:hint="default" w:ascii="Times New Roman" w:hAnsi="Times New Roman" w:eastAsia="宋体" w:cs="Times New Roman"/>
                <w:color w:val="auto"/>
                <w:kern w:val="0"/>
                <w:sz w:val="21"/>
                <w:szCs w:val="21"/>
                <w:vertAlign w:val="subscript"/>
                <w:lang w:val="zh-CN"/>
              </w:rPr>
              <w:t>10</w:t>
            </w:r>
            <w:r>
              <w:rPr>
                <w:rFonts w:hint="default" w:ascii="Times New Roman" w:hAnsi="Times New Roman" w:eastAsia="宋体" w:cs="Times New Roman"/>
                <w:color w:val="auto"/>
                <w:kern w:val="0"/>
                <w:sz w:val="21"/>
                <w:szCs w:val="21"/>
                <w:lang w:val="zh-CN"/>
              </w:rPr>
              <w:t>）</w:t>
            </w:r>
            <w:r>
              <w:rPr>
                <w:rFonts w:hint="default" w:ascii="Times New Roman" w:hAnsi="Times New Roman" w:eastAsia="宋体" w:cs="Times New Roman"/>
                <w:color w:val="auto"/>
                <w:kern w:val="0"/>
                <w:sz w:val="21"/>
                <w:szCs w:val="21"/>
                <w:lang w:val="en-US" w:eastAsia="zh-CN"/>
              </w:rPr>
              <w:t>80</w:t>
            </w:r>
            <w:r>
              <w:rPr>
                <w:rFonts w:hint="default" w:ascii="Times New Roman" w:hAnsi="Times New Roman" w:eastAsia="宋体" w:cs="Times New Roman"/>
                <w:color w:val="auto"/>
                <w:kern w:val="0"/>
                <w:sz w:val="21"/>
                <w:szCs w:val="21"/>
                <w:lang w:val="zh-CN"/>
              </w:rPr>
              <w:t>微克/立方米，</w:t>
            </w:r>
            <w:r>
              <w:rPr>
                <w:rFonts w:hint="default" w:ascii="Times New Roman" w:hAnsi="Times New Roman" w:eastAsia="宋体" w:cs="Times New Roman"/>
                <w:color w:val="auto"/>
                <w:kern w:val="0"/>
                <w:sz w:val="21"/>
                <w:szCs w:val="21"/>
              </w:rPr>
              <w:t>不达标</w:t>
            </w:r>
            <w:r>
              <w:rPr>
                <w:rFonts w:hint="default" w:ascii="Times New Roman" w:hAnsi="Times New Roman" w:eastAsia="宋体" w:cs="Times New Roman"/>
                <w:color w:val="auto"/>
                <w:kern w:val="0"/>
                <w:sz w:val="21"/>
                <w:szCs w:val="21"/>
                <w:lang w:val="zh-CN"/>
              </w:rPr>
              <w:t>；细颗粒物（PM</w:t>
            </w:r>
            <w:r>
              <w:rPr>
                <w:rFonts w:hint="default" w:ascii="Times New Roman" w:hAnsi="Times New Roman" w:eastAsia="宋体" w:cs="Times New Roman"/>
                <w:color w:val="auto"/>
                <w:kern w:val="0"/>
                <w:sz w:val="21"/>
                <w:szCs w:val="21"/>
                <w:vertAlign w:val="subscript"/>
                <w:lang w:val="zh-CN"/>
              </w:rPr>
              <w:t>2.5</w:t>
            </w:r>
            <w:r>
              <w:rPr>
                <w:rFonts w:hint="default" w:ascii="Times New Roman" w:hAnsi="Times New Roman" w:eastAsia="宋体" w:cs="Times New Roman"/>
                <w:color w:val="auto"/>
                <w:kern w:val="0"/>
                <w:sz w:val="21"/>
                <w:szCs w:val="21"/>
                <w:lang w:val="zh-CN"/>
              </w:rPr>
              <w:t>）</w:t>
            </w:r>
            <w:r>
              <w:rPr>
                <w:rFonts w:hint="default" w:ascii="Times New Roman" w:hAnsi="Times New Roman" w:eastAsia="宋体" w:cs="Times New Roman"/>
                <w:color w:val="auto"/>
                <w:kern w:val="0"/>
                <w:sz w:val="21"/>
                <w:szCs w:val="21"/>
                <w:lang w:val="en-US" w:eastAsia="zh-CN"/>
              </w:rPr>
              <w:t>44</w:t>
            </w:r>
            <w:r>
              <w:rPr>
                <w:rFonts w:hint="default" w:ascii="Times New Roman" w:hAnsi="Times New Roman" w:eastAsia="宋体" w:cs="Times New Roman"/>
                <w:color w:val="auto"/>
                <w:kern w:val="0"/>
                <w:sz w:val="21"/>
                <w:szCs w:val="21"/>
                <w:lang w:val="zh-CN"/>
              </w:rPr>
              <w:t>微克/立方米，</w:t>
            </w:r>
            <w:r>
              <w:rPr>
                <w:rFonts w:hint="default" w:ascii="Times New Roman" w:hAnsi="Times New Roman" w:eastAsia="宋体" w:cs="Times New Roman"/>
                <w:color w:val="auto"/>
                <w:kern w:val="0"/>
                <w:sz w:val="21"/>
                <w:szCs w:val="21"/>
              </w:rPr>
              <w:t>达标</w:t>
            </w:r>
            <w:r>
              <w:rPr>
                <w:rFonts w:hint="default" w:ascii="Times New Roman" w:hAnsi="Times New Roman" w:eastAsia="宋体" w:cs="Times New Roman"/>
                <w:color w:val="auto"/>
                <w:kern w:val="0"/>
                <w:sz w:val="21"/>
                <w:szCs w:val="21"/>
                <w:lang w:val="zh-CN"/>
              </w:rPr>
              <w:t>；一氧化碳（CO）1.</w:t>
            </w:r>
            <w:r>
              <w:rPr>
                <w:rFonts w:hint="default" w:ascii="Times New Roman" w:hAnsi="Times New Roman" w:eastAsia="宋体" w:cs="Times New Roman"/>
                <w:color w:val="auto"/>
                <w:kern w:val="0"/>
                <w:sz w:val="21"/>
                <w:szCs w:val="21"/>
                <w:lang w:val="en-US" w:eastAsia="zh-CN"/>
              </w:rPr>
              <w:t>3</w:t>
            </w:r>
            <w:r>
              <w:rPr>
                <w:rFonts w:hint="default" w:ascii="Times New Roman" w:hAnsi="Times New Roman" w:eastAsia="宋体" w:cs="Times New Roman"/>
                <w:color w:val="auto"/>
                <w:kern w:val="0"/>
                <w:sz w:val="21"/>
                <w:szCs w:val="21"/>
                <w:lang w:val="zh-CN"/>
              </w:rPr>
              <w:t>毫克/立方米，</w:t>
            </w:r>
            <w:r>
              <w:rPr>
                <w:rFonts w:hint="default" w:ascii="Times New Roman" w:hAnsi="Times New Roman" w:eastAsia="宋体" w:cs="Times New Roman"/>
                <w:color w:val="auto"/>
                <w:kern w:val="0"/>
                <w:sz w:val="21"/>
                <w:szCs w:val="21"/>
              </w:rPr>
              <w:t>达标</w:t>
            </w:r>
            <w:r>
              <w:rPr>
                <w:rFonts w:hint="default" w:ascii="Times New Roman" w:hAnsi="Times New Roman" w:eastAsia="宋体" w:cs="Times New Roman"/>
                <w:color w:val="auto"/>
                <w:kern w:val="0"/>
                <w:sz w:val="21"/>
                <w:szCs w:val="21"/>
                <w:lang w:val="zh-CN"/>
              </w:rPr>
              <w:t>；臭氧（O</w:t>
            </w:r>
            <w:r>
              <w:rPr>
                <w:rFonts w:hint="default" w:ascii="Times New Roman" w:hAnsi="Times New Roman" w:eastAsia="宋体" w:cs="Times New Roman"/>
                <w:color w:val="auto"/>
                <w:kern w:val="0"/>
                <w:sz w:val="21"/>
                <w:szCs w:val="21"/>
                <w:vertAlign w:val="subscript"/>
                <w:lang w:val="zh-CN"/>
              </w:rPr>
              <w:t>3</w:t>
            </w:r>
            <w:r>
              <w:rPr>
                <w:rFonts w:hint="default" w:ascii="Times New Roman" w:hAnsi="Times New Roman" w:eastAsia="宋体" w:cs="Times New Roman"/>
                <w:color w:val="auto"/>
                <w:kern w:val="0"/>
                <w:sz w:val="21"/>
                <w:szCs w:val="21"/>
                <w:lang w:val="zh-CN"/>
              </w:rPr>
              <w:t>）</w:t>
            </w:r>
            <w:r>
              <w:rPr>
                <w:rFonts w:hint="default" w:ascii="Times New Roman" w:hAnsi="Times New Roman" w:eastAsia="宋体" w:cs="Times New Roman"/>
                <w:color w:val="auto"/>
                <w:kern w:val="0"/>
                <w:sz w:val="21"/>
                <w:szCs w:val="21"/>
                <w:lang w:val="en-US" w:eastAsia="zh-CN"/>
              </w:rPr>
              <w:t>204</w:t>
            </w:r>
            <w:r>
              <w:rPr>
                <w:rFonts w:hint="default" w:ascii="Times New Roman" w:hAnsi="Times New Roman" w:eastAsia="宋体" w:cs="Times New Roman"/>
                <w:color w:val="auto"/>
                <w:kern w:val="0"/>
                <w:sz w:val="21"/>
                <w:szCs w:val="21"/>
                <w:lang w:val="zh-CN"/>
              </w:rPr>
              <w:t>微克/立方米，</w:t>
            </w:r>
            <w:r>
              <w:rPr>
                <w:rFonts w:hint="default" w:ascii="Times New Roman" w:hAnsi="Times New Roman" w:eastAsia="宋体" w:cs="Times New Roman"/>
                <w:color w:val="auto"/>
                <w:kern w:val="0"/>
                <w:sz w:val="21"/>
                <w:szCs w:val="21"/>
              </w:rPr>
              <w:t>不达标</w:t>
            </w:r>
            <w:r>
              <w:rPr>
                <w:rFonts w:hint="default" w:ascii="Times New Roman" w:hAnsi="Times New Roman" w:eastAsia="宋体" w:cs="Times New Roman"/>
                <w:color w:val="auto"/>
                <w:kern w:val="0"/>
                <w:sz w:val="21"/>
                <w:szCs w:val="21"/>
                <w:lang w:val="zh-CN"/>
              </w:rPr>
              <w:t>。区域环境空气不满足《环境空气质量标准》（GB3095-2012）及修改单中的二级标准，淄博市及文昌湖区已采取相关措施，该区域大气环境质量已日趋改善。</w:t>
            </w:r>
          </w:p>
          <w:p w14:paraId="11878B26">
            <w:pPr>
              <w:keepNext w:val="0"/>
              <w:keepLines w:val="0"/>
              <w:pageBreakBefore w:val="0"/>
              <w:widowControl w:val="0"/>
              <w:kinsoku/>
              <w:wordWrap/>
              <w:overflowPunct/>
              <w:topLinePunct w:val="0"/>
              <w:bidi w:val="0"/>
              <w:spacing w:line="360" w:lineRule="auto"/>
              <w:ind w:firstLine="420" w:firstLineChars="200"/>
              <w:rPr>
                <w:rFonts w:hint="default" w:ascii="Times New Roman" w:hAnsi="Times New Roman" w:eastAsia="宋体" w:cs="Times New Roman"/>
                <w:color w:val="auto"/>
                <w:kern w:val="0"/>
                <w:sz w:val="21"/>
                <w:szCs w:val="21"/>
                <w:lang w:val="zh-CN"/>
              </w:rPr>
            </w:pPr>
            <w:r>
              <w:rPr>
                <w:rFonts w:hint="default" w:ascii="Times New Roman" w:hAnsi="Times New Roman" w:eastAsia="宋体" w:cs="Times New Roman"/>
                <w:color w:val="FF0000"/>
                <w:kern w:val="0"/>
                <w:sz w:val="21"/>
                <w:szCs w:val="21"/>
                <w:lang w:val="zh-CN"/>
              </w:rPr>
              <w:t>本项目距离最近的地表水体为范阳河（孝妇河支流），</w:t>
            </w:r>
            <w:r>
              <w:rPr>
                <w:rFonts w:hint="default" w:ascii="Times New Roman" w:hAnsi="Times New Roman" w:eastAsia="宋体" w:cs="Times New Roman"/>
                <w:color w:val="FF0000"/>
                <w:kern w:val="0"/>
                <w:sz w:val="21"/>
                <w:szCs w:val="21"/>
                <w:lang w:val="en-US" w:eastAsia="zh-CN"/>
              </w:rPr>
              <w:t>执行《地表水环境质量标准》（GB3838-2002）中Ⅳ类标准，</w:t>
            </w:r>
            <w:r>
              <w:rPr>
                <w:rFonts w:hint="default" w:ascii="Times New Roman" w:hAnsi="Times New Roman" w:eastAsia="宋体" w:cs="Times New Roman"/>
                <w:color w:val="auto"/>
                <w:kern w:val="0"/>
                <w:sz w:val="21"/>
                <w:szCs w:val="21"/>
                <w:lang w:val="zh-CN"/>
              </w:rPr>
              <w:t>根据淄博市生态环境局202</w:t>
            </w:r>
            <w:r>
              <w:rPr>
                <w:rFonts w:hint="default" w:ascii="Times New Roman" w:hAnsi="Times New Roman" w:eastAsia="宋体" w:cs="Times New Roman"/>
                <w:color w:val="auto"/>
                <w:kern w:val="0"/>
                <w:sz w:val="21"/>
                <w:szCs w:val="21"/>
                <w:lang w:val="en-US" w:eastAsia="zh-CN"/>
              </w:rPr>
              <w:t>4</w:t>
            </w:r>
            <w:r>
              <w:rPr>
                <w:rFonts w:hint="default" w:ascii="Times New Roman" w:hAnsi="Times New Roman" w:eastAsia="宋体" w:cs="Times New Roman"/>
                <w:color w:val="auto"/>
                <w:kern w:val="0"/>
                <w:sz w:val="21"/>
                <w:szCs w:val="21"/>
                <w:lang w:val="zh-CN"/>
              </w:rPr>
              <w:t>年12月2</w:t>
            </w:r>
            <w:r>
              <w:rPr>
                <w:rFonts w:hint="default" w:ascii="Times New Roman" w:hAnsi="Times New Roman" w:eastAsia="宋体" w:cs="Times New Roman"/>
                <w:color w:val="auto"/>
                <w:kern w:val="0"/>
                <w:sz w:val="21"/>
                <w:szCs w:val="21"/>
                <w:lang w:val="en-US" w:eastAsia="zh-CN"/>
              </w:rPr>
              <w:t>6</w:t>
            </w:r>
            <w:r>
              <w:rPr>
                <w:rFonts w:hint="default" w:ascii="Times New Roman" w:hAnsi="Times New Roman" w:eastAsia="宋体" w:cs="Times New Roman"/>
                <w:color w:val="auto"/>
                <w:kern w:val="0"/>
                <w:sz w:val="21"/>
                <w:szCs w:val="21"/>
                <w:lang w:val="zh-CN"/>
              </w:rPr>
              <w:t>日公布的《2024年1—11月全市地表水环境质量状况》，202</w:t>
            </w:r>
            <w:r>
              <w:rPr>
                <w:rFonts w:hint="default" w:ascii="Times New Roman" w:hAnsi="Times New Roman" w:eastAsia="宋体" w:cs="Times New Roman"/>
                <w:color w:val="auto"/>
                <w:kern w:val="0"/>
                <w:sz w:val="21"/>
                <w:szCs w:val="21"/>
                <w:lang w:val="en-US" w:eastAsia="zh-CN"/>
              </w:rPr>
              <w:t>4</w:t>
            </w:r>
            <w:r>
              <w:rPr>
                <w:rFonts w:hint="default" w:ascii="Times New Roman" w:hAnsi="Times New Roman" w:eastAsia="宋体" w:cs="Times New Roman"/>
                <w:color w:val="auto"/>
                <w:kern w:val="0"/>
                <w:sz w:val="21"/>
                <w:szCs w:val="21"/>
                <w:lang w:val="zh-CN"/>
              </w:rPr>
              <w:t>年1</w:t>
            </w:r>
            <w:r>
              <w:rPr>
                <w:rFonts w:hint="default" w:ascii="Times New Roman" w:hAnsi="Times New Roman" w:eastAsia="宋体" w:cs="Times New Roman"/>
                <w:color w:val="auto"/>
                <w:kern w:val="0"/>
                <w:sz w:val="21"/>
                <w:szCs w:val="21"/>
                <w:lang w:val="en-US" w:eastAsia="zh-CN"/>
              </w:rPr>
              <w:t>—</w:t>
            </w:r>
            <w:r>
              <w:rPr>
                <w:rFonts w:hint="default" w:ascii="Times New Roman" w:hAnsi="Times New Roman" w:eastAsia="宋体" w:cs="Times New Roman"/>
                <w:color w:val="auto"/>
                <w:kern w:val="0"/>
                <w:sz w:val="21"/>
                <w:szCs w:val="21"/>
                <w:lang w:val="zh-CN"/>
              </w:rPr>
              <w:t>11月，离项目最近的范阳河（孝妇河支流）满足《地表水环境质量标准》（GB3838-2002）</w:t>
            </w:r>
            <w:r>
              <w:rPr>
                <w:rFonts w:hint="default" w:ascii="Times New Roman" w:hAnsi="Times New Roman" w:eastAsia="宋体" w:cs="Times New Roman"/>
                <w:color w:val="auto"/>
                <w:kern w:val="0"/>
                <w:sz w:val="21"/>
                <w:szCs w:val="21"/>
              </w:rPr>
              <w:t>Ⅲ</w:t>
            </w:r>
            <w:r>
              <w:rPr>
                <w:rFonts w:hint="default" w:ascii="Times New Roman" w:hAnsi="Times New Roman" w:eastAsia="宋体" w:cs="Times New Roman"/>
                <w:color w:val="auto"/>
                <w:kern w:val="0"/>
                <w:sz w:val="21"/>
                <w:szCs w:val="21"/>
                <w:lang w:val="zh-CN"/>
              </w:rPr>
              <w:t>类标准，范阳河（孝妇河支流）</w:t>
            </w:r>
            <w:r>
              <w:rPr>
                <w:rFonts w:hint="default" w:ascii="Times New Roman" w:hAnsi="Times New Roman" w:eastAsia="宋体" w:cs="Times New Roman"/>
                <w:color w:val="auto"/>
                <w:kern w:val="0"/>
                <w:sz w:val="21"/>
                <w:szCs w:val="21"/>
                <w:lang w:val="en-US" w:eastAsia="zh-CN"/>
              </w:rPr>
              <w:t>满足地表水环境质量标准，</w:t>
            </w:r>
            <w:r>
              <w:rPr>
                <w:rFonts w:hint="default" w:ascii="Times New Roman" w:hAnsi="Times New Roman" w:eastAsia="宋体" w:cs="Times New Roman"/>
                <w:color w:val="auto"/>
                <w:kern w:val="0"/>
                <w:sz w:val="21"/>
                <w:szCs w:val="21"/>
                <w:lang w:val="zh-CN"/>
              </w:rPr>
              <w:t>项目所在地地表水水质较好。</w:t>
            </w:r>
          </w:p>
          <w:p w14:paraId="17F1E1BC">
            <w:pPr>
              <w:keepNext w:val="0"/>
              <w:keepLines w:val="0"/>
              <w:pageBreakBefore w:val="0"/>
              <w:widowControl w:val="0"/>
              <w:kinsoku/>
              <w:wordWrap/>
              <w:overflowPunct/>
              <w:topLinePunct w:val="0"/>
              <w:bidi w:val="0"/>
              <w:spacing w:line="360" w:lineRule="auto"/>
              <w:ind w:firstLine="420" w:firstLineChars="200"/>
              <w:rPr>
                <w:rFonts w:hint="default" w:ascii="Times New Roman" w:hAnsi="Times New Roman" w:eastAsia="宋体" w:cs="Times New Roman"/>
                <w:color w:val="auto"/>
                <w:sz w:val="21"/>
                <w:szCs w:val="21"/>
                <w:highlight w:val="yellow"/>
              </w:rPr>
            </w:pPr>
            <w:r>
              <w:rPr>
                <w:rFonts w:hint="default" w:ascii="Times New Roman" w:hAnsi="Times New Roman" w:eastAsia="宋体" w:cs="Times New Roman"/>
                <w:color w:val="auto"/>
                <w:kern w:val="0"/>
                <w:sz w:val="21"/>
                <w:szCs w:val="21"/>
              </w:rPr>
              <w:t>根据淄博市生态环境局202</w:t>
            </w:r>
            <w:r>
              <w:rPr>
                <w:rFonts w:hint="default" w:ascii="Times New Roman" w:hAnsi="Times New Roman" w:eastAsia="宋体" w:cs="Times New Roman"/>
                <w:color w:val="auto"/>
                <w:kern w:val="0"/>
                <w:sz w:val="21"/>
                <w:szCs w:val="21"/>
                <w:lang w:val="en-US" w:eastAsia="zh-CN"/>
              </w:rPr>
              <w:t>5</w:t>
            </w:r>
            <w:r>
              <w:rPr>
                <w:rFonts w:hint="default" w:ascii="Times New Roman" w:hAnsi="Times New Roman" w:eastAsia="宋体" w:cs="Times New Roman"/>
                <w:color w:val="auto"/>
                <w:kern w:val="0"/>
                <w:sz w:val="21"/>
                <w:szCs w:val="21"/>
              </w:rPr>
              <w:t>年</w:t>
            </w:r>
            <w:r>
              <w:rPr>
                <w:rFonts w:hint="default" w:ascii="Times New Roman" w:hAnsi="Times New Roman" w:eastAsia="宋体" w:cs="Times New Roman"/>
                <w:color w:val="auto"/>
                <w:kern w:val="0"/>
                <w:sz w:val="21"/>
                <w:szCs w:val="21"/>
                <w:lang w:val="en-US" w:eastAsia="zh-CN"/>
              </w:rPr>
              <w:t>02</w:t>
            </w:r>
            <w:r>
              <w:rPr>
                <w:rFonts w:hint="default" w:ascii="Times New Roman" w:hAnsi="Times New Roman" w:eastAsia="宋体" w:cs="Times New Roman"/>
                <w:color w:val="auto"/>
                <w:kern w:val="0"/>
                <w:sz w:val="21"/>
                <w:szCs w:val="21"/>
              </w:rPr>
              <w:t>月</w:t>
            </w:r>
            <w:r>
              <w:rPr>
                <w:rFonts w:hint="default" w:ascii="Times New Roman" w:hAnsi="Times New Roman" w:eastAsia="宋体" w:cs="Times New Roman"/>
                <w:color w:val="auto"/>
                <w:kern w:val="0"/>
                <w:sz w:val="21"/>
                <w:szCs w:val="21"/>
                <w:lang w:val="en-US" w:eastAsia="zh-CN"/>
              </w:rPr>
              <w:t>28</w:t>
            </w:r>
            <w:r>
              <w:rPr>
                <w:rFonts w:hint="default" w:ascii="Times New Roman" w:hAnsi="Times New Roman" w:eastAsia="宋体" w:cs="Times New Roman"/>
                <w:color w:val="auto"/>
                <w:kern w:val="0"/>
                <w:sz w:val="21"/>
                <w:szCs w:val="21"/>
              </w:rPr>
              <w:t>日发布的《淄博市2025年2月集中式生活饮用水水源水质状况报告》，</w:t>
            </w:r>
            <w:r>
              <w:rPr>
                <w:rFonts w:hint="default" w:ascii="Times New Roman" w:hAnsi="Times New Roman" w:eastAsia="宋体" w:cs="Times New Roman"/>
                <w:color w:val="auto"/>
                <w:kern w:val="0"/>
                <w:sz w:val="21"/>
                <w:szCs w:val="21"/>
                <w:lang w:val="en-US" w:eastAsia="zh-CN"/>
              </w:rPr>
              <w:t>12月份监测的12个集中式饮用水水源常规监测项目全部达标，达标率为100%</w:t>
            </w:r>
            <w:r>
              <w:rPr>
                <w:rFonts w:hint="default" w:ascii="Times New Roman" w:hAnsi="Times New Roman" w:eastAsia="宋体" w:cs="Times New Roman"/>
                <w:color w:val="auto"/>
                <w:kern w:val="0"/>
                <w:sz w:val="21"/>
                <w:szCs w:val="21"/>
              </w:rPr>
              <w:t>。其中，3个地表水水源常规监测指标达到或优于《地表水环境质量标准》Ⅲ类标准和相关标准限值，9个地下水水源常规监测指标达到或优于《地下水质量标准》Ⅲ类标准</w:t>
            </w:r>
            <w:r>
              <w:rPr>
                <w:rFonts w:hint="default" w:ascii="Times New Roman" w:hAnsi="Times New Roman" w:eastAsia="宋体" w:cs="Times New Roman"/>
                <w:color w:val="auto"/>
                <w:kern w:val="0"/>
                <w:sz w:val="21"/>
                <w:szCs w:val="21"/>
                <w:lang w:val="zh-CN"/>
              </w:rPr>
              <w:t>，因此说明项目周边地下水水质情况较好。</w:t>
            </w:r>
          </w:p>
          <w:p w14:paraId="356DB43A">
            <w:pPr>
              <w:keepNext w:val="0"/>
              <w:keepLines w:val="0"/>
              <w:pageBreakBefore w:val="0"/>
              <w:widowControl w:val="0"/>
              <w:kinsoku/>
              <w:wordWrap/>
              <w:overflowPunct/>
              <w:topLinePunct w:val="0"/>
              <w:bidi w:val="0"/>
              <w:spacing w:line="360" w:lineRule="auto"/>
              <w:ind w:left="48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val="en-US" w:eastAsia="zh-CN"/>
              </w:rPr>
              <w:t>3</w:t>
            </w:r>
            <w:r>
              <w:rPr>
                <w:rFonts w:hint="default" w:ascii="Times New Roman" w:hAnsi="Times New Roman" w:eastAsia="宋体" w:cs="Times New Roman"/>
                <w:color w:val="auto"/>
                <w:sz w:val="21"/>
                <w:szCs w:val="21"/>
              </w:rPr>
              <w:t>）资源利用上线符合性判定</w:t>
            </w:r>
          </w:p>
          <w:p w14:paraId="4CA7E11F">
            <w:pPr>
              <w:keepNext w:val="0"/>
              <w:keepLines w:val="0"/>
              <w:pageBreakBefore w:val="0"/>
              <w:widowControl w:val="0"/>
              <w:kinsoku/>
              <w:wordWrap/>
              <w:overflowPunct/>
              <w:topLinePunct w:val="0"/>
              <w:bidi w:val="0"/>
              <w:spacing w:line="360" w:lineRule="auto"/>
              <w:ind w:firstLine="420" w:firstLineChars="20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w:t>
            </w:r>
            <w:r>
              <w:rPr>
                <w:rFonts w:hint="default" w:ascii="Times New Roman" w:hAnsi="Times New Roman" w:eastAsia="宋体" w:cs="Times New Roman"/>
                <w:color w:val="auto"/>
                <w:sz w:val="21"/>
                <w:szCs w:val="21"/>
                <w:lang w:val="en-US" w:eastAsia="zh-CN"/>
              </w:rPr>
              <w:t>扩建</w:t>
            </w:r>
            <w:r>
              <w:rPr>
                <w:rFonts w:hint="default" w:ascii="Times New Roman" w:hAnsi="Times New Roman" w:eastAsia="宋体" w:cs="Times New Roman"/>
                <w:color w:val="auto"/>
                <w:sz w:val="21"/>
                <w:szCs w:val="21"/>
              </w:rPr>
              <w:t>完成后用电量为</w:t>
            </w:r>
            <w:r>
              <w:rPr>
                <w:rFonts w:hint="default" w:ascii="Times New Roman" w:hAnsi="Times New Roman" w:eastAsia="宋体" w:cs="Times New Roman"/>
                <w:color w:val="auto"/>
                <w:sz w:val="21"/>
                <w:szCs w:val="21"/>
                <w:lang w:val="en-US" w:eastAsia="zh-CN"/>
              </w:rPr>
              <w:t>12</w:t>
            </w:r>
            <w:r>
              <w:rPr>
                <w:rFonts w:hint="default" w:ascii="Times New Roman" w:hAnsi="Times New Roman" w:eastAsia="宋体" w:cs="Times New Roman"/>
                <w:color w:val="auto"/>
                <w:sz w:val="21"/>
                <w:szCs w:val="21"/>
              </w:rPr>
              <w:t>万kW</w:t>
            </w:r>
            <w:r>
              <w:rPr>
                <w:rFonts w:hint="default" w:ascii="Times New Roman" w:hAnsi="Times New Roman" w:eastAsia="宋体" w:cs="Times New Roman"/>
                <w:color w:val="auto"/>
                <w:sz w:val="21"/>
                <w:szCs w:val="21"/>
                <w:lang w:val="en-US" w:eastAsia="zh-CN"/>
              </w:rPr>
              <w:t>·</w:t>
            </w:r>
            <w:r>
              <w:rPr>
                <w:rFonts w:hint="default" w:ascii="Times New Roman" w:hAnsi="Times New Roman" w:eastAsia="宋体" w:cs="Times New Roman"/>
                <w:color w:val="auto"/>
                <w:sz w:val="21"/>
                <w:szCs w:val="21"/>
              </w:rPr>
              <w:t>h/a，</w:t>
            </w:r>
            <w:r>
              <w:rPr>
                <w:rFonts w:hint="default" w:ascii="Times New Roman" w:hAnsi="Times New Roman" w:eastAsia="宋体" w:cs="Times New Roman"/>
                <w:color w:val="auto"/>
                <w:sz w:val="21"/>
                <w:szCs w:val="21"/>
                <w:lang w:val="en-US" w:eastAsia="zh-CN"/>
              </w:rPr>
              <w:t>用水量为160m</w:t>
            </w:r>
            <w:r>
              <w:rPr>
                <w:rFonts w:hint="default" w:ascii="Times New Roman" w:hAnsi="Times New Roman" w:eastAsia="宋体" w:cs="Times New Roman"/>
                <w:color w:val="auto"/>
                <w:sz w:val="21"/>
                <w:szCs w:val="21"/>
                <w:vertAlign w:val="superscript"/>
                <w:lang w:val="en-US" w:eastAsia="zh-CN"/>
              </w:rPr>
              <w:t>3</w:t>
            </w:r>
            <w:r>
              <w:rPr>
                <w:rFonts w:hint="default" w:ascii="Times New Roman" w:hAnsi="Times New Roman" w:eastAsia="宋体" w:cs="Times New Roman"/>
                <w:color w:val="auto"/>
                <w:sz w:val="21"/>
                <w:szCs w:val="21"/>
                <w:lang w:val="en-US" w:eastAsia="zh-CN"/>
              </w:rPr>
              <w:t>/a，</w:t>
            </w:r>
            <w:r>
              <w:rPr>
                <w:rFonts w:hint="default" w:ascii="Times New Roman" w:hAnsi="Times New Roman" w:eastAsia="宋体" w:cs="Times New Roman"/>
                <w:color w:val="auto"/>
                <w:sz w:val="21"/>
                <w:szCs w:val="21"/>
              </w:rPr>
              <w:t>项目的资源消耗量相对区域资源利用总量较少，符合资源利用上线要求。</w:t>
            </w:r>
          </w:p>
          <w:p w14:paraId="5F744A1C">
            <w:pPr>
              <w:keepNext w:val="0"/>
              <w:keepLines w:val="0"/>
              <w:pageBreakBefore w:val="0"/>
              <w:widowControl w:val="0"/>
              <w:kinsoku/>
              <w:wordWrap/>
              <w:overflowPunct/>
              <w:topLinePunct w:val="0"/>
              <w:bidi w:val="0"/>
              <w:spacing w:line="360" w:lineRule="auto"/>
              <w:ind w:firstLine="420" w:firstLineChars="200"/>
              <w:contextualSpacing/>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val="en-US" w:eastAsia="zh-CN"/>
              </w:rPr>
              <w:t>4</w:t>
            </w:r>
            <w:r>
              <w:rPr>
                <w:rFonts w:hint="default" w:ascii="Times New Roman" w:hAnsi="Times New Roman" w:eastAsia="宋体" w:cs="Times New Roman"/>
                <w:color w:val="auto"/>
                <w:sz w:val="21"/>
                <w:szCs w:val="21"/>
              </w:rPr>
              <w:t>）生态环境准入负面清单判定</w:t>
            </w:r>
          </w:p>
          <w:p w14:paraId="0B4C0AF0">
            <w:pPr>
              <w:keepNext w:val="0"/>
              <w:keepLines w:val="0"/>
              <w:pageBreakBefore w:val="0"/>
              <w:widowControl w:val="0"/>
              <w:kinsoku/>
              <w:wordWrap/>
              <w:overflowPunct/>
              <w:topLinePunct w:val="0"/>
              <w:bidi w:val="0"/>
              <w:spacing w:line="360" w:lineRule="auto"/>
              <w:ind w:firstLine="420" w:firstLineChars="200"/>
              <w:rPr>
                <w:rFonts w:hint="default" w:ascii="Times New Roman" w:hAnsi="Times New Roman" w:eastAsia="宋体" w:cs="Times New Roman"/>
                <w:color w:val="auto"/>
                <w:kern w:val="0"/>
                <w:sz w:val="21"/>
                <w:szCs w:val="21"/>
                <w:lang w:val="zh-CN"/>
              </w:rPr>
            </w:pPr>
            <w:r>
              <w:rPr>
                <w:rFonts w:hint="default" w:ascii="Times New Roman" w:hAnsi="Times New Roman" w:eastAsia="宋体" w:cs="Times New Roman"/>
                <w:color w:val="auto"/>
                <w:kern w:val="0"/>
                <w:sz w:val="21"/>
                <w:szCs w:val="21"/>
                <w:lang w:val="zh-CN"/>
              </w:rPr>
              <w:t>根据《淄博市2023年生态环境分区管控成果动态更新项目生态环境准入清单》内划定的生态环境分区范围可知，</w:t>
            </w:r>
            <w:r>
              <w:rPr>
                <w:rFonts w:hint="default" w:ascii="Times New Roman" w:hAnsi="Times New Roman" w:eastAsia="宋体" w:cs="Times New Roman"/>
                <w:color w:val="auto"/>
                <w:kern w:val="0"/>
                <w:sz w:val="21"/>
                <w:szCs w:val="21"/>
                <w:lang w:val="en-US" w:eastAsia="zh-CN"/>
              </w:rPr>
              <w:t>本项目位于</w:t>
            </w:r>
            <w:r>
              <w:rPr>
                <w:rFonts w:hint="default" w:ascii="Times New Roman" w:hAnsi="Times New Roman" w:eastAsia="宋体" w:cs="Times New Roman"/>
                <w:color w:val="auto"/>
                <w:sz w:val="21"/>
                <w:szCs w:val="21"/>
                <w:lang w:eastAsia="zh-CN"/>
              </w:rPr>
              <w:t>山东省淄博市文昌湖区萌水镇萌三村（村委南1000米）</w:t>
            </w:r>
            <w:r>
              <w:rPr>
                <w:rFonts w:hint="default" w:ascii="Times New Roman" w:hAnsi="Times New Roman" w:eastAsia="宋体" w:cs="Times New Roman"/>
                <w:color w:val="auto"/>
                <w:kern w:val="0"/>
                <w:sz w:val="21"/>
                <w:szCs w:val="21"/>
                <w:lang w:val="zh-CN"/>
              </w:rPr>
              <w:t>，位于文昌湖区</w:t>
            </w:r>
            <w:r>
              <w:rPr>
                <w:rFonts w:hint="default" w:ascii="Times New Roman" w:hAnsi="Times New Roman" w:eastAsia="宋体" w:cs="Times New Roman"/>
                <w:color w:val="auto"/>
                <w:sz w:val="21"/>
                <w:szCs w:val="21"/>
              </w:rPr>
              <w:t>萌水镇</w:t>
            </w:r>
            <w:r>
              <w:rPr>
                <w:rFonts w:hint="default" w:ascii="Times New Roman" w:hAnsi="Times New Roman" w:eastAsia="宋体" w:cs="Times New Roman"/>
                <w:color w:val="auto"/>
                <w:kern w:val="0"/>
                <w:sz w:val="21"/>
                <w:szCs w:val="21"/>
                <w:lang w:val="zh-CN"/>
              </w:rPr>
              <w:t>，为一般管控单元，环境管控单元编码：ZH37030630002。与分区管控要求符合性分析如下表所示。</w:t>
            </w:r>
          </w:p>
          <w:p w14:paraId="7F4C48D7">
            <w:pPr>
              <w:keepNext w:val="0"/>
              <w:keepLines w:val="0"/>
              <w:pageBreakBefore w:val="0"/>
              <w:widowControl w:val="0"/>
              <w:kinsoku/>
              <w:wordWrap/>
              <w:overflowPunct/>
              <w:topLinePunct w:val="0"/>
              <w:autoSpaceDE w:val="0"/>
              <w:autoSpaceDN w:val="0"/>
              <w:bidi w:val="0"/>
              <w:adjustRightInd w:val="0"/>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b/>
                <w:bCs/>
                <w:color w:val="auto"/>
                <w:kern w:val="0"/>
                <w:sz w:val="21"/>
                <w:szCs w:val="21"/>
              </w:rPr>
              <w:t>表1-</w:t>
            </w:r>
            <w:r>
              <w:rPr>
                <w:rFonts w:hint="default" w:ascii="Times New Roman" w:hAnsi="Times New Roman" w:eastAsia="宋体" w:cs="Times New Roman"/>
                <w:b/>
                <w:bCs/>
                <w:color w:val="auto"/>
                <w:kern w:val="0"/>
                <w:sz w:val="21"/>
                <w:szCs w:val="21"/>
                <w:lang w:val="en-US" w:eastAsia="zh-CN"/>
              </w:rPr>
              <w:t>1</w:t>
            </w:r>
            <w:r>
              <w:rPr>
                <w:rFonts w:hint="default" w:ascii="Times New Roman" w:hAnsi="Times New Roman" w:eastAsia="宋体" w:cs="Times New Roman"/>
                <w:b/>
                <w:bCs/>
                <w:color w:val="auto"/>
                <w:kern w:val="0"/>
                <w:sz w:val="21"/>
                <w:szCs w:val="21"/>
                <w:lang w:eastAsia="zh-CN"/>
              </w:rPr>
              <w:t xml:space="preserve"> </w:t>
            </w:r>
            <w:r>
              <w:rPr>
                <w:rFonts w:hint="default" w:ascii="Times New Roman" w:hAnsi="Times New Roman" w:eastAsia="宋体" w:cs="Times New Roman"/>
                <w:b/>
                <w:bCs/>
                <w:color w:val="auto"/>
                <w:kern w:val="0"/>
                <w:sz w:val="21"/>
                <w:szCs w:val="21"/>
              </w:rPr>
              <w:t>与《淄博市2023年生态环境分区管控成果动态更新项目生态环境准入清单》符合性分析</w:t>
            </w:r>
          </w:p>
          <w:tbl>
            <w:tblPr>
              <w:tblStyle w:val="15"/>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26"/>
              <w:gridCol w:w="3746"/>
              <w:gridCol w:w="2088"/>
              <w:gridCol w:w="750"/>
            </w:tblGrid>
            <w:tr w14:paraId="1BC4C2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4" w:type="pct"/>
                  <w:vAlign w:val="center"/>
                </w:tcPr>
                <w:p w14:paraId="2C934E07">
                  <w:pPr>
                    <w:pStyle w:val="8"/>
                    <w:keepNext w:val="0"/>
                    <w:keepLines w:val="0"/>
                    <w:pageBreakBefore w:val="0"/>
                    <w:widowControl w:val="0"/>
                    <w:kinsoku/>
                    <w:wordWrap/>
                    <w:overflowPunct/>
                    <w:topLinePunct w:val="0"/>
                    <w:bidi w:val="0"/>
                    <w:adjustRightInd w:val="0"/>
                    <w:snapToGrid w:val="0"/>
                    <w:spacing w:after="0"/>
                    <w:ind w:left="0" w:leftChars="0"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kern w:val="0"/>
                      <w:sz w:val="21"/>
                      <w:szCs w:val="21"/>
                    </w:rPr>
                    <w:t>分类</w:t>
                  </w:r>
                </w:p>
              </w:tc>
              <w:tc>
                <w:tcPr>
                  <w:tcW w:w="2598" w:type="pct"/>
                  <w:vAlign w:val="center"/>
                </w:tcPr>
                <w:p w14:paraId="2A252801">
                  <w:pPr>
                    <w:pStyle w:val="8"/>
                    <w:keepNext w:val="0"/>
                    <w:keepLines w:val="0"/>
                    <w:pageBreakBefore w:val="0"/>
                    <w:widowControl w:val="0"/>
                    <w:kinsoku/>
                    <w:wordWrap/>
                    <w:overflowPunct/>
                    <w:topLinePunct w:val="0"/>
                    <w:bidi w:val="0"/>
                    <w:adjustRightInd w:val="0"/>
                    <w:snapToGrid w:val="0"/>
                    <w:spacing w:after="0"/>
                    <w:ind w:left="0" w:leftChars="0"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kern w:val="0"/>
                      <w:sz w:val="21"/>
                      <w:szCs w:val="21"/>
                    </w:rPr>
                    <w:t>要求</w:t>
                  </w:r>
                </w:p>
              </w:tc>
              <w:tc>
                <w:tcPr>
                  <w:tcW w:w="1448" w:type="pct"/>
                  <w:vAlign w:val="center"/>
                </w:tcPr>
                <w:p w14:paraId="6E7C7073">
                  <w:pPr>
                    <w:pStyle w:val="8"/>
                    <w:keepNext w:val="0"/>
                    <w:keepLines w:val="0"/>
                    <w:pageBreakBefore w:val="0"/>
                    <w:widowControl w:val="0"/>
                    <w:kinsoku/>
                    <w:wordWrap/>
                    <w:overflowPunct/>
                    <w:topLinePunct w:val="0"/>
                    <w:bidi w:val="0"/>
                    <w:adjustRightInd w:val="0"/>
                    <w:snapToGrid w:val="0"/>
                    <w:spacing w:after="0"/>
                    <w:ind w:left="0" w:leftChars="0"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kern w:val="0"/>
                      <w:sz w:val="21"/>
                      <w:szCs w:val="21"/>
                    </w:rPr>
                    <w:t>本项目情况</w:t>
                  </w:r>
                </w:p>
              </w:tc>
              <w:tc>
                <w:tcPr>
                  <w:tcW w:w="518" w:type="pct"/>
                  <w:vAlign w:val="center"/>
                </w:tcPr>
                <w:p w14:paraId="36F2CD8F">
                  <w:pPr>
                    <w:pStyle w:val="8"/>
                    <w:keepNext w:val="0"/>
                    <w:keepLines w:val="0"/>
                    <w:pageBreakBefore w:val="0"/>
                    <w:widowControl w:val="0"/>
                    <w:kinsoku/>
                    <w:wordWrap/>
                    <w:overflowPunct/>
                    <w:topLinePunct w:val="0"/>
                    <w:bidi w:val="0"/>
                    <w:adjustRightInd w:val="0"/>
                    <w:snapToGrid w:val="0"/>
                    <w:spacing w:after="0"/>
                    <w:ind w:left="0" w:leftChars="0"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kern w:val="0"/>
                      <w:sz w:val="21"/>
                      <w:szCs w:val="21"/>
                    </w:rPr>
                    <w:t>符合性分析</w:t>
                  </w:r>
                </w:p>
              </w:tc>
            </w:tr>
            <w:tr w14:paraId="286827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4"/>
                  <w:vAlign w:val="center"/>
                </w:tcPr>
                <w:p w14:paraId="66641435">
                  <w:pPr>
                    <w:pStyle w:val="8"/>
                    <w:keepNext w:val="0"/>
                    <w:keepLines w:val="0"/>
                    <w:pageBreakBefore w:val="0"/>
                    <w:widowControl w:val="0"/>
                    <w:kinsoku/>
                    <w:wordWrap/>
                    <w:overflowPunct/>
                    <w:topLinePunct w:val="0"/>
                    <w:bidi w:val="0"/>
                    <w:adjustRightInd w:val="0"/>
                    <w:snapToGrid w:val="0"/>
                    <w:ind w:left="0" w:leftChars="0" w:firstLine="0" w:firstLineChars="0"/>
                    <w:jc w:val="center"/>
                    <w:rPr>
                      <w:rFonts w:hint="default" w:ascii="Times New Roman" w:hAnsi="Times New Roman" w:eastAsia="宋体" w:cs="Times New Roman"/>
                      <w:color w:val="auto"/>
                      <w:sz w:val="21"/>
                      <w:szCs w:val="21"/>
                      <w:lang w:val="zh-CN"/>
                    </w:rPr>
                  </w:pPr>
                  <w:r>
                    <w:rPr>
                      <w:rFonts w:hint="default" w:ascii="Times New Roman" w:hAnsi="Times New Roman" w:eastAsia="宋体" w:cs="Times New Roman"/>
                      <w:bCs/>
                      <w:color w:val="auto"/>
                      <w:kern w:val="0"/>
                      <w:sz w:val="21"/>
                      <w:szCs w:val="21"/>
                    </w:rPr>
                    <w:t>环境管控单元编码：ZH37030630002</w:t>
                  </w:r>
                </w:p>
              </w:tc>
            </w:tr>
            <w:tr w14:paraId="164924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4" w:type="pct"/>
                  <w:vAlign w:val="center"/>
                </w:tcPr>
                <w:p w14:paraId="3EAFB402">
                  <w:pPr>
                    <w:pStyle w:val="2"/>
                    <w:keepNext w:val="0"/>
                    <w:keepLines w:val="0"/>
                    <w:pageBreakBefore w:val="0"/>
                    <w:widowControl w:val="0"/>
                    <w:kinsoku/>
                    <w:wordWrap/>
                    <w:overflowPunct/>
                    <w:topLinePunct w:val="0"/>
                    <w:bidi w:val="0"/>
                    <w:adjustRightInd w:val="0"/>
                    <w:snapToGrid w:val="0"/>
                    <w:spacing w:beforeAutospacing="0" w:afterAutospacing="0"/>
                    <w:jc w:val="center"/>
                    <w:rPr>
                      <w:rFonts w:hint="default" w:ascii="Times New Roman" w:hAnsi="Times New Roman" w:eastAsia="宋体" w:cs="Times New Roman"/>
                      <w:b w:val="0"/>
                      <w:color w:val="auto"/>
                      <w:sz w:val="21"/>
                      <w:szCs w:val="21"/>
                    </w:rPr>
                  </w:pPr>
                  <w:r>
                    <w:rPr>
                      <w:rFonts w:hint="default" w:ascii="Times New Roman" w:hAnsi="Times New Roman" w:eastAsia="宋体" w:cs="Times New Roman"/>
                      <w:b w:val="0"/>
                      <w:color w:val="auto"/>
                      <w:sz w:val="21"/>
                      <w:szCs w:val="21"/>
                    </w:rPr>
                    <w:t>空间布局约束</w:t>
                  </w:r>
                </w:p>
              </w:tc>
              <w:tc>
                <w:tcPr>
                  <w:tcW w:w="2598" w:type="pct"/>
                  <w:vAlign w:val="center"/>
                </w:tcPr>
                <w:p w14:paraId="3DFEE57F">
                  <w:pPr>
                    <w:pStyle w:val="2"/>
                    <w:keepNext w:val="0"/>
                    <w:keepLines w:val="0"/>
                    <w:pageBreakBefore w:val="0"/>
                    <w:widowControl w:val="0"/>
                    <w:kinsoku/>
                    <w:wordWrap/>
                    <w:overflowPunct/>
                    <w:topLinePunct w:val="0"/>
                    <w:autoSpaceDE/>
                    <w:autoSpaceDN/>
                    <w:bidi w:val="0"/>
                    <w:adjustRightInd w:val="0"/>
                    <w:snapToGrid w:val="0"/>
                    <w:spacing w:beforeAutospacing="0" w:afterAutospacing="0"/>
                    <w:jc w:val="left"/>
                    <w:textAlignment w:val="auto"/>
                    <w:rPr>
                      <w:rFonts w:hint="default" w:ascii="Times New Roman" w:hAnsi="Times New Roman" w:eastAsia="宋体" w:cs="Times New Roman"/>
                      <w:b w:val="0"/>
                      <w:color w:val="auto"/>
                      <w:sz w:val="21"/>
                      <w:szCs w:val="21"/>
                    </w:rPr>
                  </w:pPr>
                  <w:r>
                    <w:rPr>
                      <w:rFonts w:hint="default" w:ascii="Times New Roman" w:hAnsi="Times New Roman" w:eastAsia="宋体" w:cs="Times New Roman"/>
                      <w:b w:val="0"/>
                      <w:color w:val="auto"/>
                      <w:sz w:val="21"/>
                      <w:szCs w:val="21"/>
                    </w:rPr>
                    <w:t>1.禁止新建、扩建《产业结构调整指导目录》（现行）明确的淘汰类项目和引入《市场准入负面清单》（现行）禁止准入类事项；鼓励对列入《产业结构调整指导目录》的限制类、淘汰类工业项目进行淘汰和提升改造。</w:t>
                  </w:r>
                </w:p>
                <w:p w14:paraId="27E7A58C">
                  <w:pPr>
                    <w:pStyle w:val="2"/>
                    <w:keepNext w:val="0"/>
                    <w:keepLines w:val="0"/>
                    <w:pageBreakBefore w:val="0"/>
                    <w:widowControl w:val="0"/>
                    <w:kinsoku/>
                    <w:wordWrap/>
                    <w:overflowPunct/>
                    <w:topLinePunct w:val="0"/>
                    <w:autoSpaceDE/>
                    <w:autoSpaceDN/>
                    <w:bidi w:val="0"/>
                    <w:adjustRightInd w:val="0"/>
                    <w:snapToGrid w:val="0"/>
                    <w:spacing w:beforeAutospacing="0" w:afterAutospacing="0"/>
                    <w:jc w:val="left"/>
                    <w:textAlignment w:val="auto"/>
                    <w:rPr>
                      <w:rFonts w:hint="default" w:ascii="Times New Roman" w:hAnsi="Times New Roman" w:eastAsia="宋体" w:cs="Times New Roman"/>
                      <w:b w:val="0"/>
                      <w:color w:val="auto"/>
                      <w:sz w:val="21"/>
                      <w:szCs w:val="21"/>
                    </w:rPr>
                  </w:pPr>
                  <w:r>
                    <w:rPr>
                      <w:rFonts w:hint="default" w:ascii="Times New Roman" w:hAnsi="Times New Roman" w:eastAsia="宋体" w:cs="Times New Roman"/>
                      <w:b w:val="0"/>
                      <w:color w:val="auto"/>
                      <w:sz w:val="21"/>
                      <w:szCs w:val="21"/>
                    </w:rPr>
                    <w:t>2.生态保护红线内禁止城镇化和工业化活动，严禁开展不符合主体功能定位的各类开发活动。对生态保护红线内文昌湖赤眼鳟国家级水产种质资源保护区、文昌湖省级湿地公园的管理，严格按照《关于在国土空间规划中统筹划定落实三条控制线的指导意见》（2019年11月）、《关于划定并严守生态保护红线的若干意见》《自然生态空间用途管制办法（试行）》（国土资发〔2017〕33号）等相关要求管控。</w:t>
                  </w:r>
                </w:p>
                <w:p w14:paraId="027132A1">
                  <w:pPr>
                    <w:pStyle w:val="2"/>
                    <w:keepNext w:val="0"/>
                    <w:keepLines w:val="0"/>
                    <w:pageBreakBefore w:val="0"/>
                    <w:widowControl w:val="0"/>
                    <w:kinsoku/>
                    <w:wordWrap/>
                    <w:overflowPunct/>
                    <w:topLinePunct w:val="0"/>
                    <w:autoSpaceDE/>
                    <w:autoSpaceDN/>
                    <w:bidi w:val="0"/>
                    <w:adjustRightInd w:val="0"/>
                    <w:snapToGrid w:val="0"/>
                    <w:spacing w:beforeAutospacing="0" w:afterAutospacing="0"/>
                    <w:jc w:val="left"/>
                    <w:textAlignment w:val="auto"/>
                    <w:rPr>
                      <w:rFonts w:hint="default" w:ascii="Times New Roman" w:hAnsi="Times New Roman" w:eastAsia="宋体" w:cs="Times New Roman"/>
                      <w:b w:val="0"/>
                      <w:color w:val="auto"/>
                      <w:sz w:val="21"/>
                      <w:szCs w:val="21"/>
                    </w:rPr>
                  </w:pPr>
                  <w:r>
                    <w:rPr>
                      <w:rFonts w:hint="default" w:ascii="Times New Roman" w:hAnsi="Times New Roman" w:eastAsia="宋体" w:cs="Times New Roman"/>
                      <w:b w:val="0"/>
                      <w:color w:val="auto"/>
                      <w:sz w:val="21"/>
                      <w:szCs w:val="21"/>
                    </w:rPr>
                    <w:t>3.生态保护红线外的生态空间，依法依规以保护为主，严格限制大规模、高强度的区域开发，并根据其主导生态功能进行分类管控。</w:t>
                  </w:r>
                </w:p>
                <w:p w14:paraId="1F2D2E9D">
                  <w:pPr>
                    <w:pStyle w:val="2"/>
                    <w:keepNext w:val="0"/>
                    <w:keepLines w:val="0"/>
                    <w:pageBreakBefore w:val="0"/>
                    <w:widowControl w:val="0"/>
                    <w:kinsoku/>
                    <w:wordWrap/>
                    <w:overflowPunct/>
                    <w:topLinePunct w:val="0"/>
                    <w:autoSpaceDE/>
                    <w:autoSpaceDN/>
                    <w:bidi w:val="0"/>
                    <w:adjustRightInd w:val="0"/>
                    <w:snapToGrid w:val="0"/>
                    <w:spacing w:beforeAutospacing="0" w:afterAutospacing="0"/>
                    <w:jc w:val="left"/>
                    <w:textAlignment w:val="auto"/>
                    <w:rPr>
                      <w:rFonts w:hint="default" w:ascii="Times New Roman" w:hAnsi="Times New Roman" w:eastAsia="宋体" w:cs="Times New Roman"/>
                      <w:b w:val="0"/>
                      <w:color w:val="auto"/>
                      <w:sz w:val="21"/>
                      <w:szCs w:val="21"/>
                    </w:rPr>
                  </w:pPr>
                  <w:r>
                    <w:rPr>
                      <w:rFonts w:hint="default" w:ascii="Times New Roman" w:hAnsi="Times New Roman" w:eastAsia="宋体" w:cs="Times New Roman"/>
                      <w:b w:val="0"/>
                      <w:color w:val="auto"/>
                      <w:sz w:val="21"/>
                      <w:szCs w:val="21"/>
                    </w:rPr>
                    <w:t>4.</w:t>
                  </w:r>
                  <w:r>
                    <w:rPr>
                      <w:rFonts w:hint="default" w:ascii="Times New Roman" w:hAnsi="Times New Roman" w:eastAsia="宋体" w:cs="Times New Roman"/>
                      <w:b w:val="0"/>
                      <w:color w:val="auto"/>
                      <w:sz w:val="21"/>
                      <w:szCs w:val="21"/>
                      <w:lang w:eastAsia="zh-CN"/>
                    </w:rPr>
                    <w:t>按照</w:t>
                  </w:r>
                  <w:r>
                    <w:rPr>
                      <w:rFonts w:hint="default" w:ascii="Times New Roman" w:hAnsi="Times New Roman" w:eastAsia="宋体" w:cs="Times New Roman"/>
                      <w:b w:val="0"/>
                      <w:color w:val="auto"/>
                      <w:sz w:val="21"/>
                      <w:szCs w:val="21"/>
                    </w:rPr>
                    <w:t>《土壤污染防治行动计划》的要求管理：严格控制在优先保护类耕地集中区域新建有色金属冶炼、石油加工、化工、焦化、电镀、制革等行业企业。对永久基本农田实行严格保护，确保其面积不减少、土壤环境质量不下降，除法律规定的重点建设项目选址确实无法避让外，其他任何建设不得占用。</w:t>
                  </w:r>
                </w:p>
                <w:p w14:paraId="2118D28A">
                  <w:pPr>
                    <w:pStyle w:val="2"/>
                    <w:keepNext w:val="0"/>
                    <w:keepLines w:val="0"/>
                    <w:pageBreakBefore w:val="0"/>
                    <w:widowControl w:val="0"/>
                    <w:kinsoku/>
                    <w:wordWrap/>
                    <w:overflowPunct/>
                    <w:topLinePunct w:val="0"/>
                    <w:autoSpaceDE/>
                    <w:autoSpaceDN/>
                    <w:bidi w:val="0"/>
                    <w:adjustRightInd w:val="0"/>
                    <w:snapToGrid w:val="0"/>
                    <w:spacing w:beforeAutospacing="0" w:afterAutospacing="0"/>
                    <w:jc w:val="left"/>
                    <w:textAlignment w:val="auto"/>
                    <w:rPr>
                      <w:rFonts w:hint="default" w:ascii="Times New Roman" w:hAnsi="Times New Roman" w:eastAsia="宋体" w:cs="Times New Roman"/>
                      <w:b w:val="0"/>
                      <w:color w:val="auto"/>
                      <w:sz w:val="21"/>
                      <w:szCs w:val="21"/>
                    </w:rPr>
                  </w:pPr>
                  <w:r>
                    <w:rPr>
                      <w:rFonts w:hint="default" w:ascii="Times New Roman" w:hAnsi="Times New Roman" w:eastAsia="宋体" w:cs="Times New Roman"/>
                      <w:b w:val="0"/>
                      <w:color w:val="auto"/>
                      <w:sz w:val="21"/>
                      <w:szCs w:val="21"/>
                    </w:rPr>
                    <w:t>5.大气布局敏感区从严控制新建、扩建排放大气污染物的工业项目；科学合理规划布局商业、居住并严格执行。</w:t>
                  </w:r>
                </w:p>
                <w:p w14:paraId="17AC080E">
                  <w:pPr>
                    <w:pStyle w:val="2"/>
                    <w:keepNext w:val="0"/>
                    <w:keepLines w:val="0"/>
                    <w:pageBreakBefore w:val="0"/>
                    <w:widowControl w:val="0"/>
                    <w:kinsoku/>
                    <w:wordWrap/>
                    <w:overflowPunct/>
                    <w:topLinePunct w:val="0"/>
                    <w:autoSpaceDE/>
                    <w:autoSpaceDN/>
                    <w:bidi w:val="0"/>
                    <w:adjustRightInd w:val="0"/>
                    <w:snapToGrid w:val="0"/>
                    <w:spacing w:beforeAutospacing="0" w:afterAutospacing="0"/>
                    <w:jc w:val="left"/>
                    <w:textAlignment w:val="auto"/>
                    <w:rPr>
                      <w:rFonts w:hint="default" w:ascii="Times New Roman" w:hAnsi="Times New Roman" w:eastAsia="宋体" w:cs="Times New Roman"/>
                      <w:b w:val="0"/>
                      <w:color w:val="auto"/>
                      <w:sz w:val="21"/>
                      <w:szCs w:val="21"/>
                    </w:rPr>
                  </w:pPr>
                  <w:r>
                    <w:rPr>
                      <w:rFonts w:hint="default" w:ascii="Times New Roman" w:hAnsi="Times New Roman" w:eastAsia="宋体" w:cs="Times New Roman"/>
                      <w:b w:val="0"/>
                      <w:color w:val="auto"/>
                      <w:sz w:val="21"/>
                      <w:szCs w:val="21"/>
                    </w:rPr>
                    <w:t>6.污水处理设施不健全、未正常运行或污水管网未覆盖的地区，未配套污水处理设施的项目不得建设。</w:t>
                  </w:r>
                </w:p>
                <w:p w14:paraId="4CE4FDC6">
                  <w:pPr>
                    <w:pStyle w:val="2"/>
                    <w:keepNext w:val="0"/>
                    <w:keepLines w:val="0"/>
                    <w:pageBreakBefore w:val="0"/>
                    <w:widowControl w:val="0"/>
                    <w:kinsoku/>
                    <w:wordWrap/>
                    <w:overflowPunct/>
                    <w:topLinePunct w:val="0"/>
                    <w:autoSpaceDE/>
                    <w:autoSpaceDN/>
                    <w:bidi w:val="0"/>
                    <w:adjustRightInd w:val="0"/>
                    <w:snapToGrid w:val="0"/>
                    <w:spacing w:beforeAutospacing="0" w:afterAutospacing="0"/>
                    <w:jc w:val="left"/>
                    <w:textAlignment w:val="auto"/>
                    <w:rPr>
                      <w:rFonts w:hint="default" w:ascii="Times New Roman" w:hAnsi="Times New Roman" w:eastAsia="宋体" w:cs="Times New Roman"/>
                      <w:b w:val="0"/>
                      <w:color w:val="auto"/>
                      <w:sz w:val="21"/>
                      <w:szCs w:val="21"/>
                    </w:rPr>
                  </w:pPr>
                  <w:r>
                    <w:rPr>
                      <w:rFonts w:hint="default" w:ascii="Times New Roman" w:hAnsi="Times New Roman" w:eastAsia="宋体" w:cs="Times New Roman"/>
                      <w:b w:val="0"/>
                      <w:color w:val="auto"/>
                      <w:sz w:val="21"/>
                      <w:szCs w:val="21"/>
                    </w:rPr>
                    <w:t>7.新建有污染物排放的工业项目，除在安全生产等方面有特殊要求的以外，应当进入工业园区或工业聚集区。</w:t>
                  </w:r>
                </w:p>
                <w:p w14:paraId="5B49EBBF">
                  <w:pPr>
                    <w:pStyle w:val="2"/>
                    <w:keepNext w:val="0"/>
                    <w:keepLines w:val="0"/>
                    <w:pageBreakBefore w:val="0"/>
                    <w:widowControl w:val="0"/>
                    <w:kinsoku/>
                    <w:wordWrap/>
                    <w:overflowPunct/>
                    <w:topLinePunct w:val="0"/>
                    <w:autoSpaceDE/>
                    <w:autoSpaceDN/>
                    <w:bidi w:val="0"/>
                    <w:adjustRightInd w:val="0"/>
                    <w:snapToGrid w:val="0"/>
                    <w:spacing w:beforeAutospacing="0" w:afterAutospacing="0"/>
                    <w:jc w:val="left"/>
                    <w:textAlignment w:val="auto"/>
                    <w:rPr>
                      <w:rFonts w:hint="default" w:ascii="Times New Roman" w:hAnsi="Times New Roman" w:eastAsia="宋体" w:cs="Times New Roman"/>
                      <w:b w:val="0"/>
                      <w:color w:val="auto"/>
                      <w:sz w:val="21"/>
                      <w:szCs w:val="21"/>
                    </w:rPr>
                  </w:pPr>
                  <w:r>
                    <w:rPr>
                      <w:rFonts w:hint="default" w:ascii="Times New Roman" w:hAnsi="Times New Roman" w:eastAsia="宋体" w:cs="Times New Roman"/>
                      <w:b w:val="0"/>
                      <w:color w:val="auto"/>
                      <w:sz w:val="21"/>
                      <w:szCs w:val="21"/>
                    </w:rPr>
                    <w:t>8.按照省市要求，严格控制“两高”项目，新建“两高”项目实行“五个减量替代”。</w:t>
                  </w:r>
                </w:p>
              </w:tc>
              <w:tc>
                <w:tcPr>
                  <w:tcW w:w="1448" w:type="pct"/>
                  <w:vAlign w:val="center"/>
                </w:tcPr>
                <w:p w14:paraId="3DE5E809">
                  <w:pPr>
                    <w:pStyle w:val="2"/>
                    <w:keepNext w:val="0"/>
                    <w:keepLines w:val="0"/>
                    <w:pageBreakBefore w:val="0"/>
                    <w:widowControl w:val="0"/>
                    <w:kinsoku/>
                    <w:wordWrap/>
                    <w:overflowPunct/>
                    <w:topLinePunct w:val="0"/>
                    <w:autoSpaceDE/>
                    <w:autoSpaceDN/>
                    <w:bidi w:val="0"/>
                    <w:adjustRightInd w:val="0"/>
                    <w:snapToGrid w:val="0"/>
                    <w:spacing w:beforeAutospacing="0" w:afterAutospacing="0"/>
                    <w:jc w:val="left"/>
                    <w:textAlignment w:val="auto"/>
                    <w:rPr>
                      <w:rFonts w:hint="default" w:ascii="Times New Roman" w:hAnsi="Times New Roman" w:eastAsia="宋体" w:cs="Times New Roman"/>
                      <w:b w:val="0"/>
                      <w:color w:val="auto"/>
                      <w:sz w:val="21"/>
                      <w:szCs w:val="21"/>
                    </w:rPr>
                  </w:pPr>
                  <w:r>
                    <w:rPr>
                      <w:rFonts w:hint="default" w:ascii="Times New Roman" w:hAnsi="Times New Roman" w:eastAsia="宋体" w:cs="Times New Roman"/>
                      <w:b w:val="0"/>
                      <w:color w:val="auto"/>
                      <w:sz w:val="21"/>
                      <w:szCs w:val="21"/>
                    </w:rPr>
                    <w:t>1.项目的规模、产品、工艺以及采用的生产设备均不属于《产业结构调整指导目录（2024年本）》淘汰类和限制类项目。</w:t>
                  </w:r>
                </w:p>
                <w:p w14:paraId="38037F75">
                  <w:pPr>
                    <w:pStyle w:val="2"/>
                    <w:keepNext w:val="0"/>
                    <w:keepLines w:val="0"/>
                    <w:pageBreakBefore w:val="0"/>
                    <w:widowControl w:val="0"/>
                    <w:kinsoku/>
                    <w:wordWrap/>
                    <w:overflowPunct/>
                    <w:topLinePunct w:val="0"/>
                    <w:autoSpaceDE/>
                    <w:autoSpaceDN/>
                    <w:bidi w:val="0"/>
                    <w:adjustRightInd w:val="0"/>
                    <w:snapToGrid w:val="0"/>
                    <w:spacing w:beforeAutospacing="0" w:afterAutospacing="0"/>
                    <w:jc w:val="left"/>
                    <w:textAlignment w:val="auto"/>
                    <w:rPr>
                      <w:rFonts w:hint="default" w:ascii="Times New Roman" w:hAnsi="Times New Roman" w:eastAsia="宋体" w:cs="Times New Roman"/>
                      <w:b w:val="0"/>
                      <w:color w:val="auto"/>
                      <w:sz w:val="21"/>
                      <w:szCs w:val="21"/>
                    </w:rPr>
                  </w:pPr>
                  <w:r>
                    <w:rPr>
                      <w:rFonts w:hint="default" w:ascii="Times New Roman" w:hAnsi="Times New Roman" w:eastAsia="宋体" w:cs="Times New Roman"/>
                      <w:b w:val="0"/>
                      <w:color w:val="auto"/>
                      <w:sz w:val="21"/>
                      <w:szCs w:val="21"/>
                    </w:rPr>
                    <w:t>2.本项目不在生态保护红线内，项目与生态保护红线的位置关系见附图。</w:t>
                  </w:r>
                </w:p>
                <w:p w14:paraId="793D6B57">
                  <w:pPr>
                    <w:pStyle w:val="2"/>
                    <w:keepNext w:val="0"/>
                    <w:keepLines w:val="0"/>
                    <w:pageBreakBefore w:val="0"/>
                    <w:widowControl w:val="0"/>
                    <w:kinsoku/>
                    <w:wordWrap/>
                    <w:overflowPunct/>
                    <w:topLinePunct w:val="0"/>
                    <w:autoSpaceDE/>
                    <w:autoSpaceDN/>
                    <w:bidi w:val="0"/>
                    <w:adjustRightInd w:val="0"/>
                    <w:snapToGrid w:val="0"/>
                    <w:spacing w:beforeAutospacing="0" w:afterAutospacing="0"/>
                    <w:jc w:val="left"/>
                    <w:textAlignment w:val="auto"/>
                    <w:rPr>
                      <w:rFonts w:hint="default" w:ascii="Times New Roman" w:hAnsi="Times New Roman" w:eastAsia="宋体" w:cs="Times New Roman"/>
                      <w:b w:val="0"/>
                      <w:color w:val="auto"/>
                      <w:sz w:val="21"/>
                      <w:szCs w:val="21"/>
                    </w:rPr>
                  </w:pPr>
                  <w:r>
                    <w:rPr>
                      <w:rFonts w:hint="default" w:ascii="Times New Roman" w:hAnsi="Times New Roman" w:eastAsia="宋体" w:cs="Times New Roman"/>
                      <w:b w:val="0"/>
                      <w:color w:val="auto"/>
                      <w:sz w:val="21"/>
                      <w:szCs w:val="21"/>
                    </w:rPr>
                    <w:t>3.本项目不在生态保护红线内，属于工业集聚区，土地类型为工业用地；</w:t>
                  </w:r>
                  <w:r>
                    <w:rPr>
                      <w:rFonts w:hint="default" w:ascii="Times New Roman" w:hAnsi="Times New Roman" w:eastAsia="宋体" w:cs="Times New Roman"/>
                      <w:b w:val="0"/>
                      <w:color w:val="auto"/>
                      <w:sz w:val="21"/>
                      <w:szCs w:val="21"/>
                      <w:lang w:val="en-US" w:eastAsia="zh-CN"/>
                    </w:rPr>
                    <w:t>通过</w:t>
                  </w:r>
                  <w:r>
                    <w:rPr>
                      <w:rFonts w:hint="default" w:ascii="Times New Roman" w:hAnsi="Times New Roman" w:eastAsia="宋体" w:cs="Times New Roman"/>
                      <w:b w:val="0"/>
                      <w:color w:val="auto"/>
                      <w:sz w:val="21"/>
                      <w:szCs w:val="21"/>
                    </w:rPr>
                    <w:t>环保措施对污染物进行处理，废气排放量小；资源消耗量相对区域资源利用总量较少。</w:t>
                  </w:r>
                </w:p>
                <w:p w14:paraId="444BDF84">
                  <w:pPr>
                    <w:keepNext w:val="0"/>
                    <w:keepLines w:val="0"/>
                    <w:pageBreakBefore w:val="0"/>
                    <w:widowControl w:val="0"/>
                    <w:kinsoku/>
                    <w:wordWrap/>
                    <w:overflowPunct/>
                    <w:topLinePunct w:val="0"/>
                    <w:autoSpaceDE/>
                    <w:autoSpaceDN/>
                    <w:bidi w:val="0"/>
                    <w:adjustRightInd w:val="0"/>
                    <w:snapToGrid w:val="0"/>
                    <w:jc w:val="left"/>
                    <w:textAlignment w:val="auto"/>
                    <w:rPr>
                      <w:rFonts w:hint="default" w:ascii="Times New Roman" w:hAnsi="Times New Roman" w:eastAsia="宋体" w:cs="Times New Roman"/>
                      <w:bCs/>
                      <w:color w:val="auto"/>
                      <w:kern w:val="0"/>
                      <w:sz w:val="21"/>
                      <w:szCs w:val="21"/>
                    </w:rPr>
                  </w:pPr>
                  <w:r>
                    <w:rPr>
                      <w:rFonts w:hint="default" w:ascii="Times New Roman" w:hAnsi="Times New Roman" w:eastAsia="宋体" w:cs="Times New Roman"/>
                      <w:bCs/>
                      <w:color w:val="auto"/>
                      <w:kern w:val="0"/>
                      <w:sz w:val="21"/>
                      <w:szCs w:val="21"/>
                    </w:rPr>
                    <w:t>4.本项目不属于金属冶炼、石油加工、化工、焦化、电镀、制革等行业企业。</w:t>
                  </w:r>
                </w:p>
                <w:p w14:paraId="2DCAAEFC">
                  <w:pPr>
                    <w:pStyle w:val="8"/>
                    <w:keepNext w:val="0"/>
                    <w:keepLines w:val="0"/>
                    <w:pageBreakBefore w:val="0"/>
                    <w:widowControl w:val="0"/>
                    <w:kinsoku/>
                    <w:wordWrap/>
                    <w:overflowPunct/>
                    <w:topLinePunct w:val="0"/>
                    <w:autoSpaceDE/>
                    <w:autoSpaceDN/>
                    <w:bidi w:val="0"/>
                    <w:adjustRightInd w:val="0"/>
                    <w:snapToGrid w:val="0"/>
                    <w:spacing w:after="0"/>
                    <w:ind w:left="0" w:leftChars="0" w:firstLine="0" w:firstLineChars="0"/>
                    <w:jc w:val="left"/>
                    <w:textAlignment w:val="auto"/>
                    <w:rPr>
                      <w:rFonts w:hint="default" w:ascii="Times New Roman" w:hAnsi="Times New Roman" w:eastAsia="宋体" w:cs="Times New Roman"/>
                      <w:bCs/>
                      <w:color w:val="auto"/>
                      <w:kern w:val="0"/>
                      <w:sz w:val="21"/>
                      <w:szCs w:val="21"/>
                    </w:rPr>
                  </w:pPr>
                  <w:r>
                    <w:rPr>
                      <w:rFonts w:hint="default" w:ascii="Times New Roman" w:hAnsi="Times New Roman" w:eastAsia="宋体" w:cs="Times New Roman"/>
                      <w:bCs/>
                      <w:color w:val="auto"/>
                      <w:kern w:val="0"/>
                      <w:sz w:val="21"/>
                      <w:szCs w:val="21"/>
                    </w:rPr>
                    <w:t>5.本项目选址符合国家及文昌湖区土地利用总体规划。</w:t>
                  </w:r>
                </w:p>
                <w:p w14:paraId="53A7BFD4">
                  <w:pPr>
                    <w:pStyle w:val="2"/>
                    <w:keepNext w:val="0"/>
                    <w:keepLines w:val="0"/>
                    <w:pageBreakBefore w:val="0"/>
                    <w:widowControl w:val="0"/>
                    <w:kinsoku/>
                    <w:wordWrap/>
                    <w:overflowPunct/>
                    <w:topLinePunct w:val="0"/>
                    <w:autoSpaceDE/>
                    <w:autoSpaceDN/>
                    <w:bidi w:val="0"/>
                    <w:adjustRightInd w:val="0"/>
                    <w:snapToGrid w:val="0"/>
                    <w:spacing w:beforeAutospacing="0" w:afterAutospacing="0"/>
                    <w:jc w:val="left"/>
                    <w:textAlignment w:val="auto"/>
                    <w:rPr>
                      <w:rFonts w:hint="default" w:ascii="Times New Roman" w:hAnsi="Times New Roman" w:eastAsia="宋体" w:cs="Times New Roman"/>
                      <w:b w:val="0"/>
                      <w:color w:val="auto"/>
                      <w:sz w:val="21"/>
                      <w:szCs w:val="21"/>
                    </w:rPr>
                  </w:pPr>
                  <w:r>
                    <w:rPr>
                      <w:rFonts w:hint="default" w:ascii="Times New Roman" w:hAnsi="Times New Roman" w:eastAsia="宋体" w:cs="Times New Roman"/>
                      <w:b w:val="0"/>
                      <w:color w:val="auto"/>
                      <w:sz w:val="21"/>
                      <w:szCs w:val="21"/>
                    </w:rPr>
                    <w:t>6.本项目</w:t>
                  </w:r>
                  <w:r>
                    <w:rPr>
                      <w:rFonts w:hint="default" w:ascii="Times New Roman" w:hAnsi="Times New Roman" w:eastAsia="宋体" w:cs="Times New Roman"/>
                      <w:b w:val="0"/>
                      <w:color w:val="auto"/>
                      <w:sz w:val="21"/>
                      <w:szCs w:val="21"/>
                      <w:lang w:val="en-US" w:eastAsia="zh-CN"/>
                    </w:rPr>
                    <w:t>生活污水经化粪池暂存后由环卫定期清运，不外排</w:t>
                  </w:r>
                  <w:r>
                    <w:rPr>
                      <w:rFonts w:hint="default" w:ascii="Times New Roman" w:hAnsi="Times New Roman" w:eastAsia="宋体" w:cs="Times New Roman"/>
                      <w:b w:val="0"/>
                      <w:color w:val="auto"/>
                      <w:sz w:val="21"/>
                      <w:szCs w:val="21"/>
                    </w:rPr>
                    <w:t>。</w:t>
                  </w:r>
                </w:p>
                <w:p w14:paraId="65771064">
                  <w:pPr>
                    <w:keepNext w:val="0"/>
                    <w:keepLines w:val="0"/>
                    <w:pageBreakBefore w:val="0"/>
                    <w:widowControl w:val="0"/>
                    <w:kinsoku/>
                    <w:wordWrap/>
                    <w:overflowPunct/>
                    <w:topLinePunct w:val="0"/>
                    <w:autoSpaceDE/>
                    <w:autoSpaceDN/>
                    <w:bidi w:val="0"/>
                    <w:adjustRightInd w:val="0"/>
                    <w:snapToGrid w:val="0"/>
                    <w:jc w:val="left"/>
                    <w:textAlignment w:val="auto"/>
                    <w:rPr>
                      <w:rFonts w:hint="default" w:ascii="Times New Roman" w:hAnsi="Times New Roman" w:eastAsia="宋体" w:cs="Times New Roman"/>
                      <w:bCs/>
                      <w:color w:val="auto"/>
                      <w:kern w:val="0"/>
                      <w:sz w:val="21"/>
                      <w:szCs w:val="21"/>
                    </w:rPr>
                  </w:pPr>
                  <w:r>
                    <w:rPr>
                      <w:rFonts w:hint="default" w:ascii="Times New Roman" w:hAnsi="Times New Roman" w:eastAsia="宋体" w:cs="Times New Roman"/>
                      <w:bCs/>
                      <w:color w:val="auto"/>
                      <w:kern w:val="0"/>
                      <w:sz w:val="21"/>
                      <w:szCs w:val="21"/>
                    </w:rPr>
                    <w:t>7.本项目位于工业集聚区。</w:t>
                  </w:r>
                </w:p>
                <w:p w14:paraId="23BCA725">
                  <w:pPr>
                    <w:pStyle w:val="8"/>
                    <w:keepNext w:val="0"/>
                    <w:keepLines w:val="0"/>
                    <w:pageBreakBefore w:val="0"/>
                    <w:widowControl w:val="0"/>
                    <w:kinsoku/>
                    <w:wordWrap/>
                    <w:overflowPunct/>
                    <w:topLinePunct w:val="0"/>
                    <w:autoSpaceDE/>
                    <w:autoSpaceDN/>
                    <w:bidi w:val="0"/>
                    <w:adjustRightInd w:val="0"/>
                    <w:snapToGrid w:val="0"/>
                    <w:ind w:left="0" w:leftChars="0" w:firstLine="0" w:firstLineChars="0"/>
                    <w:jc w:val="left"/>
                    <w:textAlignment w:val="auto"/>
                    <w:rPr>
                      <w:rFonts w:hint="default" w:ascii="Times New Roman" w:hAnsi="Times New Roman" w:eastAsia="宋体" w:cs="Times New Roman"/>
                      <w:bCs/>
                      <w:color w:val="auto"/>
                      <w:kern w:val="0"/>
                      <w:sz w:val="21"/>
                      <w:szCs w:val="21"/>
                    </w:rPr>
                  </w:pPr>
                  <w:r>
                    <w:rPr>
                      <w:rFonts w:hint="default" w:ascii="Times New Roman" w:hAnsi="Times New Roman" w:eastAsia="宋体" w:cs="Times New Roman"/>
                      <w:bCs/>
                      <w:color w:val="auto"/>
                      <w:kern w:val="0"/>
                      <w:sz w:val="21"/>
                      <w:szCs w:val="21"/>
                    </w:rPr>
                    <w:t>8.本项目不属于“两高”项目。</w:t>
                  </w:r>
                </w:p>
              </w:tc>
              <w:tc>
                <w:tcPr>
                  <w:tcW w:w="518" w:type="pct"/>
                  <w:vAlign w:val="center"/>
                </w:tcPr>
                <w:p w14:paraId="1764EF9D">
                  <w:pPr>
                    <w:pStyle w:val="8"/>
                    <w:keepNext w:val="0"/>
                    <w:keepLines w:val="0"/>
                    <w:pageBreakBefore w:val="0"/>
                    <w:widowControl w:val="0"/>
                    <w:kinsoku/>
                    <w:wordWrap/>
                    <w:overflowPunct/>
                    <w:topLinePunct w:val="0"/>
                    <w:bidi w:val="0"/>
                    <w:adjustRightInd w:val="0"/>
                    <w:snapToGrid w:val="0"/>
                    <w:ind w:left="0" w:leftChars="0" w:firstLine="0" w:firstLineChars="0"/>
                    <w:jc w:val="center"/>
                    <w:rPr>
                      <w:rFonts w:hint="default" w:ascii="Times New Roman" w:hAnsi="Times New Roman" w:eastAsia="宋体" w:cs="Times New Roman"/>
                      <w:bCs/>
                      <w:color w:val="auto"/>
                      <w:kern w:val="0"/>
                      <w:sz w:val="21"/>
                      <w:szCs w:val="21"/>
                    </w:rPr>
                  </w:pPr>
                  <w:r>
                    <w:rPr>
                      <w:rFonts w:hint="default" w:ascii="Times New Roman" w:hAnsi="Times New Roman" w:eastAsia="宋体" w:cs="Times New Roman"/>
                      <w:bCs/>
                      <w:color w:val="auto"/>
                      <w:kern w:val="0"/>
                      <w:sz w:val="21"/>
                      <w:szCs w:val="21"/>
                    </w:rPr>
                    <w:t>符合</w:t>
                  </w:r>
                </w:p>
              </w:tc>
            </w:tr>
            <w:tr w14:paraId="4014AA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4" w:type="pct"/>
                  <w:vAlign w:val="center"/>
                </w:tcPr>
                <w:p w14:paraId="0EFF2514">
                  <w:pPr>
                    <w:pStyle w:val="2"/>
                    <w:keepNext w:val="0"/>
                    <w:keepLines w:val="0"/>
                    <w:pageBreakBefore w:val="0"/>
                    <w:widowControl w:val="0"/>
                    <w:kinsoku/>
                    <w:wordWrap/>
                    <w:overflowPunct/>
                    <w:topLinePunct w:val="0"/>
                    <w:bidi w:val="0"/>
                    <w:adjustRightInd w:val="0"/>
                    <w:snapToGrid w:val="0"/>
                    <w:spacing w:beforeAutospacing="0" w:afterAutospacing="0"/>
                    <w:jc w:val="center"/>
                    <w:rPr>
                      <w:rFonts w:hint="default" w:ascii="Times New Roman" w:hAnsi="Times New Roman" w:eastAsia="宋体" w:cs="Times New Roman"/>
                      <w:b w:val="0"/>
                      <w:color w:val="auto"/>
                      <w:sz w:val="21"/>
                      <w:szCs w:val="21"/>
                    </w:rPr>
                  </w:pPr>
                  <w:r>
                    <w:rPr>
                      <w:rFonts w:hint="default" w:ascii="Times New Roman" w:hAnsi="Times New Roman" w:eastAsia="宋体" w:cs="Times New Roman"/>
                      <w:b w:val="0"/>
                      <w:color w:val="auto"/>
                      <w:sz w:val="21"/>
                      <w:szCs w:val="21"/>
                    </w:rPr>
                    <w:t>污染物排放管控</w:t>
                  </w:r>
                </w:p>
              </w:tc>
              <w:tc>
                <w:tcPr>
                  <w:tcW w:w="2598" w:type="pct"/>
                  <w:vAlign w:val="center"/>
                </w:tcPr>
                <w:p w14:paraId="2A03EE05">
                  <w:pPr>
                    <w:pStyle w:val="2"/>
                    <w:keepNext w:val="0"/>
                    <w:keepLines w:val="0"/>
                    <w:pageBreakBefore w:val="0"/>
                    <w:widowControl w:val="0"/>
                    <w:kinsoku/>
                    <w:wordWrap/>
                    <w:overflowPunct/>
                    <w:topLinePunct w:val="0"/>
                    <w:autoSpaceDE/>
                    <w:autoSpaceDN/>
                    <w:bidi w:val="0"/>
                    <w:adjustRightInd w:val="0"/>
                    <w:snapToGrid w:val="0"/>
                    <w:spacing w:beforeAutospacing="0" w:afterAutospacing="0"/>
                    <w:jc w:val="left"/>
                    <w:textAlignment w:val="auto"/>
                    <w:rPr>
                      <w:rFonts w:hint="default" w:ascii="Times New Roman" w:hAnsi="Times New Roman" w:eastAsia="宋体" w:cs="Times New Roman"/>
                      <w:b w:val="0"/>
                      <w:color w:val="auto"/>
                      <w:sz w:val="21"/>
                      <w:szCs w:val="21"/>
                    </w:rPr>
                  </w:pPr>
                  <w:r>
                    <w:rPr>
                      <w:rFonts w:hint="default" w:ascii="Times New Roman" w:hAnsi="Times New Roman" w:eastAsia="宋体" w:cs="Times New Roman"/>
                      <w:b w:val="0"/>
                      <w:color w:val="auto"/>
                      <w:sz w:val="21"/>
                      <w:szCs w:val="21"/>
                    </w:rPr>
                    <w:t>1.涉“两高”项目企业应当积极实施节能改造提升，提高能源使用效率，推进节能减排。</w:t>
                  </w:r>
                </w:p>
                <w:p w14:paraId="200ED8C0">
                  <w:pPr>
                    <w:pStyle w:val="2"/>
                    <w:keepNext w:val="0"/>
                    <w:keepLines w:val="0"/>
                    <w:pageBreakBefore w:val="0"/>
                    <w:widowControl w:val="0"/>
                    <w:kinsoku/>
                    <w:wordWrap/>
                    <w:overflowPunct/>
                    <w:topLinePunct w:val="0"/>
                    <w:autoSpaceDE/>
                    <w:autoSpaceDN/>
                    <w:bidi w:val="0"/>
                    <w:adjustRightInd w:val="0"/>
                    <w:snapToGrid w:val="0"/>
                    <w:spacing w:beforeAutospacing="0" w:afterAutospacing="0"/>
                    <w:jc w:val="left"/>
                    <w:textAlignment w:val="auto"/>
                    <w:rPr>
                      <w:rFonts w:hint="default" w:ascii="Times New Roman" w:hAnsi="Times New Roman" w:eastAsia="宋体" w:cs="Times New Roman"/>
                      <w:b w:val="0"/>
                      <w:color w:val="auto"/>
                      <w:sz w:val="21"/>
                      <w:szCs w:val="21"/>
                    </w:rPr>
                  </w:pPr>
                  <w:r>
                    <w:rPr>
                      <w:rFonts w:hint="default" w:ascii="Times New Roman" w:hAnsi="Times New Roman" w:eastAsia="宋体" w:cs="Times New Roman"/>
                      <w:b w:val="0"/>
                      <w:color w:val="auto"/>
                      <w:sz w:val="21"/>
                      <w:szCs w:val="21"/>
                    </w:rPr>
                    <w:t>2.落实主要污染物总量替代要求，按照山东省生态环境厅《关于印发山东省建设项目主要大气污染物排放总量替代指标核算及管理办法的通知》，实施动态管控替代。</w:t>
                  </w:r>
                </w:p>
                <w:p w14:paraId="4E69E6EB">
                  <w:pPr>
                    <w:pStyle w:val="2"/>
                    <w:keepNext w:val="0"/>
                    <w:keepLines w:val="0"/>
                    <w:pageBreakBefore w:val="0"/>
                    <w:widowControl w:val="0"/>
                    <w:kinsoku/>
                    <w:wordWrap/>
                    <w:overflowPunct/>
                    <w:topLinePunct w:val="0"/>
                    <w:autoSpaceDE/>
                    <w:autoSpaceDN/>
                    <w:bidi w:val="0"/>
                    <w:adjustRightInd w:val="0"/>
                    <w:snapToGrid w:val="0"/>
                    <w:spacing w:beforeAutospacing="0" w:afterAutospacing="0"/>
                    <w:jc w:val="left"/>
                    <w:textAlignment w:val="auto"/>
                    <w:rPr>
                      <w:rFonts w:hint="default" w:ascii="Times New Roman" w:hAnsi="Times New Roman" w:eastAsia="宋体" w:cs="Times New Roman"/>
                      <w:b w:val="0"/>
                      <w:color w:val="auto"/>
                      <w:sz w:val="21"/>
                      <w:szCs w:val="21"/>
                    </w:rPr>
                  </w:pPr>
                  <w:r>
                    <w:rPr>
                      <w:rFonts w:hint="default" w:ascii="Times New Roman" w:hAnsi="Times New Roman" w:eastAsia="宋体" w:cs="Times New Roman"/>
                      <w:b w:val="0"/>
                      <w:color w:val="auto"/>
                      <w:sz w:val="21"/>
                      <w:szCs w:val="21"/>
                    </w:rPr>
                    <w:t>3.废水应当按照要求进行预处理，达到行业排放标准</w:t>
                  </w:r>
                  <w:r>
                    <w:rPr>
                      <w:rFonts w:hint="default" w:ascii="Times New Roman" w:hAnsi="Times New Roman" w:eastAsia="宋体" w:cs="Times New Roman"/>
                      <w:b w:val="0"/>
                      <w:color w:val="auto"/>
                      <w:sz w:val="21"/>
                      <w:szCs w:val="21"/>
                      <w:lang w:eastAsia="zh-CN"/>
                    </w:rPr>
                    <w:t>或</w:t>
                  </w:r>
                  <w:r>
                    <w:rPr>
                      <w:rFonts w:hint="default" w:ascii="Times New Roman" w:hAnsi="Times New Roman" w:eastAsia="宋体" w:cs="Times New Roman"/>
                      <w:b w:val="0"/>
                      <w:color w:val="auto"/>
                      <w:sz w:val="21"/>
                      <w:szCs w:val="21"/>
                    </w:rPr>
                    <w:t>综合排放标准后方可排放。</w:t>
                  </w:r>
                </w:p>
                <w:p w14:paraId="29DFBF92">
                  <w:pPr>
                    <w:pStyle w:val="2"/>
                    <w:keepNext w:val="0"/>
                    <w:keepLines w:val="0"/>
                    <w:pageBreakBefore w:val="0"/>
                    <w:widowControl w:val="0"/>
                    <w:kinsoku/>
                    <w:wordWrap/>
                    <w:overflowPunct/>
                    <w:topLinePunct w:val="0"/>
                    <w:autoSpaceDE/>
                    <w:autoSpaceDN/>
                    <w:bidi w:val="0"/>
                    <w:adjustRightInd w:val="0"/>
                    <w:snapToGrid w:val="0"/>
                    <w:spacing w:beforeAutospacing="0" w:afterAutospacing="0"/>
                    <w:jc w:val="left"/>
                    <w:textAlignment w:val="auto"/>
                    <w:rPr>
                      <w:rFonts w:hint="default" w:ascii="Times New Roman" w:hAnsi="Times New Roman" w:eastAsia="宋体" w:cs="Times New Roman"/>
                      <w:b w:val="0"/>
                      <w:color w:val="auto"/>
                      <w:sz w:val="21"/>
                      <w:szCs w:val="21"/>
                    </w:rPr>
                  </w:pPr>
                  <w:r>
                    <w:rPr>
                      <w:rFonts w:hint="default" w:ascii="Times New Roman" w:hAnsi="Times New Roman" w:eastAsia="宋体" w:cs="Times New Roman"/>
                      <w:b w:val="0"/>
                      <w:color w:val="auto"/>
                      <w:sz w:val="21"/>
                      <w:szCs w:val="21"/>
                    </w:rPr>
                    <w:t>4.禁止工业废水和生活污水未经处理直排环境；原则上除工业污水集中处理设施、城镇污水处理厂外不得新建入河排污口。</w:t>
                  </w:r>
                </w:p>
                <w:p w14:paraId="38D4A2BB">
                  <w:pPr>
                    <w:pStyle w:val="2"/>
                    <w:keepNext w:val="0"/>
                    <w:keepLines w:val="0"/>
                    <w:pageBreakBefore w:val="0"/>
                    <w:widowControl w:val="0"/>
                    <w:kinsoku/>
                    <w:wordWrap/>
                    <w:overflowPunct/>
                    <w:topLinePunct w:val="0"/>
                    <w:autoSpaceDE/>
                    <w:autoSpaceDN/>
                    <w:bidi w:val="0"/>
                    <w:adjustRightInd w:val="0"/>
                    <w:snapToGrid w:val="0"/>
                    <w:spacing w:beforeAutospacing="0" w:afterAutospacing="0"/>
                    <w:jc w:val="left"/>
                    <w:textAlignment w:val="auto"/>
                    <w:rPr>
                      <w:rFonts w:hint="default" w:ascii="Times New Roman" w:hAnsi="Times New Roman" w:eastAsia="宋体" w:cs="Times New Roman"/>
                      <w:b w:val="0"/>
                      <w:color w:val="auto"/>
                      <w:sz w:val="21"/>
                      <w:szCs w:val="21"/>
                    </w:rPr>
                  </w:pPr>
                  <w:r>
                    <w:rPr>
                      <w:rFonts w:hint="default" w:ascii="Times New Roman" w:hAnsi="Times New Roman" w:eastAsia="宋体" w:cs="Times New Roman"/>
                      <w:b w:val="0"/>
                      <w:color w:val="auto"/>
                      <w:sz w:val="21"/>
                      <w:szCs w:val="21"/>
                    </w:rPr>
                    <w:t>5.包装印刷、表面涂装等涉VOCs排放的行业，严格按照淄博市行业环境管控要求，实施源头替代，建立健全治理设施，确保污染物稳定达标排放，做到持证排污。</w:t>
                  </w:r>
                </w:p>
              </w:tc>
              <w:tc>
                <w:tcPr>
                  <w:tcW w:w="1448" w:type="pct"/>
                  <w:vAlign w:val="center"/>
                </w:tcPr>
                <w:p w14:paraId="5073B20E">
                  <w:pPr>
                    <w:pStyle w:val="2"/>
                    <w:keepNext w:val="0"/>
                    <w:keepLines w:val="0"/>
                    <w:pageBreakBefore w:val="0"/>
                    <w:widowControl w:val="0"/>
                    <w:kinsoku/>
                    <w:wordWrap/>
                    <w:overflowPunct/>
                    <w:topLinePunct w:val="0"/>
                    <w:autoSpaceDE/>
                    <w:autoSpaceDN/>
                    <w:bidi w:val="0"/>
                    <w:adjustRightInd w:val="0"/>
                    <w:snapToGrid w:val="0"/>
                    <w:spacing w:beforeAutospacing="0" w:afterAutospacing="0"/>
                    <w:jc w:val="left"/>
                    <w:textAlignment w:val="auto"/>
                    <w:rPr>
                      <w:rFonts w:hint="default" w:ascii="Times New Roman" w:hAnsi="Times New Roman" w:eastAsia="宋体" w:cs="Times New Roman"/>
                      <w:b w:val="0"/>
                      <w:color w:val="auto"/>
                      <w:sz w:val="21"/>
                      <w:szCs w:val="21"/>
                    </w:rPr>
                  </w:pPr>
                  <w:r>
                    <w:rPr>
                      <w:rFonts w:hint="default" w:ascii="Times New Roman" w:hAnsi="Times New Roman" w:eastAsia="宋体" w:cs="Times New Roman"/>
                      <w:b w:val="0"/>
                      <w:color w:val="auto"/>
                      <w:sz w:val="21"/>
                      <w:szCs w:val="21"/>
                    </w:rPr>
                    <w:t>1.本项目不属于“两高”项目。</w:t>
                  </w:r>
                </w:p>
                <w:p w14:paraId="01829FED">
                  <w:pPr>
                    <w:pStyle w:val="2"/>
                    <w:keepNext w:val="0"/>
                    <w:keepLines w:val="0"/>
                    <w:pageBreakBefore w:val="0"/>
                    <w:widowControl w:val="0"/>
                    <w:kinsoku/>
                    <w:wordWrap/>
                    <w:overflowPunct/>
                    <w:topLinePunct w:val="0"/>
                    <w:autoSpaceDE/>
                    <w:autoSpaceDN/>
                    <w:bidi w:val="0"/>
                    <w:adjustRightInd w:val="0"/>
                    <w:snapToGrid w:val="0"/>
                    <w:spacing w:beforeAutospacing="0" w:afterAutospacing="0"/>
                    <w:jc w:val="left"/>
                    <w:textAlignment w:val="auto"/>
                    <w:rPr>
                      <w:rFonts w:hint="default" w:ascii="Times New Roman" w:hAnsi="Times New Roman" w:eastAsia="宋体" w:cs="Times New Roman"/>
                      <w:b w:val="0"/>
                      <w:color w:val="auto"/>
                      <w:sz w:val="21"/>
                      <w:szCs w:val="21"/>
                    </w:rPr>
                  </w:pPr>
                  <w:r>
                    <w:rPr>
                      <w:rFonts w:hint="default" w:ascii="Times New Roman" w:hAnsi="Times New Roman" w:eastAsia="宋体" w:cs="Times New Roman"/>
                      <w:b w:val="0"/>
                      <w:color w:val="auto"/>
                      <w:sz w:val="21"/>
                      <w:szCs w:val="21"/>
                    </w:rPr>
                    <w:t>2.本项目生产过程中产生的废气处理达标后排放</w:t>
                  </w:r>
                  <w:r>
                    <w:rPr>
                      <w:rFonts w:hint="default" w:ascii="Times New Roman" w:hAnsi="Times New Roman" w:eastAsia="宋体" w:cs="Times New Roman"/>
                      <w:b w:val="0"/>
                      <w:color w:val="auto"/>
                      <w:sz w:val="21"/>
                      <w:szCs w:val="21"/>
                      <w:lang w:eastAsia="zh-CN"/>
                    </w:rPr>
                    <w:t>，落实主要污染物总量替代要求</w:t>
                  </w:r>
                  <w:r>
                    <w:rPr>
                      <w:rFonts w:hint="default" w:ascii="Times New Roman" w:hAnsi="Times New Roman" w:eastAsia="宋体" w:cs="Times New Roman"/>
                      <w:b w:val="0"/>
                      <w:color w:val="auto"/>
                      <w:sz w:val="21"/>
                      <w:szCs w:val="21"/>
                    </w:rPr>
                    <w:t>。</w:t>
                  </w:r>
                </w:p>
                <w:p w14:paraId="0B3DFC9A">
                  <w:pPr>
                    <w:pStyle w:val="2"/>
                    <w:keepNext w:val="0"/>
                    <w:keepLines w:val="0"/>
                    <w:pageBreakBefore w:val="0"/>
                    <w:widowControl w:val="0"/>
                    <w:kinsoku/>
                    <w:wordWrap/>
                    <w:overflowPunct/>
                    <w:topLinePunct w:val="0"/>
                    <w:autoSpaceDE/>
                    <w:autoSpaceDN/>
                    <w:bidi w:val="0"/>
                    <w:adjustRightInd w:val="0"/>
                    <w:snapToGrid w:val="0"/>
                    <w:spacing w:beforeAutospacing="0" w:afterAutospacing="0"/>
                    <w:jc w:val="left"/>
                    <w:textAlignment w:val="auto"/>
                    <w:rPr>
                      <w:rFonts w:hint="default" w:ascii="Times New Roman" w:hAnsi="Times New Roman" w:eastAsia="宋体" w:cs="Times New Roman"/>
                      <w:b w:val="0"/>
                      <w:color w:val="auto"/>
                      <w:sz w:val="21"/>
                      <w:szCs w:val="21"/>
                    </w:rPr>
                  </w:pPr>
                  <w:r>
                    <w:rPr>
                      <w:rFonts w:hint="default" w:ascii="Times New Roman" w:hAnsi="Times New Roman" w:eastAsia="宋体" w:cs="Times New Roman"/>
                      <w:b w:val="0"/>
                      <w:color w:val="auto"/>
                      <w:sz w:val="21"/>
                      <w:szCs w:val="21"/>
                    </w:rPr>
                    <w:t>3.本项目</w:t>
                  </w:r>
                  <w:r>
                    <w:rPr>
                      <w:rFonts w:hint="default" w:ascii="Times New Roman" w:hAnsi="Times New Roman" w:eastAsia="宋体" w:cs="Times New Roman"/>
                      <w:b w:val="0"/>
                      <w:color w:val="auto"/>
                      <w:sz w:val="21"/>
                      <w:szCs w:val="21"/>
                      <w:lang w:val="en-US" w:eastAsia="zh-CN"/>
                    </w:rPr>
                    <w:t>生活污水经化粪池暂存后由环卫定期清运，不外排</w:t>
                  </w:r>
                  <w:r>
                    <w:rPr>
                      <w:rFonts w:hint="default" w:ascii="Times New Roman" w:hAnsi="Times New Roman" w:eastAsia="宋体" w:cs="Times New Roman"/>
                      <w:b w:val="0"/>
                      <w:color w:val="auto"/>
                      <w:sz w:val="21"/>
                      <w:szCs w:val="21"/>
                    </w:rPr>
                    <w:t>。</w:t>
                  </w:r>
                </w:p>
                <w:p w14:paraId="64104795">
                  <w:pPr>
                    <w:pStyle w:val="2"/>
                    <w:keepNext w:val="0"/>
                    <w:keepLines w:val="0"/>
                    <w:pageBreakBefore w:val="0"/>
                    <w:widowControl w:val="0"/>
                    <w:kinsoku/>
                    <w:wordWrap/>
                    <w:overflowPunct/>
                    <w:topLinePunct w:val="0"/>
                    <w:autoSpaceDE/>
                    <w:autoSpaceDN/>
                    <w:bidi w:val="0"/>
                    <w:adjustRightInd w:val="0"/>
                    <w:snapToGrid w:val="0"/>
                    <w:spacing w:beforeAutospacing="0" w:afterAutospacing="0"/>
                    <w:jc w:val="left"/>
                    <w:textAlignment w:val="auto"/>
                    <w:rPr>
                      <w:rFonts w:hint="default" w:ascii="Times New Roman" w:hAnsi="Times New Roman" w:eastAsia="宋体" w:cs="Times New Roman"/>
                      <w:b w:val="0"/>
                      <w:color w:val="auto"/>
                      <w:sz w:val="21"/>
                      <w:szCs w:val="21"/>
                    </w:rPr>
                  </w:pPr>
                  <w:r>
                    <w:rPr>
                      <w:rFonts w:hint="default" w:ascii="Times New Roman" w:hAnsi="Times New Roman" w:eastAsia="宋体" w:cs="Times New Roman"/>
                      <w:b w:val="0"/>
                      <w:color w:val="auto"/>
                      <w:sz w:val="21"/>
                      <w:szCs w:val="21"/>
                    </w:rPr>
                    <w:t>4.本项目不属于化工、包装印刷、表面涂装等行业。</w:t>
                  </w:r>
                </w:p>
              </w:tc>
              <w:tc>
                <w:tcPr>
                  <w:tcW w:w="518" w:type="pct"/>
                  <w:vAlign w:val="center"/>
                </w:tcPr>
                <w:p w14:paraId="5F9707D7">
                  <w:pPr>
                    <w:pStyle w:val="2"/>
                    <w:keepNext w:val="0"/>
                    <w:keepLines w:val="0"/>
                    <w:pageBreakBefore w:val="0"/>
                    <w:widowControl w:val="0"/>
                    <w:kinsoku/>
                    <w:wordWrap/>
                    <w:overflowPunct/>
                    <w:topLinePunct w:val="0"/>
                    <w:bidi w:val="0"/>
                    <w:adjustRightInd w:val="0"/>
                    <w:snapToGrid w:val="0"/>
                    <w:jc w:val="center"/>
                    <w:rPr>
                      <w:rFonts w:hint="default" w:ascii="Times New Roman" w:hAnsi="Times New Roman" w:eastAsia="宋体" w:cs="Times New Roman"/>
                      <w:b w:val="0"/>
                      <w:color w:val="auto"/>
                      <w:sz w:val="21"/>
                      <w:szCs w:val="21"/>
                    </w:rPr>
                  </w:pPr>
                  <w:r>
                    <w:rPr>
                      <w:rFonts w:hint="default" w:ascii="Times New Roman" w:hAnsi="Times New Roman" w:eastAsia="宋体" w:cs="Times New Roman"/>
                      <w:b w:val="0"/>
                      <w:color w:val="auto"/>
                      <w:sz w:val="21"/>
                      <w:szCs w:val="21"/>
                    </w:rPr>
                    <w:t>符合</w:t>
                  </w:r>
                </w:p>
              </w:tc>
            </w:tr>
            <w:tr w14:paraId="41DFA0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4" w:type="pct"/>
                  <w:vAlign w:val="center"/>
                </w:tcPr>
                <w:p w14:paraId="73CCCAF3">
                  <w:pPr>
                    <w:pStyle w:val="2"/>
                    <w:keepNext w:val="0"/>
                    <w:keepLines w:val="0"/>
                    <w:pageBreakBefore w:val="0"/>
                    <w:widowControl w:val="0"/>
                    <w:kinsoku/>
                    <w:wordWrap/>
                    <w:overflowPunct/>
                    <w:topLinePunct w:val="0"/>
                    <w:bidi w:val="0"/>
                    <w:adjustRightInd w:val="0"/>
                    <w:snapToGrid w:val="0"/>
                    <w:spacing w:beforeAutospacing="0" w:afterAutospacing="0"/>
                    <w:jc w:val="center"/>
                    <w:rPr>
                      <w:rFonts w:hint="default" w:ascii="Times New Roman" w:hAnsi="Times New Roman" w:eastAsia="宋体" w:cs="Times New Roman"/>
                      <w:b w:val="0"/>
                      <w:color w:val="auto"/>
                      <w:sz w:val="21"/>
                      <w:szCs w:val="21"/>
                    </w:rPr>
                  </w:pPr>
                  <w:r>
                    <w:rPr>
                      <w:rFonts w:hint="default" w:ascii="Times New Roman" w:hAnsi="Times New Roman" w:eastAsia="宋体" w:cs="Times New Roman"/>
                      <w:b w:val="0"/>
                      <w:color w:val="auto"/>
                      <w:sz w:val="21"/>
                      <w:szCs w:val="21"/>
                    </w:rPr>
                    <w:t>环境风险防控</w:t>
                  </w:r>
                </w:p>
              </w:tc>
              <w:tc>
                <w:tcPr>
                  <w:tcW w:w="2598" w:type="pct"/>
                  <w:vAlign w:val="center"/>
                </w:tcPr>
                <w:p w14:paraId="449849E2">
                  <w:pPr>
                    <w:pStyle w:val="2"/>
                    <w:keepNext w:val="0"/>
                    <w:keepLines w:val="0"/>
                    <w:pageBreakBefore w:val="0"/>
                    <w:widowControl w:val="0"/>
                    <w:kinsoku/>
                    <w:wordWrap/>
                    <w:overflowPunct/>
                    <w:topLinePunct w:val="0"/>
                    <w:autoSpaceDE/>
                    <w:autoSpaceDN/>
                    <w:bidi w:val="0"/>
                    <w:adjustRightInd w:val="0"/>
                    <w:snapToGrid w:val="0"/>
                    <w:spacing w:beforeAutospacing="0" w:afterAutospacing="0"/>
                    <w:jc w:val="left"/>
                    <w:textAlignment w:val="auto"/>
                    <w:rPr>
                      <w:rFonts w:hint="default" w:ascii="Times New Roman" w:hAnsi="Times New Roman" w:eastAsia="宋体" w:cs="Times New Roman"/>
                      <w:b w:val="0"/>
                      <w:color w:val="auto"/>
                      <w:sz w:val="21"/>
                      <w:szCs w:val="21"/>
                    </w:rPr>
                  </w:pPr>
                  <w:r>
                    <w:rPr>
                      <w:rFonts w:hint="default" w:ascii="Times New Roman" w:hAnsi="Times New Roman" w:eastAsia="宋体" w:cs="Times New Roman"/>
                      <w:b w:val="0"/>
                      <w:color w:val="auto"/>
                      <w:sz w:val="21"/>
                      <w:szCs w:val="21"/>
                    </w:rPr>
                    <w:t>1.建立生态保护红线常态化日常巡护。</w:t>
                  </w:r>
                </w:p>
                <w:p w14:paraId="0C8D1625">
                  <w:pPr>
                    <w:pStyle w:val="2"/>
                    <w:keepNext w:val="0"/>
                    <w:keepLines w:val="0"/>
                    <w:pageBreakBefore w:val="0"/>
                    <w:widowControl w:val="0"/>
                    <w:kinsoku/>
                    <w:wordWrap/>
                    <w:overflowPunct/>
                    <w:topLinePunct w:val="0"/>
                    <w:autoSpaceDE/>
                    <w:autoSpaceDN/>
                    <w:bidi w:val="0"/>
                    <w:adjustRightInd w:val="0"/>
                    <w:snapToGrid w:val="0"/>
                    <w:spacing w:beforeAutospacing="0" w:afterAutospacing="0"/>
                    <w:jc w:val="left"/>
                    <w:textAlignment w:val="auto"/>
                    <w:rPr>
                      <w:rFonts w:hint="default" w:ascii="Times New Roman" w:hAnsi="Times New Roman" w:eastAsia="宋体" w:cs="Times New Roman"/>
                      <w:b w:val="0"/>
                      <w:color w:val="auto"/>
                      <w:sz w:val="21"/>
                      <w:szCs w:val="21"/>
                    </w:rPr>
                  </w:pPr>
                  <w:r>
                    <w:rPr>
                      <w:rFonts w:hint="default" w:ascii="Times New Roman" w:hAnsi="Times New Roman" w:eastAsia="宋体" w:cs="Times New Roman"/>
                      <w:b w:val="0"/>
                      <w:color w:val="auto"/>
                      <w:sz w:val="21"/>
                      <w:szCs w:val="21"/>
                    </w:rPr>
                    <w:t>2.加强农田土壤、灌溉水的监测，对周边区域环境风险源进行评估。</w:t>
                  </w:r>
                </w:p>
                <w:p w14:paraId="46CF571F">
                  <w:pPr>
                    <w:pStyle w:val="2"/>
                    <w:keepNext w:val="0"/>
                    <w:keepLines w:val="0"/>
                    <w:pageBreakBefore w:val="0"/>
                    <w:widowControl w:val="0"/>
                    <w:kinsoku/>
                    <w:wordWrap/>
                    <w:overflowPunct/>
                    <w:topLinePunct w:val="0"/>
                    <w:autoSpaceDE/>
                    <w:autoSpaceDN/>
                    <w:bidi w:val="0"/>
                    <w:adjustRightInd w:val="0"/>
                    <w:snapToGrid w:val="0"/>
                    <w:spacing w:beforeAutospacing="0" w:afterAutospacing="0"/>
                    <w:jc w:val="left"/>
                    <w:textAlignment w:val="auto"/>
                    <w:rPr>
                      <w:rFonts w:hint="default" w:ascii="Times New Roman" w:hAnsi="Times New Roman" w:eastAsia="宋体" w:cs="Times New Roman"/>
                      <w:b w:val="0"/>
                      <w:color w:val="auto"/>
                      <w:sz w:val="21"/>
                      <w:szCs w:val="21"/>
                    </w:rPr>
                  </w:pPr>
                  <w:r>
                    <w:rPr>
                      <w:rFonts w:hint="default" w:ascii="Times New Roman" w:hAnsi="Times New Roman" w:eastAsia="宋体" w:cs="Times New Roman"/>
                      <w:b w:val="0"/>
                      <w:color w:val="auto"/>
                      <w:sz w:val="21"/>
                      <w:szCs w:val="21"/>
                    </w:rPr>
                    <w:t>3.企业事业单位根据法律法规、管理部门要求和《企业事业单位突发环境事件应急预案备案管理办法（试行）》等规定，依法依规编制环境应急预案并定期开展演练。</w:t>
                  </w:r>
                </w:p>
                <w:p w14:paraId="4EB6580D">
                  <w:pPr>
                    <w:pStyle w:val="2"/>
                    <w:keepNext w:val="0"/>
                    <w:keepLines w:val="0"/>
                    <w:pageBreakBefore w:val="0"/>
                    <w:widowControl w:val="0"/>
                    <w:kinsoku/>
                    <w:wordWrap/>
                    <w:overflowPunct/>
                    <w:topLinePunct w:val="0"/>
                    <w:autoSpaceDE/>
                    <w:autoSpaceDN/>
                    <w:bidi w:val="0"/>
                    <w:adjustRightInd w:val="0"/>
                    <w:snapToGrid w:val="0"/>
                    <w:spacing w:beforeAutospacing="0" w:afterAutospacing="0"/>
                    <w:jc w:val="left"/>
                    <w:textAlignment w:val="auto"/>
                    <w:rPr>
                      <w:rFonts w:hint="default" w:ascii="Times New Roman" w:hAnsi="Times New Roman" w:eastAsia="宋体" w:cs="Times New Roman"/>
                      <w:b w:val="0"/>
                      <w:color w:val="auto"/>
                      <w:sz w:val="21"/>
                      <w:szCs w:val="21"/>
                    </w:rPr>
                  </w:pPr>
                  <w:r>
                    <w:rPr>
                      <w:rFonts w:hint="default" w:ascii="Times New Roman" w:hAnsi="Times New Roman" w:eastAsia="宋体" w:cs="Times New Roman"/>
                      <w:b w:val="0"/>
                      <w:color w:val="auto"/>
                      <w:sz w:val="21"/>
                      <w:szCs w:val="21"/>
                    </w:rPr>
                    <w:t>4.建立各企业危险废物的贮存、申报、经营许可（</w:t>
                  </w:r>
                  <w:r>
                    <w:rPr>
                      <w:rFonts w:hint="default" w:ascii="Times New Roman" w:hAnsi="Times New Roman" w:eastAsia="宋体" w:cs="Times New Roman"/>
                      <w:b w:val="0"/>
                      <w:color w:val="auto"/>
                      <w:sz w:val="21"/>
                      <w:szCs w:val="21"/>
                      <w:lang w:eastAsia="zh-CN"/>
                    </w:rPr>
                    <w:t>“无废城市”</w:t>
                  </w:r>
                  <w:r>
                    <w:rPr>
                      <w:rFonts w:hint="default" w:ascii="Times New Roman" w:hAnsi="Times New Roman" w:eastAsia="宋体" w:cs="Times New Roman"/>
                      <w:b w:val="0"/>
                      <w:color w:val="auto"/>
                      <w:sz w:val="21"/>
                      <w:szCs w:val="21"/>
                    </w:rPr>
                    <w:t>建设豁免的除外）、转移及处置管理制度，并负责对危废相应活动的全程监管和环境安全保障。</w:t>
                  </w:r>
                </w:p>
                <w:p w14:paraId="324456E9">
                  <w:pPr>
                    <w:pStyle w:val="2"/>
                    <w:keepNext w:val="0"/>
                    <w:keepLines w:val="0"/>
                    <w:pageBreakBefore w:val="0"/>
                    <w:widowControl w:val="0"/>
                    <w:kinsoku/>
                    <w:wordWrap/>
                    <w:overflowPunct/>
                    <w:topLinePunct w:val="0"/>
                    <w:autoSpaceDE/>
                    <w:autoSpaceDN/>
                    <w:bidi w:val="0"/>
                    <w:adjustRightInd w:val="0"/>
                    <w:snapToGrid w:val="0"/>
                    <w:spacing w:beforeAutospacing="0" w:afterAutospacing="0"/>
                    <w:jc w:val="left"/>
                    <w:textAlignment w:val="auto"/>
                    <w:rPr>
                      <w:rFonts w:hint="default" w:ascii="Times New Roman" w:hAnsi="Times New Roman" w:eastAsia="宋体" w:cs="Times New Roman"/>
                      <w:b w:val="0"/>
                      <w:color w:val="auto"/>
                      <w:sz w:val="21"/>
                      <w:szCs w:val="21"/>
                    </w:rPr>
                  </w:pPr>
                  <w:r>
                    <w:rPr>
                      <w:rFonts w:hint="default" w:ascii="Times New Roman" w:hAnsi="Times New Roman" w:eastAsia="宋体" w:cs="Times New Roman"/>
                      <w:b w:val="0"/>
                      <w:color w:val="auto"/>
                      <w:sz w:val="21"/>
                      <w:szCs w:val="21"/>
                    </w:rPr>
                    <w:t>5.按照省市要求，做好清洁取暖改造工作。</w:t>
                  </w:r>
                </w:p>
              </w:tc>
              <w:tc>
                <w:tcPr>
                  <w:tcW w:w="1448" w:type="pct"/>
                  <w:vAlign w:val="center"/>
                </w:tcPr>
                <w:p w14:paraId="02C6F0CE">
                  <w:pPr>
                    <w:pStyle w:val="2"/>
                    <w:keepNext w:val="0"/>
                    <w:keepLines w:val="0"/>
                    <w:pageBreakBefore w:val="0"/>
                    <w:widowControl w:val="0"/>
                    <w:kinsoku/>
                    <w:wordWrap/>
                    <w:overflowPunct/>
                    <w:topLinePunct w:val="0"/>
                    <w:autoSpaceDE/>
                    <w:autoSpaceDN/>
                    <w:bidi w:val="0"/>
                    <w:adjustRightInd w:val="0"/>
                    <w:snapToGrid w:val="0"/>
                    <w:spacing w:beforeAutospacing="0" w:afterAutospacing="0"/>
                    <w:jc w:val="left"/>
                    <w:textAlignment w:val="auto"/>
                    <w:rPr>
                      <w:rFonts w:hint="default" w:ascii="Times New Roman" w:hAnsi="Times New Roman" w:eastAsia="宋体" w:cs="Times New Roman"/>
                      <w:b w:val="0"/>
                      <w:color w:val="auto"/>
                      <w:sz w:val="21"/>
                      <w:szCs w:val="21"/>
                    </w:rPr>
                  </w:pPr>
                  <w:r>
                    <w:rPr>
                      <w:rFonts w:hint="default" w:ascii="Times New Roman" w:hAnsi="Times New Roman" w:eastAsia="宋体" w:cs="Times New Roman"/>
                      <w:b w:val="0"/>
                      <w:color w:val="auto"/>
                      <w:sz w:val="21"/>
                      <w:szCs w:val="21"/>
                    </w:rPr>
                    <w:t>1.本项目不在生态保护红线内。</w:t>
                  </w:r>
                </w:p>
                <w:p w14:paraId="2510BF3E">
                  <w:pPr>
                    <w:pStyle w:val="2"/>
                    <w:keepNext w:val="0"/>
                    <w:keepLines w:val="0"/>
                    <w:pageBreakBefore w:val="0"/>
                    <w:widowControl w:val="0"/>
                    <w:kinsoku/>
                    <w:wordWrap/>
                    <w:overflowPunct/>
                    <w:topLinePunct w:val="0"/>
                    <w:autoSpaceDE/>
                    <w:autoSpaceDN/>
                    <w:bidi w:val="0"/>
                    <w:adjustRightInd w:val="0"/>
                    <w:snapToGrid w:val="0"/>
                    <w:spacing w:beforeAutospacing="0" w:afterAutospacing="0"/>
                    <w:jc w:val="left"/>
                    <w:textAlignment w:val="auto"/>
                    <w:rPr>
                      <w:rFonts w:hint="default" w:ascii="Times New Roman" w:hAnsi="Times New Roman" w:eastAsia="宋体" w:cs="Times New Roman"/>
                      <w:b w:val="0"/>
                      <w:color w:val="auto"/>
                      <w:sz w:val="21"/>
                      <w:szCs w:val="21"/>
                    </w:rPr>
                  </w:pPr>
                  <w:r>
                    <w:rPr>
                      <w:rFonts w:hint="default" w:ascii="Times New Roman" w:hAnsi="Times New Roman" w:eastAsia="宋体" w:cs="Times New Roman"/>
                      <w:b w:val="0"/>
                      <w:color w:val="auto"/>
                      <w:sz w:val="21"/>
                      <w:szCs w:val="21"/>
                    </w:rPr>
                    <w:t>2.本项目生活污水经化粪池暂存后由环卫定期清运，不外排。</w:t>
                  </w:r>
                </w:p>
                <w:p w14:paraId="0E856E0B">
                  <w:pPr>
                    <w:pStyle w:val="2"/>
                    <w:keepNext w:val="0"/>
                    <w:keepLines w:val="0"/>
                    <w:pageBreakBefore w:val="0"/>
                    <w:widowControl w:val="0"/>
                    <w:kinsoku/>
                    <w:wordWrap/>
                    <w:overflowPunct/>
                    <w:topLinePunct w:val="0"/>
                    <w:autoSpaceDE/>
                    <w:autoSpaceDN/>
                    <w:bidi w:val="0"/>
                    <w:adjustRightInd w:val="0"/>
                    <w:snapToGrid w:val="0"/>
                    <w:spacing w:beforeAutospacing="0" w:afterAutospacing="0"/>
                    <w:jc w:val="left"/>
                    <w:textAlignment w:val="auto"/>
                    <w:rPr>
                      <w:rFonts w:hint="default" w:ascii="Times New Roman" w:hAnsi="Times New Roman" w:eastAsia="宋体" w:cs="Times New Roman"/>
                      <w:b w:val="0"/>
                      <w:color w:val="auto"/>
                      <w:sz w:val="21"/>
                      <w:szCs w:val="21"/>
                    </w:rPr>
                  </w:pPr>
                  <w:r>
                    <w:rPr>
                      <w:rFonts w:hint="default" w:ascii="Times New Roman" w:hAnsi="Times New Roman" w:eastAsia="宋体" w:cs="Times New Roman"/>
                      <w:b w:val="0"/>
                      <w:color w:val="auto"/>
                      <w:sz w:val="21"/>
                      <w:szCs w:val="21"/>
                    </w:rPr>
                    <w:t>3.依法依规编制环境应急预案并定期开展演练。</w:t>
                  </w:r>
                </w:p>
                <w:p w14:paraId="2FDB4F2C">
                  <w:pPr>
                    <w:pStyle w:val="2"/>
                    <w:keepNext w:val="0"/>
                    <w:keepLines w:val="0"/>
                    <w:pageBreakBefore w:val="0"/>
                    <w:widowControl w:val="0"/>
                    <w:kinsoku/>
                    <w:wordWrap/>
                    <w:overflowPunct/>
                    <w:topLinePunct w:val="0"/>
                    <w:autoSpaceDE/>
                    <w:autoSpaceDN/>
                    <w:bidi w:val="0"/>
                    <w:adjustRightInd w:val="0"/>
                    <w:snapToGrid w:val="0"/>
                    <w:spacing w:beforeAutospacing="0" w:afterAutospacing="0"/>
                    <w:jc w:val="left"/>
                    <w:textAlignment w:val="auto"/>
                    <w:rPr>
                      <w:rFonts w:hint="default" w:ascii="Times New Roman" w:hAnsi="Times New Roman" w:eastAsia="宋体" w:cs="Times New Roman"/>
                      <w:b w:val="0"/>
                      <w:color w:val="auto"/>
                      <w:sz w:val="21"/>
                      <w:szCs w:val="21"/>
                    </w:rPr>
                  </w:pPr>
                  <w:r>
                    <w:rPr>
                      <w:rFonts w:hint="default" w:ascii="Times New Roman" w:hAnsi="Times New Roman" w:eastAsia="宋体" w:cs="Times New Roman"/>
                      <w:b w:val="0"/>
                      <w:color w:val="auto"/>
                      <w:sz w:val="21"/>
                      <w:szCs w:val="21"/>
                    </w:rPr>
                    <w:t>4.本项目建成后不产生危险废物。</w:t>
                  </w:r>
                </w:p>
              </w:tc>
              <w:tc>
                <w:tcPr>
                  <w:tcW w:w="518" w:type="pct"/>
                  <w:vAlign w:val="center"/>
                </w:tcPr>
                <w:p w14:paraId="0B792726">
                  <w:pPr>
                    <w:pStyle w:val="2"/>
                    <w:keepNext w:val="0"/>
                    <w:keepLines w:val="0"/>
                    <w:pageBreakBefore w:val="0"/>
                    <w:widowControl w:val="0"/>
                    <w:kinsoku/>
                    <w:wordWrap/>
                    <w:overflowPunct/>
                    <w:topLinePunct w:val="0"/>
                    <w:bidi w:val="0"/>
                    <w:adjustRightInd w:val="0"/>
                    <w:snapToGrid w:val="0"/>
                    <w:jc w:val="center"/>
                    <w:rPr>
                      <w:rFonts w:hint="default" w:ascii="Times New Roman" w:hAnsi="Times New Roman" w:eastAsia="宋体" w:cs="Times New Roman"/>
                      <w:b w:val="0"/>
                      <w:color w:val="auto"/>
                      <w:sz w:val="21"/>
                      <w:szCs w:val="21"/>
                    </w:rPr>
                  </w:pPr>
                  <w:r>
                    <w:rPr>
                      <w:rFonts w:hint="default" w:ascii="Times New Roman" w:hAnsi="Times New Roman" w:eastAsia="宋体" w:cs="Times New Roman"/>
                      <w:b w:val="0"/>
                      <w:color w:val="auto"/>
                      <w:sz w:val="21"/>
                      <w:szCs w:val="21"/>
                    </w:rPr>
                    <w:t>符合</w:t>
                  </w:r>
                </w:p>
              </w:tc>
            </w:tr>
            <w:tr w14:paraId="00CD35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4" w:type="pct"/>
                  <w:vAlign w:val="center"/>
                </w:tcPr>
                <w:p w14:paraId="3B161027">
                  <w:pPr>
                    <w:pStyle w:val="2"/>
                    <w:keepNext w:val="0"/>
                    <w:keepLines w:val="0"/>
                    <w:pageBreakBefore w:val="0"/>
                    <w:widowControl w:val="0"/>
                    <w:kinsoku/>
                    <w:wordWrap/>
                    <w:overflowPunct/>
                    <w:topLinePunct w:val="0"/>
                    <w:bidi w:val="0"/>
                    <w:adjustRightInd w:val="0"/>
                    <w:snapToGrid w:val="0"/>
                    <w:spacing w:beforeAutospacing="0" w:afterAutospacing="0"/>
                    <w:jc w:val="center"/>
                    <w:rPr>
                      <w:rFonts w:hint="default" w:ascii="Times New Roman" w:hAnsi="Times New Roman" w:eastAsia="宋体" w:cs="Times New Roman"/>
                      <w:b w:val="0"/>
                      <w:color w:val="auto"/>
                      <w:sz w:val="21"/>
                      <w:szCs w:val="21"/>
                    </w:rPr>
                  </w:pPr>
                  <w:r>
                    <w:rPr>
                      <w:rFonts w:hint="default" w:ascii="Times New Roman" w:hAnsi="Times New Roman" w:eastAsia="宋体" w:cs="Times New Roman"/>
                      <w:b w:val="0"/>
                      <w:color w:val="auto"/>
                      <w:sz w:val="21"/>
                      <w:szCs w:val="21"/>
                    </w:rPr>
                    <w:t>资源开发效率要求</w:t>
                  </w:r>
                </w:p>
              </w:tc>
              <w:tc>
                <w:tcPr>
                  <w:tcW w:w="2598" w:type="pct"/>
                  <w:vAlign w:val="center"/>
                </w:tcPr>
                <w:p w14:paraId="33A06969">
                  <w:pPr>
                    <w:pStyle w:val="2"/>
                    <w:keepNext w:val="0"/>
                    <w:keepLines w:val="0"/>
                    <w:pageBreakBefore w:val="0"/>
                    <w:widowControl w:val="0"/>
                    <w:kinsoku/>
                    <w:wordWrap/>
                    <w:overflowPunct/>
                    <w:topLinePunct w:val="0"/>
                    <w:autoSpaceDE/>
                    <w:autoSpaceDN/>
                    <w:bidi w:val="0"/>
                    <w:adjustRightInd w:val="0"/>
                    <w:snapToGrid w:val="0"/>
                    <w:spacing w:beforeAutospacing="0" w:afterAutospacing="0"/>
                    <w:jc w:val="left"/>
                    <w:textAlignment w:val="auto"/>
                    <w:rPr>
                      <w:rFonts w:hint="default" w:ascii="Times New Roman" w:hAnsi="Times New Roman" w:eastAsia="宋体" w:cs="Times New Roman"/>
                      <w:b w:val="0"/>
                      <w:color w:val="auto"/>
                      <w:sz w:val="21"/>
                      <w:szCs w:val="21"/>
                    </w:rPr>
                  </w:pPr>
                  <w:r>
                    <w:rPr>
                      <w:rFonts w:hint="default" w:ascii="Times New Roman" w:hAnsi="Times New Roman" w:eastAsia="宋体" w:cs="Times New Roman"/>
                      <w:b w:val="0"/>
                      <w:color w:val="auto"/>
                      <w:sz w:val="21"/>
                      <w:szCs w:val="21"/>
                    </w:rPr>
                    <w:t>1.加强农业节水，提高水资源使用效率。</w:t>
                  </w:r>
                </w:p>
                <w:p w14:paraId="39A338B8">
                  <w:pPr>
                    <w:pStyle w:val="2"/>
                    <w:keepNext w:val="0"/>
                    <w:keepLines w:val="0"/>
                    <w:pageBreakBefore w:val="0"/>
                    <w:widowControl w:val="0"/>
                    <w:kinsoku/>
                    <w:wordWrap/>
                    <w:overflowPunct/>
                    <w:topLinePunct w:val="0"/>
                    <w:autoSpaceDE/>
                    <w:autoSpaceDN/>
                    <w:bidi w:val="0"/>
                    <w:adjustRightInd w:val="0"/>
                    <w:snapToGrid w:val="0"/>
                    <w:spacing w:beforeAutospacing="0" w:afterAutospacing="0"/>
                    <w:jc w:val="left"/>
                    <w:textAlignment w:val="auto"/>
                    <w:rPr>
                      <w:rFonts w:hint="default" w:ascii="Times New Roman" w:hAnsi="Times New Roman" w:eastAsia="宋体" w:cs="Times New Roman"/>
                      <w:b w:val="0"/>
                      <w:color w:val="auto"/>
                      <w:sz w:val="21"/>
                      <w:szCs w:val="21"/>
                    </w:rPr>
                  </w:pPr>
                  <w:r>
                    <w:rPr>
                      <w:rFonts w:hint="default" w:ascii="Times New Roman" w:hAnsi="Times New Roman" w:eastAsia="宋体" w:cs="Times New Roman"/>
                      <w:b w:val="0"/>
                      <w:color w:val="auto"/>
                      <w:sz w:val="21"/>
                      <w:szCs w:val="21"/>
                    </w:rPr>
                    <w:t>2.提升土地集约化水平。</w:t>
                  </w:r>
                </w:p>
                <w:p w14:paraId="525A1A71">
                  <w:pPr>
                    <w:pStyle w:val="2"/>
                    <w:keepNext w:val="0"/>
                    <w:keepLines w:val="0"/>
                    <w:pageBreakBefore w:val="0"/>
                    <w:widowControl w:val="0"/>
                    <w:kinsoku/>
                    <w:wordWrap/>
                    <w:overflowPunct/>
                    <w:topLinePunct w:val="0"/>
                    <w:autoSpaceDE/>
                    <w:autoSpaceDN/>
                    <w:bidi w:val="0"/>
                    <w:adjustRightInd w:val="0"/>
                    <w:snapToGrid w:val="0"/>
                    <w:spacing w:beforeAutospacing="0" w:afterAutospacing="0"/>
                    <w:jc w:val="left"/>
                    <w:textAlignment w:val="auto"/>
                    <w:rPr>
                      <w:rFonts w:hint="default" w:ascii="Times New Roman" w:hAnsi="Times New Roman" w:eastAsia="宋体" w:cs="Times New Roman"/>
                      <w:b w:val="0"/>
                      <w:color w:val="auto"/>
                      <w:sz w:val="21"/>
                      <w:szCs w:val="21"/>
                    </w:rPr>
                  </w:pPr>
                  <w:r>
                    <w:rPr>
                      <w:rFonts w:hint="default" w:ascii="Times New Roman" w:hAnsi="Times New Roman" w:eastAsia="宋体" w:cs="Times New Roman"/>
                      <w:b w:val="0"/>
                      <w:color w:val="auto"/>
                      <w:sz w:val="21"/>
                      <w:szCs w:val="21"/>
                    </w:rPr>
                    <w:t>3.调整能源利用结构，控制煤炭消费量，实现减量化，鼓励使用清洁能源、新能源和可再生能源。</w:t>
                  </w:r>
                </w:p>
              </w:tc>
              <w:tc>
                <w:tcPr>
                  <w:tcW w:w="1448" w:type="pct"/>
                  <w:vAlign w:val="center"/>
                </w:tcPr>
                <w:p w14:paraId="65B555A3">
                  <w:pPr>
                    <w:pStyle w:val="2"/>
                    <w:keepNext w:val="0"/>
                    <w:keepLines w:val="0"/>
                    <w:pageBreakBefore w:val="0"/>
                    <w:widowControl w:val="0"/>
                    <w:kinsoku/>
                    <w:wordWrap/>
                    <w:overflowPunct/>
                    <w:topLinePunct w:val="0"/>
                    <w:autoSpaceDE/>
                    <w:autoSpaceDN/>
                    <w:bidi w:val="0"/>
                    <w:adjustRightInd w:val="0"/>
                    <w:snapToGrid w:val="0"/>
                    <w:spacing w:beforeAutospacing="0" w:afterAutospacing="0"/>
                    <w:jc w:val="left"/>
                    <w:textAlignment w:val="auto"/>
                    <w:rPr>
                      <w:rFonts w:hint="default" w:ascii="Times New Roman" w:hAnsi="Times New Roman" w:eastAsia="宋体" w:cs="Times New Roman"/>
                      <w:b w:val="0"/>
                      <w:color w:val="auto"/>
                      <w:sz w:val="21"/>
                      <w:szCs w:val="21"/>
                    </w:rPr>
                  </w:pPr>
                  <w:r>
                    <w:rPr>
                      <w:rFonts w:hint="default" w:ascii="Times New Roman" w:hAnsi="Times New Roman" w:eastAsia="宋体" w:cs="Times New Roman"/>
                      <w:b w:val="0"/>
                      <w:color w:val="auto"/>
                      <w:sz w:val="21"/>
                      <w:szCs w:val="21"/>
                    </w:rPr>
                    <w:t>1.本项目不属于农业项目。</w:t>
                  </w:r>
                </w:p>
                <w:p w14:paraId="78A34054">
                  <w:pPr>
                    <w:pStyle w:val="2"/>
                    <w:keepNext w:val="0"/>
                    <w:keepLines w:val="0"/>
                    <w:pageBreakBefore w:val="0"/>
                    <w:widowControl w:val="0"/>
                    <w:kinsoku/>
                    <w:wordWrap/>
                    <w:overflowPunct/>
                    <w:topLinePunct w:val="0"/>
                    <w:autoSpaceDE/>
                    <w:autoSpaceDN/>
                    <w:bidi w:val="0"/>
                    <w:adjustRightInd w:val="0"/>
                    <w:snapToGrid w:val="0"/>
                    <w:spacing w:beforeAutospacing="0" w:afterAutospacing="0"/>
                    <w:jc w:val="left"/>
                    <w:textAlignment w:val="auto"/>
                    <w:rPr>
                      <w:rFonts w:hint="default" w:ascii="Times New Roman" w:hAnsi="Times New Roman" w:eastAsia="宋体" w:cs="Times New Roman"/>
                      <w:b w:val="0"/>
                      <w:color w:val="auto"/>
                      <w:sz w:val="21"/>
                      <w:szCs w:val="21"/>
                    </w:rPr>
                  </w:pPr>
                  <w:r>
                    <w:rPr>
                      <w:rFonts w:hint="default" w:ascii="Times New Roman" w:hAnsi="Times New Roman" w:eastAsia="宋体" w:cs="Times New Roman"/>
                      <w:b w:val="0"/>
                      <w:color w:val="auto"/>
                      <w:sz w:val="21"/>
                      <w:szCs w:val="21"/>
                    </w:rPr>
                    <w:t>2.本项目为工业用地。</w:t>
                  </w:r>
                </w:p>
                <w:p w14:paraId="29E7C8DC">
                  <w:pPr>
                    <w:pStyle w:val="2"/>
                    <w:keepNext w:val="0"/>
                    <w:keepLines w:val="0"/>
                    <w:pageBreakBefore w:val="0"/>
                    <w:widowControl w:val="0"/>
                    <w:kinsoku/>
                    <w:wordWrap/>
                    <w:overflowPunct/>
                    <w:topLinePunct w:val="0"/>
                    <w:autoSpaceDE/>
                    <w:autoSpaceDN/>
                    <w:bidi w:val="0"/>
                    <w:adjustRightInd w:val="0"/>
                    <w:snapToGrid w:val="0"/>
                    <w:spacing w:beforeAutospacing="0" w:afterAutospacing="0"/>
                    <w:jc w:val="left"/>
                    <w:textAlignment w:val="auto"/>
                    <w:rPr>
                      <w:rFonts w:hint="default" w:ascii="Times New Roman" w:hAnsi="Times New Roman" w:eastAsia="宋体" w:cs="Times New Roman"/>
                      <w:b w:val="0"/>
                      <w:color w:val="auto"/>
                      <w:sz w:val="21"/>
                      <w:szCs w:val="21"/>
                    </w:rPr>
                  </w:pPr>
                  <w:r>
                    <w:rPr>
                      <w:rFonts w:hint="default" w:ascii="Times New Roman" w:hAnsi="Times New Roman" w:eastAsia="宋体" w:cs="Times New Roman"/>
                      <w:b w:val="0"/>
                      <w:color w:val="auto"/>
                      <w:sz w:val="21"/>
                      <w:szCs w:val="21"/>
                    </w:rPr>
                    <w:t>3.本项目不使用煤炭，能源使用电能。</w:t>
                  </w:r>
                </w:p>
              </w:tc>
              <w:tc>
                <w:tcPr>
                  <w:tcW w:w="518" w:type="pct"/>
                  <w:vAlign w:val="center"/>
                </w:tcPr>
                <w:p w14:paraId="3C115A97">
                  <w:pPr>
                    <w:pStyle w:val="2"/>
                    <w:keepNext w:val="0"/>
                    <w:keepLines w:val="0"/>
                    <w:pageBreakBefore w:val="0"/>
                    <w:widowControl w:val="0"/>
                    <w:kinsoku/>
                    <w:wordWrap/>
                    <w:overflowPunct/>
                    <w:topLinePunct w:val="0"/>
                    <w:bidi w:val="0"/>
                    <w:adjustRightInd w:val="0"/>
                    <w:snapToGrid w:val="0"/>
                    <w:jc w:val="center"/>
                    <w:rPr>
                      <w:rFonts w:hint="default" w:ascii="Times New Roman" w:hAnsi="Times New Roman" w:eastAsia="宋体" w:cs="Times New Roman"/>
                      <w:b w:val="0"/>
                      <w:color w:val="auto"/>
                      <w:sz w:val="21"/>
                      <w:szCs w:val="21"/>
                    </w:rPr>
                  </w:pPr>
                  <w:r>
                    <w:rPr>
                      <w:rFonts w:hint="default" w:ascii="Times New Roman" w:hAnsi="Times New Roman" w:eastAsia="宋体" w:cs="Times New Roman"/>
                      <w:b w:val="0"/>
                      <w:color w:val="auto"/>
                      <w:sz w:val="21"/>
                      <w:szCs w:val="21"/>
                    </w:rPr>
                    <w:t>符合</w:t>
                  </w:r>
                </w:p>
              </w:tc>
            </w:tr>
          </w:tbl>
          <w:p w14:paraId="5B830B76">
            <w:pPr>
              <w:keepNext w:val="0"/>
              <w:keepLines w:val="0"/>
              <w:pageBreakBefore w:val="0"/>
              <w:widowControl w:val="0"/>
              <w:kinsoku/>
              <w:wordWrap/>
              <w:overflowPunct/>
              <w:topLinePunct w:val="0"/>
              <w:bidi w:val="0"/>
              <w:spacing w:line="360" w:lineRule="auto"/>
              <w:ind w:firstLine="420" w:firstLineChars="200"/>
              <w:rPr>
                <w:rFonts w:hint="default" w:ascii="Times New Roman" w:hAnsi="Times New Roman" w:eastAsia="宋体" w:cs="Times New Roman"/>
                <w:color w:val="auto"/>
                <w:kern w:val="0"/>
                <w:sz w:val="21"/>
                <w:szCs w:val="21"/>
                <w:lang w:val="zh-CN"/>
              </w:rPr>
            </w:pPr>
            <w:r>
              <w:rPr>
                <w:rFonts w:hint="default" w:ascii="Times New Roman" w:hAnsi="Times New Roman" w:eastAsia="宋体" w:cs="Times New Roman"/>
                <w:color w:val="auto"/>
                <w:kern w:val="0"/>
                <w:sz w:val="21"/>
                <w:szCs w:val="21"/>
              </w:rPr>
              <w:t>根据上表，拟建项目符合</w:t>
            </w:r>
            <w:r>
              <w:rPr>
                <w:rFonts w:hint="default" w:ascii="Times New Roman" w:hAnsi="Times New Roman" w:eastAsia="宋体" w:cs="Times New Roman"/>
                <w:color w:val="auto"/>
                <w:sz w:val="21"/>
                <w:szCs w:val="21"/>
              </w:rPr>
              <w:t>淄博市生态环境委员会办公室关于印发《淄博市2023年生态环境分区管控成果动态更新项目生态环境准入清单》的通知要求</w:t>
            </w:r>
            <w:r>
              <w:rPr>
                <w:rFonts w:hint="default" w:ascii="Times New Roman" w:hAnsi="Times New Roman" w:eastAsia="宋体" w:cs="Times New Roman"/>
                <w:color w:val="auto"/>
                <w:kern w:val="0"/>
                <w:sz w:val="21"/>
                <w:szCs w:val="21"/>
              </w:rPr>
              <w:t>。</w:t>
            </w:r>
          </w:p>
          <w:p w14:paraId="4D5BA00F">
            <w:pPr>
              <w:keepNext w:val="0"/>
              <w:keepLines w:val="0"/>
              <w:pageBreakBefore w:val="0"/>
              <w:widowControl w:val="0"/>
              <w:kinsoku/>
              <w:wordWrap/>
              <w:overflowPunct/>
              <w:topLinePunct w:val="0"/>
              <w:bidi w:val="0"/>
              <w:spacing w:line="360" w:lineRule="auto"/>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lang w:val="en-US" w:eastAsia="zh-CN"/>
              </w:rPr>
              <w:t>5</w:t>
            </w:r>
            <w:r>
              <w:rPr>
                <w:rFonts w:hint="default" w:ascii="Times New Roman" w:hAnsi="Times New Roman" w:eastAsia="宋体" w:cs="Times New Roman"/>
                <w:b/>
                <w:color w:val="auto"/>
                <w:sz w:val="21"/>
                <w:szCs w:val="21"/>
              </w:rPr>
              <w:t>、环保政策符合性分析</w:t>
            </w:r>
          </w:p>
          <w:p w14:paraId="4F183DDC">
            <w:pPr>
              <w:keepNext w:val="0"/>
              <w:keepLines w:val="0"/>
              <w:pageBreakBefore w:val="0"/>
              <w:widowControl w:val="0"/>
              <w:kinsoku/>
              <w:wordWrap/>
              <w:overflowPunct/>
              <w:topLinePunct w:val="0"/>
              <w:bidi w:val="0"/>
              <w:spacing w:line="360" w:lineRule="auto"/>
              <w:ind w:firstLine="420" w:firstLineChars="20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（1）与《淄博市新一轮“四减四增”三年行动方案）》（淄环委〔2022〕1号）符合性分析</w:t>
            </w:r>
          </w:p>
          <w:p w14:paraId="7009F5AA">
            <w:pPr>
              <w:keepNext w:val="0"/>
              <w:keepLines w:val="0"/>
              <w:pageBreakBefore w:val="0"/>
              <w:widowControl w:val="0"/>
              <w:kinsoku/>
              <w:wordWrap/>
              <w:overflowPunct/>
              <w:topLinePunct w:val="0"/>
              <w:bidi w:val="0"/>
              <w:spacing w:line="360" w:lineRule="auto"/>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表1-</w:t>
            </w:r>
            <w:r>
              <w:rPr>
                <w:rFonts w:hint="default" w:ascii="Times New Roman" w:hAnsi="Times New Roman" w:eastAsia="宋体" w:cs="Times New Roman"/>
                <w:b/>
                <w:bCs/>
                <w:color w:val="auto"/>
                <w:sz w:val="21"/>
                <w:szCs w:val="21"/>
                <w:lang w:val="en-US" w:eastAsia="zh-CN"/>
              </w:rPr>
              <w:t>2</w:t>
            </w:r>
            <w:r>
              <w:rPr>
                <w:rFonts w:hint="default" w:ascii="Times New Roman" w:hAnsi="Times New Roman" w:eastAsia="宋体" w:cs="Times New Roman"/>
                <w:b/>
                <w:bCs/>
                <w:color w:val="auto"/>
                <w:sz w:val="21"/>
                <w:szCs w:val="21"/>
                <w:lang w:eastAsia="zh-CN"/>
              </w:rPr>
              <w:t xml:space="preserve"> </w:t>
            </w:r>
            <w:r>
              <w:rPr>
                <w:rFonts w:hint="default" w:ascii="Times New Roman" w:hAnsi="Times New Roman" w:eastAsia="宋体" w:cs="Times New Roman"/>
                <w:b/>
                <w:bCs/>
                <w:color w:val="auto"/>
                <w:sz w:val="21"/>
                <w:szCs w:val="21"/>
              </w:rPr>
              <w:t>《淄博市新一轮“四减四增”三年行动方案》（淄环委〔2022〕1号）符合性</w:t>
            </w:r>
          </w:p>
          <w:tbl>
            <w:tblPr>
              <w:tblStyle w:val="14"/>
              <w:tblW w:w="0" w:type="auto"/>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584"/>
              <w:gridCol w:w="4142"/>
              <w:gridCol w:w="2005"/>
              <w:gridCol w:w="472"/>
            </w:tblGrid>
            <w:tr w14:paraId="61B546A2">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0" w:type="auto"/>
                  <w:vAlign w:val="center"/>
                </w:tcPr>
                <w:p w14:paraId="4922654E">
                  <w:pPr>
                    <w:pStyle w:val="8"/>
                    <w:keepNext w:val="0"/>
                    <w:keepLines w:val="0"/>
                    <w:pageBreakBefore w:val="0"/>
                    <w:widowControl w:val="0"/>
                    <w:kinsoku/>
                    <w:wordWrap/>
                    <w:overflowPunct/>
                    <w:topLinePunct w:val="0"/>
                    <w:bidi w:val="0"/>
                    <w:spacing w:after="0"/>
                    <w:ind w:left="0" w:leftChars="0"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内容</w:t>
                  </w:r>
                </w:p>
              </w:tc>
              <w:tc>
                <w:tcPr>
                  <w:tcW w:w="0" w:type="auto"/>
                  <w:vAlign w:val="center"/>
                </w:tcPr>
                <w:p w14:paraId="47954690">
                  <w:pPr>
                    <w:pStyle w:val="8"/>
                    <w:keepNext w:val="0"/>
                    <w:keepLines w:val="0"/>
                    <w:pageBreakBefore w:val="0"/>
                    <w:widowControl w:val="0"/>
                    <w:kinsoku/>
                    <w:wordWrap/>
                    <w:overflowPunct/>
                    <w:topLinePunct w:val="0"/>
                    <w:bidi w:val="0"/>
                    <w:spacing w:after="0"/>
                    <w:ind w:left="0" w:leftChars="0"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文件要求</w:t>
                  </w:r>
                </w:p>
              </w:tc>
              <w:tc>
                <w:tcPr>
                  <w:tcW w:w="0" w:type="auto"/>
                  <w:vAlign w:val="center"/>
                </w:tcPr>
                <w:p w14:paraId="44C0EB5D">
                  <w:pPr>
                    <w:pStyle w:val="8"/>
                    <w:keepNext w:val="0"/>
                    <w:keepLines w:val="0"/>
                    <w:pageBreakBefore w:val="0"/>
                    <w:widowControl w:val="0"/>
                    <w:kinsoku/>
                    <w:wordWrap/>
                    <w:overflowPunct/>
                    <w:topLinePunct w:val="0"/>
                    <w:bidi w:val="0"/>
                    <w:spacing w:after="0"/>
                    <w:ind w:left="0" w:leftChars="0"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kern w:val="0"/>
                      <w:sz w:val="21"/>
                      <w:szCs w:val="21"/>
                    </w:rPr>
                    <w:t>本项目情况</w:t>
                  </w:r>
                </w:p>
              </w:tc>
              <w:tc>
                <w:tcPr>
                  <w:tcW w:w="0" w:type="auto"/>
                  <w:vAlign w:val="center"/>
                </w:tcPr>
                <w:p w14:paraId="7DFD0BD6">
                  <w:pPr>
                    <w:pStyle w:val="8"/>
                    <w:keepNext w:val="0"/>
                    <w:keepLines w:val="0"/>
                    <w:pageBreakBefore w:val="0"/>
                    <w:widowControl w:val="0"/>
                    <w:kinsoku/>
                    <w:wordWrap/>
                    <w:overflowPunct/>
                    <w:topLinePunct w:val="0"/>
                    <w:bidi w:val="0"/>
                    <w:spacing w:after="0"/>
                    <w:ind w:left="0" w:leftChars="0" w:firstLine="0" w:firstLineChars="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符合性</w:t>
                  </w:r>
                </w:p>
              </w:tc>
            </w:tr>
            <w:tr w14:paraId="2738042B">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0" w:type="auto"/>
                  <w:vMerge w:val="restart"/>
                  <w:vAlign w:val="center"/>
                </w:tcPr>
                <w:p w14:paraId="29B92A4D">
                  <w:pPr>
                    <w:pStyle w:val="8"/>
                    <w:keepNext w:val="0"/>
                    <w:keepLines w:val="0"/>
                    <w:pageBreakBefore w:val="0"/>
                    <w:widowControl w:val="0"/>
                    <w:kinsoku/>
                    <w:wordWrap/>
                    <w:overflowPunct/>
                    <w:topLinePunct w:val="0"/>
                    <w:bidi w:val="0"/>
                    <w:spacing w:after="0"/>
                    <w:ind w:left="0" w:leftChars="0" w:firstLine="0" w:firstLine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深入调整产业结构</w:t>
                  </w:r>
                </w:p>
              </w:tc>
              <w:tc>
                <w:tcPr>
                  <w:tcW w:w="0" w:type="auto"/>
                  <w:tcBorders>
                    <w:top w:val="single" w:color="000000" w:sz="8" w:space="0"/>
                    <w:left w:val="single" w:color="000000" w:sz="4" w:space="0"/>
                    <w:bottom w:val="single" w:color="000000" w:sz="4" w:space="0"/>
                    <w:right w:val="single" w:color="000000" w:sz="4" w:space="0"/>
                  </w:tcBorders>
                  <w:vAlign w:val="center"/>
                </w:tcPr>
                <w:p w14:paraId="3F989986">
                  <w:pPr>
                    <w:pStyle w:val="22"/>
                    <w:keepNext w:val="0"/>
                    <w:keepLines w:val="0"/>
                    <w:pageBreakBefore w:val="0"/>
                    <w:widowControl w:val="0"/>
                    <w:kinsoku/>
                    <w:wordWrap/>
                    <w:overflowPunct/>
                    <w:topLinePunct w:val="0"/>
                    <w:autoSpaceDE/>
                    <w:autoSpaceDN/>
                    <w:bidi w:val="0"/>
                    <w:adjustRightInd/>
                    <w:snapToGrid/>
                    <w:spacing w:line="240" w:lineRule="auto"/>
                    <w:ind w:right="0" w:firstLine="0"/>
                    <w:jc w:val="left"/>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4"/>
                      <w:sz w:val="21"/>
                      <w:szCs w:val="21"/>
                    </w:rPr>
                    <w:t>淘汰低效落后产能。依据安全、环保、技术、能耗、效益标准，以钢铁、煤电、水泥、轮胎、煤炭、化工等行业为重点，</w:t>
                  </w:r>
                  <w:r>
                    <w:rPr>
                      <w:rFonts w:hint="default" w:ascii="Times New Roman" w:hAnsi="Times New Roman" w:eastAsia="宋体" w:cs="Times New Roman"/>
                      <w:color w:val="auto"/>
                      <w:sz w:val="21"/>
                      <w:szCs w:val="21"/>
                    </w:rPr>
                    <w:t>分类组织实施转移、压减、整合、关停任务，加快淘汰低效落后产能。</w:t>
                  </w:r>
                </w:p>
              </w:tc>
              <w:tc>
                <w:tcPr>
                  <w:tcW w:w="0" w:type="auto"/>
                  <w:tcBorders>
                    <w:top w:val="single" w:color="000000" w:sz="8" w:space="0"/>
                    <w:left w:val="single" w:color="000000" w:sz="4" w:space="0"/>
                    <w:bottom w:val="single" w:color="000000" w:sz="4" w:space="0"/>
                    <w:right w:val="single" w:color="000000" w:sz="4" w:space="0"/>
                  </w:tcBorders>
                  <w:vAlign w:val="center"/>
                </w:tcPr>
                <w:p w14:paraId="5C468371">
                  <w:pPr>
                    <w:pStyle w:val="22"/>
                    <w:keepNext w:val="0"/>
                    <w:keepLines w:val="0"/>
                    <w:pageBreakBefore w:val="0"/>
                    <w:widowControl w:val="0"/>
                    <w:kinsoku/>
                    <w:wordWrap/>
                    <w:overflowPunct/>
                    <w:topLinePunct w:val="0"/>
                    <w:autoSpaceDE/>
                    <w:autoSpaceDN/>
                    <w:bidi w:val="0"/>
                    <w:adjustRightInd/>
                    <w:snapToGrid/>
                    <w:spacing w:line="240" w:lineRule="auto"/>
                    <w:ind w:right="0" w:firstLine="0"/>
                    <w:jc w:val="left"/>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本项目不属于以上重点行业，不属于低效落后产能。</w:t>
                  </w:r>
                </w:p>
              </w:tc>
              <w:tc>
                <w:tcPr>
                  <w:tcW w:w="0" w:type="auto"/>
                  <w:tcBorders>
                    <w:top w:val="single" w:color="000000" w:sz="8" w:space="0"/>
                    <w:left w:val="single" w:color="000000" w:sz="4" w:space="0"/>
                    <w:bottom w:val="single" w:color="000000" w:sz="4" w:space="0"/>
                    <w:right w:val="single" w:color="000000" w:sz="4" w:space="0"/>
                  </w:tcBorders>
                  <w:vAlign w:val="center"/>
                </w:tcPr>
                <w:p w14:paraId="5E41D083">
                  <w:pPr>
                    <w:pStyle w:val="22"/>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符合</w:t>
                  </w:r>
                </w:p>
              </w:tc>
            </w:tr>
            <w:tr w14:paraId="7D4CE609">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0" w:type="auto"/>
                  <w:vMerge w:val="continue"/>
                  <w:vAlign w:val="center"/>
                </w:tcPr>
                <w:p w14:paraId="233F9769">
                  <w:pPr>
                    <w:pStyle w:val="8"/>
                    <w:keepNext w:val="0"/>
                    <w:keepLines w:val="0"/>
                    <w:pageBreakBefore w:val="0"/>
                    <w:widowControl w:val="0"/>
                    <w:kinsoku/>
                    <w:wordWrap/>
                    <w:overflowPunct/>
                    <w:topLinePunct w:val="0"/>
                    <w:bidi w:val="0"/>
                    <w:spacing w:after="0"/>
                    <w:ind w:left="0" w:leftChars="0" w:firstLine="0" w:firstLineChars="0"/>
                    <w:jc w:val="center"/>
                    <w:rPr>
                      <w:rFonts w:hint="default" w:ascii="Times New Roman" w:hAnsi="Times New Roman" w:eastAsia="宋体" w:cs="Times New Roman"/>
                      <w:color w:val="auto"/>
                      <w:sz w:val="21"/>
                      <w:szCs w:val="21"/>
                    </w:rPr>
                  </w:pPr>
                </w:p>
              </w:tc>
              <w:tc>
                <w:tcPr>
                  <w:tcW w:w="0" w:type="auto"/>
                  <w:tcBorders>
                    <w:top w:val="single" w:color="000000" w:sz="4" w:space="0"/>
                    <w:left w:val="single" w:color="000000" w:sz="4" w:space="0"/>
                    <w:bottom w:val="single" w:color="000000" w:sz="4" w:space="0"/>
                    <w:right w:val="single" w:color="000000" w:sz="4" w:space="0"/>
                  </w:tcBorders>
                  <w:vAlign w:val="center"/>
                </w:tcPr>
                <w:p w14:paraId="59A064FE">
                  <w:pPr>
                    <w:pStyle w:val="22"/>
                    <w:keepNext w:val="0"/>
                    <w:keepLines w:val="0"/>
                    <w:pageBreakBefore w:val="0"/>
                    <w:widowControl w:val="0"/>
                    <w:kinsoku/>
                    <w:wordWrap/>
                    <w:overflowPunct/>
                    <w:topLinePunct w:val="0"/>
                    <w:autoSpaceDE/>
                    <w:autoSpaceDN/>
                    <w:bidi w:val="0"/>
                    <w:adjustRightInd/>
                    <w:snapToGrid/>
                    <w:spacing w:line="240" w:lineRule="auto"/>
                    <w:ind w:right="0" w:firstLine="0"/>
                    <w:jc w:val="left"/>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持续开展“散乱污”企业专项执法检查。进一步压实管理责任，按照</w:t>
                  </w:r>
                  <w:r>
                    <w:rPr>
                      <w:rFonts w:hint="default" w:ascii="Times New Roman" w:hAnsi="Times New Roman" w:eastAsia="宋体" w:cs="Times New Roman"/>
                      <w:color w:val="auto"/>
                      <w:sz w:val="21"/>
                      <w:szCs w:val="21"/>
                      <w:lang w:eastAsia="zh-CN"/>
                    </w:rPr>
                    <w:t>发现一起查处一起</w:t>
                  </w:r>
                  <w:r>
                    <w:rPr>
                      <w:rFonts w:hint="default" w:ascii="Times New Roman" w:hAnsi="Times New Roman" w:eastAsia="宋体" w:cs="Times New Roman"/>
                      <w:color w:val="auto"/>
                      <w:sz w:val="21"/>
                      <w:szCs w:val="21"/>
                    </w:rPr>
                    <w:t>的原则，实行“散乱污”企业动态清零，确保“散乱污”企业不复发。</w:t>
                  </w:r>
                </w:p>
              </w:tc>
              <w:tc>
                <w:tcPr>
                  <w:tcW w:w="0" w:type="auto"/>
                  <w:tcBorders>
                    <w:top w:val="single" w:color="000000" w:sz="4" w:space="0"/>
                    <w:left w:val="single" w:color="000000" w:sz="4" w:space="0"/>
                    <w:bottom w:val="single" w:color="000000" w:sz="4" w:space="0"/>
                    <w:right w:val="single" w:color="000000" w:sz="4" w:space="0"/>
                  </w:tcBorders>
                  <w:vAlign w:val="center"/>
                </w:tcPr>
                <w:p w14:paraId="794F59E8">
                  <w:pPr>
                    <w:pStyle w:val="22"/>
                    <w:keepNext w:val="0"/>
                    <w:keepLines w:val="0"/>
                    <w:pageBreakBefore w:val="0"/>
                    <w:widowControl w:val="0"/>
                    <w:kinsoku/>
                    <w:wordWrap/>
                    <w:overflowPunct/>
                    <w:topLinePunct w:val="0"/>
                    <w:autoSpaceDE/>
                    <w:autoSpaceDN/>
                    <w:bidi w:val="0"/>
                    <w:adjustRightInd/>
                    <w:snapToGrid/>
                    <w:spacing w:line="240" w:lineRule="auto"/>
                    <w:ind w:right="0" w:firstLine="0"/>
                    <w:jc w:val="left"/>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本项目不在散乱污整治范围内。</w:t>
                  </w:r>
                </w:p>
              </w:tc>
              <w:tc>
                <w:tcPr>
                  <w:tcW w:w="0" w:type="auto"/>
                  <w:tcBorders>
                    <w:top w:val="single" w:color="000000" w:sz="4" w:space="0"/>
                    <w:left w:val="single" w:color="000000" w:sz="4" w:space="0"/>
                    <w:bottom w:val="single" w:color="000000" w:sz="4" w:space="0"/>
                    <w:right w:val="single" w:color="000000" w:sz="4" w:space="0"/>
                  </w:tcBorders>
                  <w:vAlign w:val="center"/>
                </w:tcPr>
                <w:p w14:paraId="285632E5">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符合</w:t>
                  </w:r>
                </w:p>
              </w:tc>
            </w:tr>
            <w:tr w14:paraId="6F580F28">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0" w:type="auto"/>
                  <w:vMerge w:val="continue"/>
                  <w:vAlign w:val="center"/>
                </w:tcPr>
                <w:p w14:paraId="4E963027">
                  <w:pPr>
                    <w:pStyle w:val="8"/>
                    <w:keepNext w:val="0"/>
                    <w:keepLines w:val="0"/>
                    <w:pageBreakBefore w:val="0"/>
                    <w:widowControl w:val="0"/>
                    <w:kinsoku/>
                    <w:wordWrap/>
                    <w:overflowPunct/>
                    <w:topLinePunct w:val="0"/>
                    <w:bidi w:val="0"/>
                    <w:spacing w:after="0"/>
                    <w:ind w:left="0" w:leftChars="0" w:firstLine="0" w:firstLineChars="0"/>
                    <w:jc w:val="center"/>
                    <w:rPr>
                      <w:rFonts w:hint="default" w:ascii="Times New Roman" w:hAnsi="Times New Roman" w:eastAsia="宋体" w:cs="Times New Roman"/>
                      <w:color w:val="auto"/>
                      <w:sz w:val="21"/>
                      <w:szCs w:val="21"/>
                    </w:rPr>
                  </w:pPr>
                </w:p>
              </w:tc>
              <w:tc>
                <w:tcPr>
                  <w:tcW w:w="0" w:type="auto"/>
                  <w:tcBorders>
                    <w:top w:val="single" w:color="000000" w:sz="4" w:space="0"/>
                    <w:left w:val="single" w:color="000000" w:sz="4" w:space="0"/>
                    <w:bottom w:val="single" w:color="000000" w:sz="4" w:space="0"/>
                    <w:right w:val="single" w:color="000000" w:sz="4" w:space="0"/>
                  </w:tcBorders>
                  <w:vAlign w:val="center"/>
                </w:tcPr>
                <w:p w14:paraId="72C23556">
                  <w:pPr>
                    <w:pStyle w:val="22"/>
                    <w:keepNext w:val="0"/>
                    <w:keepLines w:val="0"/>
                    <w:pageBreakBefore w:val="0"/>
                    <w:widowControl w:val="0"/>
                    <w:kinsoku/>
                    <w:wordWrap/>
                    <w:overflowPunct/>
                    <w:topLinePunct w:val="0"/>
                    <w:autoSpaceDE/>
                    <w:autoSpaceDN/>
                    <w:bidi w:val="0"/>
                    <w:adjustRightInd/>
                    <w:snapToGrid/>
                    <w:spacing w:line="240" w:lineRule="auto"/>
                    <w:ind w:right="0" w:firstLine="0"/>
                    <w:jc w:val="left"/>
                    <w:textAlignment w:val="auto"/>
                    <w:rPr>
                      <w:rFonts w:hint="default" w:ascii="Times New Roman" w:hAnsi="Times New Roman" w:eastAsia="宋体" w:cs="Times New Roman"/>
                      <w:color w:val="auto"/>
                      <w:spacing w:val="-4"/>
                      <w:sz w:val="21"/>
                      <w:szCs w:val="21"/>
                    </w:rPr>
                  </w:pPr>
                  <w:r>
                    <w:rPr>
                      <w:rFonts w:hint="default" w:ascii="Times New Roman" w:hAnsi="Times New Roman" w:eastAsia="宋体" w:cs="Times New Roman"/>
                      <w:color w:val="auto"/>
                      <w:spacing w:val="-4"/>
                      <w:sz w:val="21"/>
                      <w:szCs w:val="21"/>
                    </w:rPr>
                    <w:t>各区县要重点围绕再生橡胶、废旧塑料再生、砖瓦、石灰、石膏等行业制定实施方案，对生产工艺装备进行筛查，按照有关法律法</w:t>
                  </w:r>
                  <w:r>
                    <w:rPr>
                      <w:rFonts w:hint="default" w:ascii="Times New Roman" w:hAnsi="Times New Roman" w:eastAsia="宋体" w:cs="Times New Roman"/>
                      <w:color w:val="auto"/>
                      <w:spacing w:val="-4"/>
                      <w:sz w:val="21"/>
                      <w:szCs w:val="21"/>
                      <w:lang w:eastAsia="zh-CN"/>
                    </w:rPr>
                    <w:t>规和</w:t>
                  </w:r>
                  <w:r>
                    <w:rPr>
                      <w:rFonts w:hint="default" w:ascii="Times New Roman" w:hAnsi="Times New Roman" w:eastAsia="宋体" w:cs="Times New Roman"/>
                      <w:color w:val="auto"/>
                      <w:spacing w:val="-4"/>
                      <w:sz w:val="21"/>
                      <w:szCs w:val="21"/>
                    </w:rPr>
                    <w:t>程序要求，推动低效落后产能退出。</w:t>
                  </w:r>
                </w:p>
              </w:tc>
              <w:tc>
                <w:tcPr>
                  <w:tcW w:w="0" w:type="auto"/>
                  <w:tcBorders>
                    <w:top w:val="single" w:color="000000" w:sz="4" w:space="0"/>
                    <w:left w:val="single" w:color="000000" w:sz="4" w:space="0"/>
                    <w:bottom w:val="single" w:color="000000" w:sz="4" w:space="0"/>
                    <w:right w:val="single" w:color="000000" w:sz="4" w:space="0"/>
                  </w:tcBorders>
                  <w:vAlign w:val="center"/>
                </w:tcPr>
                <w:p w14:paraId="1F851709">
                  <w:pPr>
                    <w:pStyle w:val="22"/>
                    <w:keepNext w:val="0"/>
                    <w:keepLines w:val="0"/>
                    <w:pageBreakBefore w:val="0"/>
                    <w:widowControl w:val="0"/>
                    <w:kinsoku/>
                    <w:wordWrap/>
                    <w:overflowPunct/>
                    <w:topLinePunct w:val="0"/>
                    <w:autoSpaceDE/>
                    <w:autoSpaceDN/>
                    <w:bidi w:val="0"/>
                    <w:adjustRightInd/>
                    <w:snapToGrid/>
                    <w:spacing w:line="240" w:lineRule="auto"/>
                    <w:ind w:right="0" w:firstLine="0"/>
                    <w:jc w:val="left"/>
                    <w:textAlignment w:val="auto"/>
                    <w:rPr>
                      <w:rFonts w:hint="default" w:ascii="Times New Roman" w:hAnsi="Times New Roman" w:eastAsia="宋体" w:cs="Times New Roman"/>
                      <w:color w:val="auto"/>
                      <w:spacing w:val="-4"/>
                      <w:sz w:val="21"/>
                      <w:szCs w:val="21"/>
                    </w:rPr>
                  </w:pPr>
                  <w:r>
                    <w:rPr>
                      <w:rFonts w:hint="default" w:ascii="Times New Roman" w:hAnsi="Times New Roman" w:eastAsia="宋体" w:cs="Times New Roman"/>
                      <w:color w:val="auto"/>
                      <w:spacing w:val="-4"/>
                      <w:sz w:val="21"/>
                      <w:szCs w:val="21"/>
                    </w:rPr>
                    <w:t>本项目不属于以上重点行业，不属于低效落后产能。</w:t>
                  </w:r>
                </w:p>
              </w:tc>
              <w:tc>
                <w:tcPr>
                  <w:tcW w:w="0" w:type="auto"/>
                  <w:tcBorders>
                    <w:top w:val="single" w:color="000000" w:sz="4" w:space="0"/>
                    <w:left w:val="single" w:color="000000" w:sz="4" w:space="0"/>
                    <w:bottom w:val="single" w:color="000000" w:sz="4" w:space="0"/>
                    <w:right w:val="single" w:color="000000" w:sz="4" w:space="0"/>
                  </w:tcBorders>
                  <w:vAlign w:val="center"/>
                </w:tcPr>
                <w:p w14:paraId="23583A9A">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4"/>
                      <w:sz w:val="21"/>
                      <w:szCs w:val="21"/>
                    </w:rPr>
                  </w:pPr>
                  <w:r>
                    <w:rPr>
                      <w:rFonts w:hint="default" w:ascii="Times New Roman" w:hAnsi="Times New Roman" w:eastAsia="宋体" w:cs="Times New Roman"/>
                      <w:color w:val="auto"/>
                      <w:sz w:val="21"/>
                      <w:szCs w:val="21"/>
                      <w:lang w:val="en-US" w:eastAsia="zh-CN"/>
                    </w:rPr>
                    <w:t>符合</w:t>
                  </w:r>
                </w:p>
              </w:tc>
            </w:tr>
            <w:tr w14:paraId="5AB61492">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0" w:type="auto"/>
                  <w:vMerge w:val="continue"/>
                  <w:vAlign w:val="center"/>
                </w:tcPr>
                <w:p w14:paraId="311849F4">
                  <w:pPr>
                    <w:pStyle w:val="8"/>
                    <w:keepNext w:val="0"/>
                    <w:keepLines w:val="0"/>
                    <w:pageBreakBefore w:val="0"/>
                    <w:widowControl w:val="0"/>
                    <w:kinsoku/>
                    <w:wordWrap/>
                    <w:overflowPunct/>
                    <w:topLinePunct w:val="0"/>
                    <w:bidi w:val="0"/>
                    <w:spacing w:after="0"/>
                    <w:ind w:left="0" w:leftChars="0" w:firstLine="0" w:firstLineChars="0"/>
                    <w:jc w:val="center"/>
                    <w:rPr>
                      <w:rFonts w:hint="default" w:ascii="Times New Roman" w:hAnsi="Times New Roman" w:eastAsia="宋体" w:cs="Times New Roman"/>
                      <w:color w:val="auto"/>
                      <w:sz w:val="21"/>
                      <w:szCs w:val="21"/>
                    </w:rPr>
                  </w:pPr>
                </w:p>
              </w:tc>
              <w:tc>
                <w:tcPr>
                  <w:tcW w:w="0" w:type="auto"/>
                  <w:tcBorders>
                    <w:top w:val="single" w:color="000000" w:sz="4" w:space="0"/>
                    <w:left w:val="single" w:color="000000" w:sz="4" w:space="0"/>
                    <w:bottom w:val="single" w:color="000000" w:sz="4" w:space="0"/>
                    <w:right w:val="single" w:color="000000" w:sz="4" w:space="0"/>
                  </w:tcBorders>
                  <w:vAlign w:val="center"/>
                </w:tcPr>
                <w:p w14:paraId="0BD9ED89">
                  <w:pPr>
                    <w:pStyle w:val="22"/>
                    <w:keepNext w:val="0"/>
                    <w:keepLines w:val="0"/>
                    <w:pageBreakBefore w:val="0"/>
                    <w:widowControl w:val="0"/>
                    <w:kinsoku/>
                    <w:wordWrap/>
                    <w:overflowPunct/>
                    <w:topLinePunct w:val="0"/>
                    <w:autoSpaceDE/>
                    <w:autoSpaceDN/>
                    <w:bidi w:val="0"/>
                    <w:adjustRightInd/>
                    <w:snapToGrid/>
                    <w:spacing w:line="240" w:lineRule="auto"/>
                    <w:ind w:right="0" w:firstLine="0"/>
                    <w:jc w:val="left"/>
                    <w:textAlignment w:val="auto"/>
                    <w:rPr>
                      <w:rFonts w:hint="default" w:ascii="Times New Roman" w:hAnsi="Times New Roman" w:eastAsia="宋体" w:cs="Times New Roman"/>
                      <w:color w:val="auto"/>
                      <w:spacing w:val="-4"/>
                      <w:sz w:val="21"/>
                      <w:szCs w:val="21"/>
                    </w:rPr>
                  </w:pPr>
                  <w:r>
                    <w:rPr>
                      <w:rFonts w:hint="default" w:ascii="Times New Roman" w:hAnsi="Times New Roman" w:eastAsia="宋体" w:cs="Times New Roman"/>
                      <w:color w:val="auto"/>
                      <w:spacing w:val="-4"/>
                      <w:sz w:val="21"/>
                      <w:szCs w:val="21"/>
                    </w:rPr>
                    <w:t>严控重点行业新增产能。重大项目建设，必须首先满足环境质量“只能更好，不能变坏”的底线，严格落实污染物排放“减量替代是原则，等量替代是例外”的总量控制刚性要求。</w:t>
                  </w:r>
                </w:p>
              </w:tc>
              <w:tc>
                <w:tcPr>
                  <w:tcW w:w="0" w:type="auto"/>
                  <w:tcBorders>
                    <w:top w:val="single" w:color="000000" w:sz="4" w:space="0"/>
                    <w:left w:val="single" w:color="000000" w:sz="4" w:space="0"/>
                    <w:bottom w:val="single" w:color="000000" w:sz="4" w:space="0"/>
                    <w:right w:val="single" w:color="000000" w:sz="4" w:space="0"/>
                  </w:tcBorders>
                  <w:vAlign w:val="center"/>
                </w:tcPr>
                <w:p w14:paraId="427A56B8">
                  <w:pPr>
                    <w:pStyle w:val="22"/>
                    <w:keepNext w:val="0"/>
                    <w:keepLines w:val="0"/>
                    <w:pageBreakBefore w:val="0"/>
                    <w:widowControl w:val="0"/>
                    <w:kinsoku/>
                    <w:wordWrap/>
                    <w:overflowPunct/>
                    <w:topLinePunct w:val="0"/>
                    <w:autoSpaceDE/>
                    <w:autoSpaceDN/>
                    <w:bidi w:val="0"/>
                    <w:adjustRightInd/>
                    <w:snapToGrid/>
                    <w:spacing w:line="240" w:lineRule="auto"/>
                    <w:ind w:right="0" w:firstLine="0"/>
                    <w:jc w:val="left"/>
                    <w:textAlignment w:val="auto"/>
                    <w:rPr>
                      <w:rFonts w:hint="default" w:ascii="Times New Roman" w:hAnsi="Times New Roman" w:eastAsia="宋体" w:cs="Times New Roman"/>
                      <w:color w:val="auto"/>
                      <w:spacing w:val="-4"/>
                      <w:sz w:val="21"/>
                      <w:szCs w:val="21"/>
                    </w:rPr>
                  </w:pPr>
                  <w:r>
                    <w:rPr>
                      <w:rFonts w:hint="default" w:ascii="Times New Roman" w:hAnsi="Times New Roman" w:eastAsia="宋体" w:cs="Times New Roman"/>
                      <w:color w:val="auto"/>
                      <w:spacing w:val="-4"/>
                      <w:sz w:val="21"/>
                      <w:szCs w:val="21"/>
                    </w:rPr>
                    <w:t>本项目不属于以上重点行业。</w:t>
                  </w:r>
                </w:p>
              </w:tc>
              <w:tc>
                <w:tcPr>
                  <w:tcW w:w="0" w:type="auto"/>
                  <w:tcBorders>
                    <w:top w:val="single" w:color="000000" w:sz="4" w:space="0"/>
                    <w:left w:val="single" w:color="000000" w:sz="4" w:space="0"/>
                    <w:bottom w:val="single" w:color="000000" w:sz="4" w:space="0"/>
                    <w:right w:val="single" w:color="000000" w:sz="4" w:space="0"/>
                  </w:tcBorders>
                  <w:vAlign w:val="center"/>
                </w:tcPr>
                <w:p w14:paraId="73E5C9F9">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4"/>
                      <w:sz w:val="21"/>
                      <w:szCs w:val="21"/>
                    </w:rPr>
                  </w:pPr>
                  <w:r>
                    <w:rPr>
                      <w:rFonts w:hint="default" w:ascii="Times New Roman" w:hAnsi="Times New Roman" w:eastAsia="宋体" w:cs="Times New Roman"/>
                      <w:color w:val="auto"/>
                      <w:sz w:val="21"/>
                      <w:szCs w:val="21"/>
                      <w:lang w:val="en-US" w:eastAsia="zh-CN"/>
                    </w:rPr>
                    <w:t>符合</w:t>
                  </w:r>
                </w:p>
              </w:tc>
            </w:tr>
            <w:tr w14:paraId="35B7B36D">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0" w:type="auto"/>
                  <w:vMerge w:val="continue"/>
                  <w:vAlign w:val="center"/>
                </w:tcPr>
                <w:p w14:paraId="2527DBBC">
                  <w:pPr>
                    <w:pStyle w:val="8"/>
                    <w:keepNext w:val="0"/>
                    <w:keepLines w:val="0"/>
                    <w:pageBreakBefore w:val="0"/>
                    <w:widowControl w:val="0"/>
                    <w:kinsoku/>
                    <w:wordWrap/>
                    <w:overflowPunct/>
                    <w:topLinePunct w:val="0"/>
                    <w:bidi w:val="0"/>
                    <w:spacing w:after="0"/>
                    <w:ind w:left="0" w:leftChars="0" w:firstLine="0" w:firstLineChars="0"/>
                    <w:jc w:val="center"/>
                    <w:rPr>
                      <w:rFonts w:hint="default" w:ascii="Times New Roman" w:hAnsi="Times New Roman" w:eastAsia="宋体" w:cs="Times New Roman"/>
                      <w:color w:val="auto"/>
                      <w:sz w:val="21"/>
                      <w:szCs w:val="21"/>
                    </w:rPr>
                  </w:pPr>
                </w:p>
              </w:tc>
              <w:tc>
                <w:tcPr>
                  <w:tcW w:w="0" w:type="auto"/>
                  <w:tcBorders>
                    <w:top w:val="single" w:color="000000" w:sz="4" w:space="0"/>
                    <w:left w:val="single" w:color="000000" w:sz="4" w:space="0"/>
                    <w:bottom w:val="single" w:color="000000" w:sz="4" w:space="0"/>
                    <w:right w:val="single" w:color="000000" w:sz="4" w:space="0"/>
                  </w:tcBorders>
                  <w:vAlign w:val="center"/>
                </w:tcPr>
                <w:p w14:paraId="05256F87">
                  <w:pPr>
                    <w:pStyle w:val="22"/>
                    <w:keepNext w:val="0"/>
                    <w:keepLines w:val="0"/>
                    <w:pageBreakBefore w:val="0"/>
                    <w:widowControl w:val="0"/>
                    <w:kinsoku/>
                    <w:wordWrap/>
                    <w:overflowPunct/>
                    <w:topLinePunct w:val="0"/>
                    <w:autoSpaceDE/>
                    <w:autoSpaceDN/>
                    <w:bidi w:val="0"/>
                    <w:adjustRightInd/>
                    <w:snapToGrid/>
                    <w:spacing w:line="240" w:lineRule="auto"/>
                    <w:ind w:right="0" w:firstLine="0"/>
                    <w:jc w:val="left"/>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推动绿色循环低碳改造。严格按照《淄博市实施减碳降碳十大行动工作方案》要求，落实电力、建材、有色、石化、化工等重点行业碳达峰目标，实施减污降碳协同治理。优化整合钢铁、水泥（含粉磨站）、轮胎、化工、石灰等行业产能布局。对人口密集、资源开发强度大、污染物排放强度高的区域实施重点管控，推进产业布局优化、转型升级。</w:t>
                  </w:r>
                </w:p>
              </w:tc>
              <w:tc>
                <w:tcPr>
                  <w:tcW w:w="0" w:type="auto"/>
                  <w:tcBorders>
                    <w:top w:val="single" w:color="000000" w:sz="4" w:space="0"/>
                    <w:left w:val="single" w:color="000000" w:sz="4" w:space="0"/>
                    <w:bottom w:val="single" w:color="000000" w:sz="4" w:space="0"/>
                    <w:right w:val="single" w:color="000000" w:sz="4" w:space="0"/>
                  </w:tcBorders>
                  <w:vAlign w:val="center"/>
                </w:tcPr>
                <w:p w14:paraId="08343250">
                  <w:pPr>
                    <w:pStyle w:val="22"/>
                    <w:keepNext w:val="0"/>
                    <w:keepLines w:val="0"/>
                    <w:pageBreakBefore w:val="0"/>
                    <w:widowControl w:val="0"/>
                    <w:kinsoku/>
                    <w:wordWrap/>
                    <w:overflowPunct/>
                    <w:topLinePunct w:val="0"/>
                    <w:autoSpaceDE/>
                    <w:autoSpaceDN/>
                    <w:bidi w:val="0"/>
                    <w:adjustRightInd/>
                    <w:snapToGrid/>
                    <w:spacing w:line="240" w:lineRule="auto"/>
                    <w:ind w:right="0" w:firstLine="0"/>
                    <w:jc w:val="left"/>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本项目不属于以上重点行业，项目所在地不属于污染物排放强度高的区域。</w:t>
                  </w:r>
                </w:p>
              </w:tc>
              <w:tc>
                <w:tcPr>
                  <w:tcW w:w="0" w:type="auto"/>
                  <w:tcBorders>
                    <w:top w:val="single" w:color="000000" w:sz="4" w:space="0"/>
                    <w:left w:val="single" w:color="000000" w:sz="4" w:space="0"/>
                    <w:bottom w:val="single" w:color="000000" w:sz="4" w:space="0"/>
                    <w:right w:val="single" w:color="000000" w:sz="4" w:space="0"/>
                  </w:tcBorders>
                  <w:vAlign w:val="center"/>
                </w:tcPr>
                <w:p w14:paraId="0FDCF3A9">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符合</w:t>
                  </w:r>
                </w:p>
              </w:tc>
            </w:tr>
            <w:tr w14:paraId="77AEF371">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0" w:type="auto"/>
                  <w:vMerge w:val="continue"/>
                  <w:vAlign w:val="center"/>
                </w:tcPr>
                <w:p w14:paraId="64A0377E">
                  <w:pPr>
                    <w:pStyle w:val="8"/>
                    <w:keepNext w:val="0"/>
                    <w:keepLines w:val="0"/>
                    <w:pageBreakBefore w:val="0"/>
                    <w:widowControl w:val="0"/>
                    <w:kinsoku/>
                    <w:wordWrap/>
                    <w:overflowPunct/>
                    <w:topLinePunct w:val="0"/>
                    <w:bidi w:val="0"/>
                    <w:spacing w:after="0"/>
                    <w:ind w:left="0" w:leftChars="0" w:firstLine="0" w:firstLineChars="0"/>
                    <w:jc w:val="center"/>
                    <w:rPr>
                      <w:rFonts w:hint="default" w:ascii="Times New Roman" w:hAnsi="Times New Roman" w:eastAsia="宋体" w:cs="Times New Roman"/>
                      <w:color w:val="auto"/>
                      <w:sz w:val="21"/>
                      <w:szCs w:val="21"/>
                    </w:rPr>
                  </w:pPr>
                </w:p>
              </w:tc>
              <w:tc>
                <w:tcPr>
                  <w:tcW w:w="0" w:type="auto"/>
                  <w:tcBorders>
                    <w:top w:val="single" w:color="000000" w:sz="4" w:space="0"/>
                    <w:left w:val="single" w:color="000000" w:sz="4" w:space="0"/>
                    <w:bottom w:val="single" w:color="000000" w:sz="4" w:space="0"/>
                    <w:right w:val="single" w:color="000000" w:sz="4" w:space="0"/>
                  </w:tcBorders>
                  <w:vAlign w:val="center"/>
                </w:tcPr>
                <w:p w14:paraId="717DD209">
                  <w:pPr>
                    <w:pStyle w:val="22"/>
                    <w:keepNext w:val="0"/>
                    <w:keepLines w:val="0"/>
                    <w:pageBreakBefore w:val="0"/>
                    <w:widowControl w:val="0"/>
                    <w:kinsoku/>
                    <w:wordWrap/>
                    <w:overflowPunct/>
                    <w:topLinePunct w:val="0"/>
                    <w:autoSpaceDE/>
                    <w:autoSpaceDN/>
                    <w:bidi w:val="0"/>
                    <w:adjustRightInd/>
                    <w:snapToGrid/>
                    <w:spacing w:line="240" w:lineRule="auto"/>
                    <w:ind w:right="0" w:firstLine="0"/>
                    <w:jc w:val="left"/>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实施重点行业清洁化改造。以铸造、建材、石化、化工、工业涂装、包装印刷等行业为重点，开展全流程清洁化、循环化、低碳化改造，促进传统产业绿色转型升级。</w:t>
                  </w:r>
                </w:p>
              </w:tc>
              <w:tc>
                <w:tcPr>
                  <w:tcW w:w="0" w:type="auto"/>
                  <w:tcBorders>
                    <w:top w:val="single" w:color="000000" w:sz="4" w:space="0"/>
                    <w:left w:val="single" w:color="000000" w:sz="4" w:space="0"/>
                    <w:bottom w:val="single" w:color="000000" w:sz="4" w:space="0"/>
                    <w:right w:val="single" w:color="000000" w:sz="4" w:space="0"/>
                  </w:tcBorders>
                  <w:vAlign w:val="center"/>
                </w:tcPr>
                <w:p w14:paraId="02EF8761">
                  <w:pPr>
                    <w:pStyle w:val="22"/>
                    <w:keepNext w:val="0"/>
                    <w:keepLines w:val="0"/>
                    <w:pageBreakBefore w:val="0"/>
                    <w:widowControl w:val="0"/>
                    <w:kinsoku/>
                    <w:wordWrap/>
                    <w:overflowPunct/>
                    <w:topLinePunct w:val="0"/>
                    <w:autoSpaceDE/>
                    <w:autoSpaceDN/>
                    <w:bidi w:val="0"/>
                    <w:adjustRightInd/>
                    <w:snapToGrid/>
                    <w:spacing w:line="240" w:lineRule="auto"/>
                    <w:ind w:right="0" w:firstLine="0"/>
                    <w:jc w:val="left"/>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本项目不属于以上重点行业。</w:t>
                  </w:r>
                </w:p>
              </w:tc>
              <w:tc>
                <w:tcPr>
                  <w:tcW w:w="0" w:type="auto"/>
                  <w:tcBorders>
                    <w:top w:val="single" w:color="000000" w:sz="4" w:space="0"/>
                    <w:left w:val="single" w:color="000000" w:sz="4" w:space="0"/>
                    <w:bottom w:val="single" w:color="000000" w:sz="4" w:space="0"/>
                    <w:right w:val="single" w:color="000000" w:sz="4" w:space="0"/>
                  </w:tcBorders>
                  <w:vAlign w:val="center"/>
                </w:tcPr>
                <w:p w14:paraId="6C83CE9B">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符合</w:t>
                  </w:r>
                </w:p>
              </w:tc>
            </w:tr>
            <w:tr w14:paraId="4E321544">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0" w:type="auto"/>
                  <w:vMerge w:val="continue"/>
                  <w:vAlign w:val="center"/>
                </w:tcPr>
                <w:p w14:paraId="5ACE1EE1">
                  <w:pPr>
                    <w:pStyle w:val="8"/>
                    <w:keepNext w:val="0"/>
                    <w:keepLines w:val="0"/>
                    <w:pageBreakBefore w:val="0"/>
                    <w:widowControl w:val="0"/>
                    <w:kinsoku/>
                    <w:wordWrap/>
                    <w:overflowPunct/>
                    <w:topLinePunct w:val="0"/>
                    <w:bidi w:val="0"/>
                    <w:spacing w:after="0"/>
                    <w:ind w:left="0" w:leftChars="0" w:firstLine="0" w:firstLineChars="0"/>
                    <w:jc w:val="center"/>
                    <w:rPr>
                      <w:rFonts w:hint="default" w:ascii="Times New Roman" w:hAnsi="Times New Roman" w:eastAsia="宋体" w:cs="Times New Roman"/>
                      <w:color w:val="auto"/>
                      <w:sz w:val="21"/>
                      <w:szCs w:val="21"/>
                    </w:rPr>
                  </w:pPr>
                </w:p>
              </w:tc>
              <w:tc>
                <w:tcPr>
                  <w:tcW w:w="0" w:type="auto"/>
                  <w:tcBorders>
                    <w:top w:val="single" w:color="000000" w:sz="4" w:space="0"/>
                    <w:left w:val="single" w:color="000000" w:sz="4" w:space="0"/>
                    <w:bottom w:val="single" w:color="000000" w:sz="4" w:space="0"/>
                    <w:right w:val="single" w:color="000000" w:sz="4" w:space="0"/>
                  </w:tcBorders>
                  <w:vAlign w:val="center"/>
                </w:tcPr>
                <w:p w14:paraId="30838FEE">
                  <w:pPr>
                    <w:pStyle w:val="22"/>
                    <w:keepNext w:val="0"/>
                    <w:keepLines w:val="0"/>
                    <w:pageBreakBefore w:val="0"/>
                    <w:widowControl w:val="0"/>
                    <w:kinsoku/>
                    <w:wordWrap/>
                    <w:overflowPunct/>
                    <w:topLinePunct w:val="0"/>
                    <w:autoSpaceDE/>
                    <w:autoSpaceDN/>
                    <w:bidi w:val="0"/>
                    <w:adjustRightInd/>
                    <w:snapToGrid/>
                    <w:spacing w:line="240" w:lineRule="auto"/>
                    <w:ind w:right="0" w:firstLine="0"/>
                    <w:jc w:val="left"/>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改造提升传统动能。推动重点行业完成限制类产能装备的升级改造。加强治理设施运行管控，确保燃煤机组、自备电站、锅炉企业污染排放稳定达到超低排放要求，开展水泥行业超低排放改造，实施玻璃、陶瓷、铸造等行业污染深度治理。推动生产、使用低（无）VOCs含量的工业涂料、油墨、胶粘剂、清洗剂等产品，从源头减少VOCs排放。</w:t>
                  </w:r>
                </w:p>
              </w:tc>
              <w:tc>
                <w:tcPr>
                  <w:tcW w:w="0" w:type="auto"/>
                  <w:tcBorders>
                    <w:top w:val="single" w:color="000000" w:sz="4" w:space="0"/>
                    <w:left w:val="single" w:color="000000" w:sz="4" w:space="0"/>
                    <w:bottom w:val="single" w:color="000000" w:sz="4" w:space="0"/>
                    <w:right w:val="single" w:color="000000" w:sz="4" w:space="0"/>
                  </w:tcBorders>
                  <w:vAlign w:val="center"/>
                </w:tcPr>
                <w:p w14:paraId="42357068">
                  <w:pPr>
                    <w:pStyle w:val="22"/>
                    <w:keepNext w:val="0"/>
                    <w:keepLines w:val="0"/>
                    <w:pageBreakBefore w:val="0"/>
                    <w:widowControl w:val="0"/>
                    <w:kinsoku/>
                    <w:wordWrap/>
                    <w:overflowPunct/>
                    <w:topLinePunct w:val="0"/>
                    <w:autoSpaceDE/>
                    <w:autoSpaceDN/>
                    <w:bidi w:val="0"/>
                    <w:adjustRightInd/>
                    <w:snapToGrid/>
                    <w:spacing w:line="240" w:lineRule="auto"/>
                    <w:ind w:right="0" w:firstLine="0"/>
                    <w:jc w:val="left"/>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本项目不属于燃煤机组、自备电站、锅炉企业，不属于水泥、玻璃、陶瓷、铸造行业；本项目不涉及工业涂料、油墨、胶粘剂、清洗剂等产品。</w:t>
                  </w:r>
                </w:p>
              </w:tc>
              <w:tc>
                <w:tcPr>
                  <w:tcW w:w="0" w:type="auto"/>
                  <w:tcBorders>
                    <w:top w:val="single" w:color="000000" w:sz="4" w:space="0"/>
                    <w:left w:val="single" w:color="000000" w:sz="4" w:space="0"/>
                    <w:bottom w:val="single" w:color="000000" w:sz="4" w:space="0"/>
                    <w:right w:val="single" w:color="000000" w:sz="4" w:space="0"/>
                  </w:tcBorders>
                  <w:vAlign w:val="center"/>
                </w:tcPr>
                <w:p w14:paraId="4CF94AD7">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符合</w:t>
                  </w:r>
                </w:p>
              </w:tc>
            </w:tr>
            <w:tr w14:paraId="0311998E">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0" w:type="auto"/>
                  <w:vMerge w:val="continue"/>
                  <w:vAlign w:val="center"/>
                </w:tcPr>
                <w:p w14:paraId="2D080364">
                  <w:pPr>
                    <w:pStyle w:val="8"/>
                    <w:keepNext w:val="0"/>
                    <w:keepLines w:val="0"/>
                    <w:pageBreakBefore w:val="0"/>
                    <w:widowControl w:val="0"/>
                    <w:kinsoku/>
                    <w:wordWrap/>
                    <w:overflowPunct/>
                    <w:topLinePunct w:val="0"/>
                    <w:bidi w:val="0"/>
                    <w:spacing w:after="0"/>
                    <w:ind w:left="0" w:leftChars="0" w:firstLine="0" w:firstLineChars="0"/>
                    <w:jc w:val="center"/>
                    <w:rPr>
                      <w:rFonts w:hint="default" w:ascii="Times New Roman" w:hAnsi="Times New Roman" w:eastAsia="宋体" w:cs="Times New Roman"/>
                      <w:color w:val="auto"/>
                      <w:sz w:val="21"/>
                      <w:szCs w:val="21"/>
                    </w:rPr>
                  </w:pPr>
                </w:p>
              </w:tc>
              <w:tc>
                <w:tcPr>
                  <w:tcW w:w="0" w:type="auto"/>
                  <w:tcBorders>
                    <w:top w:val="single" w:color="000000" w:sz="4" w:space="0"/>
                    <w:left w:val="single" w:color="000000" w:sz="4" w:space="0"/>
                    <w:bottom w:val="single" w:color="000000" w:sz="4" w:space="0"/>
                    <w:right w:val="single" w:color="000000" w:sz="4" w:space="0"/>
                  </w:tcBorders>
                  <w:vAlign w:val="center"/>
                </w:tcPr>
                <w:p w14:paraId="2776E574">
                  <w:pPr>
                    <w:pStyle w:val="22"/>
                    <w:keepNext w:val="0"/>
                    <w:keepLines w:val="0"/>
                    <w:pageBreakBefore w:val="0"/>
                    <w:widowControl w:val="0"/>
                    <w:kinsoku/>
                    <w:wordWrap/>
                    <w:overflowPunct/>
                    <w:topLinePunct w:val="0"/>
                    <w:autoSpaceDE/>
                    <w:autoSpaceDN/>
                    <w:bidi w:val="0"/>
                    <w:adjustRightInd/>
                    <w:snapToGrid/>
                    <w:spacing w:line="240" w:lineRule="auto"/>
                    <w:ind w:right="0" w:firstLine="0"/>
                    <w:jc w:val="left"/>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提升园区集约发展水平。提高化工等行业园区集聚水平，实施建材、化工、铸造、家具等产业集群提升改造，提高集约化、绿色化发展水平。到2023年，化工园区（含化工重点监控点）内化工生产企业营业收入占全行业比重达到75%。围绕炼化一体化、新材料、精细化工等产业高质量发展，聚焦产业链重点产品和关键环节，依托链主或龙头骨干企业，强化产业链优势，加快补齐补强短板，推动化工园区优化提升。</w:t>
                  </w:r>
                </w:p>
              </w:tc>
              <w:tc>
                <w:tcPr>
                  <w:tcW w:w="0" w:type="auto"/>
                  <w:tcBorders>
                    <w:top w:val="single" w:color="000000" w:sz="4" w:space="0"/>
                    <w:left w:val="single" w:color="000000" w:sz="4" w:space="0"/>
                    <w:bottom w:val="single" w:color="000000" w:sz="4" w:space="0"/>
                    <w:right w:val="single" w:color="000000" w:sz="4" w:space="0"/>
                  </w:tcBorders>
                  <w:vAlign w:val="center"/>
                </w:tcPr>
                <w:p w14:paraId="174D499E">
                  <w:pPr>
                    <w:pStyle w:val="22"/>
                    <w:keepNext w:val="0"/>
                    <w:keepLines w:val="0"/>
                    <w:pageBreakBefore w:val="0"/>
                    <w:widowControl w:val="0"/>
                    <w:kinsoku/>
                    <w:wordWrap/>
                    <w:overflowPunct/>
                    <w:topLinePunct w:val="0"/>
                    <w:autoSpaceDE/>
                    <w:autoSpaceDN/>
                    <w:bidi w:val="0"/>
                    <w:adjustRightInd/>
                    <w:snapToGrid/>
                    <w:spacing w:line="240" w:lineRule="auto"/>
                    <w:ind w:right="0" w:firstLine="0"/>
                    <w:jc w:val="left"/>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本项目位于工业集聚区，污染物产生量较小，对区域环境影响小。</w:t>
                  </w:r>
                </w:p>
              </w:tc>
              <w:tc>
                <w:tcPr>
                  <w:tcW w:w="0" w:type="auto"/>
                  <w:tcBorders>
                    <w:top w:val="single" w:color="000000" w:sz="4" w:space="0"/>
                    <w:left w:val="single" w:color="000000" w:sz="4" w:space="0"/>
                    <w:bottom w:val="single" w:color="000000" w:sz="4" w:space="0"/>
                    <w:right w:val="single" w:color="000000" w:sz="4" w:space="0"/>
                  </w:tcBorders>
                  <w:vAlign w:val="center"/>
                </w:tcPr>
                <w:p w14:paraId="70657BB7">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符合</w:t>
                  </w:r>
                </w:p>
              </w:tc>
            </w:tr>
            <w:tr w14:paraId="0D6B92B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0" w:type="auto"/>
                  <w:vMerge w:val="restart"/>
                  <w:vAlign w:val="center"/>
                </w:tcPr>
                <w:p w14:paraId="2F86308E">
                  <w:pPr>
                    <w:pStyle w:val="8"/>
                    <w:keepNext w:val="0"/>
                    <w:keepLines w:val="0"/>
                    <w:pageBreakBefore w:val="0"/>
                    <w:widowControl w:val="0"/>
                    <w:kinsoku/>
                    <w:wordWrap/>
                    <w:overflowPunct/>
                    <w:topLinePunct w:val="0"/>
                    <w:bidi w:val="0"/>
                    <w:spacing w:after="0"/>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深入调整能源结构</w:t>
                  </w:r>
                </w:p>
              </w:tc>
              <w:tc>
                <w:tcPr>
                  <w:tcW w:w="0" w:type="auto"/>
                  <w:tcBorders>
                    <w:top w:val="single" w:color="000000" w:sz="4" w:space="0"/>
                    <w:left w:val="single" w:color="000000" w:sz="4" w:space="0"/>
                    <w:bottom w:val="single" w:color="000000" w:sz="4" w:space="0"/>
                    <w:right w:val="single" w:color="000000" w:sz="4" w:space="0"/>
                  </w:tcBorders>
                  <w:vAlign w:val="center"/>
                </w:tcPr>
                <w:p w14:paraId="4A0194CC">
                  <w:pPr>
                    <w:pStyle w:val="22"/>
                    <w:keepNext w:val="0"/>
                    <w:keepLines w:val="0"/>
                    <w:pageBreakBefore w:val="0"/>
                    <w:widowControl w:val="0"/>
                    <w:kinsoku/>
                    <w:wordWrap/>
                    <w:overflowPunct/>
                    <w:topLinePunct w:val="0"/>
                    <w:autoSpaceDE/>
                    <w:autoSpaceDN/>
                    <w:bidi w:val="0"/>
                    <w:adjustRightInd/>
                    <w:snapToGrid/>
                    <w:spacing w:line="240" w:lineRule="auto"/>
                    <w:ind w:right="0" w:firstLine="0"/>
                    <w:jc w:val="left"/>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严控化石能源消费。严控能源消费总量，在满足全社会能源需求前提下，持续推进煤炭消费压减，增加清洁能源供给，加大清洁能源替代力度，进一步控制化石能源消费，逐步实现新增能源需求主要由清洁能源供给。</w:t>
                  </w:r>
                </w:p>
              </w:tc>
              <w:tc>
                <w:tcPr>
                  <w:tcW w:w="0" w:type="auto"/>
                  <w:tcBorders>
                    <w:top w:val="single" w:color="000000" w:sz="4" w:space="0"/>
                    <w:left w:val="single" w:color="000000" w:sz="4" w:space="0"/>
                    <w:bottom w:val="single" w:color="000000" w:sz="4" w:space="0"/>
                    <w:right w:val="single" w:color="000000" w:sz="4" w:space="0"/>
                  </w:tcBorders>
                  <w:vAlign w:val="center"/>
                </w:tcPr>
                <w:p w14:paraId="39B62E73">
                  <w:pPr>
                    <w:pStyle w:val="22"/>
                    <w:keepNext w:val="0"/>
                    <w:keepLines w:val="0"/>
                    <w:pageBreakBefore w:val="0"/>
                    <w:widowControl w:val="0"/>
                    <w:kinsoku/>
                    <w:wordWrap/>
                    <w:overflowPunct/>
                    <w:topLinePunct w:val="0"/>
                    <w:autoSpaceDE/>
                    <w:autoSpaceDN/>
                    <w:bidi w:val="0"/>
                    <w:adjustRightInd/>
                    <w:snapToGrid/>
                    <w:spacing w:line="240" w:lineRule="auto"/>
                    <w:ind w:right="0" w:firstLine="0"/>
                    <w:jc w:val="left"/>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w:t>
                  </w:r>
                  <w:r>
                    <w:rPr>
                      <w:rFonts w:hint="default" w:ascii="Times New Roman" w:hAnsi="Times New Roman" w:eastAsia="宋体" w:cs="Times New Roman"/>
                      <w:color w:val="auto"/>
                      <w:sz w:val="21"/>
                      <w:szCs w:val="21"/>
                      <w:lang w:val="en-US" w:eastAsia="zh-CN"/>
                    </w:rPr>
                    <w:t>能源采用电能，不消费化石能源</w:t>
                  </w:r>
                  <w:r>
                    <w:rPr>
                      <w:rFonts w:hint="default" w:ascii="Times New Roman" w:hAnsi="Times New Roman" w:eastAsia="宋体" w:cs="Times New Roman"/>
                      <w:color w:val="auto"/>
                      <w:sz w:val="21"/>
                      <w:szCs w:val="21"/>
                    </w:rPr>
                    <w:t>。</w:t>
                  </w:r>
                </w:p>
              </w:tc>
              <w:tc>
                <w:tcPr>
                  <w:tcW w:w="0" w:type="auto"/>
                  <w:tcBorders>
                    <w:top w:val="single" w:color="000000" w:sz="4" w:space="0"/>
                    <w:left w:val="single" w:color="000000" w:sz="4" w:space="0"/>
                    <w:bottom w:val="single" w:color="000000" w:sz="4" w:space="0"/>
                    <w:right w:val="single" w:color="000000" w:sz="4" w:space="0"/>
                  </w:tcBorders>
                  <w:vAlign w:val="center"/>
                </w:tcPr>
                <w:p w14:paraId="48CC4865">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符合</w:t>
                  </w:r>
                </w:p>
              </w:tc>
            </w:tr>
            <w:tr w14:paraId="50277126">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0" w:type="auto"/>
                  <w:vMerge w:val="continue"/>
                  <w:vAlign w:val="center"/>
                </w:tcPr>
                <w:p w14:paraId="0F1353DB">
                  <w:pPr>
                    <w:pStyle w:val="8"/>
                    <w:keepNext w:val="0"/>
                    <w:keepLines w:val="0"/>
                    <w:pageBreakBefore w:val="0"/>
                    <w:widowControl w:val="0"/>
                    <w:kinsoku/>
                    <w:wordWrap/>
                    <w:overflowPunct/>
                    <w:topLinePunct w:val="0"/>
                    <w:bidi w:val="0"/>
                    <w:spacing w:after="0"/>
                    <w:ind w:left="0" w:leftChars="0" w:firstLine="0" w:firstLineChars="0"/>
                    <w:jc w:val="center"/>
                    <w:rPr>
                      <w:rFonts w:hint="default" w:ascii="Times New Roman" w:hAnsi="Times New Roman" w:eastAsia="宋体" w:cs="Times New Roman"/>
                      <w:color w:val="auto"/>
                      <w:sz w:val="21"/>
                      <w:szCs w:val="21"/>
                    </w:rPr>
                  </w:pPr>
                </w:p>
              </w:tc>
              <w:tc>
                <w:tcPr>
                  <w:tcW w:w="0" w:type="auto"/>
                  <w:tcBorders>
                    <w:top w:val="single" w:color="000000" w:sz="4" w:space="0"/>
                    <w:left w:val="single" w:color="000000" w:sz="4" w:space="0"/>
                    <w:bottom w:val="single" w:color="000000" w:sz="4" w:space="0"/>
                    <w:right w:val="single" w:color="000000" w:sz="4" w:space="0"/>
                  </w:tcBorders>
                  <w:vAlign w:val="center"/>
                </w:tcPr>
                <w:p w14:paraId="7384BF4A">
                  <w:pPr>
                    <w:pStyle w:val="22"/>
                    <w:keepNext w:val="0"/>
                    <w:keepLines w:val="0"/>
                    <w:pageBreakBefore w:val="0"/>
                    <w:widowControl w:val="0"/>
                    <w:kinsoku/>
                    <w:wordWrap/>
                    <w:overflowPunct/>
                    <w:topLinePunct w:val="0"/>
                    <w:autoSpaceDE/>
                    <w:autoSpaceDN/>
                    <w:bidi w:val="0"/>
                    <w:adjustRightInd/>
                    <w:snapToGrid/>
                    <w:spacing w:line="240" w:lineRule="auto"/>
                    <w:ind w:right="0" w:firstLine="0"/>
                    <w:jc w:val="left"/>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持续压减煤炭使用。持续淘汰落后燃煤机组，在确保电力、热力接续稳定供应的前提下，大力推进单机容量30万千瓦以下煤电机组关停整合，严格</w:t>
                  </w:r>
                  <w:r>
                    <w:rPr>
                      <w:rFonts w:hint="default" w:ascii="Times New Roman" w:hAnsi="Times New Roman" w:eastAsia="宋体" w:cs="Times New Roman"/>
                      <w:color w:val="auto"/>
                      <w:sz w:val="21"/>
                      <w:szCs w:val="21"/>
                      <w:lang w:eastAsia="zh-CN"/>
                    </w:rPr>
                    <w:t>按照</w:t>
                  </w:r>
                  <w:r>
                    <w:rPr>
                      <w:rFonts w:hint="default" w:ascii="Times New Roman" w:hAnsi="Times New Roman" w:eastAsia="宋体" w:cs="Times New Roman"/>
                      <w:color w:val="auto"/>
                      <w:sz w:val="21"/>
                      <w:szCs w:val="21"/>
                    </w:rPr>
                    <w:t>容量“上大压小”政策规划建设清洁高效煤电机组。</w:t>
                  </w:r>
                </w:p>
              </w:tc>
              <w:tc>
                <w:tcPr>
                  <w:tcW w:w="0" w:type="auto"/>
                  <w:tcBorders>
                    <w:top w:val="single" w:color="000000" w:sz="4" w:space="0"/>
                    <w:left w:val="single" w:color="000000" w:sz="4" w:space="0"/>
                    <w:bottom w:val="single" w:color="000000" w:sz="4" w:space="0"/>
                    <w:right w:val="single" w:color="000000" w:sz="4" w:space="0"/>
                  </w:tcBorders>
                  <w:vAlign w:val="center"/>
                </w:tcPr>
                <w:p w14:paraId="46AB65B4">
                  <w:pPr>
                    <w:pStyle w:val="22"/>
                    <w:keepNext w:val="0"/>
                    <w:keepLines w:val="0"/>
                    <w:pageBreakBefore w:val="0"/>
                    <w:widowControl w:val="0"/>
                    <w:kinsoku/>
                    <w:wordWrap/>
                    <w:overflowPunct/>
                    <w:topLinePunct w:val="0"/>
                    <w:autoSpaceDE/>
                    <w:autoSpaceDN/>
                    <w:bidi w:val="0"/>
                    <w:adjustRightInd/>
                    <w:snapToGrid/>
                    <w:spacing w:line="240" w:lineRule="auto"/>
                    <w:ind w:right="0" w:firstLine="0"/>
                    <w:jc w:val="left"/>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w:t>
                  </w:r>
                  <w:r>
                    <w:rPr>
                      <w:rFonts w:hint="default" w:ascii="Times New Roman" w:hAnsi="Times New Roman" w:eastAsia="宋体" w:cs="Times New Roman"/>
                      <w:color w:val="auto"/>
                      <w:sz w:val="21"/>
                      <w:szCs w:val="21"/>
                      <w:lang w:val="en-US" w:eastAsia="zh-CN"/>
                    </w:rPr>
                    <w:t>能源采用电能，不消费化石能源</w:t>
                  </w:r>
                  <w:r>
                    <w:rPr>
                      <w:rFonts w:hint="default" w:ascii="Times New Roman" w:hAnsi="Times New Roman" w:eastAsia="宋体" w:cs="Times New Roman"/>
                      <w:color w:val="auto"/>
                      <w:sz w:val="21"/>
                      <w:szCs w:val="21"/>
                    </w:rPr>
                    <w:t>。</w:t>
                  </w:r>
                </w:p>
              </w:tc>
              <w:tc>
                <w:tcPr>
                  <w:tcW w:w="0" w:type="auto"/>
                  <w:tcBorders>
                    <w:top w:val="single" w:color="000000" w:sz="4" w:space="0"/>
                    <w:left w:val="single" w:color="000000" w:sz="4" w:space="0"/>
                    <w:bottom w:val="single" w:color="000000" w:sz="4" w:space="0"/>
                    <w:right w:val="single" w:color="000000" w:sz="4" w:space="0"/>
                  </w:tcBorders>
                  <w:vAlign w:val="center"/>
                </w:tcPr>
                <w:p w14:paraId="4B1628FC">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符合</w:t>
                  </w:r>
                </w:p>
              </w:tc>
            </w:tr>
          </w:tbl>
          <w:p w14:paraId="453603C2">
            <w:pPr>
              <w:pStyle w:val="8"/>
              <w:keepNext w:val="0"/>
              <w:keepLines w:val="0"/>
              <w:pageBreakBefore w:val="0"/>
              <w:widowControl w:val="0"/>
              <w:kinsoku/>
              <w:wordWrap/>
              <w:overflowPunct/>
              <w:topLinePunct w:val="0"/>
              <w:bidi w:val="0"/>
              <w:adjustRightInd w:val="0"/>
              <w:snapToGrid w:val="0"/>
              <w:spacing w:after="0" w:line="360" w:lineRule="auto"/>
              <w:ind w:left="0" w:leftChars="0" w:firstLine="48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由上表可知，本项目符合《淄博市新一轮“四减四增”三年行动方案）》（淄环委〔2022〕1号）相关要求。</w:t>
            </w:r>
          </w:p>
          <w:p w14:paraId="443B00C5">
            <w:pPr>
              <w:keepNext w:val="0"/>
              <w:keepLines w:val="0"/>
              <w:pageBreakBefore w:val="0"/>
              <w:widowControl w:val="0"/>
              <w:kinsoku/>
              <w:wordWrap/>
              <w:overflowPunct/>
              <w:topLinePunct w:val="0"/>
              <w:bidi w:val="0"/>
              <w:spacing w:line="360" w:lineRule="auto"/>
              <w:ind w:firstLine="420" w:firstLineChars="20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（2）与《关于严格项目审批工作坚决防止新上“散乱污”项目的通知》（鲁环字〔2021〕58号）符合性分析</w:t>
            </w:r>
          </w:p>
          <w:p w14:paraId="2699507F">
            <w:pPr>
              <w:keepNext w:val="0"/>
              <w:keepLines w:val="0"/>
              <w:pageBreakBefore w:val="0"/>
              <w:widowControl w:val="0"/>
              <w:kinsoku/>
              <w:wordWrap/>
              <w:overflowPunct/>
              <w:topLinePunct w:val="0"/>
              <w:autoSpaceDE w:val="0"/>
              <w:autoSpaceDN w:val="0"/>
              <w:bidi w:val="0"/>
              <w:adjustRightInd w:val="0"/>
              <w:snapToGrid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b/>
                <w:bCs/>
                <w:color w:val="auto"/>
                <w:kern w:val="0"/>
                <w:sz w:val="21"/>
                <w:szCs w:val="21"/>
              </w:rPr>
              <w:t>表1-</w:t>
            </w:r>
            <w:r>
              <w:rPr>
                <w:rFonts w:hint="default" w:ascii="Times New Roman" w:hAnsi="Times New Roman" w:eastAsia="宋体" w:cs="Times New Roman"/>
                <w:b/>
                <w:bCs/>
                <w:color w:val="auto"/>
                <w:kern w:val="0"/>
                <w:sz w:val="21"/>
                <w:szCs w:val="21"/>
                <w:lang w:val="en-US" w:eastAsia="zh-CN"/>
              </w:rPr>
              <w:t>3</w:t>
            </w:r>
            <w:r>
              <w:rPr>
                <w:rFonts w:hint="default" w:ascii="Times New Roman" w:hAnsi="Times New Roman" w:eastAsia="宋体" w:cs="Times New Roman"/>
                <w:b/>
                <w:bCs/>
                <w:color w:val="auto"/>
                <w:kern w:val="0"/>
                <w:sz w:val="21"/>
                <w:szCs w:val="21"/>
                <w:lang w:eastAsia="zh-CN"/>
              </w:rPr>
              <w:t xml:space="preserve"> </w:t>
            </w:r>
            <w:r>
              <w:rPr>
                <w:rFonts w:hint="default" w:ascii="Times New Roman" w:hAnsi="Times New Roman" w:eastAsia="宋体" w:cs="Times New Roman"/>
                <w:b/>
                <w:bCs/>
                <w:color w:val="auto"/>
                <w:kern w:val="0"/>
                <w:sz w:val="21"/>
                <w:szCs w:val="21"/>
              </w:rPr>
              <w:t>与</w:t>
            </w:r>
            <w:r>
              <w:rPr>
                <w:rFonts w:hint="default" w:ascii="Times New Roman" w:hAnsi="Times New Roman" w:eastAsia="宋体" w:cs="Times New Roman"/>
                <w:b/>
                <w:color w:val="auto"/>
                <w:sz w:val="21"/>
                <w:szCs w:val="21"/>
              </w:rPr>
              <w:t>鲁环字〔2021〕58 号文</w:t>
            </w:r>
            <w:r>
              <w:rPr>
                <w:rFonts w:hint="default" w:ascii="Times New Roman" w:hAnsi="Times New Roman" w:eastAsia="宋体" w:cs="Times New Roman"/>
                <w:b/>
                <w:bCs/>
                <w:color w:val="auto"/>
                <w:kern w:val="0"/>
                <w:sz w:val="21"/>
                <w:szCs w:val="21"/>
              </w:rPr>
              <w:t>符合性分析</w:t>
            </w:r>
          </w:p>
          <w:tbl>
            <w:tblPr>
              <w:tblStyle w:val="14"/>
              <w:tblW w:w="5000" w:type="pct"/>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4369"/>
              <w:gridCol w:w="1873"/>
              <w:gridCol w:w="961"/>
            </w:tblGrid>
            <w:tr w14:paraId="12E6A02D">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3033" w:type="pct"/>
                  <w:vAlign w:val="center"/>
                </w:tcPr>
                <w:p w14:paraId="62B1E430">
                  <w:pPr>
                    <w:pStyle w:val="8"/>
                    <w:keepNext w:val="0"/>
                    <w:keepLines w:val="0"/>
                    <w:pageBreakBefore w:val="0"/>
                    <w:widowControl w:val="0"/>
                    <w:kinsoku/>
                    <w:wordWrap/>
                    <w:overflowPunct/>
                    <w:topLinePunct w:val="0"/>
                    <w:bidi w:val="0"/>
                    <w:snapToGrid w:val="0"/>
                    <w:spacing w:before="24" w:after="24" w:line="240" w:lineRule="exact"/>
                    <w:ind w:left="0" w:leftChars="0"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文件要求</w:t>
                  </w:r>
                </w:p>
              </w:tc>
              <w:tc>
                <w:tcPr>
                  <w:tcW w:w="1300" w:type="pct"/>
                  <w:vAlign w:val="center"/>
                </w:tcPr>
                <w:p w14:paraId="5D8BED49">
                  <w:pPr>
                    <w:pStyle w:val="8"/>
                    <w:keepNext w:val="0"/>
                    <w:keepLines w:val="0"/>
                    <w:pageBreakBefore w:val="0"/>
                    <w:widowControl w:val="0"/>
                    <w:kinsoku/>
                    <w:wordWrap/>
                    <w:overflowPunct/>
                    <w:topLinePunct w:val="0"/>
                    <w:bidi w:val="0"/>
                    <w:snapToGrid w:val="0"/>
                    <w:spacing w:before="24" w:after="24" w:line="240" w:lineRule="exact"/>
                    <w:ind w:left="0" w:leftChars="0"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本项目情况</w:t>
                  </w:r>
                </w:p>
              </w:tc>
              <w:tc>
                <w:tcPr>
                  <w:tcW w:w="667" w:type="pct"/>
                  <w:vAlign w:val="center"/>
                </w:tcPr>
                <w:p w14:paraId="5C1B0048">
                  <w:pPr>
                    <w:pStyle w:val="8"/>
                    <w:keepNext w:val="0"/>
                    <w:keepLines w:val="0"/>
                    <w:pageBreakBefore w:val="0"/>
                    <w:widowControl w:val="0"/>
                    <w:kinsoku/>
                    <w:wordWrap/>
                    <w:overflowPunct/>
                    <w:topLinePunct w:val="0"/>
                    <w:bidi w:val="0"/>
                    <w:snapToGrid w:val="0"/>
                    <w:spacing w:before="24" w:after="24" w:line="240" w:lineRule="exact"/>
                    <w:ind w:left="0" w:leftChars="0"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符合情况</w:t>
                  </w:r>
                </w:p>
              </w:tc>
            </w:tr>
            <w:tr w14:paraId="6FF0E30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3033" w:type="pct"/>
                  <w:vAlign w:val="center"/>
                </w:tcPr>
                <w:p w14:paraId="349BA5E8">
                  <w:pPr>
                    <w:pStyle w:val="8"/>
                    <w:keepNext w:val="0"/>
                    <w:keepLines w:val="0"/>
                    <w:pageBreakBefore w:val="0"/>
                    <w:widowControl w:val="0"/>
                    <w:kinsoku/>
                    <w:wordWrap/>
                    <w:overflowPunct/>
                    <w:topLinePunct w:val="0"/>
                    <w:bidi w:val="0"/>
                    <w:snapToGrid w:val="0"/>
                    <w:spacing w:before="24" w:after="24" w:line="240" w:lineRule="exact"/>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认真贯彻执行产业政策。新上项目必须符合国家产业政策要求，禁止采用国家公布的淘汰工艺和落后设备，不得引进耗能高、污染大、生产粗放、不符合国家产业政策的项目。各级立项部门在为企业办理手续时，要认真对照《产业结构调整指导目录（2019年本）》（如有更新，以更新后文件为准），对鼓励类项目，按照有关规定审批、核准或备案；对限制类项目，禁止新建，现有生产能力允许在一定期限内改造升级；对淘汰类项目，市场主体不得进入，行政机关不予审批。</w:t>
                  </w:r>
                </w:p>
              </w:tc>
              <w:tc>
                <w:tcPr>
                  <w:tcW w:w="1300" w:type="pct"/>
                  <w:vAlign w:val="center"/>
                </w:tcPr>
                <w:p w14:paraId="52387AAA">
                  <w:pPr>
                    <w:pStyle w:val="8"/>
                    <w:keepNext w:val="0"/>
                    <w:keepLines w:val="0"/>
                    <w:pageBreakBefore w:val="0"/>
                    <w:widowControl w:val="0"/>
                    <w:kinsoku/>
                    <w:wordWrap/>
                    <w:overflowPunct/>
                    <w:topLinePunct w:val="0"/>
                    <w:bidi w:val="0"/>
                    <w:snapToGrid w:val="0"/>
                    <w:spacing w:before="24" w:after="24" w:line="240" w:lineRule="exact"/>
                    <w:ind w:left="0" w:leftChars="0" w:firstLine="0" w:firstLineChars="0"/>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项目为</w:t>
                  </w:r>
                  <w:r>
                    <w:rPr>
                      <w:rFonts w:hint="default" w:ascii="Times New Roman" w:hAnsi="Times New Roman" w:eastAsia="宋体" w:cs="Times New Roman"/>
                      <w:color w:val="auto"/>
                      <w:sz w:val="21"/>
                      <w:szCs w:val="21"/>
                      <w:lang w:val="en-US" w:eastAsia="zh-CN"/>
                    </w:rPr>
                    <w:t>扩建</w:t>
                  </w:r>
                  <w:r>
                    <w:rPr>
                      <w:rFonts w:hint="default" w:ascii="Times New Roman" w:hAnsi="Times New Roman" w:eastAsia="宋体" w:cs="Times New Roman"/>
                      <w:color w:val="auto"/>
                      <w:sz w:val="21"/>
                      <w:szCs w:val="21"/>
                    </w:rPr>
                    <w:t>项目，对照《产业结构调整指导目录（2024年本）》，项目不在“淘汰类”和“限制类”之列，属于允许建设项目，符合国家产业政策。项目所用工艺及设备不属于国家公布的淘汰工艺和落后设备。</w:t>
                  </w:r>
                </w:p>
              </w:tc>
              <w:tc>
                <w:tcPr>
                  <w:tcW w:w="667" w:type="pct"/>
                  <w:vAlign w:val="center"/>
                </w:tcPr>
                <w:p w14:paraId="5BC6AD3D">
                  <w:pPr>
                    <w:pStyle w:val="8"/>
                    <w:keepNext w:val="0"/>
                    <w:keepLines w:val="0"/>
                    <w:pageBreakBefore w:val="0"/>
                    <w:widowControl w:val="0"/>
                    <w:kinsoku/>
                    <w:wordWrap/>
                    <w:overflowPunct/>
                    <w:topLinePunct w:val="0"/>
                    <w:bidi w:val="0"/>
                    <w:snapToGrid w:val="0"/>
                    <w:spacing w:before="24" w:after="24" w:line="240" w:lineRule="exact"/>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63E2B1F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3033" w:type="pct"/>
                  <w:vAlign w:val="center"/>
                </w:tcPr>
                <w:p w14:paraId="0743B7DB">
                  <w:pPr>
                    <w:pStyle w:val="8"/>
                    <w:keepNext w:val="0"/>
                    <w:keepLines w:val="0"/>
                    <w:pageBreakBefore w:val="0"/>
                    <w:widowControl w:val="0"/>
                    <w:kinsoku/>
                    <w:wordWrap/>
                    <w:overflowPunct/>
                    <w:topLinePunct w:val="0"/>
                    <w:bidi w:val="0"/>
                    <w:snapToGrid w:val="0"/>
                    <w:spacing w:before="24" w:after="24" w:line="240" w:lineRule="exact"/>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2、强化规划刚性约束。新上项目必须符合国土空间规划、产业发展规划等要求，积极引导产业园区外“散乱污”整</w:t>
                  </w:r>
                  <w:r>
                    <w:rPr>
                      <w:rFonts w:hint="default" w:ascii="Times New Roman" w:hAnsi="Times New Roman" w:eastAsia="宋体" w:cs="Times New Roman"/>
                      <w:color w:val="auto"/>
                      <w:sz w:val="21"/>
                      <w:szCs w:val="21"/>
                      <w:lang w:eastAsia="zh-CN"/>
                    </w:rPr>
                    <w:t>治和</w:t>
                  </w:r>
                  <w:r>
                    <w:rPr>
                      <w:rFonts w:hint="default" w:ascii="Times New Roman" w:hAnsi="Times New Roman" w:eastAsia="宋体" w:cs="Times New Roman"/>
                      <w:color w:val="auto"/>
                      <w:sz w:val="21"/>
                      <w:szCs w:val="21"/>
                    </w:rPr>
                    <w:t>搬迁改造企业进入产业园区或工业集聚区，并鼓励租赁标准厂房。按照“布局集中、用地集约、产业集聚、空间优化”的原则，高标准制定产业发展规划，明确主导产业、布局和产业发展方向，引导企业规范化、规模化、集约化发展。</w:t>
                  </w:r>
                </w:p>
              </w:tc>
              <w:tc>
                <w:tcPr>
                  <w:tcW w:w="1300" w:type="pct"/>
                  <w:vAlign w:val="center"/>
                </w:tcPr>
                <w:p w14:paraId="4BF0F458">
                  <w:pPr>
                    <w:pStyle w:val="8"/>
                    <w:keepNext w:val="0"/>
                    <w:keepLines w:val="0"/>
                    <w:pageBreakBefore w:val="0"/>
                    <w:widowControl w:val="0"/>
                    <w:kinsoku/>
                    <w:wordWrap/>
                    <w:overflowPunct/>
                    <w:topLinePunct w:val="0"/>
                    <w:bidi w:val="0"/>
                    <w:snapToGrid w:val="0"/>
                    <w:spacing w:before="24" w:after="24" w:line="240" w:lineRule="exact"/>
                    <w:ind w:left="0" w:leftChars="0" w:firstLine="0" w:firstLineChars="0"/>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本项目不属于“散乱污”企业，用地、工商、环保手续齐全，污染物排放达标。</w:t>
                  </w:r>
                </w:p>
              </w:tc>
              <w:tc>
                <w:tcPr>
                  <w:tcW w:w="667" w:type="pct"/>
                  <w:vAlign w:val="center"/>
                </w:tcPr>
                <w:p w14:paraId="75DABF1D">
                  <w:pPr>
                    <w:pStyle w:val="8"/>
                    <w:keepNext w:val="0"/>
                    <w:keepLines w:val="0"/>
                    <w:pageBreakBefore w:val="0"/>
                    <w:widowControl w:val="0"/>
                    <w:kinsoku/>
                    <w:wordWrap/>
                    <w:overflowPunct/>
                    <w:topLinePunct w:val="0"/>
                    <w:bidi w:val="0"/>
                    <w:snapToGrid w:val="0"/>
                    <w:spacing w:before="24" w:after="24" w:line="240" w:lineRule="exact"/>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19B7913C">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3033" w:type="pct"/>
                  <w:vAlign w:val="center"/>
                </w:tcPr>
                <w:p w14:paraId="0AD36439">
                  <w:pPr>
                    <w:pStyle w:val="8"/>
                    <w:keepNext w:val="0"/>
                    <w:keepLines w:val="0"/>
                    <w:pageBreakBefore w:val="0"/>
                    <w:widowControl w:val="0"/>
                    <w:kinsoku/>
                    <w:wordWrap/>
                    <w:overflowPunct/>
                    <w:topLinePunct w:val="0"/>
                    <w:bidi w:val="0"/>
                    <w:snapToGrid w:val="0"/>
                    <w:spacing w:before="24" w:after="24" w:line="240" w:lineRule="exact"/>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科学把好项目选址关。新建有污染物排放的工业项目，除在安全生产等方面有特殊要求的以外，应当进入工业园区或工业集聚区。各市要本着节约利用土地的原则，充分考虑项目周边环境、资金投入、推进速度等关键要素，合理选址，科学布局，切实做到符合用地政策，确保规划建设的项目有利于长远发展。</w:t>
                  </w:r>
                </w:p>
              </w:tc>
              <w:tc>
                <w:tcPr>
                  <w:tcW w:w="1300" w:type="pct"/>
                  <w:vAlign w:val="center"/>
                </w:tcPr>
                <w:p w14:paraId="6AB8975A">
                  <w:pPr>
                    <w:pStyle w:val="8"/>
                    <w:keepNext w:val="0"/>
                    <w:keepLines w:val="0"/>
                    <w:pageBreakBefore w:val="0"/>
                    <w:widowControl w:val="0"/>
                    <w:kinsoku/>
                    <w:wordWrap/>
                    <w:overflowPunct/>
                    <w:topLinePunct w:val="0"/>
                    <w:bidi w:val="0"/>
                    <w:snapToGrid w:val="0"/>
                    <w:spacing w:before="24" w:after="24" w:line="240" w:lineRule="exact"/>
                    <w:ind w:left="0" w:leftChars="0" w:firstLine="0" w:firstLineChars="0"/>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项目位于</w:t>
                  </w:r>
                  <w:r>
                    <w:rPr>
                      <w:rFonts w:hint="default" w:ascii="Times New Roman" w:hAnsi="Times New Roman" w:eastAsia="宋体" w:cs="Times New Roman"/>
                      <w:color w:val="auto"/>
                      <w:sz w:val="21"/>
                      <w:szCs w:val="21"/>
                      <w:lang w:eastAsia="zh-CN"/>
                    </w:rPr>
                    <w:t>山东省淄博市文昌湖区萌水镇萌三村（村委南1000米）</w:t>
                  </w:r>
                  <w:r>
                    <w:rPr>
                      <w:rFonts w:hint="default" w:ascii="Times New Roman" w:hAnsi="Times New Roman" w:eastAsia="宋体" w:cs="Times New Roman"/>
                      <w:color w:val="auto"/>
                      <w:sz w:val="21"/>
                      <w:szCs w:val="21"/>
                    </w:rPr>
                    <w:t>，符合国土空间规划、产业发展规划等要求。</w:t>
                  </w:r>
                </w:p>
              </w:tc>
              <w:tc>
                <w:tcPr>
                  <w:tcW w:w="667" w:type="pct"/>
                  <w:vAlign w:val="center"/>
                </w:tcPr>
                <w:p w14:paraId="46933DD3">
                  <w:pPr>
                    <w:pStyle w:val="8"/>
                    <w:keepNext w:val="0"/>
                    <w:keepLines w:val="0"/>
                    <w:pageBreakBefore w:val="0"/>
                    <w:widowControl w:val="0"/>
                    <w:kinsoku/>
                    <w:wordWrap/>
                    <w:overflowPunct/>
                    <w:topLinePunct w:val="0"/>
                    <w:bidi w:val="0"/>
                    <w:snapToGrid w:val="0"/>
                    <w:spacing w:before="24" w:after="24" w:line="240" w:lineRule="exact"/>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21A2497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3033" w:type="pct"/>
                  <w:vAlign w:val="center"/>
                </w:tcPr>
                <w:p w14:paraId="324B6C83">
                  <w:pPr>
                    <w:pStyle w:val="8"/>
                    <w:keepNext w:val="0"/>
                    <w:keepLines w:val="0"/>
                    <w:pageBreakBefore w:val="0"/>
                    <w:widowControl w:val="0"/>
                    <w:kinsoku/>
                    <w:wordWrap/>
                    <w:overflowPunct/>
                    <w:topLinePunct w:val="0"/>
                    <w:bidi w:val="0"/>
                    <w:snapToGrid w:val="0"/>
                    <w:spacing w:before="24" w:after="24" w:line="240" w:lineRule="exact"/>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严把项目环评审批关。新上项目必须严格执行环评审批“三挂钩”机制和“五个不批”要求，落实“三线一单”生态环境分区管控要求。强化替代约束，涉及主要污染物排放的，必须落实区域污染物排放替代，确保增产减污；涉及煤炭消耗的，必须落实煤炭消费减量替代，否则各级环评审批部门一律不予审批通过。</w:t>
                  </w:r>
                </w:p>
              </w:tc>
              <w:tc>
                <w:tcPr>
                  <w:tcW w:w="1300" w:type="pct"/>
                  <w:vAlign w:val="center"/>
                </w:tcPr>
                <w:p w14:paraId="128E9C88">
                  <w:pPr>
                    <w:pStyle w:val="8"/>
                    <w:keepNext w:val="0"/>
                    <w:keepLines w:val="0"/>
                    <w:pageBreakBefore w:val="0"/>
                    <w:widowControl w:val="0"/>
                    <w:kinsoku/>
                    <w:wordWrap/>
                    <w:overflowPunct/>
                    <w:topLinePunct w:val="0"/>
                    <w:bidi w:val="0"/>
                    <w:snapToGrid w:val="0"/>
                    <w:spacing w:before="24" w:after="24" w:line="240" w:lineRule="exact"/>
                    <w:ind w:left="0" w:leftChars="0" w:firstLine="0" w:firstLineChars="0"/>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本项目符合“三线一单”生态环境分区管控要求。</w:t>
                  </w:r>
                </w:p>
              </w:tc>
              <w:tc>
                <w:tcPr>
                  <w:tcW w:w="667" w:type="pct"/>
                  <w:vAlign w:val="center"/>
                </w:tcPr>
                <w:p w14:paraId="0417D711">
                  <w:pPr>
                    <w:pStyle w:val="8"/>
                    <w:keepNext w:val="0"/>
                    <w:keepLines w:val="0"/>
                    <w:pageBreakBefore w:val="0"/>
                    <w:widowControl w:val="0"/>
                    <w:kinsoku/>
                    <w:wordWrap/>
                    <w:overflowPunct/>
                    <w:topLinePunct w:val="0"/>
                    <w:bidi w:val="0"/>
                    <w:snapToGrid w:val="0"/>
                    <w:spacing w:before="24" w:after="24" w:line="240" w:lineRule="exact"/>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4AD8DA8A">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3033" w:type="pct"/>
                  <w:vAlign w:val="center"/>
                </w:tcPr>
                <w:p w14:paraId="69EA47F4">
                  <w:pPr>
                    <w:pStyle w:val="8"/>
                    <w:keepNext w:val="0"/>
                    <w:keepLines w:val="0"/>
                    <w:pageBreakBefore w:val="0"/>
                    <w:widowControl w:val="0"/>
                    <w:kinsoku/>
                    <w:wordWrap/>
                    <w:overflowPunct/>
                    <w:topLinePunct w:val="0"/>
                    <w:bidi w:val="0"/>
                    <w:snapToGrid w:val="0"/>
                    <w:spacing w:before="24" w:after="24" w:line="240" w:lineRule="exact"/>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建立部门联动协调机制。各级发展改革、工业和信息化、自然资源、生态环境等部门要按照职责分工，建立长效工作机制，密切配合，强化对项目产业政策、固定资产投资、能耗、用地标准、环境等的论证，对不符合要求的，一律不得办理立项、规划、土地、环评等手续。</w:t>
                  </w:r>
                </w:p>
              </w:tc>
              <w:tc>
                <w:tcPr>
                  <w:tcW w:w="1300" w:type="pct"/>
                  <w:vAlign w:val="center"/>
                </w:tcPr>
                <w:p w14:paraId="5BD74C08">
                  <w:pPr>
                    <w:pStyle w:val="8"/>
                    <w:keepNext w:val="0"/>
                    <w:keepLines w:val="0"/>
                    <w:pageBreakBefore w:val="0"/>
                    <w:widowControl w:val="0"/>
                    <w:kinsoku/>
                    <w:wordWrap/>
                    <w:overflowPunct/>
                    <w:topLinePunct w:val="0"/>
                    <w:bidi w:val="0"/>
                    <w:snapToGrid w:val="0"/>
                    <w:spacing w:before="24" w:after="24" w:line="240" w:lineRule="exact"/>
                    <w:ind w:left="0" w:leftChars="0" w:firstLine="0" w:firstLineChars="0"/>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项目建设前对产业政策、固定资产投资、能耗、用地标准、环境等进行严格的论证。</w:t>
                  </w:r>
                </w:p>
              </w:tc>
              <w:tc>
                <w:tcPr>
                  <w:tcW w:w="667" w:type="pct"/>
                  <w:vAlign w:val="center"/>
                </w:tcPr>
                <w:p w14:paraId="6D8CBA6D">
                  <w:pPr>
                    <w:pStyle w:val="8"/>
                    <w:keepNext w:val="0"/>
                    <w:keepLines w:val="0"/>
                    <w:pageBreakBefore w:val="0"/>
                    <w:widowControl w:val="0"/>
                    <w:kinsoku/>
                    <w:wordWrap/>
                    <w:overflowPunct/>
                    <w:topLinePunct w:val="0"/>
                    <w:bidi w:val="0"/>
                    <w:snapToGrid w:val="0"/>
                    <w:spacing w:before="24" w:after="24" w:line="240" w:lineRule="exact"/>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0A367FF9">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3033" w:type="pct"/>
                  <w:vAlign w:val="center"/>
                </w:tcPr>
                <w:p w14:paraId="7C44AC2F">
                  <w:pPr>
                    <w:pStyle w:val="8"/>
                    <w:keepNext w:val="0"/>
                    <w:keepLines w:val="0"/>
                    <w:pageBreakBefore w:val="0"/>
                    <w:widowControl w:val="0"/>
                    <w:kinsoku/>
                    <w:wordWrap/>
                    <w:overflowPunct/>
                    <w:topLinePunct w:val="0"/>
                    <w:bidi w:val="0"/>
                    <w:snapToGrid w:val="0"/>
                    <w:spacing w:before="24" w:after="24" w:line="240" w:lineRule="exact"/>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强化日常监管执法。持续加大对违反产业政策、规划、准入规定等违法违规建设行为的查处力度，坚决遏制“未批先建”等违法行为。畅通群众举报投诉渠道，对“散乱污”项目做到早发现、早应对、早处置，严防死灰复燃。</w:t>
                  </w:r>
                </w:p>
              </w:tc>
              <w:tc>
                <w:tcPr>
                  <w:tcW w:w="1300" w:type="pct"/>
                  <w:vAlign w:val="center"/>
                </w:tcPr>
                <w:p w14:paraId="718E6EEC">
                  <w:pPr>
                    <w:pStyle w:val="8"/>
                    <w:keepNext w:val="0"/>
                    <w:keepLines w:val="0"/>
                    <w:pageBreakBefore w:val="0"/>
                    <w:widowControl w:val="0"/>
                    <w:kinsoku/>
                    <w:wordWrap/>
                    <w:overflowPunct/>
                    <w:topLinePunct w:val="0"/>
                    <w:bidi w:val="0"/>
                    <w:snapToGrid w:val="0"/>
                    <w:spacing w:before="24" w:after="24" w:line="240" w:lineRule="exact"/>
                    <w:ind w:left="0" w:leftChars="0" w:firstLine="0" w:firstLineChars="0"/>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项目在未通过审批前不进行建设。</w:t>
                  </w:r>
                </w:p>
              </w:tc>
              <w:tc>
                <w:tcPr>
                  <w:tcW w:w="667" w:type="pct"/>
                  <w:vAlign w:val="center"/>
                </w:tcPr>
                <w:p w14:paraId="00424AA6">
                  <w:pPr>
                    <w:pStyle w:val="8"/>
                    <w:keepNext w:val="0"/>
                    <w:keepLines w:val="0"/>
                    <w:pageBreakBefore w:val="0"/>
                    <w:widowControl w:val="0"/>
                    <w:kinsoku/>
                    <w:wordWrap/>
                    <w:overflowPunct/>
                    <w:topLinePunct w:val="0"/>
                    <w:bidi w:val="0"/>
                    <w:snapToGrid w:val="0"/>
                    <w:spacing w:before="24" w:after="24" w:line="240" w:lineRule="exact"/>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bl>
          <w:p w14:paraId="0B2DE3DC">
            <w:pPr>
              <w:keepNext w:val="0"/>
              <w:keepLines w:val="0"/>
              <w:pageBreakBefore w:val="0"/>
              <w:widowControl w:val="0"/>
              <w:kinsoku/>
              <w:wordWrap/>
              <w:overflowPunct/>
              <w:topLinePunct w:val="0"/>
              <w:bidi w:val="0"/>
              <w:adjustRightInd w:val="0"/>
              <w:snapToGrid w:val="0"/>
              <w:spacing w:line="360" w:lineRule="auto"/>
              <w:ind w:firstLine="420" w:firstLineChars="20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由上表可知，本项目符合《关于严格项目审批工作坚决防止新上“散乱污”项目的通知》（鲁环字</w:t>
            </w:r>
            <w:r>
              <w:rPr>
                <w:rFonts w:hint="default" w:ascii="Times New Roman" w:hAnsi="Times New Roman" w:eastAsia="宋体" w:cs="Times New Roman"/>
                <w:color w:val="auto"/>
                <w:sz w:val="21"/>
                <w:szCs w:val="21"/>
                <w:lang w:eastAsia="zh-CN"/>
              </w:rPr>
              <w:t>〔2021〕58号</w:t>
            </w:r>
            <w:r>
              <w:rPr>
                <w:rFonts w:hint="default" w:ascii="Times New Roman" w:hAnsi="Times New Roman" w:eastAsia="宋体" w:cs="Times New Roman"/>
                <w:color w:val="auto"/>
                <w:sz w:val="21"/>
                <w:szCs w:val="21"/>
              </w:rPr>
              <w:t>）要求。</w:t>
            </w:r>
          </w:p>
          <w:p w14:paraId="7A8B2C96">
            <w:pPr>
              <w:keepNext w:val="0"/>
              <w:keepLines w:val="0"/>
              <w:pageBreakBefore w:val="0"/>
              <w:widowControl w:val="0"/>
              <w:kinsoku/>
              <w:wordWrap/>
              <w:overflowPunct/>
              <w:topLinePunct w:val="0"/>
              <w:bidi w:val="0"/>
              <w:spacing w:line="360" w:lineRule="auto"/>
              <w:ind w:firstLine="420" w:firstLineChars="20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val="en-US" w:eastAsia="zh-CN"/>
              </w:rPr>
              <w:t>3</w:t>
            </w:r>
            <w:r>
              <w:rPr>
                <w:rFonts w:hint="default" w:ascii="Times New Roman" w:hAnsi="Times New Roman" w:eastAsia="宋体" w:cs="Times New Roman"/>
                <w:color w:val="auto"/>
                <w:sz w:val="21"/>
                <w:szCs w:val="21"/>
              </w:rPr>
              <w:t>）与《山东省生态环境委员会办公室关于印发山东省深入打好蓝天保卫战行动计划（2021—2025年）、山东省深入打好碧水保卫战行动计划（2021—2025年）、山东省深入打好净土保卫战行动计划（2021—2025年）的通知》（鲁环委办〔2021〕30号）符合性分析</w:t>
            </w:r>
          </w:p>
          <w:p w14:paraId="483A6323">
            <w:pPr>
              <w:pStyle w:val="9"/>
              <w:keepNext w:val="0"/>
              <w:keepLines w:val="0"/>
              <w:pageBreakBefore w:val="0"/>
              <w:widowControl w:val="0"/>
              <w:kinsoku/>
              <w:wordWrap/>
              <w:overflowPunct/>
              <w:topLinePunct w:val="0"/>
              <w:bidi w:val="0"/>
              <w:spacing w:after="0" w:line="360" w:lineRule="auto"/>
              <w:ind w:right="0"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表1-</w:t>
            </w:r>
            <w:r>
              <w:rPr>
                <w:rFonts w:hint="default" w:ascii="Times New Roman" w:hAnsi="Times New Roman" w:eastAsia="宋体" w:cs="Times New Roman"/>
                <w:b/>
                <w:bCs/>
                <w:color w:val="auto"/>
                <w:sz w:val="21"/>
                <w:szCs w:val="21"/>
                <w:lang w:val="en-US" w:eastAsia="zh-CN"/>
              </w:rPr>
              <w:t xml:space="preserve">4 </w:t>
            </w:r>
            <w:r>
              <w:rPr>
                <w:rFonts w:hint="default" w:ascii="Times New Roman" w:hAnsi="Times New Roman" w:eastAsia="宋体" w:cs="Times New Roman"/>
                <w:b/>
                <w:bCs/>
                <w:color w:val="auto"/>
                <w:sz w:val="21"/>
                <w:szCs w:val="21"/>
              </w:rPr>
              <w:t>与鲁环委办〔2021〕30号符合性分析</w:t>
            </w:r>
          </w:p>
          <w:tbl>
            <w:tblPr>
              <w:tblStyle w:val="15"/>
              <w:tblW w:w="4994" w:type="pct"/>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4356"/>
              <w:gridCol w:w="2055"/>
              <w:gridCol w:w="788"/>
            </w:tblGrid>
            <w:tr w14:paraId="41ADF81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3024" w:type="pct"/>
                  <w:tcBorders>
                    <w:tl2br w:val="nil"/>
                    <w:tr2bl w:val="nil"/>
                  </w:tcBorders>
                  <w:vAlign w:val="center"/>
                </w:tcPr>
                <w:p w14:paraId="02FA1E3E">
                  <w:pPr>
                    <w:keepNext w:val="0"/>
                    <w:keepLines w:val="0"/>
                    <w:pageBreakBefore w:val="0"/>
                    <w:widowControl w:val="0"/>
                    <w:kinsoku/>
                    <w:wordWrap/>
                    <w:overflowPunct/>
                    <w:topLinePunct w:val="0"/>
                    <w:bidi w:val="0"/>
                    <w:jc w:val="center"/>
                    <w:rPr>
                      <w:rFonts w:hint="default" w:ascii="Times New Roman" w:hAnsi="Times New Roman" w:eastAsia="宋体" w:cs="Times New Roman"/>
                      <w:b/>
                      <w:color w:val="auto"/>
                      <w:kern w:val="0"/>
                      <w:sz w:val="21"/>
                      <w:szCs w:val="21"/>
                    </w:rPr>
                  </w:pPr>
                  <w:r>
                    <w:rPr>
                      <w:rFonts w:hint="default" w:ascii="Times New Roman" w:hAnsi="Times New Roman" w:eastAsia="宋体" w:cs="Times New Roman"/>
                      <w:b/>
                      <w:color w:val="auto"/>
                      <w:kern w:val="0"/>
                      <w:sz w:val="21"/>
                      <w:szCs w:val="21"/>
                    </w:rPr>
                    <w:t>具体要求</w:t>
                  </w:r>
                </w:p>
              </w:tc>
              <w:tc>
                <w:tcPr>
                  <w:tcW w:w="1427" w:type="pct"/>
                  <w:tcBorders>
                    <w:tl2br w:val="nil"/>
                    <w:tr2bl w:val="nil"/>
                  </w:tcBorders>
                  <w:vAlign w:val="center"/>
                </w:tcPr>
                <w:p w14:paraId="5066F2E9">
                  <w:pPr>
                    <w:keepNext w:val="0"/>
                    <w:keepLines w:val="0"/>
                    <w:pageBreakBefore w:val="0"/>
                    <w:widowControl w:val="0"/>
                    <w:kinsoku/>
                    <w:wordWrap/>
                    <w:overflowPunct/>
                    <w:topLinePunct w:val="0"/>
                    <w:bidi w:val="0"/>
                    <w:jc w:val="center"/>
                    <w:rPr>
                      <w:rFonts w:hint="default" w:ascii="Times New Roman" w:hAnsi="Times New Roman" w:eastAsia="宋体" w:cs="Times New Roman"/>
                      <w:b/>
                      <w:color w:val="auto"/>
                      <w:kern w:val="0"/>
                      <w:sz w:val="21"/>
                      <w:szCs w:val="21"/>
                    </w:rPr>
                  </w:pPr>
                  <w:r>
                    <w:rPr>
                      <w:rFonts w:hint="default" w:ascii="Times New Roman" w:hAnsi="Times New Roman" w:eastAsia="宋体" w:cs="Times New Roman"/>
                      <w:b/>
                      <w:color w:val="auto"/>
                      <w:kern w:val="0"/>
                      <w:sz w:val="21"/>
                      <w:szCs w:val="21"/>
                    </w:rPr>
                    <w:t>本项目情况</w:t>
                  </w:r>
                </w:p>
              </w:tc>
              <w:tc>
                <w:tcPr>
                  <w:tcW w:w="547" w:type="pct"/>
                  <w:tcBorders>
                    <w:tl2br w:val="nil"/>
                    <w:tr2bl w:val="nil"/>
                  </w:tcBorders>
                  <w:vAlign w:val="center"/>
                </w:tcPr>
                <w:p w14:paraId="1881ABF1">
                  <w:pPr>
                    <w:keepNext w:val="0"/>
                    <w:keepLines w:val="0"/>
                    <w:pageBreakBefore w:val="0"/>
                    <w:widowControl w:val="0"/>
                    <w:kinsoku/>
                    <w:wordWrap/>
                    <w:overflowPunct/>
                    <w:topLinePunct w:val="0"/>
                    <w:bidi w:val="0"/>
                    <w:jc w:val="center"/>
                    <w:rPr>
                      <w:rFonts w:hint="default" w:ascii="Times New Roman" w:hAnsi="Times New Roman" w:eastAsia="宋体" w:cs="Times New Roman"/>
                      <w:b/>
                      <w:color w:val="auto"/>
                      <w:kern w:val="0"/>
                      <w:sz w:val="21"/>
                      <w:szCs w:val="21"/>
                    </w:rPr>
                  </w:pPr>
                  <w:r>
                    <w:rPr>
                      <w:rFonts w:hint="default" w:ascii="Times New Roman" w:hAnsi="Times New Roman" w:eastAsia="宋体" w:cs="Times New Roman"/>
                      <w:b/>
                      <w:color w:val="auto"/>
                      <w:kern w:val="0"/>
                      <w:sz w:val="21"/>
                      <w:szCs w:val="21"/>
                    </w:rPr>
                    <w:t>符合情况</w:t>
                  </w:r>
                </w:p>
              </w:tc>
            </w:tr>
            <w:tr w14:paraId="3322F14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3024" w:type="pct"/>
                  <w:tcBorders>
                    <w:tl2br w:val="nil"/>
                    <w:tr2bl w:val="nil"/>
                  </w:tcBorders>
                  <w:vAlign w:val="center"/>
                </w:tcPr>
                <w:p w14:paraId="4A14803F">
                  <w:pPr>
                    <w:keepNext w:val="0"/>
                    <w:keepLines w:val="0"/>
                    <w:pageBreakBefore w:val="0"/>
                    <w:widowControl w:val="0"/>
                    <w:kinsoku/>
                    <w:wordWrap/>
                    <w:overflowPunct/>
                    <w:topLinePunct w:val="0"/>
                    <w:bidi w:val="0"/>
                    <w:jc w:val="left"/>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聚焦钢铁、地炼、焦化、煤电、水泥、轮胎、煤炭、化工8个重点行业，加快淘汰低效落后产能。严格执行质量、环保、能耗、安全等法规标准，按照《产业结构调整指导目录》，对“淘汰类”落后生产工艺装备和落后产品全部淘汰出清。各市聚焦“高耗能、高污染、高排放、高风险”等行业，分类组织实施转移、压减、整合、关停任务。</w:t>
                  </w:r>
                </w:p>
              </w:tc>
              <w:tc>
                <w:tcPr>
                  <w:tcW w:w="1427" w:type="pct"/>
                  <w:tcBorders>
                    <w:tl2br w:val="nil"/>
                    <w:tr2bl w:val="nil"/>
                  </w:tcBorders>
                  <w:vAlign w:val="center"/>
                </w:tcPr>
                <w:p w14:paraId="0F88D991">
                  <w:pPr>
                    <w:keepNext w:val="0"/>
                    <w:keepLines w:val="0"/>
                    <w:pageBreakBefore w:val="0"/>
                    <w:widowControl w:val="0"/>
                    <w:kinsoku/>
                    <w:wordWrap/>
                    <w:overflowPunct/>
                    <w:topLinePunct w:val="0"/>
                    <w:bidi w:val="0"/>
                    <w:jc w:val="both"/>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本项目为C3099其他非金属矿物制品制造，不属于左侧项目；根据《产业结构调整指导目录》，不属于“淘汰类”落后生产工艺装备和落后产品，不属于“高耗能、高污染、高排放、高风险”等行业。</w:t>
                  </w:r>
                </w:p>
              </w:tc>
              <w:tc>
                <w:tcPr>
                  <w:tcW w:w="547" w:type="pct"/>
                  <w:tcBorders>
                    <w:tl2br w:val="nil"/>
                    <w:tr2bl w:val="nil"/>
                  </w:tcBorders>
                  <w:vAlign w:val="center"/>
                </w:tcPr>
                <w:p w14:paraId="100F39A4">
                  <w:pPr>
                    <w:keepNext w:val="0"/>
                    <w:keepLines w:val="0"/>
                    <w:pageBreakBefore w:val="0"/>
                    <w:widowControl w:val="0"/>
                    <w:kinsoku/>
                    <w:wordWrap/>
                    <w:overflowPunct/>
                    <w:topLinePunct w:val="0"/>
                    <w:bidi w:val="0"/>
                    <w:jc w:val="left"/>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符合</w:t>
                  </w:r>
                </w:p>
              </w:tc>
            </w:tr>
            <w:tr w14:paraId="119492F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3024" w:type="pct"/>
                  <w:tcBorders>
                    <w:tl2br w:val="nil"/>
                    <w:tr2bl w:val="nil"/>
                  </w:tcBorders>
                  <w:vAlign w:val="center"/>
                </w:tcPr>
                <w:p w14:paraId="5E8E8961">
                  <w:pPr>
                    <w:keepNext w:val="0"/>
                    <w:keepLines w:val="0"/>
                    <w:pageBreakBefore w:val="0"/>
                    <w:widowControl w:val="0"/>
                    <w:kinsoku/>
                    <w:wordWrap/>
                    <w:overflowPunct/>
                    <w:topLinePunct w:val="0"/>
                    <w:bidi w:val="0"/>
                    <w:jc w:val="left"/>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持续压减煤炭消费总量，“十四五”期间，全省煤炭消费总量下降10%，控制在3.5亿吨左右。（省发展改革委牵头）非化石能源消费比重提高到13%左右。</w:t>
                  </w:r>
                </w:p>
              </w:tc>
              <w:tc>
                <w:tcPr>
                  <w:tcW w:w="1427" w:type="pct"/>
                  <w:tcBorders>
                    <w:tl2br w:val="nil"/>
                    <w:tr2bl w:val="nil"/>
                  </w:tcBorders>
                  <w:vAlign w:val="center"/>
                </w:tcPr>
                <w:p w14:paraId="1D39399D">
                  <w:pPr>
                    <w:keepNext w:val="0"/>
                    <w:keepLines w:val="0"/>
                    <w:pageBreakBefore w:val="0"/>
                    <w:widowControl w:val="0"/>
                    <w:kinsoku/>
                    <w:wordWrap/>
                    <w:overflowPunct/>
                    <w:topLinePunct w:val="0"/>
                    <w:bidi w:val="0"/>
                    <w:jc w:val="both"/>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本项目不使用煤炭资源，使用电能作为能源。</w:t>
                  </w:r>
                </w:p>
              </w:tc>
              <w:tc>
                <w:tcPr>
                  <w:tcW w:w="547" w:type="pct"/>
                  <w:tcBorders>
                    <w:tl2br w:val="nil"/>
                    <w:tr2bl w:val="nil"/>
                  </w:tcBorders>
                  <w:vAlign w:val="center"/>
                </w:tcPr>
                <w:p w14:paraId="3763FAAD">
                  <w:pPr>
                    <w:keepNext w:val="0"/>
                    <w:keepLines w:val="0"/>
                    <w:pageBreakBefore w:val="0"/>
                    <w:widowControl w:val="0"/>
                    <w:kinsoku/>
                    <w:wordWrap/>
                    <w:overflowPunct/>
                    <w:topLinePunct w:val="0"/>
                    <w:bidi w:val="0"/>
                    <w:jc w:val="left"/>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符合</w:t>
                  </w:r>
                </w:p>
              </w:tc>
            </w:tr>
            <w:tr w14:paraId="3A53D65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3024" w:type="pct"/>
                  <w:tcBorders>
                    <w:tl2br w:val="nil"/>
                    <w:tr2bl w:val="nil"/>
                  </w:tcBorders>
                  <w:vAlign w:val="center"/>
                </w:tcPr>
                <w:p w14:paraId="0BD7F371">
                  <w:pPr>
                    <w:keepNext w:val="0"/>
                    <w:keepLines w:val="0"/>
                    <w:pageBreakBefore w:val="0"/>
                    <w:widowControl w:val="0"/>
                    <w:kinsoku/>
                    <w:wordWrap/>
                    <w:overflowPunct/>
                    <w:topLinePunct w:val="0"/>
                    <w:bidi w:val="0"/>
                    <w:jc w:val="left"/>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实施低VOCs含量工业涂料、油墨、胶粘剂、清洗剂等原辅料使用替代。新、改、扩建工业涂装、包装印刷等含VOCs原辅材料使用的项目，原则上使用低（无）VOCs含量产品。</w:t>
                  </w:r>
                </w:p>
              </w:tc>
              <w:tc>
                <w:tcPr>
                  <w:tcW w:w="1427" w:type="pct"/>
                  <w:tcBorders>
                    <w:tl2br w:val="nil"/>
                    <w:tr2bl w:val="nil"/>
                  </w:tcBorders>
                  <w:vAlign w:val="center"/>
                </w:tcPr>
                <w:p w14:paraId="76A2EF5E">
                  <w:pPr>
                    <w:keepNext w:val="0"/>
                    <w:keepLines w:val="0"/>
                    <w:pageBreakBefore w:val="0"/>
                    <w:widowControl w:val="0"/>
                    <w:kinsoku/>
                    <w:wordWrap/>
                    <w:overflowPunct/>
                    <w:topLinePunct w:val="0"/>
                    <w:bidi w:val="0"/>
                    <w:jc w:val="both"/>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本项目不使用含VOCs物质的原辅料。</w:t>
                  </w:r>
                </w:p>
              </w:tc>
              <w:tc>
                <w:tcPr>
                  <w:tcW w:w="547" w:type="pct"/>
                  <w:tcBorders>
                    <w:tl2br w:val="nil"/>
                    <w:tr2bl w:val="nil"/>
                  </w:tcBorders>
                  <w:vAlign w:val="center"/>
                </w:tcPr>
                <w:p w14:paraId="63C5E7A0">
                  <w:pPr>
                    <w:keepNext w:val="0"/>
                    <w:keepLines w:val="0"/>
                    <w:pageBreakBefore w:val="0"/>
                    <w:widowControl w:val="0"/>
                    <w:kinsoku/>
                    <w:wordWrap/>
                    <w:overflowPunct/>
                    <w:topLinePunct w:val="0"/>
                    <w:bidi w:val="0"/>
                    <w:jc w:val="left"/>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符合</w:t>
                  </w:r>
                </w:p>
              </w:tc>
            </w:tr>
            <w:tr w14:paraId="06EF127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3024" w:type="pct"/>
                  <w:tcBorders>
                    <w:tl2br w:val="nil"/>
                    <w:tr2bl w:val="nil"/>
                  </w:tcBorders>
                  <w:vAlign w:val="center"/>
                </w:tcPr>
                <w:p w14:paraId="3D52B30E">
                  <w:pPr>
                    <w:keepNext w:val="0"/>
                    <w:keepLines w:val="0"/>
                    <w:pageBreakBefore w:val="0"/>
                    <w:widowControl w:val="0"/>
                    <w:kinsoku/>
                    <w:wordWrap/>
                    <w:overflowPunct/>
                    <w:topLinePunct w:val="0"/>
                    <w:bidi w:val="0"/>
                    <w:jc w:val="left"/>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继续推进化工、有色金属、农副食品加工、印染、制革、原料药制造、电镀、冶金等行业退城入园，提高工业园区集聚水平。指导工业园区对污水实施科学收集、分类处理，梯级循环利用工业废水。</w:t>
                  </w:r>
                </w:p>
              </w:tc>
              <w:tc>
                <w:tcPr>
                  <w:tcW w:w="1427" w:type="pct"/>
                  <w:tcBorders>
                    <w:tl2br w:val="nil"/>
                    <w:tr2bl w:val="nil"/>
                  </w:tcBorders>
                  <w:vAlign w:val="center"/>
                </w:tcPr>
                <w:p w14:paraId="28ABE5B2">
                  <w:pPr>
                    <w:keepNext w:val="0"/>
                    <w:keepLines w:val="0"/>
                    <w:pageBreakBefore w:val="0"/>
                    <w:widowControl w:val="0"/>
                    <w:kinsoku/>
                    <w:wordWrap/>
                    <w:overflowPunct/>
                    <w:topLinePunct w:val="0"/>
                    <w:bidi w:val="0"/>
                    <w:jc w:val="both"/>
                    <w:rPr>
                      <w:rFonts w:hint="default" w:ascii="Times New Roman" w:hAnsi="Times New Roman" w:eastAsia="宋体" w:cs="Times New Roman"/>
                      <w:color w:val="auto"/>
                      <w:kern w:val="0"/>
                      <w:sz w:val="21"/>
                      <w:szCs w:val="21"/>
                    </w:rPr>
                  </w:pPr>
                  <w:r>
                    <w:rPr>
                      <w:rFonts w:hint="default" w:ascii="Times New Roman" w:hAnsi="Times New Roman" w:eastAsia="宋体" w:cs="Times New Roman"/>
                      <w:b w:val="0"/>
                      <w:color w:val="auto"/>
                      <w:sz w:val="21"/>
                      <w:szCs w:val="21"/>
                    </w:rPr>
                    <w:t>本项目</w:t>
                  </w:r>
                  <w:r>
                    <w:rPr>
                      <w:rFonts w:hint="default" w:ascii="Times New Roman" w:hAnsi="Times New Roman" w:eastAsia="宋体" w:cs="Times New Roman"/>
                      <w:color w:val="auto"/>
                      <w:kern w:val="0"/>
                      <w:sz w:val="21"/>
                      <w:szCs w:val="21"/>
                    </w:rPr>
                    <w:t>位于工业聚集区，</w:t>
                  </w:r>
                  <w:r>
                    <w:rPr>
                      <w:rFonts w:hint="default" w:ascii="Times New Roman" w:hAnsi="Times New Roman" w:eastAsia="宋体" w:cs="Times New Roman"/>
                      <w:b w:val="0"/>
                      <w:color w:val="auto"/>
                      <w:sz w:val="21"/>
                      <w:szCs w:val="21"/>
                      <w:lang w:val="en-US" w:eastAsia="zh-CN"/>
                    </w:rPr>
                    <w:t>生活污水经化粪池暂存后由环卫定期清运，不外排</w:t>
                  </w:r>
                  <w:r>
                    <w:rPr>
                      <w:rFonts w:hint="default" w:ascii="Times New Roman" w:hAnsi="Times New Roman" w:eastAsia="宋体" w:cs="Times New Roman"/>
                      <w:color w:val="auto"/>
                      <w:kern w:val="0"/>
                      <w:sz w:val="21"/>
                      <w:szCs w:val="21"/>
                    </w:rPr>
                    <w:t>。</w:t>
                  </w:r>
                </w:p>
              </w:tc>
              <w:tc>
                <w:tcPr>
                  <w:tcW w:w="547" w:type="pct"/>
                  <w:tcBorders>
                    <w:tl2br w:val="nil"/>
                    <w:tr2bl w:val="nil"/>
                  </w:tcBorders>
                  <w:vAlign w:val="center"/>
                </w:tcPr>
                <w:p w14:paraId="6597ADAF">
                  <w:pPr>
                    <w:keepNext w:val="0"/>
                    <w:keepLines w:val="0"/>
                    <w:pageBreakBefore w:val="0"/>
                    <w:widowControl w:val="0"/>
                    <w:kinsoku/>
                    <w:wordWrap/>
                    <w:overflowPunct/>
                    <w:topLinePunct w:val="0"/>
                    <w:bidi w:val="0"/>
                    <w:jc w:val="left"/>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符合</w:t>
                  </w:r>
                </w:p>
              </w:tc>
            </w:tr>
            <w:tr w14:paraId="43ED56B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3024" w:type="pct"/>
                  <w:tcBorders>
                    <w:tl2br w:val="nil"/>
                    <w:tr2bl w:val="nil"/>
                  </w:tcBorders>
                  <w:vAlign w:val="center"/>
                </w:tcPr>
                <w:p w14:paraId="1CA4AE7C">
                  <w:pPr>
                    <w:keepNext w:val="0"/>
                    <w:keepLines w:val="0"/>
                    <w:pageBreakBefore w:val="0"/>
                    <w:widowControl w:val="0"/>
                    <w:kinsoku/>
                    <w:wordWrap/>
                    <w:overflowPunct/>
                    <w:topLinePunct w:val="0"/>
                    <w:bidi w:val="0"/>
                    <w:jc w:val="left"/>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构建集污水、垃圾、固废、危废、医废处理处置设施和监测监管能力于一体的环境基础设施体系，形成由城市向建制镇和乡村延伸覆盖的环境基础设施网络。到2025年，试点城市建立起“无废城市”建设综合管理制度和监管体系。</w:t>
                  </w:r>
                </w:p>
              </w:tc>
              <w:tc>
                <w:tcPr>
                  <w:tcW w:w="1427" w:type="pct"/>
                  <w:tcBorders>
                    <w:tl2br w:val="nil"/>
                    <w:tr2bl w:val="nil"/>
                  </w:tcBorders>
                  <w:vAlign w:val="center"/>
                </w:tcPr>
                <w:p w14:paraId="74C68E8E">
                  <w:pPr>
                    <w:keepNext w:val="0"/>
                    <w:keepLines w:val="0"/>
                    <w:pageBreakBefore w:val="0"/>
                    <w:widowControl w:val="0"/>
                    <w:kinsoku/>
                    <w:wordWrap/>
                    <w:overflowPunct/>
                    <w:topLinePunct w:val="0"/>
                    <w:bidi w:val="0"/>
                    <w:jc w:val="both"/>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lang w:val="en-US" w:eastAsia="zh-CN"/>
                    </w:rPr>
                    <w:t>本</w:t>
                  </w:r>
                  <w:r>
                    <w:rPr>
                      <w:rFonts w:hint="default" w:ascii="Times New Roman" w:hAnsi="Times New Roman" w:eastAsia="宋体" w:cs="Times New Roman"/>
                      <w:color w:val="auto"/>
                      <w:kern w:val="0"/>
                      <w:sz w:val="21"/>
                      <w:szCs w:val="21"/>
                    </w:rPr>
                    <w:t>项目生活垃圾、固废均得到妥善处理。</w:t>
                  </w:r>
                </w:p>
              </w:tc>
              <w:tc>
                <w:tcPr>
                  <w:tcW w:w="547" w:type="pct"/>
                  <w:tcBorders>
                    <w:tl2br w:val="nil"/>
                    <w:tr2bl w:val="nil"/>
                  </w:tcBorders>
                  <w:vAlign w:val="center"/>
                </w:tcPr>
                <w:p w14:paraId="0057D0AE">
                  <w:pPr>
                    <w:keepNext w:val="0"/>
                    <w:keepLines w:val="0"/>
                    <w:pageBreakBefore w:val="0"/>
                    <w:widowControl w:val="0"/>
                    <w:kinsoku/>
                    <w:wordWrap/>
                    <w:overflowPunct/>
                    <w:topLinePunct w:val="0"/>
                    <w:bidi w:val="0"/>
                    <w:jc w:val="left"/>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符合</w:t>
                  </w:r>
                </w:p>
              </w:tc>
            </w:tr>
          </w:tbl>
          <w:p w14:paraId="03236F9D">
            <w:pPr>
              <w:keepNext w:val="0"/>
              <w:keepLines w:val="0"/>
              <w:pageBreakBefore w:val="0"/>
              <w:widowControl w:val="0"/>
              <w:kinsoku/>
              <w:wordWrap/>
              <w:overflowPunct/>
              <w:topLinePunct w:val="0"/>
              <w:bidi w:val="0"/>
              <w:spacing w:line="360" w:lineRule="auto"/>
              <w:ind w:firstLine="420" w:firstLineChars="20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val="en-US" w:eastAsia="zh-CN"/>
              </w:rPr>
              <w:t>4</w:t>
            </w:r>
            <w:r>
              <w:rPr>
                <w:rFonts w:hint="default" w:ascii="Times New Roman" w:hAnsi="Times New Roman" w:eastAsia="宋体" w:cs="Times New Roman"/>
                <w:color w:val="auto"/>
                <w:sz w:val="21"/>
                <w:szCs w:val="21"/>
              </w:rPr>
              <w:t>）与《山东省环境保护条例》（2018.11.30修订）的符合性分析</w:t>
            </w:r>
          </w:p>
          <w:p w14:paraId="017D9B74">
            <w:pPr>
              <w:keepNext w:val="0"/>
              <w:keepLines w:val="0"/>
              <w:pageBreakBefore w:val="0"/>
              <w:widowControl w:val="0"/>
              <w:kinsoku/>
              <w:wordWrap/>
              <w:overflowPunct/>
              <w:topLinePunct w:val="0"/>
              <w:bidi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b/>
                <w:bCs/>
                <w:color w:val="auto"/>
                <w:kern w:val="0"/>
                <w:sz w:val="21"/>
                <w:szCs w:val="21"/>
              </w:rPr>
              <w:t>表1-</w:t>
            </w:r>
            <w:r>
              <w:rPr>
                <w:rFonts w:hint="default" w:ascii="Times New Roman" w:hAnsi="Times New Roman" w:eastAsia="宋体" w:cs="Times New Roman"/>
                <w:b/>
                <w:bCs/>
                <w:color w:val="auto"/>
                <w:kern w:val="0"/>
                <w:sz w:val="21"/>
                <w:szCs w:val="21"/>
                <w:lang w:val="en-US" w:eastAsia="zh-CN"/>
              </w:rPr>
              <w:t xml:space="preserve">5 </w:t>
            </w:r>
            <w:r>
              <w:rPr>
                <w:rFonts w:hint="default" w:ascii="Times New Roman" w:hAnsi="Times New Roman" w:eastAsia="宋体" w:cs="Times New Roman"/>
                <w:b/>
                <w:bCs/>
                <w:color w:val="auto"/>
                <w:kern w:val="0"/>
                <w:sz w:val="21"/>
                <w:szCs w:val="21"/>
              </w:rPr>
              <w:t>与《山东省环境保护条例》符合性分析</w:t>
            </w:r>
          </w:p>
          <w:tbl>
            <w:tblPr>
              <w:tblStyle w:val="14"/>
              <w:tblW w:w="4996" w:type="pct"/>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501"/>
              <w:gridCol w:w="3695"/>
              <w:gridCol w:w="2278"/>
              <w:gridCol w:w="728"/>
            </w:tblGrid>
            <w:tr w14:paraId="0E6D73B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05" w:hRule="atLeast"/>
              </w:trPr>
              <w:tc>
                <w:tcPr>
                  <w:tcW w:w="348" w:type="pct"/>
                  <w:tcBorders>
                    <w:tl2br w:val="nil"/>
                    <w:tr2bl w:val="nil"/>
                  </w:tcBorders>
                  <w:vAlign w:val="center"/>
                </w:tcPr>
                <w:p w14:paraId="4AC15436">
                  <w:pPr>
                    <w:keepNext w:val="0"/>
                    <w:keepLines w:val="0"/>
                    <w:pageBreakBefore w:val="0"/>
                    <w:widowControl w:val="0"/>
                    <w:kinsoku/>
                    <w:wordWrap/>
                    <w:overflowPunct/>
                    <w:topLinePunct w:val="0"/>
                    <w:bidi w:val="0"/>
                    <w:jc w:val="center"/>
                    <w:rPr>
                      <w:rFonts w:hint="default" w:ascii="Times New Roman" w:hAnsi="Times New Roman" w:eastAsia="宋体" w:cs="Times New Roman"/>
                      <w:b/>
                      <w:bCs/>
                      <w:color w:val="auto"/>
                      <w:kern w:val="0"/>
                      <w:sz w:val="21"/>
                      <w:szCs w:val="21"/>
                    </w:rPr>
                  </w:pPr>
                  <w:r>
                    <w:rPr>
                      <w:rFonts w:hint="default" w:ascii="Times New Roman" w:hAnsi="Times New Roman" w:eastAsia="宋体" w:cs="Times New Roman"/>
                      <w:b/>
                      <w:bCs/>
                      <w:color w:val="auto"/>
                      <w:kern w:val="0"/>
                      <w:sz w:val="21"/>
                      <w:szCs w:val="21"/>
                    </w:rPr>
                    <w:t>分类</w:t>
                  </w:r>
                </w:p>
              </w:tc>
              <w:tc>
                <w:tcPr>
                  <w:tcW w:w="2564" w:type="pct"/>
                  <w:tcBorders>
                    <w:tl2br w:val="nil"/>
                    <w:tr2bl w:val="nil"/>
                  </w:tcBorders>
                  <w:vAlign w:val="center"/>
                </w:tcPr>
                <w:p w14:paraId="75C86663">
                  <w:pPr>
                    <w:keepNext w:val="0"/>
                    <w:keepLines w:val="0"/>
                    <w:pageBreakBefore w:val="0"/>
                    <w:widowControl w:val="0"/>
                    <w:kinsoku/>
                    <w:wordWrap/>
                    <w:overflowPunct/>
                    <w:topLinePunct w:val="0"/>
                    <w:bidi w:val="0"/>
                    <w:jc w:val="center"/>
                    <w:rPr>
                      <w:rFonts w:hint="default" w:ascii="Times New Roman" w:hAnsi="Times New Roman" w:eastAsia="宋体" w:cs="Times New Roman"/>
                      <w:b/>
                      <w:bCs/>
                      <w:color w:val="auto"/>
                      <w:kern w:val="0"/>
                      <w:sz w:val="21"/>
                      <w:szCs w:val="21"/>
                    </w:rPr>
                  </w:pPr>
                  <w:r>
                    <w:rPr>
                      <w:rFonts w:hint="default" w:ascii="Times New Roman" w:hAnsi="Times New Roman" w:eastAsia="宋体" w:cs="Times New Roman"/>
                      <w:b/>
                      <w:bCs/>
                      <w:color w:val="auto"/>
                      <w:kern w:val="0"/>
                      <w:sz w:val="21"/>
                      <w:szCs w:val="21"/>
                    </w:rPr>
                    <w:t>文件要求</w:t>
                  </w:r>
                </w:p>
              </w:tc>
              <w:tc>
                <w:tcPr>
                  <w:tcW w:w="1581" w:type="pct"/>
                  <w:tcBorders>
                    <w:tl2br w:val="nil"/>
                    <w:tr2bl w:val="nil"/>
                  </w:tcBorders>
                  <w:vAlign w:val="center"/>
                </w:tcPr>
                <w:p w14:paraId="240CDBB4">
                  <w:pPr>
                    <w:keepNext w:val="0"/>
                    <w:keepLines w:val="0"/>
                    <w:pageBreakBefore w:val="0"/>
                    <w:widowControl w:val="0"/>
                    <w:kinsoku/>
                    <w:wordWrap/>
                    <w:overflowPunct/>
                    <w:topLinePunct w:val="0"/>
                    <w:bidi w:val="0"/>
                    <w:snapToGrid w:val="0"/>
                    <w:spacing w:before="24" w:after="24" w:line="240" w:lineRule="exact"/>
                    <w:jc w:val="center"/>
                    <w:rPr>
                      <w:rFonts w:hint="default" w:ascii="Times New Roman" w:hAnsi="Times New Roman" w:eastAsia="宋体" w:cs="Times New Roman"/>
                      <w:b/>
                      <w:bCs/>
                      <w:color w:val="auto"/>
                      <w:kern w:val="0"/>
                      <w:sz w:val="21"/>
                      <w:szCs w:val="21"/>
                    </w:rPr>
                  </w:pPr>
                  <w:r>
                    <w:rPr>
                      <w:rFonts w:hint="default" w:ascii="Times New Roman" w:hAnsi="Times New Roman" w:eastAsia="宋体" w:cs="Times New Roman"/>
                      <w:b/>
                      <w:bCs/>
                      <w:color w:val="auto"/>
                      <w:kern w:val="0"/>
                      <w:sz w:val="21"/>
                      <w:szCs w:val="21"/>
                    </w:rPr>
                    <w:t>本项目情况</w:t>
                  </w:r>
                </w:p>
              </w:tc>
              <w:tc>
                <w:tcPr>
                  <w:tcW w:w="505" w:type="pct"/>
                  <w:tcBorders>
                    <w:tl2br w:val="nil"/>
                    <w:tr2bl w:val="nil"/>
                  </w:tcBorders>
                  <w:vAlign w:val="center"/>
                </w:tcPr>
                <w:p w14:paraId="1C55460F">
                  <w:pPr>
                    <w:keepNext w:val="0"/>
                    <w:keepLines w:val="0"/>
                    <w:pageBreakBefore w:val="0"/>
                    <w:widowControl w:val="0"/>
                    <w:kinsoku/>
                    <w:wordWrap/>
                    <w:overflowPunct/>
                    <w:topLinePunct w:val="0"/>
                    <w:bidi w:val="0"/>
                    <w:snapToGrid w:val="0"/>
                    <w:spacing w:before="24" w:after="24" w:line="240" w:lineRule="exact"/>
                    <w:jc w:val="center"/>
                    <w:rPr>
                      <w:rFonts w:hint="default" w:ascii="Times New Roman" w:hAnsi="Times New Roman" w:eastAsia="宋体" w:cs="Times New Roman"/>
                      <w:b/>
                      <w:bCs/>
                      <w:color w:val="auto"/>
                      <w:kern w:val="0"/>
                      <w:sz w:val="21"/>
                      <w:szCs w:val="21"/>
                    </w:rPr>
                  </w:pPr>
                  <w:r>
                    <w:rPr>
                      <w:rFonts w:hint="default" w:ascii="Times New Roman" w:hAnsi="Times New Roman" w:eastAsia="宋体" w:cs="Times New Roman"/>
                      <w:b/>
                      <w:bCs/>
                      <w:color w:val="auto"/>
                      <w:kern w:val="0"/>
                      <w:sz w:val="21"/>
                      <w:szCs w:val="21"/>
                    </w:rPr>
                    <w:t>符合情况</w:t>
                  </w:r>
                </w:p>
              </w:tc>
            </w:tr>
            <w:tr w14:paraId="162935C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262" w:hRule="atLeast"/>
              </w:trPr>
              <w:tc>
                <w:tcPr>
                  <w:tcW w:w="348" w:type="pct"/>
                  <w:vMerge w:val="restart"/>
                  <w:tcBorders>
                    <w:tl2br w:val="nil"/>
                    <w:tr2bl w:val="nil"/>
                  </w:tcBorders>
                  <w:vAlign w:val="center"/>
                </w:tcPr>
                <w:p w14:paraId="17FDB550">
                  <w:pPr>
                    <w:keepNext w:val="0"/>
                    <w:keepLines w:val="0"/>
                    <w:pageBreakBefore w:val="0"/>
                    <w:widowControl w:val="0"/>
                    <w:kinsoku/>
                    <w:wordWrap/>
                    <w:overflowPunct/>
                    <w:topLinePunct w:val="0"/>
                    <w:bidi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监督管理</w:t>
                  </w:r>
                </w:p>
              </w:tc>
              <w:tc>
                <w:tcPr>
                  <w:tcW w:w="2564" w:type="pct"/>
                  <w:tcBorders>
                    <w:tl2br w:val="nil"/>
                    <w:tr2bl w:val="nil"/>
                  </w:tcBorders>
                  <w:vAlign w:val="center"/>
                </w:tcPr>
                <w:p w14:paraId="7B217282">
                  <w:pPr>
                    <w:keepNext w:val="0"/>
                    <w:keepLines w:val="0"/>
                    <w:pageBreakBefore w:val="0"/>
                    <w:widowControl w:val="0"/>
                    <w:kinsoku/>
                    <w:wordWrap/>
                    <w:overflowPunct/>
                    <w:topLinePunct w:val="0"/>
                    <w:bidi w:val="0"/>
                    <w:jc w:val="left"/>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禁止建设不符合国家和省产业政策的小型造纸、制革、印染、染料、炼焦、炼硫、炼砷、炼汞、炼油、电镀、农药、石棉、水泥、玻璃、钢铁、火电以及其他严重污染环境的生产项目。已经建设的，由所在地的县级以上人民政府责令拆除或者关闭。</w:t>
                  </w:r>
                </w:p>
              </w:tc>
              <w:tc>
                <w:tcPr>
                  <w:tcW w:w="1581" w:type="pct"/>
                  <w:tcBorders>
                    <w:tl2br w:val="nil"/>
                    <w:tr2bl w:val="nil"/>
                  </w:tcBorders>
                  <w:vAlign w:val="center"/>
                </w:tcPr>
                <w:p w14:paraId="4D32EB1F">
                  <w:pPr>
                    <w:keepNext w:val="0"/>
                    <w:keepLines w:val="0"/>
                    <w:pageBreakBefore w:val="0"/>
                    <w:widowControl w:val="0"/>
                    <w:kinsoku/>
                    <w:wordWrap/>
                    <w:overflowPunct/>
                    <w:topLinePunct w:val="0"/>
                    <w:bidi w:val="0"/>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本项目不属于文件要求禁止建设的行业。</w:t>
                  </w:r>
                </w:p>
              </w:tc>
              <w:tc>
                <w:tcPr>
                  <w:tcW w:w="505" w:type="pct"/>
                  <w:tcBorders>
                    <w:tl2br w:val="nil"/>
                    <w:tr2bl w:val="nil"/>
                  </w:tcBorders>
                  <w:vAlign w:val="center"/>
                </w:tcPr>
                <w:p w14:paraId="3572F4E1">
                  <w:pPr>
                    <w:keepNext w:val="0"/>
                    <w:keepLines w:val="0"/>
                    <w:pageBreakBefore w:val="0"/>
                    <w:widowControl w:val="0"/>
                    <w:kinsoku/>
                    <w:wordWrap/>
                    <w:overflowPunct/>
                    <w:topLinePunct w:val="0"/>
                    <w:bidi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符合</w:t>
                  </w:r>
                </w:p>
              </w:tc>
            </w:tr>
            <w:tr w14:paraId="7CA607B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262" w:hRule="atLeast"/>
              </w:trPr>
              <w:tc>
                <w:tcPr>
                  <w:tcW w:w="348" w:type="pct"/>
                  <w:vMerge w:val="continue"/>
                  <w:tcBorders>
                    <w:tl2br w:val="nil"/>
                    <w:tr2bl w:val="nil"/>
                  </w:tcBorders>
                  <w:vAlign w:val="center"/>
                </w:tcPr>
                <w:p w14:paraId="4601E00D">
                  <w:pPr>
                    <w:keepNext w:val="0"/>
                    <w:keepLines w:val="0"/>
                    <w:pageBreakBefore w:val="0"/>
                    <w:widowControl w:val="0"/>
                    <w:kinsoku/>
                    <w:wordWrap/>
                    <w:overflowPunct/>
                    <w:topLinePunct w:val="0"/>
                    <w:bidi w:val="0"/>
                    <w:jc w:val="center"/>
                    <w:rPr>
                      <w:rFonts w:hint="default" w:ascii="Times New Roman" w:hAnsi="Times New Roman" w:eastAsia="宋体" w:cs="Times New Roman"/>
                      <w:color w:val="auto"/>
                      <w:kern w:val="0"/>
                      <w:sz w:val="21"/>
                      <w:szCs w:val="21"/>
                    </w:rPr>
                  </w:pPr>
                </w:p>
              </w:tc>
              <w:tc>
                <w:tcPr>
                  <w:tcW w:w="2564" w:type="pct"/>
                  <w:tcBorders>
                    <w:tl2br w:val="nil"/>
                    <w:tr2bl w:val="nil"/>
                  </w:tcBorders>
                  <w:vAlign w:val="center"/>
                </w:tcPr>
                <w:p w14:paraId="50FD1FC0">
                  <w:pPr>
                    <w:keepNext w:val="0"/>
                    <w:keepLines w:val="0"/>
                    <w:pageBreakBefore w:val="0"/>
                    <w:widowControl w:val="0"/>
                    <w:kinsoku/>
                    <w:wordWrap/>
                    <w:overflowPunct/>
                    <w:topLinePunct w:val="0"/>
                    <w:bidi w:val="0"/>
                    <w:jc w:val="left"/>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新建、改建、扩建建设项目，应当依法进行环境影响评价。</w:t>
                  </w:r>
                </w:p>
              </w:tc>
              <w:tc>
                <w:tcPr>
                  <w:tcW w:w="1581" w:type="pct"/>
                  <w:tcBorders>
                    <w:tl2br w:val="nil"/>
                    <w:tr2bl w:val="nil"/>
                  </w:tcBorders>
                  <w:vAlign w:val="center"/>
                </w:tcPr>
                <w:p w14:paraId="19B7D81A">
                  <w:pPr>
                    <w:keepNext w:val="0"/>
                    <w:keepLines w:val="0"/>
                    <w:pageBreakBefore w:val="0"/>
                    <w:widowControl w:val="0"/>
                    <w:kinsoku/>
                    <w:wordWrap/>
                    <w:overflowPunct/>
                    <w:topLinePunct w:val="0"/>
                    <w:bidi w:val="0"/>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项目按要求进行环境影响评价。</w:t>
                  </w:r>
                </w:p>
              </w:tc>
              <w:tc>
                <w:tcPr>
                  <w:tcW w:w="505" w:type="pct"/>
                  <w:tcBorders>
                    <w:tl2br w:val="nil"/>
                    <w:tr2bl w:val="nil"/>
                  </w:tcBorders>
                  <w:vAlign w:val="center"/>
                </w:tcPr>
                <w:p w14:paraId="3CEA1EA2">
                  <w:pPr>
                    <w:keepNext w:val="0"/>
                    <w:keepLines w:val="0"/>
                    <w:pageBreakBefore w:val="0"/>
                    <w:widowControl w:val="0"/>
                    <w:kinsoku/>
                    <w:wordWrap/>
                    <w:overflowPunct/>
                    <w:topLinePunct w:val="0"/>
                    <w:bidi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符合</w:t>
                  </w:r>
                </w:p>
              </w:tc>
            </w:tr>
            <w:tr w14:paraId="22DFCBA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262" w:hRule="atLeast"/>
              </w:trPr>
              <w:tc>
                <w:tcPr>
                  <w:tcW w:w="348" w:type="pct"/>
                  <w:vMerge w:val="restart"/>
                  <w:tcBorders>
                    <w:tl2br w:val="nil"/>
                    <w:tr2bl w:val="nil"/>
                  </w:tcBorders>
                  <w:vAlign w:val="center"/>
                </w:tcPr>
                <w:p w14:paraId="0883C42A">
                  <w:pPr>
                    <w:keepNext w:val="0"/>
                    <w:keepLines w:val="0"/>
                    <w:pageBreakBefore w:val="0"/>
                    <w:widowControl w:val="0"/>
                    <w:kinsoku/>
                    <w:wordWrap/>
                    <w:overflowPunct/>
                    <w:topLinePunct w:val="0"/>
                    <w:bidi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防治污染和其他公害</w:t>
                  </w:r>
                </w:p>
              </w:tc>
              <w:tc>
                <w:tcPr>
                  <w:tcW w:w="2564" w:type="pct"/>
                  <w:tcBorders>
                    <w:tl2br w:val="nil"/>
                    <w:tr2bl w:val="nil"/>
                  </w:tcBorders>
                  <w:vAlign w:val="center"/>
                </w:tcPr>
                <w:p w14:paraId="42094551">
                  <w:pPr>
                    <w:keepNext w:val="0"/>
                    <w:keepLines w:val="0"/>
                    <w:pageBreakBefore w:val="0"/>
                    <w:widowControl w:val="0"/>
                    <w:kinsoku/>
                    <w:wordWrap/>
                    <w:overflowPunct/>
                    <w:topLinePunct w:val="0"/>
                    <w:bidi w:val="0"/>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县级以上人民政府应当根据产业结构调整和产业布局优化的要求，引导工业企业入驻工业园区；新建有污染物排放的工业项目，除在安全生产等方面有特殊要求的以外，应当进入工业园区或者工业集聚区。</w:t>
                  </w:r>
                </w:p>
              </w:tc>
              <w:tc>
                <w:tcPr>
                  <w:tcW w:w="1581" w:type="pct"/>
                  <w:tcBorders>
                    <w:tl2br w:val="nil"/>
                    <w:tr2bl w:val="nil"/>
                  </w:tcBorders>
                  <w:vAlign w:val="center"/>
                </w:tcPr>
                <w:p w14:paraId="78B507E5">
                  <w:pPr>
                    <w:keepNext w:val="0"/>
                    <w:keepLines w:val="0"/>
                    <w:pageBreakBefore w:val="0"/>
                    <w:widowControl w:val="0"/>
                    <w:kinsoku/>
                    <w:wordWrap/>
                    <w:overflowPunct/>
                    <w:topLinePunct w:val="0"/>
                    <w:bidi w:val="0"/>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本项目位于山东省淄博市文昌湖区萌水镇萌三村（村委南1000米），所在地属于工业集聚区。</w:t>
                  </w:r>
                </w:p>
              </w:tc>
              <w:tc>
                <w:tcPr>
                  <w:tcW w:w="505" w:type="pct"/>
                  <w:tcBorders>
                    <w:tl2br w:val="nil"/>
                    <w:tr2bl w:val="nil"/>
                  </w:tcBorders>
                  <w:vAlign w:val="center"/>
                </w:tcPr>
                <w:p w14:paraId="53FCC35E">
                  <w:pPr>
                    <w:keepNext w:val="0"/>
                    <w:keepLines w:val="0"/>
                    <w:pageBreakBefore w:val="0"/>
                    <w:widowControl w:val="0"/>
                    <w:kinsoku/>
                    <w:wordWrap/>
                    <w:overflowPunct/>
                    <w:topLinePunct w:val="0"/>
                    <w:bidi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符合</w:t>
                  </w:r>
                </w:p>
              </w:tc>
            </w:tr>
            <w:tr w14:paraId="70A9975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1187" w:hRule="atLeast"/>
              </w:trPr>
              <w:tc>
                <w:tcPr>
                  <w:tcW w:w="348" w:type="pct"/>
                  <w:vMerge w:val="continue"/>
                  <w:tcBorders>
                    <w:tl2br w:val="nil"/>
                    <w:tr2bl w:val="nil"/>
                  </w:tcBorders>
                  <w:vAlign w:val="center"/>
                </w:tcPr>
                <w:p w14:paraId="7E93E18F">
                  <w:pPr>
                    <w:keepNext w:val="0"/>
                    <w:keepLines w:val="0"/>
                    <w:pageBreakBefore w:val="0"/>
                    <w:widowControl w:val="0"/>
                    <w:kinsoku/>
                    <w:wordWrap/>
                    <w:overflowPunct/>
                    <w:topLinePunct w:val="0"/>
                    <w:bidi w:val="0"/>
                    <w:rPr>
                      <w:rFonts w:hint="default" w:ascii="Times New Roman" w:hAnsi="Times New Roman" w:eastAsia="宋体" w:cs="Times New Roman"/>
                      <w:color w:val="auto"/>
                      <w:kern w:val="0"/>
                      <w:sz w:val="21"/>
                      <w:szCs w:val="21"/>
                    </w:rPr>
                  </w:pPr>
                </w:p>
              </w:tc>
              <w:tc>
                <w:tcPr>
                  <w:tcW w:w="2564" w:type="pct"/>
                  <w:tcBorders>
                    <w:tl2br w:val="nil"/>
                    <w:tr2bl w:val="nil"/>
                  </w:tcBorders>
                  <w:vAlign w:val="center"/>
                </w:tcPr>
                <w:p w14:paraId="0A4137BE">
                  <w:pPr>
                    <w:keepNext w:val="0"/>
                    <w:keepLines w:val="0"/>
                    <w:pageBreakBefore w:val="0"/>
                    <w:widowControl w:val="0"/>
                    <w:kinsoku/>
                    <w:wordWrap/>
                    <w:overflowPunct/>
                    <w:topLinePunct w:val="0"/>
                    <w:bidi w:val="0"/>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排污单位应当采取措施，防治在生产建设或者其他活动中产生的废气、废水、废渣、医疗废物、颗粒物、恶臭气体、放射性物质以及噪声、振动、光辐射、电磁辐射等对环境的污染和危害，其污染排放不得超过排放标准和重点污染物排放总量控制指标。</w:t>
                  </w:r>
                </w:p>
              </w:tc>
              <w:tc>
                <w:tcPr>
                  <w:tcW w:w="1581" w:type="pct"/>
                  <w:tcBorders>
                    <w:tl2br w:val="nil"/>
                    <w:tr2bl w:val="nil"/>
                  </w:tcBorders>
                  <w:vAlign w:val="center"/>
                </w:tcPr>
                <w:p w14:paraId="03043331">
                  <w:pPr>
                    <w:keepNext w:val="0"/>
                    <w:keepLines w:val="0"/>
                    <w:pageBreakBefore w:val="0"/>
                    <w:widowControl w:val="0"/>
                    <w:kinsoku/>
                    <w:wordWrap/>
                    <w:overflowPunct/>
                    <w:topLinePunct w:val="0"/>
                    <w:bidi w:val="0"/>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本项目污染物经废气处理设施处理后达标排放，能够满足总量控制要求。</w:t>
                  </w:r>
                </w:p>
              </w:tc>
              <w:tc>
                <w:tcPr>
                  <w:tcW w:w="505" w:type="pct"/>
                  <w:tcBorders>
                    <w:tl2br w:val="nil"/>
                    <w:tr2bl w:val="nil"/>
                  </w:tcBorders>
                  <w:vAlign w:val="center"/>
                </w:tcPr>
                <w:p w14:paraId="532C96FF">
                  <w:pPr>
                    <w:keepNext w:val="0"/>
                    <w:keepLines w:val="0"/>
                    <w:pageBreakBefore w:val="0"/>
                    <w:widowControl w:val="0"/>
                    <w:kinsoku/>
                    <w:wordWrap/>
                    <w:overflowPunct/>
                    <w:topLinePunct w:val="0"/>
                    <w:bidi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符合</w:t>
                  </w:r>
                </w:p>
              </w:tc>
            </w:tr>
            <w:tr w14:paraId="5533EF1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17" w:hRule="atLeast"/>
              </w:trPr>
              <w:tc>
                <w:tcPr>
                  <w:tcW w:w="348" w:type="pct"/>
                  <w:vMerge w:val="continue"/>
                  <w:tcBorders>
                    <w:tl2br w:val="nil"/>
                    <w:tr2bl w:val="nil"/>
                  </w:tcBorders>
                  <w:vAlign w:val="center"/>
                </w:tcPr>
                <w:p w14:paraId="351EF7BC">
                  <w:pPr>
                    <w:keepNext w:val="0"/>
                    <w:keepLines w:val="0"/>
                    <w:pageBreakBefore w:val="0"/>
                    <w:widowControl w:val="0"/>
                    <w:kinsoku/>
                    <w:wordWrap/>
                    <w:overflowPunct/>
                    <w:topLinePunct w:val="0"/>
                    <w:bidi w:val="0"/>
                    <w:rPr>
                      <w:rFonts w:hint="default" w:ascii="Times New Roman" w:hAnsi="Times New Roman" w:eastAsia="宋体" w:cs="Times New Roman"/>
                      <w:color w:val="auto"/>
                      <w:kern w:val="0"/>
                      <w:sz w:val="21"/>
                      <w:szCs w:val="21"/>
                    </w:rPr>
                  </w:pPr>
                </w:p>
              </w:tc>
              <w:tc>
                <w:tcPr>
                  <w:tcW w:w="2564" w:type="pct"/>
                  <w:tcBorders>
                    <w:tl2br w:val="nil"/>
                    <w:tr2bl w:val="nil"/>
                  </w:tcBorders>
                  <w:vAlign w:val="center"/>
                </w:tcPr>
                <w:p w14:paraId="0012C423">
                  <w:pPr>
                    <w:keepNext w:val="0"/>
                    <w:keepLines w:val="0"/>
                    <w:pageBreakBefore w:val="0"/>
                    <w:widowControl w:val="0"/>
                    <w:kinsoku/>
                    <w:wordWrap/>
                    <w:overflowPunct/>
                    <w:topLinePunct w:val="0"/>
                    <w:bidi w:val="0"/>
                    <w:jc w:val="left"/>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排污单位应当按照国家和省有关规定建立环境管理台账，记录污染治理设施运行管理、危险废物产生与处置情况、监测记录以及其他环境管理等信息，并对台账的真实性和完整性负责。台账的保存期限不得少于三年，法律法规另有规定的除外。</w:t>
                  </w:r>
                </w:p>
              </w:tc>
              <w:tc>
                <w:tcPr>
                  <w:tcW w:w="1581" w:type="pct"/>
                  <w:tcBorders>
                    <w:tl2br w:val="nil"/>
                    <w:tr2bl w:val="nil"/>
                  </w:tcBorders>
                  <w:vAlign w:val="center"/>
                </w:tcPr>
                <w:p w14:paraId="6AFB2836">
                  <w:pPr>
                    <w:keepNext w:val="0"/>
                    <w:keepLines w:val="0"/>
                    <w:pageBreakBefore w:val="0"/>
                    <w:widowControl w:val="0"/>
                    <w:kinsoku/>
                    <w:wordWrap/>
                    <w:overflowPunct/>
                    <w:topLinePunct w:val="0"/>
                    <w:bidi w:val="0"/>
                    <w:jc w:val="left"/>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本次环评要求企业按照国家和省有关规定建立环境管理台账，记录污染治理设施运行管理、危险废物产生与处置情况、监测记录以及其他环境管理等信息。台账的保存期限不得少于三年，法律法规另有规定的除外。</w:t>
                  </w:r>
                </w:p>
              </w:tc>
              <w:tc>
                <w:tcPr>
                  <w:tcW w:w="505" w:type="pct"/>
                  <w:tcBorders>
                    <w:tl2br w:val="nil"/>
                    <w:tr2bl w:val="nil"/>
                  </w:tcBorders>
                  <w:vAlign w:val="center"/>
                </w:tcPr>
                <w:p w14:paraId="404293FC">
                  <w:pPr>
                    <w:keepNext w:val="0"/>
                    <w:keepLines w:val="0"/>
                    <w:pageBreakBefore w:val="0"/>
                    <w:widowControl w:val="0"/>
                    <w:kinsoku/>
                    <w:wordWrap/>
                    <w:overflowPunct/>
                    <w:topLinePunct w:val="0"/>
                    <w:bidi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符合</w:t>
                  </w:r>
                </w:p>
              </w:tc>
            </w:tr>
          </w:tbl>
          <w:p w14:paraId="4468C05E">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val="en-US" w:eastAsia="zh-CN"/>
              </w:rPr>
              <w:t>5</w:t>
            </w:r>
            <w:r>
              <w:rPr>
                <w:rFonts w:hint="default" w:ascii="Times New Roman" w:hAnsi="Times New Roman" w:eastAsia="宋体" w:cs="Times New Roman"/>
                <w:color w:val="auto"/>
                <w:sz w:val="21"/>
                <w:szCs w:val="21"/>
              </w:rPr>
              <w:t>）与《大气污染防治行动计划》（国发〔2013〕37号）的符合性分析</w:t>
            </w:r>
          </w:p>
          <w:p w14:paraId="01A89CA9">
            <w:pPr>
              <w:keepNext w:val="0"/>
              <w:keepLines w:val="0"/>
              <w:pageBreakBefore w:val="0"/>
              <w:widowControl w:val="0"/>
              <w:kinsoku/>
              <w:wordWrap/>
              <w:overflowPunct/>
              <w:topLinePunct w:val="0"/>
              <w:bidi w:val="0"/>
              <w:adjustRightInd w:val="0"/>
              <w:snapToGrid w:val="0"/>
              <w:jc w:val="center"/>
              <w:rPr>
                <w:rFonts w:hint="default" w:ascii="Times New Roman" w:hAnsi="Times New Roman" w:eastAsia="宋体" w:cs="Times New Roman"/>
                <w:b/>
                <w:color w:val="auto"/>
                <w:kern w:val="0"/>
                <w:sz w:val="21"/>
                <w:szCs w:val="21"/>
              </w:rPr>
            </w:pPr>
            <w:r>
              <w:rPr>
                <w:rFonts w:hint="default" w:ascii="Times New Roman" w:hAnsi="Times New Roman" w:eastAsia="宋体" w:cs="Times New Roman"/>
                <w:b/>
                <w:color w:val="auto"/>
                <w:kern w:val="0"/>
                <w:sz w:val="21"/>
                <w:szCs w:val="21"/>
              </w:rPr>
              <w:t>表1-</w:t>
            </w:r>
            <w:r>
              <w:rPr>
                <w:rFonts w:hint="default" w:ascii="Times New Roman" w:hAnsi="Times New Roman" w:eastAsia="宋体" w:cs="Times New Roman"/>
                <w:b/>
                <w:color w:val="auto"/>
                <w:kern w:val="0"/>
                <w:sz w:val="21"/>
                <w:szCs w:val="21"/>
                <w:lang w:val="en-US" w:eastAsia="zh-CN"/>
              </w:rPr>
              <w:t xml:space="preserve">6 </w:t>
            </w:r>
            <w:r>
              <w:rPr>
                <w:rFonts w:hint="default" w:ascii="Times New Roman" w:hAnsi="Times New Roman" w:eastAsia="宋体" w:cs="Times New Roman"/>
                <w:b/>
                <w:color w:val="auto"/>
                <w:kern w:val="0"/>
                <w:sz w:val="21"/>
                <w:szCs w:val="21"/>
              </w:rPr>
              <w:t>与《大气污染防治行动计划》符合性</w:t>
            </w:r>
          </w:p>
          <w:tbl>
            <w:tblPr>
              <w:tblStyle w:val="14"/>
              <w:tblW w:w="4997"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4931"/>
              <w:gridCol w:w="1526"/>
              <w:gridCol w:w="747"/>
            </w:tblGrid>
            <w:tr w14:paraId="6399864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jc w:val="center"/>
              </w:trPr>
              <w:tc>
                <w:tcPr>
                  <w:tcW w:w="3422" w:type="pct"/>
                  <w:tcBorders>
                    <w:tl2br w:val="nil"/>
                    <w:tr2bl w:val="nil"/>
                  </w:tcBorders>
                  <w:vAlign w:val="center"/>
                </w:tcPr>
                <w:p w14:paraId="3C8EAFF3">
                  <w:pPr>
                    <w:keepNext w:val="0"/>
                    <w:keepLines w:val="0"/>
                    <w:pageBreakBefore w:val="0"/>
                    <w:widowControl w:val="0"/>
                    <w:kinsoku/>
                    <w:wordWrap/>
                    <w:overflowPunct/>
                    <w:topLinePunct w:val="0"/>
                    <w:bidi w:val="0"/>
                    <w:jc w:val="center"/>
                    <w:rPr>
                      <w:rFonts w:hint="default" w:ascii="Times New Roman" w:hAnsi="Times New Roman" w:eastAsia="宋体" w:cs="Times New Roman"/>
                      <w:b/>
                      <w:color w:val="auto"/>
                      <w:kern w:val="0"/>
                      <w:sz w:val="21"/>
                      <w:szCs w:val="21"/>
                    </w:rPr>
                  </w:pPr>
                  <w:r>
                    <w:rPr>
                      <w:rFonts w:hint="default" w:ascii="Times New Roman" w:hAnsi="Times New Roman" w:eastAsia="宋体" w:cs="Times New Roman"/>
                      <w:b/>
                      <w:color w:val="auto"/>
                      <w:kern w:val="0"/>
                      <w:sz w:val="21"/>
                      <w:szCs w:val="21"/>
                    </w:rPr>
                    <w:t>《大气污染防治行动计划》相关规定</w:t>
                  </w:r>
                </w:p>
              </w:tc>
              <w:tc>
                <w:tcPr>
                  <w:tcW w:w="1059" w:type="pct"/>
                  <w:tcBorders>
                    <w:tl2br w:val="nil"/>
                    <w:tr2bl w:val="nil"/>
                  </w:tcBorders>
                  <w:vAlign w:val="center"/>
                </w:tcPr>
                <w:p w14:paraId="4900CBBA">
                  <w:pPr>
                    <w:keepNext w:val="0"/>
                    <w:keepLines w:val="0"/>
                    <w:pageBreakBefore w:val="0"/>
                    <w:widowControl w:val="0"/>
                    <w:kinsoku/>
                    <w:wordWrap/>
                    <w:overflowPunct/>
                    <w:topLinePunct w:val="0"/>
                    <w:bidi w:val="0"/>
                    <w:jc w:val="center"/>
                    <w:rPr>
                      <w:rFonts w:hint="default" w:ascii="Times New Roman" w:hAnsi="Times New Roman" w:eastAsia="宋体" w:cs="Times New Roman"/>
                      <w:b/>
                      <w:color w:val="auto"/>
                      <w:kern w:val="0"/>
                      <w:sz w:val="21"/>
                      <w:szCs w:val="21"/>
                    </w:rPr>
                  </w:pPr>
                  <w:r>
                    <w:rPr>
                      <w:rFonts w:hint="default" w:ascii="Times New Roman" w:hAnsi="Times New Roman" w:eastAsia="宋体" w:cs="Times New Roman"/>
                      <w:b/>
                      <w:color w:val="auto"/>
                      <w:kern w:val="0"/>
                      <w:sz w:val="21"/>
                      <w:szCs w:val="21"/>
                    </w:rPr>
                    <w:t>评价项目情况</w:t>
                  </w:r>
                </w:p>
              </w:tc>
              <w:tc>
                <w:tcPr>
                  <w:tcW w:w="518" w:type="pct"/>
                  <w:tcBorders>
                    <w:tl2br w:val="nil"/>
                    <w:tr2bl w:val="nil"/>
                  </w:tcBorders>
                  <w:vAlign w:val="center"/>
                </w:tcPr>
                <w:p w14:paraId="3E948AB1">
                  <w:pPr>
                    <w:keepNext w:val="0"/>
                    <w:keepLines w:val="0"/>
                    <w:pageBreakBefore w:val="0"/>
                    <w:widowControl w:val="0"/>
                    <w:kinsoku/>
                    <w:wordWrap/>
                    <w:overflowPunct/>
                    <w:topLinePunct w:val="0"/>
                    <w:bidi w:val="0"/>
                    <w:jc w:val="center"/>
                    <w:rPr>
                      <w:rFonts w:hint="default" w:ascii="Times New Roman" w:hAnsi="Times New Roman" w:eastAsia="宋体" w:cs="Times New Roman"/>
                      <w:b/>
                      <w:color w:val="auto"/>
                      <w:kern w:val="0"/>
                      <w:sz w:val="21"/>
                      <w:szCs w:val="21"/>
                    </w:rPr>
                  </w:pPr>
                  <w:r>
                    <w:rPr>
                      <w:rFonts w:hint="default" w:ascii="Times New Roman" w:hAnsi="Times New Roman" w:eastAsia="宋体" w:cs="Times New Roman"/>
                      <w:b/>
                      <w:color w:val="auto"/>
                      <w:kern w:val="0"/>
                      <w:sz w:val="21"/>
                      <w:szCs w:val="21"/>
                    </w:rPr>
                    <w:t>结论</w:t>
                  </w:r>
                </w:p>
              </w:tc>
            </w:tr>
            <w:tr w14:paraId="57124F6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3422" w:type="pct"/>
                  <w:tcBorders>
                    <w:tl2br w:val="nil"/>
                    <w:tr2bl w:val="nil"/>
                  </w:tcBorders>
                  <w:vAlign w:val="center"/>
                </w:tcPr>
                <w:p w14:paraId="13C089A4">
                  <w:pPr>
                    <w:keepNext w:val="0"/>
                    <w:keepLines w:val="0"/>
                    <w:pageBreakBefore w:val="0"/>
                    <w:widowControl w:val="0"/>
                    <w:kinsoku/>
                    <w:wordWrap/>
                    <w:overflowPunct/>
                    <w:topLinePunct w:val="0"/>
                    <w:bidi w:val="0"/>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全面整治燃煤小锅炉。加快推进集中供热、“煤改气”“煤改电”工程建设，到2017年，除必要保留的以外，地级及以上城市建成区基本淘汰每小时10蒸吨及以下的燃煤锅炉，禁止新建每小时20蒸吨以下的燃煤锅炉；其他地区原则上不再新建每小时10蒸吨以下的燃煤锅炉。在供热供气管网不能覆盖的地区，改用电、新能源或洁净煤，推广应用高效节能环保型锅炉。在化工、造纸、印染、制革、制药等产业集聚区，通过集中建设热电联产机组逐步淘汰分散燃煤锅炉。</w:t>
                  </w:r>
                </w:p>
              </w:tc>
              <w:tc>
                <w:tcPr>
                  <w:tcW w:w="1059" w:type="pct"/>
                  <w:tcBorders>
                    <w:tl2br w:val="nil"/>
                    <w:tr2bl w:val="nil"/>
                  </w:tcBorders>
                  <w:vAlign w:val="center"/>
                </w:tcPr>
                <w:p w14:paraId="5C6D0F20">
                  <w:pPr>
                    <w:keepNext w:val="0"/>
                    <w:keepLines w:val="0"/>
                    <w:pageBreakBefore w:val="0"/>
                    <w:widowControl w:val="0"/>
                    <w:kinsoku/>
                    <w:wordWrap/>
                    <w:overflowPunct/>
                    <w:topLinePunct w:val="0"/>
                    <w:bidi w:val="0"/>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本项目不设燃煤锅炉，能源采用电能。</w:t>
                  </w:r>
                </w:p>
              </w:tc>
              <w:tc>
                <w:tcPr>
                  <w:tcW w:w="518" w:type="pct"/>
                  <w:tcBorders>
                    <w:tl2br w:val="nil"/>
                    <w:tr2bl w:val="nil"/>
                  </w:tcBorders>
                  <w:vAlign w:val="center"/>
                </w:tcPr>
                <w:p w14:paraId="5EEA2174">
                  <w:pPr>
                    <w:keepNext w:val="0"/>
                    <w:keepLines w:val="0"/>
                    <w:pageBreakBefore w:val="0"/>
                    <w:widowControl w:val="0"/>
                    <w:kinsoku/>
                    <w:wordWrap/>
                    <w:overflowPunct/>
                    <w:topLinePunct w:val="0"/>
                    <w:bidi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符合</w:t>
                  </w:r>
                </w:p>
              </w:tc>
            </w:tr>
            <w:tr w14:paraId="6DDD5BF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753" w:hRule="atLeast"/>
                <w:jc w:val="center"/>
              </w:trPr>
              <w:tc>
                <w:tcPr>
                  <w:tcW w:w="3422" w:type="pct"/>
                  <w:tcBorders>
                    <w:tl2br w:val="nil"/>
                    <w:tr2bl w:val="nil"/>
                  </w:tcBorders>
                  <w:vAlign w:val="center"/>
                </w:tcPr>
                <w:p w14:paraId="747C402F">
                  <w:pPr>
                    <w:keepNext w:val="0"/>
                    <w:keepLines w:val="0"/>
                    <w:pageBreakBefore w:val="0"/>
                    <w:widowControl w:val="0"/>
                    <w:kinsoku/>
                    <w:wordWrap/>
                    <w:overflowPunct/>
                    <w:topLinePunct w:val="0"/>
                    <w:bidi w:val="0"/>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推进挥发性有机物污染治理。在石化、有机化工、表面涂装、包装喷漆等行业实施挥发性有机物综合整治，在石化行业开展“泄漏检测与修复”技术改造。</w:t>
                  </w:r>
                </w:p>
              </w:tc>
              <w:tc>
                <w:tcPr>
                  <w:tcW w:w="1059" w:type="pct"/>
                  <w:tcBorders>
                    <w:tl2br w:val="nil"/>
                    <w:tr2bl w:val="nil"/>
                  </w:tcBorders>
                  <w:vAlign w:val="center"/>
                </w:tcPr>
                <w:p w14:paraId="5DB74641">
                  <w:pPr>
                    <w:keepNext w:val="0"/>
                    <w:keepLines w:val="0"/>
                    <w:pageBreakBefore w:val="0"/>
                    <w:widowControl w:val="0"/>
                    <w:kinsoku/>
                    <w:wordWrap/>
                    <w:overflowPunct/>
                    <w:topLinePunct w:val="0"/>
                    <w:bidi w:val="0"/>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本项目不排放VOCs。</w:t>
                  </w:r>
                </w:p>
              </w:tc>
              <w:tc>
                <w:tcPr>
                  <w:tcW w:w="518" w:type="pct"/>
                  <w:tcBorders>
                    <w:tl2br w:val="nil"/>
                    <w:tr2bl w:val="nil"/>
                  </w:tcBorders>
                  <w:vAlign w:val="center"/>
                </w:tcPr>
                <w:p w14:paraId="5B0F1D21">
                  <w:pPr>
                    <w:keepNext w:val="0"/>
                    <w:keepLines w:val="0"/>
                    <w:pageBreakBefore w:val="0"/>
                    <w:widowControl w:val="0"/>
                    <w:kinsoku/>
                    <w:wordWrap/>
                    <w:overflowPunct/>
                    <w:topLinePunct w:val="0"/>
                    <w:bidi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符合</w:t>
                  </w:r>
                </w:p>
              </w:tc>
            </w:tr>
          </w:tbl>
          <w:p w14:paraId="601D2E66">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val="en-US" w:eastAsia="zh-CN"/>
              </w:rPr>
              <w:t>6</w:t>
            </w:r>
            <w:r>
              <w:rPr>
                <w:rFonts w:hint="default" w:ascii="Times New Roman" w:hAnsi="Times New Roman" w:eastAsia="宋体" w:cs="Times New Roman"/>
                <w:color w:val="auto"/>
                <w:sz w:val="21"/>
                <w:szCs w:val="21"/>
              </w:rPr>
              <w:t>）与《京津冀及周边地区落实大气污染防治行动计划实施细则》的符合性分析</w:t>
            </w:r>
          </w:p>
          <w:p w14:paraId="5A89F703">
            <w:pPr>
              <w:keepNext w:val="0"/>
              <w:keepLines w:val="0"/>
              <w:pageBreakBefore w:val="0"/>
              <w:widowControl w:val="0"/>
              <w:kinsoku/>
              <w:wordWrap/>
              <w:overflowPunct/>
              <w:topLinePunct w:val="0"/>
              <w:autoSpaceDE w:val="0"/>
              <w:autoSpaceDN w:val="0"/>
              <w:bidi w:val="0"/>
              <w:adjustRightInd w:val="0"/>
              <w:snapToGrid/>
              <w:ind w:firstLine="482"/>
              <w:jc w:val="center"/>
              <w:textAlignment w:val="auto"/>
              <w:rPr>
                <w:rFonts w:hint="default" w:ascii="Times New Roman" w:hAnsi="Times New Roman" w:eastAsia="宋体" w:cs="Times New Roman"/>
                <w:b/>
                <w:bCs/>
                <w:color w:val="auto"/>
                <w:kern w:val="0"/>
                <w:sz w:val="21"/>
                <w:szCs w:val="21"/>
              </w:rPr>
            </w:pPr>
            <w:r>
              <w:rPr>
                <w:rFonts w:hint="default" w:ascii="Times New Roman" w:hAnsi="Times New Roman" w:eastAsia="宋体" w:cs="Times New Roman"/>
                <w:b/>
                <w:bCs/>
                <w:color w:val="auto"/>
                <w:kern w:val="0"/>
                <w:sz w:val="21"/>
                <w:szCs w:val="21"/>
              </w:rPr>
              <w:t>表1-</w:t>
            </w:r>
            <w:r>
              <w:rPr>
                <w:rFonts w:hint="default" w:ascii="Times New Roman" w:hAnsi="Times New Roman" w:eastAsia="宋体" w:cs="Times New Roman"/>
                <w:b/>
                <w:bCs/>
                <w:color w:val="auto"/>
                <w:kern w:val="0"/>
                <w:sz w:val="21"/>
                <w:szCs w:val="21"/>
                <w:lang w:val="en-US" w:eastAsia="zh-CN"/>
              </w:rPr>
              <w:t xml:space="preserve">7 </w:t>
            </w:r>
            <w:r>
              <w:rPr>
                <w:rFonts w:hint="default" w:ascii="Times New Roman" w:hAnsi="Times New Roman" w:eastAsia="宋体" w:cs="Times New Roman"/>
                <w:b/>
                <w:bCs/>
                <w:color w:val="auto"/>
                <w:kern w:val="0"/>
                <w:sz w:val="21"/>
                <w:szCs w:val="21"/>
              </w:rPr>
              <w:t>与《京津冀及周边地区落实大气污染防治行动计划实施细则》符合性</w:t>
            </w:r>
          </w:p>
          <w:tbl>
            <w:tblPr>
              <w:tblStyle w:val="14"/>
              <w:tblW w:w="4946"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4837"/>
              <w:gridCol w:w="1658"/>
              <w:gridCol w:w="635"/>
            </w:tblGrid>
            <w:tr w14:paraId="70D796D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89" w:hRule="atLeast"/>
                <w:jc w:val="center"/>
              </w:trPr>
              <w:tc>
                <w:tcPr>
                  <w:tcW w:w="5072" w:type="dxa"/>
                  <w:tcBorders>
                    <w:tl2br w:val="nil"/>
                    <w:tr2bl w:val="nil"/>
                  </w:tcBorders>
                  <w:vAlign w:val="center"/>
                </w:tcPr>
                <w:p w14:paraId="79D626DF">
                  <w:pPr>
                    <w:keepNext w:val="0"/>
                    <w:keepLines w:val="0"/>
                    <w:pageBreakBefore w:val="0"/>
                    <w:widowControl w:val="0"/>
                    <w:kinsoku/>
                    <w:wordWrap/>
                    <w:overflowPunct/>
                    <w:topLinePunct w:val="0"/>
                    <w:bidi w:val="0"/>
                    <w:jc w:val="center"/>
                    <w:rPr>
                      <w:rFonts w:hint="default" w:ascii="Times New Roman" w:hAnsi="Times New Roman" w:eastAsia="宋体" w:cs="Times New Roman"/>
                      <w:b/>
                      <w:color w:val="auto"/>
                      <w:kern w:val="0"/>
                      <w:sz w:val="21"/>
                      <w:szCs w:val="21"/>
                    </w:rPr>
                  </w:pPr>
                  <w:r>
                    <w:rPr>
                      <w:rFonts w:hint="default" w:ascii="Times New Roman" w:hAnsi="Times New Roman" w:eastAsia="宋体" w:cs="Times New Roman"/>
                      <w:b/>
                      <w:color w:val="auto"/>
                      <w:kern w:val="0"/>
                      <w:sz w:val="21"/>
                      <w:szCs w:val="21"/>
                    </w:rPr>
                    <w:t>《京津冀及周边地区落实大气污染防治行动计划实施细则》相关规定</w:t>
                  </w:r>
                </w:p>
              </w:tc>
              <w:tc>
                <w:tcPr>
                  <w:tcW w:w="1697" w:type="dxa"/>
                  <w:tcBorders>
                    <w:tl2br w:val="nil"/>
                    <w:tr2bl w:val="nil"/>
                  </w:tcBorders>
                  <w:vAlign w:val="center"/>
                </w:tcPr>
                <w:p w14:paraId="279E31B9">
                  <w:pPr>
                    <w:keepNext w:val="0"/>
                    <w:keepLines w:val="0"/>
                    <w:pageBreakBefore w:val="0"/>
                    <w:widowControl w:val="0"/>
                    <w:kinsoku/>
                    <w:wordWrap/>
                    <w:overflowPunct/>
                    <w:topLinePunct w:val="0"/>
                    <w:bidi w:val="0"/>
                    <w:jc w:val="center"/>
                    <w:rPr>
                      <w:rFonts w:hint="default" w:ascii="Times New Roman" w:hAnsi="Times New Roman" w:eastAsia="宋体" w:cs="Times New Roman"/>
                      <w:b/>
                      <w:color w:val="auto"/>
                      <w:kern w:val="0"/>
                      <w:sz w:val="21"/>
                      <w:szCs w:val="21"/>
                    </w:rPr>
                  </w:pPr>
                  <w:r>
                    <w:rPr>
                      <w:rFonts w:hint="default" w:ascii="Times New Roman" w:hAnsi="Times New Roman" w:eastAsia="宋体" w:cs="Times New Roman"/>
                      <w:b/>
                      <w:color w:val="auto"/>
                      <w:kern w:val="0"/>
                      <w:sz w:val="21"/>
                      <w:szCs w:val="21"/>
                    </w:rPr>
                    <w:t>项目情况</w:t>
                  </w:r>
                </w:p>
              </w:tc>
              <w:tc>
                <w:tcPr>
                  <w:tcW w:w="647" w:type="dxa"/>
                  <w:tcBorders>
                    <w:tl2br w:val="nil"/>
                    <w:tr2bl w:val="nil"/>
                  </w:tcBorders>
                  <w:vAlign w:val="center"/>
                </w:tcPr>
                <w:p w14:paraId="7AE651A8">
                  <w:pPr>
                    <w:keepNext w:val="0"/>
                    <w:keepLines w:val="0"/>
                    <w:pageBreakBefore w:val="0"/>
                    <w:widowControl w:val="0"/>
                    <w:kinsoku/>
                    <w:wordWrap/>
                    <w:overflowPunct/>
                    <w:topLinePunct w:val="0"/>
                    <w:bidi w:val="0"/>
                    <w:jc w:val="center"/>
                    <w:rPr>
                      <w:rFonts w:hint="default" w:ascii="Times New Roman" w:hAnsi="Times New Roman" w:eastAsia="宋体" w:cs="Times New Roman"/>
                      <w:b/>
                      <w:color w:val="auto"/>
                      <w:kern w:val="0"/>
                      <w:sz w:val="21"/>
                      <w:szCs w:val="21"/>
                    </w:rPr>
                  </w:pPr>
                  <w:r>
                    <w:rPr>
                      <w:rFonts w:hint="default" w:ascii="Times New Roman" w:hAnsi="Times New Roman" w:eastAsia="宋体" w:cs="Times New Roman"/>
                      <w:b/>
                      <w:color w:val="auto"/>
                      <w:kern w:val="0"/>
                      <w:sz w:val="21"/>
                      <w:szCs w:val="21"/>
                    </w:rPr>
                    <w:t>结论</w:t>
                  </w:r>
                </w:p>
              </w:tc>
            </w:tr>
            <w:tr w14:paraId="4F808C8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4" w:hRule="atLeast"/>
                <w:jc w:val="center"/>
              </w:trPr>
              <w:tc>
                <w:tcPr>
                  <w:tcW w:w="5072" w:type="dxa"/>
                  <w:tcBorders>
                    <w:tl2br w:val="nil"/>
                    <w:tr2bl w:val="nil"/>
                  </w:tcBorders>
                  <w:vAlign w:val="center"/>
                </w:tcPr>
                <w:p w14:paraId="19C36771">
                  <w:pPr>
                    <w:keepNext w:val="0"/>
                    <w:keepLines w:val="0"/>
                    <w:pageBreakBefore w:val="0"/>
                    <w:widowControl w:val="0"/>
                    <w:kinsoku/>
                    <w:wordWrap/>
                    <w:overflowPunct/>
                    <w:topLinePunct w:val="0"/>
                    <w:bidi w:val="0"/>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京津冀及周边地区包括北京市、天津市、河北省、山西省、内蒙古自治区、山东省。</w:t>
                  </w:r>
                </w:p>
              </w:tc>
              <w:tc>
                <w:tcPr>
                  <w:tcW w:w="1697" w:type="dxa"/>
                  <w:tcBorders>
                    <w:tl2br w:val="nil"/>
                    <w:tr2bl w:val="nil"/>
                  </w:tcBorders>
                  <w:vAlign w:val="center"/>
                </w:tcPr>
                <w:p w14:paraId="786414B7">
                  <w:pPr>
                    <w:keepNext w:val="0"/>
                    <w:keepLines w:val="0"/>
                    <w:pageBreakBefore w:val="0"/>
                    <w:widowControl w:val="0"/>
                    <w:kinsoku/>
                    <w:wordWrap/>
                    <w:overflowPunct/>
                    <w:topLinePunct w:val="0"/>
                    <w:bidi w:val="0"/>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项目位于山东省。</w:t>
                  </w:r>
                </w:p>
              </w:tc>
              <w:tc>
                <w:tcPr>
                  <w:tcW w:w="647" w:type="dxa"/>
                  <w:tcBorders>
                    <w:tl2br w:val="nil"/>
                    <w:tr2bl w:val="nil"/>
                  </w:tcBorders>
                  <w:vAlign w:val="center"/>
                </w:tcPr>
                <w:p w14:paraId="327BB94D">
                  <w:pPr>
                    <w:keepNext w:val="0"/>
                    <w:keepLines w:val="0"/>
                    <w:pageBreakBefore w:val="0"/>
                    <w:widowControl w:val="0"/>
                    <w:kinsoku/>
                    <w:wordWrap/>
                    <w:overflowPunct/>
                    <w:topLinePunct w:val="0"/>
                    <w:bidi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符合</w:t>
                  </w:r>
                </w:p>
              </w:tc>
            </w:tr>
            <w:tr w14:paraId="08C2C80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5072" w:type="dxa"/>
                  <w:tcBorders>
                    <w:tl2br w:val="nil"/>
                    <w:tr2bl w:val="nil"/>
                  </w:tcBorders>
                  <w:vAlign w:val="center"/>
                </w:tcPr>
                <w:p w14:paraId="119BCA72">
                  <w:pPr>
                    <w:keepNext w:val="0"/>
                    <w:keepLines w:val="0"/>
                    <w:pageBreakBefore w:val="0"/>
                    <w:widowControl w:val="0"/>
                    <w:kinsoku/>
                    <w:wordWrap/>
                    <w:overflowPunct/>
                    <w:topLinePunct w:val="0"/>
                    <w:bidi w:val="0"/>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到2017年底，北京市、天津市、河北省、山西省和山东省所有工业园区以及化工、造纸、印染、制革、制药等产业集聚的地区，逐步取消自备燃煤锅炉，改用天然气等清洁能源或由周边热电厂集中供热。在供热供气管网覆盖不到的其他地区，改用电、新能源或洁净煤，推广应用高效节能环保型锅炉。北京市、天津市、河北省、山西省和山东省地级及以上城市建成区原则上不得新建燃煤锅炉。</w:t>
                  </w:r>
                </w:p>
              </w:tc>
              <w:tc>
                <w:tcPr>
                  <w:tcW w:w="1697" w:type="dxa"/>
                  <w:tcBorders>
                    <w:tl2br w:val="nil"/>
                    <w:tr2bl w:val="nil"/>
                  </w:tcBorders>
                  <w:vAlign w:val="center"/>
                </w:tcPr>
                <w:p w14:paraId="20B2421F">
                  <w:pPr>
                    <w:keepNext w:val="0"/>
                    <w:keepLines w:val="0"/>
                    <w:pageBreakBefore w:val="0"/>
                    <w:widowControl w:val="0"/>
                    <w:kinsoku/>
                    <w:wordWrap/>
                    <w:overflowPunct/>
                    <w:topLinePunct w:val="0"/>
                    <w:bidi w:val="0"/>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项目不属于上述行业，无燃煤锅炉。</w:t>
                  </w:r>
                </w:p>
              </w:tc>
              <w:tc>
                <w:tcPr>
                  <w:tcW w:w="647" w:type="dxa"/>
                  <w:tcBorders>
                    <w:tl2br w:val="nil"/>
                    <w:tr2bl w:val="nil"/>
                  </w:tcBorders>
                  <w:vAlign w:val="center"/>
                </w:tcPr>
                <w:p w14:paraId="719F5668">
                  <w:pPr>
                    <w:keepNext w:val="0"/>
                    <w:keepLines w:val="0"/>
                    <w:pageBreakBefore w:val="0"/>
                    <w:widowControl w:val="0"/>
                    <w:kinsoku/>
                    <w:wordWrap/>
                    <w:overflowPunct/>
                    <w:topLinePunct w:val="0"/>
                    <w:bidi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符合</w:t>
                  </w:r>
                </w:p>
              </w:tc>
            </w:tr>
            <w:tr w14:paraId="26F3789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08" w:hRule="atLeast"/>
                <w:jc w:val="center"/>
              </w:trPr>
              <w:tc>
                <w:tcPr>
                  <w:tcW w:w="5072" w:type="dxa"/>
                  <w:tcBorders>
                    <w:tl2br w:val="nil"/>
                    <w:tr2bl w:val="nil"/>
                  </w:tcBorders>
                  <w:vAlign w:val="center"/>
                </w:tcPr>
                <w:p w14:paraId="337F50FD">
                  <w:pPr>
                    <w:keepNext w:val="0"/>
                    <w:keepLines w:val="0"/>
                    <w:pageBreakBefore w:val="0"/>
                    <w:widowControl w:val="0"/>
                    <w:kinsoku/>
                    <w:wordWrap/>
                    <w:overflowPunct/>
                    <w:topLinePunct w:val="0"/>
                    <w:bidi w:val="0"/>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实施挥发性有机物污染综合治理工程。</w:t>
                  </w:r>
                </w:p>
              </w:tc>
              <w:tc>
                <w:tcPr>
                  <w:tcW w:w="1697" w:type="dxa"/>
                  <w:tcBorders>
                    <w:tl2br w:val="nil"/>
                    <w:tr2bl w:val="nil"/>
                  </w:tcBorders>
                  <w:vAlign w:val="center"/>
                </w:tcPr>
                <w:p w14:paraId="3652BB19">
                  <w:pPr>
                    <w:keepNext w:val="0"/>
                    <w:keepLines w:val="0"/>
                    <w:pageBreakBefore w:val="0"/>
                    <w:widowControl w:val="0"/>
                    <w:kinsoku/>
                    <w:wordWrap/>
                    <w:overflowPunct/>
                    <w:topLinePunct w:val="0"/>
                    <w:bidi w:val="0"/>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本项目不排放VOCs。</w:t>
                  </w:r>
                </w:p>
              </w:tc>
              <w:tc>
                <w:tcPr>
                  <w:tcW w:w="647" w:type="dxa"/>
                  <w:tcBorders>
                    <w:tl2br w:val="nil"/>
                    <w:tr2bl w:val="nil"/>
                  </w:tcBorders>
                  <w:vAlign w:val="center"/>
                </w:tcPr>
                <w:p w14:paraId="1EE088F9">
                  <w:pPr>
                    <w:keepNext w:val="0"/>
                    <w:keepLines w:val="0"/>
                    <w:pageBreakBefore w:val="0"/>
                    <w:widowControl w:val="0"/>
                    <w:kinsoku/>
                    <w:wordWrap/>
                    <w:overflowPunct/>
                    <w:topLinePunct w:val="0"/>
                    <w:bidi w:val="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符合</w:t>
                  </w:r>
                </w:p>
              </w:tc>
            </w:tr>
          </w:tbl>
          <w:p w14:paraId="2995DFFB">
            <w:pPr>
              <w:keepNext w:val="0"/>
              <w:keepLines w:val="0"/>
              <w:pageBreakBefore w:val="0"/>
              <w:widowControl w:val="0"/>
              <w:kinsoku/>
              <w:wordWrap/>
              <w:overflowPunct/>
              <w:topLinePunct w:val="0"/>
              <w:bidi w:val="0"/>
              <w:rPr>
                <w:rFonts w:hint="default" w:ascii="Times New Roman" w:hAnsi="Times New Roman" w:eastAsia="宋体" w:cs="Times New Roman"/>
                <w:color w:val="auto"/>
                <w:sz w:val="21"/>
                <w:szCs w:val="21"/>
              </w:rPr>
            </w:pPr>
          </w:p>
          <w:p w14:paraId="75BE6976">
            <w:pPr>
              <w:keepNext w:val="0"/>
              <w:keepLines w:val="0"/>
              <w:pageBreakBefore w:val="0"/>
              <w:widowControl w:val="0"/>
              <w:kinsoku/>
              <w:wordWrap/>
              <w:overflowPunct/>
              <w:topLinePunct w:val="0"/>
              <w:bidi w:val="0"/>
              <w:rPr>
                <w:rFonts w:hint="default" w:ascii="Times New Roman" w:hAnsi="Times New Roman" w:eastAsia="宋体" w:cs="Times New Roman"/>
                <w:color w:val="auto"/>
                <w:sz w:val="21"/>
                <w:szCs w:val="21"/>
              </w:rPr>
            </w:pPr>
          </w:p>
          <w:p w14:paraId="24E0C66F">
            <w:pPr>
              <w:keepNext w:val="0"/>
              <w:keepLines w:val="0"/>
              <w:pageBreakBefore w:val="0"/>
              <w:widowControl w:val="0"/>
              <w:kinsoku/>
              <w:wordWrap/>
              <w:overflowPunct/>
              <w:topLinePunct w:val="0"/>
              <w:bidi w:val="0"/>
              <w:rPr>
                <w:rFonts w:hint="default" w:ascii="Times New Roman" w:hAnsi="Times New Roman" w:eastAsia="宋体" w:cs="Times New Roman"/>
                <w:color w:val="auto"/>
                <w:sz w:val="21"/>
                <w:szCs w:val="21"/>
              </w:rPr>
            </w:pPr>
          </w:p>
        </w:tc>
      </w:tr>
    </w:tbl>
    <w:p w14:paraId="3FD42BCF">
      <w:pPr>
        <w:rPr>
          <w:rFonts w:hint="default" w:ascii="Times New Roman" w:hAnsi="Times New Roman" w:eastAsia="宋体" w:cs="Times New Roman"/>
          <w:color w:val="auto"/>
        </w:rPr>
      </w:pPr>
      <w:r>
        <w:rPr>
          <w:rFonts w:hint="default" w:ascii="Times New Roman" w:hAnsi="Times New Roman" w:eastAsia="宋体" w:cs="Times New Roman"/>
          <w:color w:val="auto"/>
        </w:rPr>
        <w:br w:type="page"/>
      </w:r>
    </w:p>
    <w:p w14:paraId="6D1AD4F0">
      <w:pPr>
        <w:pStyle w:val="13"/>
        <w:jc w:val="center"/>
        <w:outlineLvl w:val="0"/>
        <w:rPr>
          <w:rFonts w:hint="default" w:ascii="Times New Roman" w:hAnsi="Times New Roman" w:eastAsia="宋体" w:cs="Times New Roman"/>
          <w:snapToGrid w:val="0"/>
          <w:color w:val="auto"/>
          <w:sz w:val="30"/>
          <w:szCs w:val="30"/>
        </w:rPr>
      </w:pPr>
      <w:r>
        <w:rPr>
          <w:rFonts w:hint="default" w:ascii="Times New Roman" w:hAnsi="Times New Roman" w:eastAsia="宋体" w:cs="Times New Roman"/>
          <w:snapToGrid w:val="0"/>
          <w:color w:val="auto"/>
          <w:sz w:val="30"/>
          <w:szCs w:val="30"/>
        </w:rPr>
        <w:t>二、建设项目工程分析</w:t>
      </w:r>
    </w:p>
    <w:tbl>
      <w:tblPr>
        <w:tblStyle w:val="1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4"/>
        <w:gridCol w:w="8098"/>
      </w:tblGrid>
      <w:tr w14:paraId="7F4361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4" w:type="dxa"/>
            <w:vAlign w:val="center"/>
          </w:tcPr>
          <w:p w14:paraId="164DD110">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vertAlign w:val="baseline"/>
              </w:rPr>
              <w:t>建设内容</w:t>
            </w:r>
          </w:p>
        </w:tc>
        <w:tc>
          <w:tcPr>
            <w:tcW w:w="7838" w:type="dxa"/>
          </w:tcPr>
          <w:p w14:paraId="6169A802">
            <w:pPr>
              <w:snapToGrid w:val="0"/>
              <w:spacing w:line="360" w:lineRule="auto"/>
              <w:ind w:firstLine="422" w:firstLineChars="200"/>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lang w:val="en-US" w:eastAsia="zh-CN"/>
              </w:rPr>
              <w:t>一</w:t>
            </w:r>
            <w:r>
              <w:rPr>
                <w:rFonts w:hint="default" w:ascii="Times New Roman" w:hAnsi="Times New Roman" w:eastAsia="宋体" w:cs="Times New Roman"/>
                <w:b/>
                <w:bCs/>
                <w:color w:val="auto"/>
                <w:sz w:val="21"/>
                <w:szCs w:val="21"/>
              </w:rPr>
              <w:t>、项目由来</w:t>
            </w:r>
          </w:p>
          <w:p w14:paraId="2D5F4E90">
            <w:pPr>
              <w:adjustRightInd w:val="0"/>
              <w:snapToGrid w:val="0"/>
              <w:spacing w:line="360" w:lineRule="auto"/>
              <w:ind w:firstLine="420" w:firstLineChars="200"/>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淄博启新新材料科技有限公司成立于2020年08月13日，注册地位于山东省淄博市文昌湖区萌水镇萌三村（村委南1000米），法定代表人为魏云鹏。经营范围包括一般项目：非金属矿物制品制造；非金属矿及制品销售；耐火材料生产；耐火材料销售；金属材料制造；金属材料销售；金属矿石销售；合成材料制造（不含危险化学品）；合成材料销售（除依法须经批准的项目外，凭营业执照依法自主开展经营活动）许可项目：货物进出口（依法须经批准的项目，经相关部门批准后方可开展经营活动，具体经营项目以审批结果为准）。</w:t>
            </w:r>
          </w:p>
          <w:p w14:paraId="002C8861">
            <w:pPr>
              <w:adjustRightInd w:val="0"/>
              <w:snapToGrid w:val="0"/>
              <w:spacing w:line="360" w:lineRule="auto"/>
              <w:ind w:firstLine="420" w:firstLineChars="200"/>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bCs/>
                <w:color w:val="auto"/>
                <w:sz w:val="21"/>
                <w:szCs w:val="21"/>
                <w:lang w:val="en-US" w:eastAsia="zh-CN"/>
              </w:rPr>
              <w:t>淄博市周村鲁萌磨料磨具有限公司</w:t>
            </w:r>
            <w:r>
              <w:rPr>
                <w:rFonts w:hint="default" w:ascii="Times New Roman" w:hAnsi="Times New Roman" w:eastAsia="宋体" w:cs="Times New Roman"/>
                <w:color w:val="auto"/>
                <w:sz w:val="21"/>
                <w:szCs w:val="21"/>
                <w:vertAlign w:val="baseline"/>
              </w:rPr>
              <w:t>于</w:t>
            </w:r>
            <w:r>
              <w:rPr>
                <w:rFonts w:hint="default" w:ascii="Times New Roman" w:hAnsi="Times New Roman" w:eastAsia="宋体" w:cs="Times New Roman"/>
                <w:color w:val="auto"/>
                <w:sz w:val="21"/>
                <w:szCs w:val="21"/>
                <w:vertAlign w:val="baseline"/>
                <w:lang w:val="en-US" w:eastAsia="zh-CN"/>
              </w:rPr>
              <w:t>2020</w:t>
            </w:r>
            <w:r>
              <w:rPr>
                <w:rFonts w:hint="default" w:ascii="Times New Roman" w:hAnsi="Times New Roman" w:eastAsia="宋体" w:cs="Times New Roman"/>
                <w:color w:val="auto"/>
                <w:sz w:val="21"/>
                <w:szCs w:val="21"/>
                <w:vertAlign w:val="baseline"/>
              </w:rPr>
              <w:t>年</w:t>
            </w:r>
            <w:r>
              <w:rPr>
                <w:rFonts w:hint="default" w:ascii="Times New Roman" w:hAnsi="Times New Roman" w:eastAsia="宋体" w:cs="Times New Roman"/>
                <w:color w:val="auto"/>
                <w:sz w:val="21"/>
                <w:szCs w:val="21"/>
                <w:vertAlign w:val="baseline"/>
                <w:lang w:val="en-US" w:eastAsia="zh-CN"/>
              </w:rPr>
              <w:t>12</w:t>
            </w:r>
            <w:r>
              <w:rPr>
                <w:rFonts w:hint="default" w:ascii="Times New Roman" w:hAnsi="Times New Roman" w:eastAsia="宋体" w:cs="Times New Roman"/>
                <w:color w:val="auto"/>
                <w:sz w:val="21"/>
                <w:szCs w:val="21"/>
                <w:vertAlign w:val="baseline"/>
              </w:rPr>
              <w:t>月编制了</w:t>
            </w:r>
            <w:r>
              <w:rPr>
                <w:rFonts w:hint="default" w:ascii="Times New Roman" w:hAnsi="Times New Roman" w:eastAsia="宋体" w:cs="Times New Roman"/>
                <w:color w:val="auto"/>
                <w:sz w:val="21"/>
                <w:szCs w:val="21"/>
                <w:vertAlign w:val="baseline"/>
                <w:lang w:eastAsia="zh-CN"/>
              </w:rPr>
              <w:t>《年产9000吨超硬复合新材料提升改造和扩建项目</w:t>
            </w:r>
            <w:r>
              <w:rPr>
                <w:rFonts w:hint="default" w:ascii="Times New Roman" w:hAnsi="Times New Roman" w:eastAsia="宋体" w:cs="Times New Roman"/>
                <w:color w:val="auto"/>
                <w:sz w:val="21"/>
                <w:szCs w:val="21"/>
                <w:vertAlign w:val="baseline"/>
              </w:rPr>
              <w:t>环境影响报告表</w:t>
            </w:r>
            <w:r>
              <w:rPr>
                <w:rFonts w:hint="default" w:ascii="Times New Roman" w:hAnsi="Times New Roman" w:eastAsia="宋体" w:cs="Times New Roman"/>
                <w:color w:val="auto"/>
                <w:sz w:val="21"/>
                <w:szCs w:val="21"/>
                <w:vertAlign w:val="baseline"/>
                <w:lang w:eastAsia="zh-CN"/>
              </w:rPr>
              <w:t>》，</w:t>
            </w:r>
            <w:r>
              <w:rPr>
                <w:rFonts w:hint="default" w:ascii="Times New Roman" w:hAnsi="Times New Roman" w:eastAsia="宋体" w:cs="Times New Roman"/>
                <w:bCs/>
                <w:color w:val="auto"/>
                <w:sz w:val="21"/>
                <w:szCs w:val="21"/>
                <w:lang w:val="en-US" w:eastAsia="zh-CN"/>
              </w:rPr>
              <w:t>并于2020年12月11日取得了淄博文昌湖省级</w:t>
            </w:r>
            <w:r>
              <w:rPr>
                <w:rFonts w:hint="default" w:ascii="Times New Roman" w:hAnsi="Times New Roman" w:eastAsia="宋体" w:cs="Times New Roman"/>
                <w:bCs/>
                <w:color w:val="auto"/>
                <w:sz w:val="21"/>
                <w:szCs w:val="21"/>
              </w:rPr>
              <w:t>旅游度假区管理委员会安全生产监管和环境保护局</w:t>
            </w:r>
            <w:r>
              <w:rPr>
                <w:rFonts w:hint="default" w:ascii="Times New Roman" w:hAnsi="Times New Roman" w:eastAsia="宋体" w:cs="Times New Roman"/>
                <w:bCs/>
                <w:color w:val="auto"/>
                <w:sz w:val="21"/>
                <w:szCs w:val="21"/>
                <w:lang w:val="en-US" w:eastAsia="zh-CN"/>
              </w:rPr>
              <w:t>《关于淄博市周村鲁萌磨料磨具有限公司年产9000吨超硬复合新材料提升改造和扩建项目环境影响报告表的审批意见》（淄文环报告表〔2020〕74号）。</w:t>
            </w:r>
          </w:p>
          <w:p w14:paraId="0ED083F2">
            <w:pPr>
              <w:adjustRightInd w:val="0"/>
              <w:snapToGrid w:val="0"/>
              <w:spacing w:line="360" w:lineRule="auto"/>
              <w:ind w:firstLine="420" w:firstLineChars="200"/>
              <w:rPr>
                <w:rFonts w:hint="default" w:ascii="Times New Roman" w:hAnsi="Times New Roman" w:eastAsia="宋体" w:cs="Times New Roman"/>
                <w:color w:val="auto"/>
                <w:sz w:val="21"/>
                <w:szCs w:val="21"/>
                <w:vertAlign w:val="baseline"/>
                <w:lang w:eastAsia="zh-CN"/>
              </w:rPr>
            </w:pPr>
            <w:r>
              <w:rPr>
                <w:rFonts w:hint="default" w:ascii="Times New Roman" w:hAnsi="Times New Roman" w:eastAsia="宋体" w:cs="Times New Roman"/>
                <w:color w:val="FF0000"/>
                <w:sz w:val="21"/>
                <w:szCs w:val="21"/>
                <w:vertAlign w:val="baseline"/>
              </w:rPr>
              <w:t>淄博市周村鲁萌磨料磨具有限公司因法人年迈，无力继续经营，于2021年4月底停产，将原厂房、生产设备、生产工艺流程转让给淄博恒业研磨材料有限公司</w:t>
            </w:r>
            <w:r>
              <w:rPr>
                <w:rFonts w:hint="default" w:ascii="Times New Roman" w:hAnsi="Times New Roman" w:eastAsia="宋体" w:cs="Times New Roman"/>
                <w:color w:val="FF0000"/>
                <w:sz w:val="21"/>
                <w:szCs w:val="21"/>
                <w:vertAlign w:val="baseline"/>
                <w:lang w:eastAsia="zh-CN"/>
              </w:rPr>
              <w:t>。淄博恒业研磨材料有限公司需按照原淄博市周村鲁萌磨料磨具有限公司环境影响评价文件及其批复执行，并保持项目的性质、规模、地点、采用的生产工艺和污染防治措施均不变。淄博恒业研磨材料有限公司因业务发展需要于2021年</w:t>
            </w:r>
            <w:r>
              <w:rPr>
                <w:rFonts w:hint="default" w:ascii="Times New Roman" w:hAnsi="Times New Roman" w:eastAsia="宋体" w:cs="Times New Roman"/>
                <w:color w:val="FF0000"/>
                <w:sz w:val="21"/>
                <w:szCs w:val="21"/>
                <w:vertAlign w:val="baseline"/>
                <w:lang w:val="en-US" w:eastAsia="zh-CN"/>
              </w:rPr>
              <w:t>5</w:t>
            </w:r>
            <w:r>
              <w:rPr>
                <w:rFonts w:hint="default" w:ascii="Times New Roman" w:hAnsi="Times New Roman" w:eastAsia="宋体" w:cs="Times New Roman"/>
                <w:color w:val="FF0000"/>
                <w:sz w:val="21"/>
                <w:szCs w:val="21"/>
                <w:vertAlign w:val="baseline"/>
                <w:lang w:eastAsia="zh-CN"/>
              </w:rPr>
              <w:t>月，将原有</w:t>
            </w:r>
            <w:r>
              <w:rPr>
                <w:rFonts w:hint="default" w:ascii="Times New Roman" w:hAnsi="Times New Roman" w:eastAsia="宋体" w:cs="Times New Roman"/>
                <w:color w:val="FF0000"/>
                <w:sz w:val="21"/>
                <w:szCs w:val="21"/>
                <w:vertAlign w:val="baseline"/>
                <w:lang w:val="en-US" w:eastAsia="zh-CN"/>
              </w:rPr>
              <w:t>年产5000吨</w:t>
            </w:r>
            <w:r>
              <w:rPr>
                <w:rFonts w:hint="default" w:ascii="Times New Roman" w:hAnsi="Times New Roman" w:eastAsia="宋体" w:cs="Times New Roman"/>
                <w:color w:val="FF0000"/>
                <w:sz w:val="21"/>
                <w:szCs w:val="21"/>
                <w:vertAlign w:val="baseline"/>
                <w:lang w:eastAsia="zh-CN"/>
              </w:rPr>
              <w:t>白刚玉生产线原厂房、生产设备、生产工艺流程转让给淄博启新新材料科技有限公司。</w:t>
            </w:r>
          </w:p>
          <w:p w14:paraId="22E83317">
            <w:pPr>
              <w:adjustRightInd w:val="0"/>
              <w:snapToGrid w:val="0"/>
              <w:spacing w:line="360" w:lineRule="auto"/>
              <w:ind w:firstLine="420" w:firstLineChars="200"/>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bCs/>
                <w:color w:val="auto"/>
                <w:sz w:val="21"/>
                <w:szCs w:val="21"/>
                <w:lang w:val="en-US" w:eastAsia="zh-CN"/>
              </w:rPr>
              <w:t>相关证明材料见附件9。</w:t>
            </w:r>
          </w:p>
          <w:p w14:paraId="04E05BFE">
            <w:pPr>
              <w:adjustRightInd w:val="0"/>
              <w:snapToGrid w:val="0"/>
              <w:spacing w:line="360" w:lineRule="auto"/>
              <w:ind w:firstLine="420" w:firstLineChars="200"/>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color w:val="auto"/>
                <w:sz w:val="21"/>
                <w:szCs w:val="21"/>
                <w:vertAlign w:val="baseline"/>
              </w:rPr>
              <w:t>淄博启新新材料科技有限公司</w:t>
            </w:r>
            <w:r>
              <w:rPr>
                <w:rFonts w:hint="default" w:ascii="Times New Roman" w:hAnsi="Times New Roman" w:eastAsia="宋体" w:cs="Times New Roman"/>
                <w:color w:val="auto"/>
                <w:sz w:val="21"/>
                <w:szCs w:val="21"/>
                <w:vertAlign w:val="baseline"/>
                <w:lang w:val="en-US" w:eastAsia="zh-CN"/>
              </w:rPr>
              <w:t>实际</w:t>
            </w:r>
            <w:r>
              <w:rPr>
                <w:rFonts w:hint="default" w:ascii="Times New Roman" w:hAnsi="Times New Roman" w:eastAsia="宋体" w:cs="Times New Roman"/>
                <w:color w:val="auto"/>
                <w:sz w:val="21"/>
                <w:szCs w:val="21"/>
                <w:vertAlign w:val="baseline"/>
              </w:rPr>
              <w:t>现有项目为：年产</w:t>
            </w:r>
            <w:r>
              <w:rPr>
                <w:rFonts w:hint="default" w:ascii="Times New Roman" w:hAnsi="Times New Roman" w:eastAsia="宋体" w:cs="Times New Roman"/>
                <w:color w:val="auto"/>
                <w:sz w:val="21"/>
                <w:szCs w:val="21"/>
                <w:vertAlign w:val="baseline"/>
                <w:lang w:val="en-US" w:eastAsia="zh-CN"/>
              </w:rPr>
              <w:t>5</w:t>
            </w:r>
            <w:r>
              <w:rPr>
                <w:rFonts w:hint="default" w:ascii="Times New Roman" w:hAnsi="Times New Roman" w:eastAsia="宋体" w:cs="Times New Roman"/>
                <w:color w:val="auto"/>
                <w:sz w:val="21"/>
                <w:szCs w:val="21"/>
                <w:vertAlign w:val="baseline"/>
              </w:rPr>
              <w:t>000吨超硬复合新材</w:t>
            </w:r>
            <w:r>
              <w:rPr>
                <w:rFonts w:hint="default" w:ascii="Times New Roman" w:hAnsi="Times New Roman" w:eastAsia="宋体" w:cs="Times New Roman"/>
                <w:color w:val="auto"/>
                <w:sz w:val="21"/>
                <w:szCs w:val="21"/>
                <w:vertAlign w:val="baseline"/>
                <w:lang w:val="en-US" w:eastAsia="zh-CN"/>
              </w:rPr>
              <w:t>料</w:t>
            </w:r>
            <w:r>
              <w:rPr>
                <w:rFonts w:hint="default" w:ascii="Times New Roman" w:hAnsi="Times New Roman" w:eastAsia="宋体" w:cs="Times New Roman"/>
                <w:color w:val="auto"/>
                <w:sz w:val="21"/>
                <w:szCs w:val="21"/>
                <w:vertAlign w:val="baseline"/>
              </w:rPr>
              <w:t>提升改造和扩建项目</w:t>
            </w:r>
            <w:r>
              <w:rPr>
                <w:rFonts w:hint="default" w:ascii="Times New Roman" w:hAnsi="Times New Roman" w:eastAsia="宋体" w:cs="Times New Roman"/>
                <w:color w:val="auto"/>
                <w:sz w:val="21"/>
                <w:szCs w:val="21"/>
                <w:vertAlign w:val="baseline"/>
                <w:lang w:eastAsia="zh-CN"/>
              </w:rPr>
              <w:t>，</w:t>
            </w:r>
            <w:r>
              <w:rPr>
                <w:rFonts w:hint="default" w:ascii="Times New Roman" w:hAnsi="Times New Roman" w:eastAsia="宋体" w:cs="Times New Roman"/>
                <w:color w:val="auto"/>
                <w:sz w:val="21"/>
                <w:szCs w:val="21"/>
                <w:vertAlign w:val="baseline"/>
              </w:rPr>
              <w:t>该项目正常运行。</w:t>
            </w:r>
          </w:p>
          <w:p w14:paraId="3C55AB20">
            <w:pPr>
              <w:adjustRightInd w:val="0"/>
              <w:snapToGrid w:val="0"/>
              <w:spacing w:line="360" w:lineRule="auto"/>
              <w:ind w:firstLine="420" w:firstLineChars="200"/>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公司现有项目见下表：</w:t>
            </w:r>
          </w:p>
          <w:p w14:paraId="3D92C909">
            <w:pPr>
              <w:pStyle w:val="24"/>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表2-1 公司现有项目情况</w:t>
            </w:r>
          </w:p>
          <w:tbl>
            <w:tblPr>
              <w:tblStyle w:val="14"/>
              <w:tblW w:w="5000"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0" w:type="dxa"/>
                <w:bottom w:w="0" w:type="dxa"/>
                <w:right w:w="0" w:type="dxa"/>
              </w:tblCellMar>
            </w:tblPr>
            <w:tblGrid>
              <w:gridCol w:w="618"/>
              <w:gridCol w:w="1192"/>
              <w:gridCol w:w="2080"/>
              <w:gridCol w:w="1633"/>
              <w:gridCol w:w="1337"/>
              <w:gridCol w:w="1017"/>
            </w:tblGrid>
            <w:tr w14:paraId="5EDA185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403" w:hRule="atLeast"/>
                <w:jc w:val="center"/>
              </w:trPr>
              <w:tc>
                <w:tcPr>
                  <w:tcW w:w="392" w:type="pct"/>
                  <w:tcBorders>
                    <w:tl2br w:val="nil"/>
                    <w:tr2bl w:val="nil"/>
                  </w:tcBorders>
                  <w:vAlign w:val="center"/>
                </w:tcPr>
                <w:p w14:paraId="43373303">
                  <w:pPr>
                    <w:pStyle w:val="25"/>
                    <w:adjustRightInd w:val="0"/>
                    <w:snapToGrid w:val="0"/>
                    <w:rPr>
                      <w:rFonts w:hint="default" w:ascii="Times New Roman" w:hAnsi="Times New Roman" w:eastAsia="宋体" w:cs="Times New Roman"/>
                      <w:b/>
                      <w:bCs/>
                      <w:color w:val="auto"/>
                      <w:kern w:val="2"/>
                      <w:sz w:val="21"/>
                      <w:szCs w:val="21"/>
                    </w:rPr>
                  </w:pPr>
                  <w:r>
                    <w:rPr>
                      <w:rFonts w:hint="default" w:ascii="Times New Roman" w:hAnsi="Times New Roman" w:eastAsia="宋体" w:cs="Times New Roman"/>
                      <w:b/>
                      <w:bCs/>
                      <w:color w:val="auto"/>
                      <w:kern w:val="2"/>
                      <w:sz w:val="21"/>
                      <w:szCs w:val="21"/>
                    </w:rPr>
                    <w:t>序号</w:t>
                  </w:r>
                </w:p>
              </w:tc>
              <w:tc>
                <w:tcPr>
                  <w:tcW w:w="756" w:type="pct"/>
                  <w:tcBorders>
                    <w:tl2br w:val="nil"/>
                    <w:tr2bl w:val="nil"/>
                  </w:tcBorders>
                  <w:tcMar>
                    <w:left w:w="0" w:type="dxa"/>
                    <w:right w:w="0" w:type="dxa"/>
                  </w:tcMar>
                  <w:vAlign w:val="center"/>
                </w:tcPr>
                <w:p w14:paraId="37ACE4A4">
                  <w:pPr>
                    <w:pStyle w:val="25"/>
                    <w:adjustRightInd w:val="0"/>
                    <w:snapToGrid w:val="0"/>
                    <w:rPr>
                      <w:rFonts w:hint="default" w:ascii="Times New Roman" w:hAnsi="Times New Roman" w:eastAsia="宋体" w:cs="Times New Roman"/>
                      <w:b/>
                      <w:bCs/>
                      <w:color w:val="auto"/>
                      <w:kern w:val="2"/>
                      <w:sz w:val="21"/>
                      <w:szCs w:val="21"/>
                    </w:rPr>
                  </w:pPr>
                  <w:r>
                    <w:rPr>
                      <w:rFonts w:hint="default" w:ascii="Times New Roman" w:hAnsi="Times New Roman" w:eastAsia="宋体" w:cs="Times New Roman"/>
                      <w:b/>
                      <w:bCs/>
                      <w:color w:val="auto"/>
                      <w:kern w:val="2"/>
                      <w:sz w:val="21"/>
                      <w:szCs w:val="21"/>
                    </w:rPr>
                    <w:t>项目名称</w:t>
                  </w:r>
                </w:p>
              </w:tc>
              <w:tc>
                <w:tcPr>
                  <w:tcW w:w="1319" w:type="pct"/>
                  <w:tcBorders>
                    <w:tl2br w:val="nil"/>
                    <w:tr2bl w:val="nil"/>
                  </w:tcBorders>
                  <w:tcMar>
                    <w:left w:w="0" w:type="dxa"/>
                    <w:right w:w="0" w:type="dxa"/>
                  </w:tcMar>
                  <w:vAlign w:val="center"/>
                </w:tcPr>
                <w:p w14:paraId="7ECC264A">
                  <w:pPr>
                    <w:pStyle w:val="25"/>
                    <w:adjustRightInd w:val="0"/>
                    <w:snapToGrid w:val="0"/>
                    <w:rPr>
                      <w:rFonts w:hint="default" w:ascii="Times New Roman" w:hAnsi="Times New Roman" w:eastAsia="宋体" w:cs="Times New Roman"/>
                      <w:b/>
                      <w:bCs/>
                      <w:color w:val="auto"/>
                      <w:kern w:val="2"/>
                      <w:sz w:val="21"/>
                      <w:szCs w:val="21"/>
                    </w:rPr>
                  </w:pPr>
                  <w:r>
                    <w:rPr>
                      <w:rFonts w:hint="default" w:ascii="Times New Roman" w:hAnsi="Times New Roman" w:eastAsia="宋体" w:cs="Times New Roman"/>
                      <w:b/>
                      <w:bCs/>
                      <w:color w:val="auto"/>
                      <w:kern w:val="2"/>
                      <w:sz w:val="21"/>
                      <w:szCs w:val="21"/>
                    </w:rPr>
                    <w:t>环评批复文号及时间</w:t>
                  </w:r>
                </w:p>
              </w:tc>
              <w:tc>
                <w:tcPr>
                  <w:tcW w:w="1036" w:type="pct"/>
                  <w:tcBorders>
                    <w:tl2br w:val="nil"/>
                    <w:tr2bl w:val="nil"/>
                  </w:tcBorders>
                  <w:tcMar>
                    <w:left w:w="0" w:type="dxa"/>
                    <w:right w:w="0" w:type="dxa"/>
                  </w:tcMar>
                  <w:vAlign w:val="center"/>
                </w:tcPr>
                <w:p w14:paraId="78E5E65B">
                  <w:pPr>
                    <w:pStyle w:val="25"/>
                    <w:adjustRightInd w:val="0"/>
                    <w:snapToGrid w:val="0"/>
                    <w:rPr>
                      <w:rFonts w:hint="default" w:ascii="Times New Roman" w:hAnsi="Times New Roman" w:eastAsia="宋体" w:cs="Times New Roman"/>
                      <w:b/>
                      <w:bCs/>
                      <w:color w:val="auto"/>
                      <w:kern w:val="2"/>
                      <w:sz w:val="21"/>
                      <w:szCs w:val="21"/>
                    </w:rPr>
                  </w:pPr>
                  <w:r>
                    <w:rPr>
                      <w:rFonts w:hint="default" w:ascii="Times New Roman" w:hAnsi="Times New Roman" w:eastAsia="宋体" w:cs="Times New Roman"/>
                      <w:b/>
                      <w:bCs/>
                      <w:color w:val="auto"/>
                      <w:kern w:val="2"/>
                      <w:sz w:val="21"/>
                      <w:szCs w:val="21"/>
                    </w:rPr>
                    <w:t>验收文号及时间</w:t>
                  </w:r>
                </w:p>
              </w:tc>
              <w:tc>
                <w:tcPr>
                  <w:tcW w:w="848" w:type="pct"/>
                  <w:tcBorders>
                    <w:tl2br w:val="nil"/>
                    <w:tr2bl w:val="nil"/>
                  </w:tcBorders>
                  <w:tcMar>
                    <w:left w:w="0" w:type="dxa"/>
                    <w:right w:w="0" w:type="dxa"/>
                  </w:tcMar>
                  <w:vAlign w:val="center"/>
                </w:tcPr>
                <w:p w14:paraId="26C32C78">
                  <w:pPr>
                    <w:pStyle w:val="25"/>
                    <w:adjustRightInd w:val="0"/>
                    <w:snapToGrid w:val="0"/>
                    <w:rPr>
                      <w:rFonts w:hint="default" w:ascii="Times New Roman" w:hAnsi="Times New Roman" w:eastAsia="宋体" w:cs="Times New Roman"/>
                      <w:b/>
                      <w:bCs/>
                      <w:color w:val="auto"/>
                      <w:kern w:val="2"/>
                      <w:sz w:val="21"/>
                      <w:szCs w:val="21"/>
                    </w:rPr>
                  </w:pPr>
                  <w:r>
                    <w:rPr>
                      <w:rFonts w:hint="default" w:ascii="Times New Roman" w:hAnsi="Times New Roman" w:eastAsia="宋体" w:cs="Times New Roman"/>
                      <w:b/>
                      <w:bCs/>
                      <w:color w:val="auto"/>
                      <w:kern w:val="2"/>
                      <w:sz w:val="21"/>
                      <w:szCs w:val="21"/>
                    </w:rPr>
                    <w:t>产品规模</w:t>
                  </w:r>
                </w:p>
              </w:tc>
              <w:tc>
                <w:tcPr>
                  <w:tcW w:w="645" w:type="pct"/>
                  <w:tcBorders>
                    <w:tl2br w:val="nil"/>
                    <w:tr2bl w:val="nil"/>
                  </w:tcBorders>
                  <w:tcMar>
                    <w:left w:w="0" w:type="dxa"/>
                    <w:right w:w="0" w:type="dxa"/>
                  </w:tcMar>
                  <w:vAlign w:val="center"/>
                </w:tcPr>
                <w:p w14:paraId="288DB15D">
                  <w:pPr>
                    <w:pStyle w:val="25"/>
                    <w:adjustRightInd w:val="0"/>
                    <w:snapToGrid w:val="0"/>
                    <w:rPr>
                      <w:rFonts w:hint="default" w:ascii="Times New Roman" w:hAnsi="Times New Roman" w:eastAsia="宋体" w:cs="Times New Roman"/>
                      <w:b/>
                      <w:bCs/>
                      <w:color w:val="auto"/>
                      <w:kern w:val="2"/>
                      <w:sz w:val="21"/>
                      <w:szCs w:val="21"/>
                    </w:rPr>
                  </w:pPr>
                  <w:r>
                    <w:rPr>
                      <w:rFonts w:hint="default" w:ascii="Times New Roman" w:hAnsi="Times New Roman" w:eastAsia="宋体" w:cs="Times New Roman"/>
                      <w:b/>
                      <w:bCs/>
                      <w:color w:val="auto"/>
                      <w:kern w:val="2"/>
                      <w:sz w:val="21"/>
                      <w:szCs w:val="21"/>
                    </w:rPr>
                    <w:t>生产情况</w:t>
                  </w:r>
                </w:p>
              </w:tc>
            </w:tr>
            <w:tr w14:paraId="1D37F1C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403" w:hRule="atLeast"/>
                <w:jc w:val="center"/>
              </w:trPr>
              <w:tc>
                <w:tcPr>
                  <w:tcW w:w="392" w:type="pct"/>
                  <w:tcBorders>
                    <w:tl2br w:val="nil"/>
                    <w:tr2bl w:val="nil"/>
                  </w:tcBorders>
                  <w:vAlign w:val="center"/>
                </w:tcPr>
                <w:p w14:paraId="6FE4E6D2">
                  <w:pPr>
                    <w:pStyle w:val="25"/>
                    <w:adjustRightInd w:val="0"/>
                    <w:snapToGrid w:val="0"/>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1</w:t>
                  </w:r>
                </w:p>
              </w:tc>
              <w:tc>
                <w:tcPr>
                  <w:tcW w:w="756" w:type="pct"/>
                  <w:tcBorders>
                    <w:tl2br w:val="nil"/>
                    <w:tr2bl w:val="nil"/>
                  </w:tcBorders>
                  <w:tcMar>
                    <w:left w:w="0" w:type="dxa"/>
                    <w:right w:w="0" w:type="dxa"/>
                  </w:tcMar>
                  <w:vAlign w:val="center"/>
                </w:tcPr>
                <w:p w14:paraId="3B77F3FC">
                  <w:pPr>
                    <w:pStyle w:val="25"/>
                    <w:adjustRightInd w:val="0"/>
                    <w:snapToGrid w:val="0"/>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年产9000吨超硬复合新</w:t>
                  </w:r>
                  <w:r>
                    <w:rPr>
                      <w:rFonts w:hint="default" w:ascii="Times New Roman" w:hAnsi="Times New Roman" w:eastAsia="宋体" w:cs="Times New Roman"/>
                      <w:color w:val="auto"/>
                      <w:kern w:val="2"/>
                      <w:sz w:val="21"/>
                      <w:szCs w:val="21"/>
                      <w:lang w:eastAsia="zh-CN"/>
                    </w:rPr>
                    <w:t>材料</w:t>
                  </w:r>
                  <w:r>
                    <w:rPr>
                      <w:rFonts w:hint="default" w:ascii="Times New Roman" w:hAnsi="Times New Roman" w:eastAsia="宋体" w:cs="Times New Roman"/>
                      <w:color w:val="auto"/>
                      <w:kern w:val="2"/>
                      <w:sz w:val="21"/>
                      <w:szCs w:val="21"/>
                    </w:rPr>
                    <w:t>提升改造和扩建项目</w:t>
                  </w:r>
                </w:p>
              </w:tc>
              <w:tc>
                <w:tcPr>
                  <w:tcW w:w="1319" w:type="pct"/>
                  <w:tcBorders>
                    <w:tl2br w:val="nil"/>
                    <w:tr2bl w:val="nil"/>
                  </w:tcBorders>
                  <w:tcMar>
                    <w:left w:w="0" w:type="dxa"/>
                    <w:right w:w="0" w:type="dxa"/>
                  </w:tcMar>
                  <w:vAlign w:val="center"/>
                </w:tcPr>
                <w:p w14:paraId="03D7E165">
                  <w:pPr>
                    <w:pStyle w:val="25"/>
                    <w:adjustRightInd w:val="0"/>
                    <w:snapToGrid w:val="0"/>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2020年12月11日取得了淄博文昌湖省级旅游度假区管理委员会安全生产监管和环境保护局的审批</w:t>
                  </w:r>
                </w:p>
              </w:tc>
              <w:tc>
                <w:tcPr>
                  <w:tcW w:w="1036" w:type="pct"/>
                  <w:tcBorders>
                    <w:tl2br w:val="nil"/>
                    <w:tr2bl w:val="nil"/>
                  </w:tcBorders>
                  <w:tcMar>
                    <w:left w:w="0" w:type="dxa"/>
                    <w:right w:w="0" w:type="dxa"/>
                  </w:tcMar>
                  <w:vAlign w:val="center"/>
                </w:tcPr>
                <w:p w14:paraId="0BEE80D0">
                  <w:pPr>
                    <w:pStyle w:val="25"/>
                    <w:adjustRightInd w:val="0"/>
                    <w:snapToGrid w:val="0"/>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淄文环报告表〔2020〕74号</w:t>
                  </w:r>
                </w:p>
              </w:tc>
              <w:tc>
                <w:tcPr>
                  <w:tcW w:w="848" w:type="pct"/>
                  <w:tcBorders>
                    <w:tl2br w:val="nil"/>
                    <w:tr2bl w:val="nil"/>
                  </w:tcBorders>
                  <w:tcMar>
                    <w:left w:w="0" w:type="dxa"/>
                    <w:right w:w="0" w:type="dxa"/>
                  </w:tcMar>
                  <w:vAlign w:val="center"/>
                </w:tcPr>
                <w:p w14:paraId="57D069FA">
                  <w:pPr>
                    <w:pStyle w:val="25"/>
                    <w:adjustRightInd w:val="0"/>
                    <w:snapToGrid w:val="0"/>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年产刚玉砂9000t/a（本公司实有年产刚玉砂5000t/a）</w:t>
                  </w:r>
                </w:p>
              </w:tc>
              <w:tc>
                <w:tcPr>
                  <w:tcW w:w="645" w:type="pct"/>
                  <w:tcBorders>
                    <w:tl2br w:val="nil"/>
                    <w:tr2bl w:val="nil"/>
                  </w:tcBorders>
                  <w:tcMar>
                    <w:left w:w="0" w:type="dxa"/>
                    <w:right w:w="0" w:type="dxa"/>
                  </w:tcMar>
                  <w:vAlign w:val="center"/>
                </w:tcPr>
                <w:p w14:paraId="717E816C">
                  <w:pPr>
                    <w:pStyle w:val="25"/>
                    <w:adjustRightInd w:val="0"/>
                    <w:snapToGrid w:val="0"/>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正常运行</w:t>
                  </w:r>
                </w:p>
              </w:tc>
            </w:tr>
          </w:tbl>
          <w:p w14:paraId="2E9AD6A5">
            <w:pPr>
              <w:adjustRightInd w:val="0"/>
              <w:snapToGrid w:val="0"/>
              <w:spacing w:line="360" w:lineRule="auto"/>
              <w:ind w:firstLine="420" w:firstLineChars="200"/>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FF0000"/>
                <w:sz w:val="21"/>
                <w:szCs w:val="21"/>
                <w:lang w:val="en-US" w:eastAsia="zh-CN"/>
              </w:rPr>
              <w:t>2021年5月1日，淄博恒业研磨材料有限公司将原有</w:t>
            </w:r>
            <w:r>
              <w:rPr>
                <w:rFonts w:hint="default" w:ascii="Times New Roman" w:hAnsi="Times New Roman" w:eastAsia="宋体" w:cs="Times New Roman"/>
                <w:color w:val="FF0000"/>
                <w:sz w:val="21"/>
                <w:szCs w:val="21"/>
                <w:vertAlign w:val="baseline"/>
                <w:lang w:val="en-US" w:eastAsia="zh-CN"/>
              </w:rPr>
              <w:t>年产5000吨</w:t>
            </w:r>
            <w:r>
              <w:rPr>
                <w:rFonts w:hint="default" w:ascii="Times New Roman" w:hAnsi="Times New Roman" w:eastAsia="宋体" w:cs="Times New Roman"/>
                <w:bCs/>
                <w:color w:val="FF0000"/>
                <w:sz w:val="21"/>
                <w:szCs w:val="21"/>
                <w:lang w:val="en-US" w:eastAsia="zh-CN"/>
              </w:rPr>
              <w:t>白刚玉生产线原厂房、生产设备、生产工艺流程转让给淄博启新新材料科技有限公司</w:t>
            </w:r>
            <w:r>
              <w:rPr>
                <w:rFonts w:hint="default" w:ascii="Times New Roman" w:hAnsi="Times New Roman" w:eastAsia="宋体" w:cs="Times New Roman"/>
                <w:bCs/>
                <w:color w:val="auto"/>
                <w:sz w:val="21"/>
                <w:szCs w:val="21"/>
                <w:lang w:val="en-US" w:eastAsia="zh-CN"/>
              </w:rPr>
              <w:t>，因公司计划提升生产规模，</w:t>
            </w:r>
            <w:r>
              <w:rPr>
                <w:rFonts w:hint="default" w:ascii="Times New Roman" w:hAnsi="Times New Roman" w:eastAsia="宋体" w:cs="Times New Roman"/>
                <w:bCs/>
                <w:color w:val="auto"/>
                <w:sz w:val="21"/>
                <w:szCs w:val="21"/>
              </w:rPr>
              <w:t>淄博启新新材料科技有限公司</w:t>
            </w:r>
            <w:r>
              <w:rPr>
                <w:rFonts w:hint="default" w:ascii="Times New Roman" w:hAnsi="Times New Roman" w:eastAsia="宋体" w:cs="Times New Roman"/>
                <w:bCs/>
                <w:color w:val="auto"/>
                <w:sz w:val="21"/>
                <w:szCs w:val="21"/>
                <w:lang w:val="en-US" w:eastAsia="zh-CN"/>
              </w:rPr>
              <w:t>现</w:t>
            </w:r>
            <w:r>
              <w:rPr>
                <w:rFonts w:hint="default" w:ascii="Times New Roman" w:hAnsi="Times New Roman" w:eastAsia="宋体" w:cs="Times New Roman"/>
                <w:bCs/>
                <w:color w:val="auto"/>
                <w:sz w:val="21"/>
                <w:szCs w:val="21"/>
              </w:rPr>
              <w:t>拟投资</w:t>
            </w:r>
            <w:r>
              <w:rPr>
                <w:rFonts w:hint="default" w:ascii="Times New Roman" w:hAnsi="Times New Roman" w:eastAsia="宋体" w:cs="Times New Roman"/>
                <w:bCs/>
                <w:color w:val="auto"/>
                <w:sz w:val="21"/>
                <w:szCs w:val="21"/>
                <w:lang w:val="en-US" w:eastAsia="zh-CN"/>
              </w:rPr>
              <w:t>520</w:t>
            </w:r>
            <w:r>
              <w:rPr>
                <w:rFonts w:hint="default" w:ascii="Times New Roman" w:hAnsi="Times New Roman" w:eastAsia="宋体" w:cs="Times New Roman"/>
                <w:bCs/>
                <w:color w:val="auto"/>
                <w:sz w:val="21"/>
                <w:szCs w:val="21"/>
              </w:rPr>
              <w:t>万元，</w:t>
            </w:r>
            <w:r>
              <w:rPr>
                <w:rFonts w:hint="default" w:ascii="Times New Roman" w:hAnsi="Times New Roman" w:eastAsia="宋体" w:cs="Times New Roman"/>
                <w:bCs/>
                <w:color w:val="auto"/>
                <w:sz w:val="21"/>
                <w:szCs w:val="21"/>
                <w:lang w:val="en-US" w:eastAsia="zh-CN"/>
              </w:rPr>
              <w:t>将原有生产车间改造成为仓库，利用厂区现有闲置区域建设新厂房，</w:t>
            </w:r>
            <w:r>
              <w:rPr>
                <w:rFonts w:hint="default" w:ascii="Times New Roman" w:hAnsi="Times New Roman" w:eastAsia="宋体" w:cs="Times New Roman"/>
                <w:bCs/>
                <w:color w:val="auto"/>
                <w:sz w:val="21"/>
                <w:szCs w:val="21"/>
              </w:rPr>
              <w:t>购置破碎机、对辊机、磁选机、除尘器、振动筛、提升机、空压机等生产设备35-50台（套）</w:t>
            </w:r>
            <w:r>
              <w:rPr>
                <w:rFonts w:hint="default" w:ascii="Times New Roman" w:hAnsi="Times New Roman" w:eastAsia="宋体" w:cs="Times New Roman"/>
                <w:bCs/>
                <w:color w:val="auto"/>
                <w:sz w:val="21"/>
                <w:szCs w:val="21"/>
                <w:lang w:eastAsia="zh-CN"/>
              </w:rPr>
              <w:t>，</w:t>
            </w:r>
            <w:r>
              <w:rPr>
                <w:rFonts w:hint="default" w:ascii="Times New Roman" w:hAnsi="Times New Roman" w:eastAsia="宋体" w:cs="Times New Roman"/>
                <w:bCs/>
                <w:color w:val="auto"/>
                <w:sz w:val="21"/>
                <w:szCs w:val="21"/>
                <w:lang w:val="en-US" w:eastAsia="zh-CN"/>
              </w:rPr>
              <w:t>在现有年产5000吨</w:t>
            </w:r>
            <w:r>
              <w:rPr>
                <w:rFonts w:hint="default" w:ascii="Times New Roman" w:hAnsi="Times New Roman" w:eastAsia="宋体" w:cs="Times New Roman"/>
                <w:color w:val="auto"/>
                <w:sz w:val="21"/>
                <w:szCs w:val="21"/>
              </w:rPr>
              <w:t>超硬复合新材料</w:t>
            </w:r>
            <w:r>
              <w:rPr>
                <w:rFonts w:hint="default" w:ascii="Times New Roman" w:hAnsi="Times New Roman" w:eastAsia="宋体" w:cs="Times New Roman"/>
                <w:color w:val="auto"/>
                <w:sz w:val="21"/>
                <w:szCs w:val="21"/>
                <w:lang w:val="en-US" w:eastAsia="zh-CN"/>
              </w:rPr>
              <w:t>的基础上进行扩建，扩建新增规模为</w:t>
            </w:r>
            <w:r>
              <w:rPr>
                <w:rFonts w:hint="default" w:ascii="Times New Roman" w:hAnsi="Times New Roman" w:eastAsia="宋体" w:cs="Times New Roman"/>
                <w:bCs/>
                <w:color w:val="auto"/>
                <w:sz w:val="21"/>
                <w:szCs w:val="21"/>
                <w:lang w:val="en-US" w:eastAsia="zh-CN"/>
              </w:rPr>
              <w:t>年产5000吨</w:t>
            </w:r>
            <w:r>
              <w:rPr>
                <w:rFonts w:hint="default" w:ascii="Times New Roman" w:hAnsi="Times New Roman" w:eastAsia="宋体" w:cs="Times New Roman"/>
                <w:color w:val="auto"/>
                <w:sz w:val="21"/>
                <w:szCs w:val="21"/>
              </w:rPr>
              <w:t>超硬复合新材料</w:t>
            </w:r>
            <w:r>
              <w:rPr>
                <w:rFonts w:hint="default" w:ascii="Times New Roman" w:hAnsi="Times New Roman" w:eastAsia="宋体" w:cs="Times New Roman"/>
                <w:bCs/>
                <w:color w:val="auto"/>
                <w:sz w:val="21"/>
                <w:szCs w:val="21"/>
                <w:lang w:eastAsia="zh-CN"/>
              </w:rPr>
              <w:t>，</w:t>
            </w:r>
            <w:r>
              <w:rPr>
                <w:rFonts w:hint="default" w:ascii="Times New Roman" w:hAnsi="Times New Roman" w:eastAsia="宋体" w:cs="Times New Roman"/>
                <w:bCs/>
                <w:color w:val="auto"/>
                <w:sz w:val="21"/>
                <w:szCs w:val="21"/>
                <w:lang w:val="en-US" w:eastAsia="zh-CN"/>
              </w:rPr>
              <w:t>本</w:t>
            </w:r>
            <w:r>
              <w:rPr>
                <w:rFonts w:hint="default" w:ascii="Times New Roman" w:hAnsi="Times New Roman" w:eastAsia="宋体" w:cs="Times New Roman"/>
                <w:bCs/>
                <w:color w:val="auto"/>
                <w:sz w:val="21"/>
                <w:szCs w:val="21"/>
              </w:rPr>
              <w:t>项目建设完成后</w:t>
            </w:r>
            <w:r>
              <w:rPr>
                <w:rFonts w:hint="default" w:ascii="Times New Roman" w:hAnsi="Times New Roman" w:eastAsia="宋体" w:cs="Times New Roman"/>
                <w:bCs/>
                <w:color w:val="auto"/>
                <w:sz w:val="21"/>
                <w:szCs w:val="21"/>
                <w:lang w:val="en-US" w:eastAsia="zh-CN"/>
              </w:rPr>
              <w:t>全厂实现年产1万吨超硬复合新材料。</w:t>
            </w:r>
          </w:p>
          <w:p w14:paraId="052933F6">
            <w:pPr>
              <w:snapToGrid w:val="0"/>
              <w:spacing w:line="360" w:lineRule="auto"/>
              <w:ind w:firstLine="422" w:firstLineChars="200"/>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2、建设项目概况</w:t>
            </w:r>
          </w:p>
          <w:p w14:paraId="18BB2ACD">
            <w:pPr>
              <w:adjustRightInd w:val="0"/>
              <w:snapToGrid w:val="0"/>
              <w:spacing w:line="360" w:lineRule="auto"/>
              <w:ind w:firstLine="420" w:firstLineChars="200"/>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项目名称：</w:t>
            </w:r>
            <w:r>
              <w:rPr>
                <w:rFonts w:hint="default" w:ascii="Times New Roman" w:hAnsi="Times New Roman" w:eastAsia="宋体" w:cs="Times New Roman"/>
                <w:color w:val="auto"/>
                <w:sz w:val="21"/>
                <w:szCs w:val="21"/>
              </w:rPr>
              <w:t>淄博启新新材料科技有限公司年产1万吨超硬复合新材料项目</w:t>
            </w:r>
          </w:p>
          <w:p w14:paraId="5F65CA6B">
            <w:pPr>
              <w:adjustRightInd w:val="0"/>
              <w:snapToGrid w:val="0"/>
              <w:spacing w:line="360" w:lineRule="auto"/>
              <w:ind w:firstLine="420" w:firstLineChars="200"/>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建设单位：</w:t>
            </w:r>
            <w:r>
              <w:rPr>
                <w:rFonts w:hint="default" w:ascii="Times New Roman" w:hAnsi="Times New Roman" w:eastAsia="宋体" w:cs="Times New Roman"/>
                <w:color w:val="auto"/>
                <w:sz w:val="21"/>
                <w:szCs w:val="21"/>
              </w:rPr>
              <w:t>淄博启新新材料科技有限公司</w:t>
            </w:r>
          </w:p>
          <w:p w14:paraId="5F1363CE">
            <w:pPr>
              <w:adjustRightInd w:val="0"/>
              <w:snapToGrid w:val="0"/>
              <w:spacing w:line="360" w:lineRule="auto"/>
              <w:ind w:firstLine="420" w:firstLineChars="200"/>
              <w:rPr>
                <w:rFonts w:hint="default" w:ascii="Times New Roman" w:hAnsi="Times New Roman" w:eastAsia="宋体" w:cs="Times New Roman"/>
                <w:bCs/>
                <w:color w:val="auto"/>
                <w:sz w:val="21"/>
                <w:szCs w:val="21"/>
                <w:lang w:eastAsia="zh-CN"/>
              </w:rPr>
            </w:pPr>
            <w:r>
              <w:rPr>
                <w:rFonts w:hint="default" w:ascii="Times New Roman" w:hAnsi="Times New Roman" w:eastAsia="宋体" w:cs="Times New Roman"/>
                <w:bCs/>
                <w:color w:val="auto"/>
                <w:sz w:val="21"/>
                <w:szCs w:val="21"/>
              </w:rPr>
              <w:t>建设性质</w:t>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val="en-US" w:eastAsia="zh-CN"/>
              </w:rPr>
              <w:t>扩建</w:t>
            </w:r>
          </w:p>
          <w:p w14:paraId="05E8B61F">
            <w:pPr>
              <w:adjustRightInd w:val="0"/>
              <w:snapToGrid w:val="0"/>
              <w:spacing w:line="360" w:lineRule="auto"/>
              <w:ind w:firstLine="420" w:firstLineChars="200"/>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项目地点：山东省淄博市文昌湖区萌水镇萌三村（村委南1000米）。</w:t>
            </w:r>
          </w:p>
          <w:p w14:paraId="4B9F8666">
            <w:pPr>
              <w:adjustRightInd w:val="0"/>
              <w:snapToGrid w:val="0"/>
              <w:spacing w:line="360" w:lineRule="auto"/>
              <w:ind w:firstLine="420" w:firstLineChars="200"/>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总投资及环保投资：总投资</w:t>
            </w:r>
            <w:r>
              <w:rPr>
                <w:rFonts w:hint="default" w:ascii="Times New Roman" w:hAnsi="Times New Roman" w:eastAsia="宋体" w:cs="Times New Roman"/>
                <w:bCs/>
                <w:color w:val="auto"/>
                <w:sz w:val="21"/>
                <w:szCs w:val="21"/>
                <w:lang w:val="en-US" w:eastAsia="zh-CN"/>
              </w:rPr>
              <w:t>520</w:t>
            </w:r>
            <w:r>
              <w:rPr>
                <w:rFonts w:hint="default" w:ascii="Times New Roman" w:hAnsi="Times New Roman" w:eastAsia="宋体" w:cs="Times New Roman"/>
                <w:bCs/>
                <w:color w:val="auto"/>
                <w:sz w:val="21"/>
                <w:szCs w:val="21"/>
              </w:rPr>
              <w:t>万元，其中环保投资10万元，占总投资的</w:t>
            </w:r>
            <w:r>
              <w:rPr>
                <w:rFonts w:hint="default" w:ascii="Times New Roman" w:hAnsi="Times New Roman" w:eastAsia="宋体" w:cs="Times New Roman"/>
                <w:bCs/>
                <w:color w:val="auto"/>
                <w:sz w:val="21"/>
                <w:szCs w:val="21"/>
                <w:lang w:val="en-US" w:eastAsia="zh-CN"/>
              </w:rPr>
              <w:t>1.9</w:t>
            </w:r>
            <w:r>
              <w:rPr>
                <w:rFonts w:hint="default" w:ascii="Times New Roman" w:hAnsi="Times New Roman" w:eastAsia="宋体" w:cs="Times New Roman"/>
                <w:bCs/>
                <w:color w:val="auto"/>
                <w:sz w:val="21"/>
                <w:szCs w:val="21"/>
              </w:rPr>
              <w:t>%。</w:t>
            </w:r>
          </w:p>
          <w:p w14:paraId="41F3C74E">
            <w:pPr>
              <w:snapToGrid w:val="0"/>
              <w:spacing w:line="360" w:lineRule="auto"/>
              <w:ind w:firstLine="422" w:firstLineChars="200"/>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3、建设内容</w:t>
            </w:r>
          </w:p>
          <w:p w14:paraId="4E58E511">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本项目</w:t>
            </w:r>
            <w:r>
              <w:rPr>
                <w:rFonts w:hint="default" w:ascii="Times New Roman" w:hAnsi="Times New Roman" w:eastAsia="宋体" w:cs="Times New Roman"/>
                <w:bCs/>
                <w:color w:val="auto"/>
                <w:sz w:val="21"/>
                <w:szCs w:val="21"/>
                <w:lang w:val="en-US" w:eastAsia="zh-CN"/>
              </w:rPr>
              <w:t>对原厂区生产线进行改造，将原有生产车间改造成仓库，利用厂区现有闲置区域建设新厂房</w:t>
            </w:r>
            <w:r>
              <w:rPr>
                <w:rFonts w:hint="default" w:ascii="Times New Roman" w:hAnsi="Times New Roman" w:eastAsia="宋体" w:cs="Times New Roman"/>
                <w:bCs/>
                <w:color w:val="auto"/>
                <w:sz w:val="21"/>
                <w:szCs w:val="21"/>
              </w:rPr>
              <w:t>，</w:t>
            </w:r>
            <w:r>
              <w:rPr>
                <w:rFonts w:hint="default" w:ascii="Times New Roman" w:hAnsi="Times New Roman" w:eastAsia="宋体" w:cs="Times New Roman"/>
                <w:bCs/>
                <w:color w:val="FF0000"/>
                <w:sz w:val="21"/>
                <w:szCs w:val="21"/>
                <w:lang w:val="en-US" w:eastAsia="zh-CN"/>
              </w:rPr>
              <w:t>并将原有生产线及设备迁移到新厂房内，迁移距离约为10米；设备迁移后原有排气筒P4拆除，并在新厂房内建设新排气筒，</w:t>
            </w:r>
            <w:r>
              <w:rPr>
                <w:rFonts w:hint="default" w:ascii="Times New Roman" w:hAnsi="Times New Roman" w:eastAsia="宋体" w:cs="Times New Roman"/>
                <w:bCs/>
                <w:color w:val="auto"/>
                <w:sz w:val="21"/>
                <w:szCs w:val="21"/>
              </w:rPr>
              <w:t>不新增占地，项目建设内容见下表。</w:t>
            </w:r>
          </w:p>
          <w:p w14:paraId="116E487D">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表2-</w:t>
            </w:r>
            <w:r>
              <w:rPr>
                <w:rFonts w:hint="default" w:ascii="Times New Roman" w:hAnsi="Times New Roman" w:eastAsia="宋体" w:cs="Times New Roman"/>
                <w:b/>
                <w:bCs/>
                <w:color w:val="auto"/>
                <w:sz w:val="21"/>
                <w:szCs w:val="21"/>
                <w:lang w:val="en-US" w:eastAsia="zh-CN"/>
              </w:rPr>
              <w:t>2</w:t>
            </w:r>
            <w:r>
              <w:rPr>
                <w:rFonts w:hint="default" w:ascii="Times New Roman" w:hAnsi="Times New Roman" w:eastAsia="宋体" w:cs="Times New Roman"/>
                <w:b/>
                <w:bCs/>
                <w:color w:val="auto"/>
                <w:sz w:val="21"/>
                <w:szCs w:val="21"/>
              </w:rPr>
              <w:t xml:space="preserve"> 项目建设内容</w:t>
            </w:r>
          </w:p>
          <w:tbl>
            <w:tblPr>
              <w:tblStyle w:val="14"/>
              <w:tblW w:w="4998" w:type="pct"/>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637"/>
              <w:gridCol w:w="1091"/>
              <w:gridCol w:w="2450"/>
              <w:gridCol w:w="2451"/>
              <w:gridCol w:w="1230"/>
            </w:tblGrid>
            <w:tr w14:paraId="2EF56AD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cantSplit/>
                <w:trHeight w:val="397" w:hRule="atLeast"/>
                <w:jc w:val="center"/>
              </w:trPr>
              <w:tc>
                <w:tcPr>
                  <w:tcW w:w="1099" w:type="pct"/>
                  <w:gridSpan w:val="2"/>
                  <w:vAlign w:val="center"/>
                </w:tcPr>
                <w:p w14:paraId="5DBA1E1E">
                  <w:pPr>
                    <w:snapToGrid w:val="0"/>
                    <w:jc w:val="center"/>
                    <w:rPr>
                      <w:rFonts w:hint="default" w:ascii="Times New Roman" w:hAnsi="Times New Roman" w:eastAsia="宋体" w:cs="Times New Roman"/>
                      <w:b/>
                      <w:bCs w:val="0"/>
                      <w:color w:val="auto"/>
                      <w:sz w:val="21"/>
                      <w:szCs w:val="21"/>
                    </w:rPr>
                  </w:pPr>
                  <w:r>
                    <w:rPr>
                      <w:rFonts w:hint="default" w:ascii="Times New Roman" w:hAnsi="Times New Roman" w:eastAsia="宋体" w:cs="Times New Roman"/>
                      <w:b/>
                      <w:bCs w:val="0"/>
                      <w:color w:val="auto"/>
                      <w:sz w:val="21"/>
                      <w:szCs w:val="21"/>
                    </w:rPr>
                    <w:t>名称</w:t>
                  </w:r>
                </w:p>
              </w:tc>
              <w:tc>
                <w:tcPr>
                  <w:tcW w:w="1558" w:type="pct"/>
                  <w:vAlign w:val="center"/>
                </w:tcPr>
                <w:p w14:paraId="48224D6C">
                  <w:pPr>
                    <w:snapToGrid w:val="0"/>
                    <w:jc w:val="center"/>
                    <w:rPr>
                      <w:rFonts w:hint="default" w:ascii="Times New Roman" w:hAnsi="Times New Roman" w:eastAsia="宋体" w:cs="Times New Roman"/>
                      <w:b/>
                      <w:bCs w:val="0"/>
                      <w:color w:val="auto"/>
                      <w:sz w:val="21"/>
                      <w:szCs w:val="21"/>
                    </w:rPr>
                  </w:pPr>
                  <w:r>
                    <w:rPr>
                      <w:rFonts w:hint="default" w:ascii="Times New Roman" w:hAnsi="Times New Roman" w:eastAsia="宋体" w:cs="Times New Roman"/>
                      <w:b/>
                      <w:bCs w:val="0"/>
                      <w:color w:val="auto"/>
                      <w:sz w:val="21"/>
                      <w:szCs w:val="21"/>
                      <w:lang w:val="en-US" w:eastAsia="zh-CN"/>
                    </w:rPr>
                    <w:t>现有项目</w:t>
                  </w:r>
                  <w:r>
                    <w:rPr>
                      <w:rFonts w:hint="default" w:ascii="Times New Roman" w:hAnsi="Times New Roman" w:eastAsia="宋体" w:cs="Times New Roman"/>
                      <w:b/>
                      <w:bCs w:val="0"/>
                      <w:color w:val="auto"/>
                      <w:sz w:val="21"/>
                      <w:szCs w:val="21"/>
                    </w:rPr>
                    <w:t>建设内容</w:t>
                  </w:r>
                </w:p>
              </w:tc>
              <w:tc>
                <w:tcPr>
                  <w:tcW w:w="1559" w:type="pct"/>
                  <w:vAlign w:val="center"/>
                </w:tcPr>
                <w:p w14:paraId="7710A03C">
                  <w:pPr>
                    <w:snapToGrid w:val="0"/>
                    <w:jc w:val="center"/>
                    <w:rPr>
                      <w:rFonts w:hint="default" w:ascii="Times New Roman" w:hAnsi="Times New Roman" w:eastAsia="宋体" w:cs="Times New Roman"/>
                      <w:b/>
                      <w:bCs w:val="0"/>
                      <w:color w:val="auto"/>
                      <w:sz w:val="21"/>
                      <w:szCs w:val="21"/>
                      <w:lang w:val="en-US" w:eastAsia="zh-CN"/>
                    </w:rPr>
                  </w:pPr>
                  <w:r>
                    <w:rPr>
                      <w:rFonts w:hint="default" w:ascii="Times New Roman" w:hAnsi="Times New Roman" w:eastAsia="宋体" w:cs="Times New Roman"/>
                      <w:b/>
                      <w:bCs w:val="0"/>
                      <w:color w:val="auto"/>
                      <w:sz w:val="21"/>
                      <w:szCs w:val="21"/>
                      <w:lang w:val="en-US" w:eastAsia="zh-CN"/>
                    </w:rPr>
                    <w:t>扩建后项目建设内容</w:t>
                  </w:r>
                </w:p>
              </w:tc>
              <w:tc>
                <w:tcPr>
                  <w:tcW w:w="782" w:type="pct"/>
                  <w:vAlign w:val="center"/>
                </w:tcPr>
                <w:p w14:paraId="670110FB">
                  <w:pPr>
                    <w:snapToGrid w:val="0"/>
                    <w:jc w:val="center"/>
                    <w:rPr>
                      <w:rFonts w:hint="default" w:ascii="Times New Roman" w:hAnsi="Times New Roman" w:eastAsia="宋体" w:cs="Times New Roman"/>
                      <w:b/>
                      <w:bCs w:val="0"/>
                      <w:color w:val="auto"/>
                      <w:sz w:val="21"/>
                      <w:szCs w:val="21"/>
                    </w:rPr>
                  </w:pPr>
                  <w:r>
                    <w:rPr>
                      <w:rFonts w:hint="default" w:ascii="Times New Roman" w:hAnsi="Times New Roman" w:eastAsia="宋体" w:cs="Times New Roman"/>
                      <w:b/>
                      <w:bCs w:val="0"/>
                      <w:color w:val="auto"/>
                      <w:sz w:val="21"/>
                      <w:szCs w:val="21"/>
                    </w:rPr>
                    <w:t>备注</w:t>
                  </w:r>
                </w:p>
              </w:tc>
            </w:tr>
            <w:tr w14:paraId="719C0AD6">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cantSplit/>
                <w:trHeight w:val="613" w:hRule="atLeast"/>
                <w:jc w:val="center"/>
              </w:trPr>
              <w:tc>
                <w:tcPr>
                  <w:tcW w:w="405" w:type="pct"/>
                  <w:vAlign w:val="center"/>
                </w:tcPr>
                <w:p w14:paraId="18108509">
                  <w:pPr>
                    <w:snapToGrid w:val="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主体工程</w:t>
                  </w:r>
                </w:p>
              </w:tc>
              <w:tc>
                <w:tcPr>
                  <w:tcW w:w="693" w:type="pct"/>
                  <w:vAlign w:val="center"/>
                </w:tcPr>
                <w:p w14:paraId="4CCC7652">
                  <w:pPr>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生产车间</w:t>
                  </w:r>
                </w:p>
              </w:tc>
              <w:tc>
                <w:tcPr>
                  <w:tcW w:w="1558" w:type="pct"/>
                  <w:vAlign w:val="center"/>
                </w:tcPr>
                <w:p w14:paraId="5AE40FA3">
                  <w:pPr>
                    <w:snapToGrid w:val="0"/>
                    <w:jc w:val="left"/>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厂区空地，未进行建设</w:t>
                  </w:r>
                </w:p>
              </w:tc>
              <w:tc>
                <w:tcPr>
                  <w:tcW w:w="1559" w:type="pct"/>
                  <w:vAlign w:val="center"/>
                </w:tcPr>
                <w:p w14:paraId="50730012">
                  <w:pPr>
                    <w:snapToGrid w:val="0"/>
                    <w:jc w:val="left"/>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rPr>
                    <w:t>一座，1F，占地面积</w:t>
                  </w:r>
                  <w:r>
                    <w:rPr>
                      <w:rFonts w:hint="default" w:ascii="Times New Roman" w:hAnsi="Times New Roman" w:eastAsia="宋体" w:cs="Times New Roman"/>
                      <w:color w:val="auto"/>
                      <w:sz w:val="21"/>
                      <w:szCs w:val="21"/>
                      <w:lang w:val="en-US" w:eastAsia="zh-CN"/>
                    </w:rPr>
                    <w:t>672.5</w:t>
                  </w:r>
                  <w:r>
                    <w:rPr>
                      <w:rFonts w:hint="default" w:ascii="Times New Roman" w:hAnsi="Times New Roman" w:eastAsia="宋体" w:cs="Times New Roman"/>
                      <w:color w:val="auto"/>
                      <w:sz w:val="21"/>
                      <w:szCs w:val="21"/>
                    </w:rPr>
                    <w:t>平方米，</w:t>
                  </w:r>
                  <w:r>
                    <w:rPr>
                      <w:rFonts w:hint="default" w:ascii="Times New Roman" w:hAnsi="Times New Roman" w:eastAsia="宋体" w:cs="Times New Roman"/>
                      <w:color w:val="auto"/>
                      <w:sz w:val="21"/>
                      <w:szCs w:val="21"/>
                      <w:lang w:val="en-US" w:eastAsia="zh-CN"/>
                    </w:rPr>
                    <w:t>内设破碎机、对辊机、磁选机、除尘器、振动筛、提升机、空压机等生产设备，建设破碎对辊磁选筛分生产线一条</w:t>
                  </w:r>
                </w:p>
              </w:tc>
              <w:tc>
                <w:tcPr>
                  <w:tcW w:w="782" w:type="pct"/>
                  <w:vAlign w:val="center"/>
                </w:tcPr>
                <w:p w14:paraId="7A38D6F9">
                  <w:pPr>
                    <w:snapToGrid w:val="0"/>
                    <w:jc w:val="center"/>
                    <w:rPr>
                      <w:rFonts w:hint="default" w:ascii="Times New Roman" w:hAnsi="Times New Roman" w:eastAsia="宋体" w:cs="Times New Roman"/>
                      <w:bCs/>
                      <w:color w:val="auto"/>
                      <w:sz w:val="21"/>
                      <w:szCs w:val="21"/>
                      <w:lang w:eastAsia="zh-CN"/>
                    </w:rPr>
                  </w:pPr>
                  <w:r>
                    <w:rPr>
                      <w:rFonts w:hint="default" w:ascii="Times New Roman" w:hAnsi="Times New Roman" w:eastAsia="宋体" w:cs="Times New Roman"/>
                      <w:bCs/>
                      <w:color w:val="auto"/>
                      <w:sz w:val="21"/>
                      <w:szCs w:val="21"/>
                      <w:lang w:val="en-US" w:eastAsia="zh-CN"/>
                    </w:rPr>
                    <w:t>新建</w:t>
                  </w:r>
                </w:p>
              </w:tc>
            </w:tr>
            <w:tr w14:paraId="1C649F70">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cantSplit/>
                <w:trHeight w:val="564" w:hRule="atLeast"/>
                <w:jc w:val="center"/>
              </w:trPr>
              <w:tc>
                <w:tcPr>
                  <w:tcW w:w="405" w:type="pct"/>
                  <w:vMerge w:val="restart"/>
                  <w:vAlign w:val="center"/>
                </w:tcPr>
                <w:p w14:paraId="0A58A1AA">
                  <w:pPr>
                    <w:snapToGrid w:val="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lang w:val="en-US" w:eastAsia="zh-CN"/>
                    </w:rPr>
                    <w:t>辅助</w:t>
                  </w:r>
                  <w:r>
                    <w:rPr>
                      <w:rFonts w:hint="default" w:ascii="Times New Roman" w:hAnsi="Times New Roman" w:eastAsia="宋体" w:cs="Times New Roman"/>
                      <w:bCs/>
                      <w:color w:val="auto"/>
                      <w:sz w:val="21"/>
                      <w:szCs w:val="21"/>
                    </w:rPr>
                    <w:t>工程</w:t>
                  </w:r>
                </w:p>
              </w:tc>
              <w:tc>
                <w:tcPr>
                  <w:tcW w:w="693" w:type="pct"/>
                  <w:vAlign w:val="center"/>
                </w:tcPr>
                <w:p w14:paraId="053EBC38">
                  <w:pPr>
                    <w:snapToGrid w:val="0"/>
                    <w:jc w:val="center"/>
                    <w:rPr>
                      <w:rFonts w:hint="default" w:ascii="Times New Roman" w:hAnsi="Times New Roman" w:eastAsia="宋体" w:cs="Times New Roman"/>
                      <w:bCs/>
                      <w:color w:val="auto"/>
                      <w:sz w:val="21"/>
                      <w:szCs w:val="21"/>
                      <w:lang w:eastAsia="zh-CN"/>
                    </w:rPr>
                  </w:pPr>
                  <w:r>
                    <w:rPr>
                      <w:rFonts w:hint="default" w:ascii="Times New Roman" w:hAnsi="Times New Roman" w:eastAsia="宋体" w:cs="Times New Roman"/>
                      <w:bCs/>
                      <w:color w:val="auto"/>
                      <w:sz w:val="21"/>
                      <w:szCs w:val="21"/>
                      <w:lang w:val="en-US" w:eastAsia="zh-CN"/>
                    </w:rPr>
                    <w:t>办公室</w:t>
                  </w:r>
                </w:p>
              </w:tc>
              <w:tc>
                <w:tcPr>
                  <w:tcW w:w="1558" w:type="pct"/>
                  <w:vAlign w:val="center"/>
                </w:tcPr>
                <w:p w14:paraId="52C7726E">
                  <w:pPr>
                    <w:snapToGrid w:val="0"/>
                    <w:jc w:val="left"/>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1座，占地100平方米，砖混1层，位于厂区东北侧</w:t>
                  </w:r>
                </w:p>
              </w:tc>
              <w:tc>
                <w:tcPr>
                  <w:tcW w:w="1559" w:type="pct"/>
                  <w:shd w:val="clear" w:color="auto" w:fill="auto"/>
                  <w:vAlign w:val="center"/>
                </w:tcPr>
                <w:p w14:paraId="52E15F6B">
                  <w:pPr>
                    <w:snapToGrid w:val="0"/>
                    <w:jc w:val="left"/>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1座，占地100平方米，砖混1层，位于厂区东北侧</w:t>
                  </w:r>
                </w:p>
              </w:tc>
              <w:tc>
                <w:tcPr>
                  <w:tcW w:w="782" w:type="pct"/>
                  <w:vAlign w:val="center"/>
                </w:tcPr>
                <w:p w14:paraId="487DC7BE">
                  <w:pPr>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依托现有</w:t>
                  </w:r>
                </w:p>
              </w:tc>
            </w:tr>
            <w:tr w14:paraId="6409E3A3">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cantSplit/>
                <w:trHeight w:val="526" w:hRule="atLeast"/>
                <w:jc w:val="center"/>
              </w:trPr>
              <w:tc>
                <w:tcPr>
                  <w:tcW w:w="405" w:type="pct"/>
                  <w:vMerge w:val="continue"/>
                  <w:vAlign w:val="center"/>
                </w:tcPr>
                <w:p w14:paraId="5B45563D">
                  <w:pPr>
                    <w:snapToGrid w:val="0"/>
                    <w:jc w:val="center"/>
                    <w:rPr>
                      <w:rFonts w:hint="default" w:ascii="Times New Roman" w:hAnsi="Times New Roman" w:eastAsia="宋体" w:cs="Times New Roman"/>
                      <w:bCs/>
                      <w:color w:val="auto"/>
                      <w:sz w:val="21"/>
                      <w:szCs w:val="21"/>
                    </w:rPr>
                  </w:pPr>
                </w:p>
              </w:tc>
              <w:tc>
                <w:tcPr>
                  <w:tcW w:w="693" w:type="pct"/>
                  <w:vAlign w:val="center"/>
                </w:tcPr>
                <w:p w14:paraId="0E0A581A">
                  <w:pPr>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固废暂存处</w:t>
                  </w:r>
                </w:p>
              </w:tc>
              <w:tc>
                <w:tcPr>
                  <w:tcW w:w="1558" w:type="pct"/>
                  <w:vAlign w:val="center"/>
                </w:tcPr>
                <w:p w14:paraId="3DE28D2D">
                  <w:pPr>
                    <w:snapToGrid w:val="0"/>
                    <w:jc w:val="left"/>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1座，占地2平方米，钢结构，位于厂区中北部</w:t>
                  </w:r>
                </w:p>
              </w:tc>
              <w:tc>
                <w:tcPr>
                  <w:tcW w:w="1559" w:type="pct"/>
                  <w:shd w:val="clear" w:color="auto" w:fill="auto"/>
                  <w:vAlign w:val="center"/>
                </w:tcPr>
                <w:p w14:paraId="2E7497CD">
                  <w:pPr>
                    <w:snapToGrid w:val="0"/>
                    <w:jc w:val="left"/>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1座，占地2平方米，钢结构，位于厂区中北部</w:t>
                  </w:r>
                </w:p>
              </w:tc>
              <w:tc>
                <w:tcPr>
                  <w:tcW w:w="782" w:type="pct"/>
                  <w:vAlign w:val="center"/>
                </w:tcPr>
                <w:p w14:paraId="374EC5E0">
                  <w:pPr>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依托现有</w:t>
                  </w:r>
                </w:p>
              </w:tc>
            </w:tr>
            <w:tr w14:paraId="3EA9C048">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cantSplit/>
                <w:trHeight w:val="397" w:hRule="atLeast"/>
                <w:jc w:val="center"/>
              </w:trPr>
              <w:tc>
                <w:tcPr>
                  <w:tcW w:w="405" w:type="pct"/>
                  <w:vMerge w:val="restart"/>
                  <w:shd w:val="clear" w:color="auto" w:fill="auto"/>
                  <w:vAlign w:val="center"/>
                </w:tcPr>
                <w:p w14:paraId="4992B292">
                  <w:pPr>
                    <w:snapToGrid w:val="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sz w:val="21"/>
                      <w:szCs w:val="21"/>
                    </w:rPr>
                    <w:t>公用工程</w:t>
                  </w:r>
                </w:p>
              </w:tc>
              <w:tc>
                <w:tcPr>
                  <w:tcW w:w="693" w:type="pct"/>
                  <w:shd w:val="clear" w:color="auto" w:fill="auto"/>
                  <w:vAlign w:val="center"/>
                </w:tcPr>
                <w:p w14:paraId="54A35F58">
                  <w:pPr>
                    <w:snapToGrid w:val="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sz w:val="21"/>
                      <w:szCs w:val="21"/>
                    </w:rPr>
                    <w:t>供水</w:t>
                  </w:r>
                </w:p>
              </w:tc>
              <w:tc>
                <w:tcPr>
                  <w:tcW w:w="1558" w:type="pct"/>
                  <w:shd w:val="clear" w:color="auto" w:fill="auto"/>
                  <w:vAlign w:val="center"/>
                </w:tcPr>
                <w:p w14:paraId="5A41D389">
                  <w:pPr>
                    <w:snapToGrid w:val="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新鲜水由文昌湖区供水公司提供</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val="en-US" w:eastAsia="zh-CN"/>
                    </w:rPr>
                    <w:t>用水140</w:t>
                  </w:r>
                  <w:r>
                    <w:rPr>
                      <w:rFonts w:hint="default" w:ascii="Times New Roman" w:hAnsi="Times New Roman" w:eastAsia="宋体" w:cs="Times New Roman"/>
                      <w:color w:val="auto"/>
                      <w:sz w:val="21"/>
                      <w:szCs w:val="21"/>
                      <w:lang w:val="en-US" w:eastAsia="zh-CN" w:bidi="ar-SA"/>
                    </w:rPr>
                    <w:t>m</w:t>
                  </w:r>
                  <w:r>
                    <w:rPr>
                      <w:rFonts w:hint="default" w:ascii="Times New Roman" w:hAnsi="Times New Roman" w:eastAsia="宋体" w:cs="Times New Roman"/>
                      <w:color w:val="auto"/>
                      <w:sz w:val="21"/>
                      <w:szCs w:val="21"/>
                      <w:vertAlign w:val="superscript"/>
                      <w:lang w:val="en-US" w:eastAsia="zh-CN" w:bidi="ar-SA"/>
                    </w:rPr>
                    <w:t>3</w:t>
                  </w:r>
                  <w:r>
                    <w:rPr>
                      <w:rFonts w:hint="default" w:ascii="Times New Roman" w:hAnsi="Times New Roman" w:eastAsia="宋体" w:cs="Times New Roman"/>
                      <w:color w:val="auto"/>
                      <w:sz w:val="21"/>
                      <w:szCs w:val="21"/>
                      <w:lang w:val="en-US" w:eastAsia="zh-CN" w:bidi="ar-SA"/>
                    </w:rPr>
                    <w:t>/a</w:t>
                  </w:r>
                </w:p>
              </w:tc>
              <w:tc>
                <w:tcPr>
                  <w:tcW w:w="1559" w:type="pct"/>
                  <w:shd w:val="clear" w:color="auto" w:fill="auto"/>
                  <w:vAlign w:val="center"/>
                </w:tcPr>
                <w:p w14:paraId="6B71EF97">
                  <w:pPr>
                    <w:snapToGrid w:val="0"/>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新鲜水由文昌湖区供水公司提供</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val="en-US" w:eastAsia="zh-CN"/>
                    </w:rPr>
                    <w:t>用水160</w:t>
                  </w:r>
                  <w:r>
                    <w:rPr>
                      <w:rFonts w:hint="default" w:ascii="Times New Roman" w:hAnsi="Times New Roman" w:eastAsia="宋体" w:cs="Times New Roman"/>
                      <w:color w:val="auto"/>
                      <w:sz w:val="21"/>
                      <w:szCs w:val="21"/>
                      <w:lang w:val="en-US" w:eastAsia="zh-CN" w:bidi="ar-SA"/>
                    </w:rPr>
                    <w:t>m</w:t>
                  </w:r>
                  <w:r>
                    <w:rPr>
                      <w:rFonts w:hint="default" w:ascii="Times New Roman" w:hAnsi="Times New Roman" w:eastAsia="宋体" w:cs="Times New Roman"/>
                      <w:color w:val="auto"/>
                      <w:sz w:val="21"/>
                      <w:szCs w:val="21"/>
                      <w:vertAlign w:val="superscript"/>
                      <w:lang w:val="en-US" w:eastAsia="zh-CN" w:bidi="ar-SA"/>
                    </w:rPr>
                    <w:t>3</w:t>
                  </w:r>
                  <w:r>
                    <w:rPr>
                      <w:rFonts w:hint="default" w:ascii="Times New Roman" w:hAnsi="Times New Roman" w:eastAsia="宋体" w:cs="Times New Roman"/>
                      <w:color w:val="auto"/>
                      <w:sz w:val="21"/>
                      <w:szCs w:val="21"/>
                      <w:lang w:val="en-US" w:eastAsia="zh-CN" w:bidi="ar-SA"/>
                    </w:rPr>
                    <w:t>/a</w:t>
                  </w:r>
                </w:p>
              </w:tc>
              <w:tc>
                <w:tcPr>
                  <w:tcW w:w="782" w:type="pct"/>
                  <w:shd w:val="clear" w:color="auto" w:fill="auto"/>
                  <w:vAlign w:val="center"/>
                </w:tcPr>
                <w:p w14:paraId="26F65122">
                  <w:pPr>
                    <w:snapToGri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依托现有</w:t>
                  </w:r>
                </w:p>
              </w:tc>
            </w:tr>
            <w:tr w14:paraId="67771E2D">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cantSplit/>
                <w:trHeight w:val="397" w:hRule="atLeast"/>
                <w:jc w:val="center"/>
              </w:trPr>
              <w:tc>
                <w:tcPr>
                  <w:tcW w:w="405" w:type="pct"/>
                  <w:vMerge w:val="continue"/>
                  <w:shd w:val="clear" w:color="auto" w:fill="auto"/>
                  <w:vAlign w:val="center"/>
                </w:tcPr>
                <w:p w14:paraId="125A5203">
                  <w:pPr>
                    <w:snapToGrid w:val="0"/>
                    <w:jc w:val="center"/>
                    <w:rPr>
                      <w:rFonts w:hint="default" w:ascii="Times New Roman" w:hAnsi="Times New Roman" w:eastAsia="宋体" w:cs="Times New Roman"/>
                      <w:bCs/>
                      <w:color w:val="auto"/>
                      <w:kern w:val="2"/>
                      <w:sz w:val="21"/>
                      <w:szCs w:val="21"/>
                      <w:lang w:val="en-US" w:eastAsia="zh-CN" w:bidi="ar-SA"/>
                    </w:rPr>
                  </w:pPr>
                </w:p>
              </w:tc>
              <w:tc>
                <w:tcPr>
                  <w:tcW w:w="693" w:type="pct"/>
                  <w:shd w:val="clear" w:color="auto" w:fill="auto"/>
                  <w:vAlign w:val="center"/>
                </w:tcPr>
                <w:p w14:paraId="6823E2F9">
                  <w:pPr>
                    <w:snapToGri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供电</w:t>
                  </w:r>
                </w:p>
              </w:tc>
              <w:tc>
                <w:tcPr>
                  <w:tcW w:w="1558" w:type="pct"/>
                  <w:shd w:val="clear" w:color="auto" w:fill="auto"/>
                  <w:vAlign w:val="center"/>
                </w:tcPr>
                <w:p w14:paraId="3D8D633E">
                  <w:pPr>
                    <w:snapToGrid w:val="0"/>
                    <w:jc w:val="left"/>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用电量</w:t>
                  </w:r>
                  <w:r>
                    <w:rPr>
                      <w:rFonts w:hint="default" w:ascii="Times New Roman" w:hAnsi="Times New Roman" w:eastAsia="宋体" w:cs="Times New Roman"/>
                      <w:color w:val="auto"/>
                      <w:sz w:val="21"/>
                      <w:szCs w:val="21"/>
                      <w:lang w:val="en-US" w:eastAsia="zh-CN"/>
                    </w:rPr>
                    <w:t>6</w:t>
                  </w:r>
                  <w:r>
                    <w:rPr>
                      <w:rFonts w:hint="default" w:ascii="Times New Roman" w:hAnsi="Times New Roman" w:eastAsia="宋体" w:cs="Times New Roman"/>
                      <w:color w:val="auto"/>
                      <w:sz w:val="21"/>
                      <w:szCs w:val="21"/>
                    </w:rPr>
                    <w:t>万kW</w:t>
                  </w:r>
                  <w:r>
                    <w:rPr>
                      <w:rFonts w:hint="default" w:ascii="Times New Roman" w:hAnsi="Times New Roman" w:eastAsia="宋体" w:cs="Times New Roman"/>
                      <w:color w:val="auto"/>
                      <w:sz w:val="21"/>
                      <w:szCs w:val="21"/>
                      <w:lang w:val="en-US" w:eastAsia="zh-CN"/>
                    </w:rPr>
                    <w:t>·</w:t>
                  </w:r>
                  <w:r>
                    <w:rPr>
                      <w:rFonts w:hint="default" w:ascii="Times New Roman" w:hAnsi="Times New Roman" w:eastAsia="宋体" w:cs="Times New Roman"/>
                      <w:color w:val="auto"/>
                      <w:sz w:val="21"/>
                      <w:szCs w:val="21"/>
                    </w:rPr>
                    <w:t>h/a，由</w:t>
                  </w:r>
                  <w:r>
                    <w:rPr>
                      <w:rFonts w:hint="default" w:ascii="Times New Roman" w:hAnsi="Times New Roman" w:eastAsia="宋体" w:cs="Times New Roman"/>
                      <w:color w:val="auto"/>
                      <w:sz w:val="21"/>
                      <w:szCs w:val="21"/>
                      <w:lang w:val="en-US" w:eastAsia="zh-CN"/>
                    </w:rPr>
                    <w:t>萌水镇</w:t>
                  </w:r>
                  <w:r>
                    <w:rPr>
                      <w:rFonts w:hint="default" w:ascii="Times New Roman" w:hAnsi="Times New Roman" w:eastAsia="宋体" w:cs="Times New Roman"/>
                      <w:color w:val="auto"/>
                      <w:sz w:val="21"/>
                      <w:szCs w:val="21"/>
                    </w:rPr>
                    <w:t>供电所提供</w:t>
                  </w:r>
                </w:p>
              </w:tc>
              <w:tc>
                <w:tcPr>
                  <w:tcW w:w="1559" w:type="pct"/>
                  <w:shd w:val="clear" w:color="auto" w:fill="auto"/>
                  <w:vAlign w:val="center"/>
                </w:tcPr>
                <w:p w14:paraId="252A00CD">
                  <w:pPr>
                    <w:snapToGrid w:val="0"/>
                    <w:jc w:val="left"/>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用电量</w:t>
                  </w:r>
                  <w:r>
                    <w:rPr>
                      <w:rFonts w:hint="default" w:ascii="Times New Roman" w:hAnsi="Times New Roman" w:eastAsia="宋体" w:cs="Times New Roman"/>
                      <w:color w:val="auto"/>
                      <w:sz w:val="21"/>
                      <w:szCs w:val="21"/>
                      <w:lang w:val="en-US" w:eastAsia="zh-CN"/>
                    </w:rPr>
                    <w:t>12</w:t>
                  </w:r>
                  <w:r>
                    <w:rPr>
                      <w:rFonts w:hint="default" w:ascii="Times New Roman" w:hAnsi="Times New Roman" w:eastAsia="宋体" w:cs="Times New Roman"/>
                      <w:color w:val="auto"/>
                      <w:sz w:val="21"/>
                      <w:szCs w:val="21"/>
                    </w:rPr>
                    <w:t>万kW</w:t>
                  </w:r>
                  <w:r>
                    <w:rPr>
                      <w:rFonts w:hint="default" w:ascii="Times New Roman" w:hAnsi="Times New Roman" w:eastAsia="宋体" w:cs="Times New Roman"/>
                      <w:color w:val="auto"/>
                      <w:sz w:val="21"/>
                      <w:szCs w:val="21"/>
                      <w:lang w:val="en-US" w:eastAsia="zh-CN"/>
                    </w:rPr>
                    <w:t>·</w:t>
                  </w:r>
                  <w:r>
                    <w:rPr>
                      <w:rFonts w:hint="default" w:ascii="Times New Roman" w:hAnsi="Times New Roman" w:eastAsia="宋体" w:cs="Times New Roman"/>
                      <w:color w:val="auto"/>
                      <w:sz w:val="21"/>
                      <w:szCs w:val="21"/>
                    </w:rPr>
                    <w:t>h/a，由</w:t>
                  </w:r>
                  <w:r>
                    <w:rPr>
                      <w:rFonts w:hint="default" w:ascii="Times New Roman" w:hAnsi="Times New Roman" w:eastAsia="宋体" w:cs="Times New Roman"/>
                      <w:color w:val="auto"/>
                      <w:sz w:val="21"/>
                      <w:szCs w:val="21"/>
                      <w:lang w:val="en-US" w:eastAsia="zh-CN"/>
                    </w:rPr>
                    <w:t>萌水镇</w:t>
                  </w:r>
                  <w:r>
                    <w:rPr>
                      <w:rFonts w:hint="default" w:ascii="Times New Roman" w:hAnsi="Times New Roman" w:eastAsia="宋体" w:cs="Times New Roman"/>
                      <w:color w:val="auto"/>
                      <w:sz w:val="21"/>
                      <w:szCs w:val="21"/>
                    </w:rPr>
                    <w:t>供电所提供</w:t>
                  </w:r>
                </w:p>
              </w:tc>
              <w:tc>
                <w:tcPr>
                  <w:tcW w:w="782" w:type="pct"/>
                  <w:shd w:val="clear" w:color="auto" w:fill="auto"/>
                  <w:vAlign w:val="center"/>
                </w:tcPr>
                <w:p w14:paraId="7A62F874">
                  <w:pPr>
                    <w:snapToGri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依托现有</w:t>
                  </w:r>
                </w:p>
              </w:tc>
            </w:tr>
            <w:tr w14:paraId="0EEE011B">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cantSplit/>
                <w:trHeight w:val="397" w:hRule="atLeast"/>
                <w:jc w:val="center"/>
              </w:trPr>
              <w:tc>
                <w:tcPr>
                  <w:tcW w:w="405" w:type="pct"/>
                  <w:vMerge w:val="restart"/>
                  <w:vAlign w:val="center"/>
                </w:tcPr>
                <w:p w14:paraId="503E4DA1">
                  <w:pPr>
                    <w:snapToGrid w:val="0"/>
                    <w:jc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储运工程</w:t>
                  </w:r>
                </w:p>
              </w:tc>
              <w:tc>
                <w:tcPr>
                  <w:tcW w:w="693" w:type="pct"/>
                  <w:vMerge w:val="restart"/>
                  <w:vAlign w:val="center"/>
                </w:tcPr>
                <w:p w14:paraId="4FCF763C">
                  <w:pPr>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仓库</w:t>
                  </w:r>
                </w:p>
              </w:tc>
              <w:tc>
                <w:tcPr>
                  <w:tcW w:w="1558" w:type="pct"/>
                  <w:vAlign w:val="center"/>
                </w:tcPr>
                <w:p w14:paraId="1388594F">
                  <w:pPr>
                    <w:snapToGrid w:val="0"/>
                    <w:jc w:val="left"/>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北仓库，1层，占地140平方米，位于厂区中北部</w:t>
                  </w:r>
                </w:p>
              </w:tc>
              <w:tc>
                <w:tcPr>
                  <w:tcW w:w="1559" w:type="pct"/>
                  <w:shd w:val="clear" w:color="auto" w:fill="auto"/>
                  <w:vAlign w:val="center"/>
                </w:tcPr>
                <w:p w14:paraId="47AB7B2F">
                  <w:pPr>
                    <w:snapToGrid w:val="0"/>
                    <w:jc w:val="left"/>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北仓库，1层，占地140平方米，位于厂区中北部</w:t>
                  </w:r>
                </w:p>
              </w:tc>
              <w:tc>
                <w:tcPr>
                  <w:tcW w:w="782" w:type="pct"/>
                  <w:vAlign w:val="center"/>
                </w:tcPr>
                <w:p w14:paraId="3861FCBA">
                  <w:pPr>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依托现有</w:t>
                  </w:r>
                </w:p>
              </w:tc>
            </w:tr>
            <w:tr w14:paraId="7B8B2B9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cantSplit/>
                <w:trHeight w:val="397" w:hRule="atLeast"/>
                <w:jc w:val="center"/>
              </w:trPr>
              <w:tc>
                <w:tcPr>
                  <w:tcW w:w="405" w:type="pct"/>
                  <w:vMerge w:val="continue"/>
                  <w:vAlign w:val="center"/>
                </w:tcPr>
                <w:p w14:paraId="743470CF">
                  <w:pPr>
                    <w:snapToGrid w:val="0"/>
                    <w:jc w:val="center"/>
                    <w:rPr>
                      <w:rFonts w:hint="default" w:ascii="Times New Roman" w:hAnsi="Times New Roman" w:eastAsia="宋体" w:cs="Times New Roman"/>
                      <w:bCs/>
                      <w:color w:val="auto"/>
                      <w:sz w:val="21"/>
                      <w:szCs w:val="21"/>
                    </w:rPr>
                  </w:pPr>
                </w:p>
              </w:tc>
              <w:tc>
                <w:tcPr>
                  <w:tcW w:w="693" w:type="pct"/>
                  <w:vMerge w:val="continue"/>
                  <w:vAlign w:val="center"/>
                </w:tcPr>
                <w:p w14:paraId="7A67A1DD">
                  <w:pPr>
                    <w:snapToGrid w:val="0"/>
                    <w:jc w:val="center"/>
                    <w:rPr>
                      <w:rFonts w:hint="default" w:ascii="Times New Roman" w:hAnsi="Times New Roman" w:eastAsia="宋体" w:cs="Times New Roman"/>
                      <w:color w:val="auto"/>
                      <w:sz w:val="21"/>
                      <w:szCs w:val="21"/>
                    </w:rPr>
                  </w:pPr>
                </w:p>
              </w:tc>
              <w:tc>
                <w:tcPr>
                  <w:tcW w:w="1558" w:type="pct"/>
                  <w:vAlign w:val="center"/>
                </w:tcPr>
                <w:p w14:paraId="1296FD96">
                  <w:pPr>
                    <w:snapToGrid w:val="0"/>
                    <w:jc w:val="left"/>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生产车间，1层，占地300平方米，位于厂区东南侧</w:t>
                  </w:r>
                </w:p>
              </w:tc>
              <w:tc>
                <w:tcPr>
                  <w:tcW w:w="1559" w:type="pct"/>
                  <w:vAlign w:val="center"/>
                </w:tcPr>
                <w:p w14:paraId="2264AE27">
                  <w:pPr>
                    <w:snapToGrid w:val="0"/>
                    <w:jc w:val="left"/>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南仓库，1层，占地300平方米，位于厂区东南侧</w:t>
                  </w:r>
                </w:p>
              </w:tc>
              <w:tc>
                <w:tcPr>
                  <w:tcW w:w="782" w:type="pct"/>
                  <w:vAlign w:val="center"/>
                </w:tcPr>
                <w:p w14:paraId="4DEC47D0">
                  <w:pPr>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由原生产厂房改造</w:t>
                  </w:r>
                </w:p>
              </w:tc>
            </w:tr>
            <w:tr w14:paraId="712F1E9B">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cantSplit/>
                <w:trHeight w:val="397" w:hRule="atLeast"/>
                <w:jc w:val="center"/>
              </w:trPr>
              <w:tc>
                <w:tcPr>
                  <w:tcW w:w="405" w:type="pct"/>
                  <w:vMerge w:val="restart"/>
                  <w:vAlign w:val="center"/>
                </w:tcPr>
                <w:p w14:paraId="6A6EC612">
                  <w:pPr>
                    <w:snapToGrid w:val="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环保工程</w:t>
                  </w:r>
                </w:p>
              </w:tc>
              <w:tc>
                <w:tcPr>
                  <w:tcW w:w="693" w:type="pct"/>
                  <w:vAlign w:val="center"/>
                </w:tcPr>
                <w:p w14:paraId="36B182EC">
                  <w:pPr>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废水处理</w:t>
                  </w:r>
                </w:p>
              </w:tc>
              <w:tc>
                <w:tcPr>
                  <w:tcW w:w="1558" w:type="pct"/>
                  <w:vAlign w:val="center"/>
                </w:tcPr>
                <w:p w14:paraId="52F85E2B">
                  <w:pPr>
                    <w:snapToGrid w:val="0"/>
                    <w:jc w:val="left"/>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本项目无生产废水产生，生活污水经化粪池处理后</w:t>
                  </w:r>
                  <w:r>
                    <w:rPr>
                      <w:rFonts w:hint="default" w:ascii="Times New Roman" w:hAnsi="Times New Roman" w:eastAsia="宋体" w:cs="Times New Roman"/>
                      <w:color w:val="auto"/>
                      <w:sz w:val="21"/>
                      <w:szCs w:val="21"/>
                      <w:lang w:eastAsia="zh-CN"/>
                    </w:rPr>
                    <w:t>由</w:t>
                  </w:r>
                  <w:r>
                    <w:rPr>
                      <w:rFonts w:hint="default" w:ascii="Times New Roman" w:hAnsi="Times New Roman" w:eastAsia="宋体" w:cs="Times New Roman"/>
                      <w:color w:val="auto"/>
                      <w:sz w:val="21"/>
                      <w:szCs w:val="21"/>
                    </w:rPr>
                    <w:t>环卫部门定期清运</w:t>
                  </w:r>
                  <w:r>
                    <w:rPr>
                      <w:rFonts w:hint="default" w:ascii="Times New Roman" w:hAnsi="Times New Roman" w:eastAsia="宋体" w:cs="Times New Roman"/>
                      <w:color w:val="auto"/>
                      <w:sz w:val="21"/>
                      <w:szCs w:val="21"/>
                      <w:lang w:eastAsia="zh-CN"/>
                    </w:rPr>
                    <w:t>，抑尘用水全部蒸发损耗，不外排</w:t>
                  </w:r>
                </w:p>
              </w:tc>
              <w:tc>
                <w:tcPr>
                  <w:tcW w:w="1559" w:type="pct"/>
                  <w:shd w:val="clear" w:color="auto" w:fill="auto"/>
                  <w:vAlign w:val="center"/>
                </w:tcPr>
                <w:p w14:paraId="253C0F54">
                  <w:pPr>
                    <w:snapToGrid w:val="0"/>
                    <w:jc w:val="left"/>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本项目无生产废水产生，生活污水经化粪池处理后</w:t>
                  </w:r>
                  <w:r>
                    <w:rPr>
                      <w:rFonts w:hint="default" w:ascii="Times New Roman" w:hAnsi="Times New Roman" w:eastAsia="宋体" w:cs="Times New Roman"/>
                      <w:color w:val="auto"/>
                      <w:sz w:val="21"/>
                      <w:szCs w:val="21"/>
                      <w:lang w:eastAsia="zh-CN"/>
                    </w:rPr>
                    <w:t>由</w:t>
                  </w:r>
                  <w:r>
                    <w:rPr>
                      <w:rFonts w:hint="default" w:ascii="Times New Roman" w:hAnsi="Times New Roman" w:eastAsia="宋体" w:cs="Times New Roman"/>
                      <w:color w:val="auto"/>
                      <w:sz w:val="21"/>
                      <w:szCs w:val="21"/>
                    </w:rPr>
                    <w:t>环卫部门定期清运</w:t>
                  </w:r>
                  <w:r>
                    <w:rPr>
                      <w:rFonts w:hint="default" w:ascii="Times New Roman" w:hAnsi="Times New Roman" w:eastAsia="宋体" w:cs="Times New Roman"/>
                      <w:color w:val="auto"/>
                      <w:sz w:val="21"/>
                      <w:szCs w:val="21"/>
                      <w:lang w:eastAsia="zh-CN"/>
                    </w:rPr>
                    <w:t>，抑尘用水全部蒸发损耗，不外排</w:t>
                  </w:r>
                </w:p>
              </w:tc>
              <w:tc>
                <w:tcPr>
                  <w:tcW w:w="782" w:type="pct"/>
                  <w:vAlign w:val="center"/>
                </w:tcPr>
                <w:p w14:paraId="1D416792">
                  <w:pPr>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依托现有</w:t>
                  </w:r>
                </w:p>
              </w:tc>
            </w:tr>
            <w:tr w14:paraId="3A4E3896">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cantSplit/>
                <w:trHeight w:val="397" w:hRule="atLeast"/>
                <w:jc w:val="center"/>
              </w:trPr>
              <w:tc>
                <w:tcPr>
                  <w:tcW w:w="405" w:type="pct"/>
                  <w:vMerge w:val="continue"/>
                  <w:vAlign w:val="center"/>
                </w:tcPr>
                <w:p w14:paraId="37B626F5">
                  <w:pPr>
                    <w:snapToGrid w:val="0"/>
                    <w:jc w:val="center"/>
                    <w:rPr>
                      <w:rFonts w:hint="default" w:ascii="Times New Roman" w:hAnsi="Times New Roman" w:eastAsia="宋体" w:cs="Times New Roman"/>
                      <w:bCs/>
                      <w:color w:val="auto"/>
                      <w:sz w:val="21"/>
                      <w:szCs w:val="21"/>
                      <w:highlight w:val="yellow"/>
                    </w:rPr>
                  </w:pPr>
                </w:p>
              </w:tc>
              <w:tc>
                <w:tcPr>
                  <w:tcW w:w="693" w:type="pct"/>
                  <w:vAlign w:val="center"/>
                </w:tcPr>
                <w:p w14:paraId="62014836">
                  <w:pPr>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废气处理</w:t>
                  </w:r>
                </w:p>
              </w:tc>
              <w:tc>
                <w:tcPr>
                  <w:tcW w:w="1558" w:type="pct"/>
                  <w:vAlign w:val="center"/>
                </w:tcPr>
                <w:p w14:paraId="663C3D32">
                  <w:pPr>
                    <w:snapToGrid w:val="0"/>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各工序产生粉尘经集气罩收集后经脉冲式布袋除尘器处理后通过15米高排气筒P4有组织排放，</w:t>
                  </w:r>
                  <w:r>
                    <w:rPr>
                      <w:rFonts w:hint="default" w:ascii="Times New Roman" w:hAnsi="Times New Roman" w:eastAsia="宋体" w:cs="Times New Roman"/>
                      <w:color w:val="FF0000"/>
                      <w:sz w:val="21"/>
                      <w:szCs w:val="21"/>
                      <w:lang w:val="en-US" w:eastAsia="zh-CN"/>
                    </w:rPr>
                    <w:t>厂房改造后现有排气筒P4拆除</w:t>
                  </w:r>
                </w:p>
              </w:tc>
              <w:tc>
                <w:tcPr>
                  <w:tcW w:w="1559" w:type="pct"/>
                  <w:shd w:val="clear" w:color="auto" w:fill="auto"/>
                  <w:vAlign w:val="center"/>
                </w:tcPr>
                <w:p w14:paraId="56665EBB">
                  <w:pPr>
                    <w:snapToGrid w:val="0"/>
                    <w:jc w:val="left"/>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各工序产生粉尘经集气罩收集后经脉冲式布袋除尘器处理后通过15米高排气筒DA001有组织排放</w:t>
                  </w:r>
                </w:p>
              </w:tc>
              <w:tc>
                <w:tcPr>
                  <w:tcW w:w="782" w:type="pct"/>
                  <w:vAlign w:val="center"/>
                </w:tcPr>
                <w:p w14:paraId="3004917D">
                  <w:pPr>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新建</w:t>
                  </w:r>
                </w:p>
              </w:tc>
            </w:tr>
            <w:tr w14:paraId="1C6E9ED4">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cantSplit/>
                <w:trHeight w:val="90" w:hRule="atLeast"/>
                <w:jc w:val="center"/>
              </w:trPr>
              <w:tc>
                <w:tcPr>
                  <w:tcW w:w="405" w:type="pct"/>
                  <w:vMerge w:val="continue"/>
                  <w:vAlign w:val="center"/>
                </w:tcPr>
                <w:p w14:paraId="65DD939A">
                  <w:pPr>
                    <w:snapToGrid w:val="0"/>
                    <w:jc w:val="center"/>
                    <w:rPr>
                      <w:rFonts w:hint="default" w:ascii="Times New Roman" w:hAnsi="Times New Roman" w:eastAsia="宋体" w:cs="Times New Roman"/>
                      <w:bCs/>
                      <w:color w:val="auto"/>
                      <w:sz w:val="21"/>
                      <w:szCs w:val="21"/>
                      <w:highlight w:val="yellow"/>
                    </w:rPr>
                  </w:pPr>
                </w:p>
              </w:tc>
              <w:tc>
                <w:tcPr>
                  <w:tcW w:w="693" w:type="pct"/>
                  <w:vAlign w:val="center"/>
                </w:tcPr>
                <w:p w14:paraId="0074753C">
                  <w:pPr>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固废处理</w:t>
                  </w:r>
                </w:p>
              </w:tc>
              <w:tc>
                <w:tcPr>
                  <w:tcW w:w="1558" w:type="pct"/>
                  <w:vAlign w:val="center"/>
                </w:tcPr>
                <w:p w14:paraId="0EC21CB2">
                  <w:pPr>
                    <w:snapToGrid w:val="0"/>
                    <w:jc w:val="left"/>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生活垃圾由环卫部门定期进行清运，布袋除尘器收集的粉尘</w:t>
                  </w:r>
                  <w:r>
                    <w:rPr>
                      <w:rFonts w:hint="default" w:ascii="Times New Roman" w:hAnsi="Times New Roman" w:eastAsia="宋体" w:cs="Times New Roman"/>
                      <w:color w:val="auto"/>
                      <w:sz w:val="21"/>
                      <w:szCs w:val="21"/>
                      <w:lang w:val="en-US" w:eastAsia="zh-CN"/>
                    </w:rPr>
                    <w:t>回</w:t>
                  </w:r>
                  <w:r>
                    <w:rPr>
                      <w:rFonts w:hint="default" w:ascii="Times New Roman" w:hAnsi="Times New Roman" w:eastAsia="宋体" w:cs="Times New Roman"/>
                      <w:color w:val="auto"/>
                      <w:sz w:val="21"/>
                      <w:szCs w:val="21"/>
                    </w:rPr>
                    <w:t>用于生产</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val="en-US" w:eastAsia="zh-CN"/>
                    </w:rPr>
                    <w:t>含铁物料集中收集后外售</w:t>
                  </w:r>
                </w:p>
              </w:tc>
              <w:tc>
                <w:tcPr>
                  <w:tcW w:w="1559" w:type="pct"/>
                  <w:shd w:val="clear" w:color="auto" w:fill="auto"/>
                  <w:vAlign w:val="center"/>
                </w:tcPr>
                <w:p w14:paraId="132DEF0A">
                  <w:pPr>
                    <w:snapToGrid w:val="0"/>
                    <w:jc w:val="left"/>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生活垃圾由环卫部门定期进行清运，布袋除尘器收集的粉尘</w:t>
                  </w:r>
                  <w:r>
                    <w:rPr>
                      <w:rFonts w:hint="default" w:ascii="Times New Roman" w:hAnsi="Times New Roman" w:eastAsia="宋体" w:cs="Times New Roman"/>
                      <w:color w:val="auto"/>
                      <w:sz w:val="21"/>
                      <w:szCs w:val="21"/>
                      <w:lang w:val="en-US" w:eastAsia="zh-CN"/>
                    </w:rPr>
                    <w:t>回</w:t>
                  </w:r>
                  <w:r>
                    <w:rPr>
                      <w:rFonts w:hint="default" w:ascii="Times New Roman" w:hAnsi="Times New Roman" w:eastAsia="宋体" w:cs="Times New Roman"/>
                      <w:color w:val="auto"/>
                      <w:sz w:val="21"/>
                      <w:szCs w:val="21"/>
                    </w:rPr>
                    <w:t>用于生产</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val="en-US" w:eastAsia="zh-CN"/>
                    </w:rPr>
                    <w:t>含铁物料集中收集后外售</w:t>
                  </w:r>
                </w:p>
              </w:tc>
              <w:tc>
                <w:tcPr>
                  <w:tcW w:w="782" w:type="pct"/>
                  <w:vAlign w:val="center"/>
                </w:tcPr>
                <w:p w14:paraId="47D39E59">
                  <w:pPr>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依托现有</w:t>
                  </w:r>
                </w:p>
              </w:tc>
            </w:tr>
            <w:tr w14:paraId="5166A6DC">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cantSplit/>
                <w:trHeight w:val="397" w:hRule="atLeast"/>
                <w:jc w:val="center"/>
              </w:trPr>
              <w:tc>
                <w:tcPr>
                  <w:tcW w:w="405" w:type="pct"/>
                  <w:vMerge w:val="continue"/>
                  <w:vAlign w:val="center"/>
                </w:tcPr>
                <w:p w14:paraId="5ACFE8C1">
                  <w:pPr>
                    <w:snapToGrid w:val="0"/>
                    <w:jc w:val="center"/>
                    <w:rPr>
                      <w:rFonts w:hint="default" w:ascii="Times New Roman" w:hAnsi="Times New Roman" w:eastAsia="宋体" w:cs="Times New Roman"/>
                      <w:bCs/>
                      <w:color w:val="auto"/>
                      <w:sz w:val="21"/>
                      <w:szCs w:val="21"/>
                      <w:highlight w:val="yellow"/>
                    </w:rPr>
                  </w:pPr>
                </w:p>
              </w:tc>
              <w:tc>
                <w:tcPr>
                  <w:tcW w:w="693" w:type="pct"/>
                  <w:vAlign w:val="center"/>
                </w:tcPr>
                <w:p w14:paraId="752127BA">
                  <w:pPr>
                    <w:snapToGrid w:val="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噪声处理</w:t>
                  </w:r>
                </w:p>
              </w:tc>
              <w:tc>
                <w:tcPr>
                  <w:tcW w:w="1558" w:type="pct"/>
                  <w:vAlign w:val="center"/>
                </w:tcPr>
                <w:p w14:paraId="13FDEED4">
                  <w:pPr>
                    <w:snapToGrid w:val="0"/>
                    <w:jc w:val="left"/>
                    <w:rPr>
                      <w:rFonts w:hint="default" w:ascii="Times New Roman" w:hAnsi="Times New Roman" w:eastAsia="宋体" w:cs="Times New Roman"/>
                      <w:color w:val="auto"/>
                      <w:sz w:val="21"/>
                      <w:szCs w:val="21"/>
                      <w:highlight w:val="yellow"/>
                    </w:rPr>
                  </w:pPr>
                  <w:r>
                    <w:rPr>
                      <w:rFonts w:hint="default" w:ascii="Times New Roman" w:hAnsi="Times New Roman" w:eastAsia="宋体" w:cs="Times New Roman"/>
                      <w:color w:val="auto"/>
                      <w:sz w:val="21"/>
                      <w:szCs w:val="21"/>
                    </w:rPr>
                    <w:t>设备置于封闭车间内，采用</w:t>
                  </w:r>
                  <w:r>
                    <w:rPr>
                      <w:rFonts w:hint="default" w:ascii="Times New Roman" w:hAnsi="Times New Roman" w:eastAsia="宋体" w:cs="Times New Roman"/>
                      <w:color w:val="auto"/>
                      <w:sz w:val="21"/>
                      <w:szCs w:val="21"/>
                      <w:lang w:val="en-US" w:eastAsia="zh-CN"/>
                    </w:rPr>
                    <w:t>低噪声设备、</w:t>
                  </w:r>
                  <w:r>
                    <w:rPr>
                      <w:rFonts w:hint="default" w:ascii="Times New Roman" w:hAnsi="Times New Roman" w:eastAsia="宋体" w:cs="Times New Roman"/>
                      <w:color w:val="auto"/>
                      <w:sz w:val="21"/>
                      <w:szCs w:val="21"/>
                    </w:rPr>
                    <w:t>隔声和减振措施</w:t>
                  </w:r>
                </w:p>
              </w:tc>
              <w:tc>
                <w:tcPr>
                  <w:tcW w:w="1559" w:type="pct"/>
                  <w:shd w:val="clear" w:color="auto" w:fill="auto"/>
                  <w:vAlign w:val="center"/>
                </w:tcPr>
                <w:p w14:paraId="3F1DAC59">
                  <w:pPr>
                    <w:snapToGrid w:val="0"/>
                    <w:jc w:val="left"/>
                    <w:rPr>
                      <w:rFonts w:hint="default" w:ascii="Times New Roman" w:hAnsi="Times New Roman" w:eastAsia="宋体" w:cs="Times New Roman"/>
                      <w:color w:val="auto"/>
                      <w:kern w:val="2"/>
                      <w:sz w:val="21"/>
                      <w:szCs w:val="21"/>
                      <w:highlight w:val="yellow"/>
                      <w:lang w:val="en-US" w:eastAsia="zh-CN" w:bidi="ar-SA"/>
                    </w:rPr>
                  </w:pPr>
                  <w:r>
                    <w:rPr>
                      <w:rFonts w:hint="default" w:ascii="Times New Roman" w:hAnsi="Times New Roman" w:eastAsia="宋体" w:cs="Times New Roman"/>
                      <w:color w:val="auto"/>
                      <w:sz w:val="21"/>
                      <w:szCs w:val="21"/>
                    </w:rPr>
                    <w:t>设备置于封闭车间内，采用</w:t>
                  </w:r>
                  <w:r>
                    <w:rPr>
                      <w:rFonts w:hint="default" w:ascii="Times New Roman" w:hAnsi="Times New Roman" w:eastAsia="宋体" w:cs="Times New Roman"/>
                      <w:color w:val="auto"/>
                      <w:sz w:val="21"/>
                      <w:szCs w:val="21"/>
                      <w:lang w:val="en-US" w:eastAsia="zh-CN"/>
                    </w:rPr>
                    <w:t>低噪声设备、</w:t>
                  </w:r>
                  <w:r>
                    <w:rPr>
                      <w:rFonts w:hint="default" w:ascii="Times New Roman" w:hAnsi="Times New Roman" w:eastAsia="宋体" w:cs="Times New Roman"/>
                      <w:color w:val="auto"/>
                      <w:sz w:val="21"/>
                      <w:szCs w:val="21"/>
                    </w:rPr>
                    <w:t>隔声和减振措施</w:t>
                  </w:r>
                </w:p>
              </w:tc>
              <w:tc>
                <w:tcPr>
                  <w:tcW w:w="782" w:type="pct"/>
                  <w:vAlign w:val="center"/>
                </w:tcPr>
                <w:p w14:paraId="0FBFEFFE">
                  <w:pPr>
                    <w:snapToGrid w:val="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color w:val="auto"/>
                      <w:sz w:val="21"/>
                      <w:szCs w:val="21"/>
                    </w:rPr>
                    <w:t>新建</w:t>
                  </w:r>
                </w:p>
              </w:tc>
            </w:tr>
          </w:tbl>
          <w:p w14:paraId="14994762">
            <w:pPr>
              <w:pStyle w:val="3"/>
              <w:spacing w:before="120" w:beforeLines="50"/>
              <w:ind w:firstLine="422" w:firstLineChars="200"/>
              <w:outlineLvl w:val="9"/>
              <w:rPr>
                <w:rFonts w:hint="default" w:ascii="Times New Roman" w:hAnsi="Times New Roman" w:eastAsia="宋体" w:cs="Times New Roman"/>
                <w:b/>
                <w:bCs w:val="0"/>
                <w:color w:val="auto"/>
                <w:sz w:val="21"/>
                <w:szCs w:val="21"/>
                <w:highlight w:val="none"/>
              </w:rPr>
            </w:pPr>
            <w:r>
              <w:rPr>
                <w:rFonts w:hint="default" w:ascii="Times New Roman" w:hAnsi="Times New Roman" w:eastAsia="宋体" w:cs="Times New Roman"/>
                <w:b/>
                <w:bCs/>
                <w:color w:val="auto"/>
                <w:spacing w:val="0"/>
                <w:kern w:val="2"/>
                <w:sz w:val="21"/>
                <w:szCs w:val="21"/>
                <w:highlight w:val="none"/>
                <w:lang w:val="en-US" w:eastAsia="zh-CN" w:bidi="ar-SA"/>
              </w:rPr>
              <w:t>4、主要产品</w:t>
            </w:r>
            <w:r>
              <w:rPr>
                <w:rFonts w:hint="default" w:ascii="Times New Roman" w:hAnsi="Times New Roman" w:eastAsia="宋体" w:cs="Times New Roman"/>
                <w:b/>
                <w:bCs w:val="0"/>
                <w:color w:val="auto"/>
                <w:sz w:val="21"/>
                <w:szCs w:val="21"/>
                <w:highlight w:val="none"/>
              </w:rPr>
              <w:t>及产能</w:t>
            </w:r>
          </w:p>
          <w:p w14:paraId="48B88FE1">
            <w:pPr>
              <w:adjustRightInd w:val="0"/>
              <w:snapToGrid w:val="0"/>
              <w:spacing w:line="360" w:lineRule="auto"/>
              <w:ind w:firstLine="420" w:firstLineChars="20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本项目</w:t>
            </w:r>
            <w:r>
              <w:rPr>
                <w:rFonts w:hint="default" w:ascii="Times New Roman" w:hAnsi="Times New Roman" w:eastAsia="宋体" w:cs="Times New Roman"/>
                <w:color w:val="auto"/>
                <w:sz w:val="21"/>
                <w:szCs w:val="21"/>
                <w:highlight w:val="none"/>
              </w:rPr>
              <w:t>产品方案见</w:t>
            </w:r>
            <w:r>
              <w:rPr>
                <w:rFonts w:hint="default" w:ascii="Times New Roman" w:hAnsi="Times New Roman" w:eastAsia="宋体" w:cs="Times New Roman"/>
                <w:color w:val="auto"/>
                <w:sz w:val="21"/>
                <w:szCs w:val="21"/>
                <w:highlight w:val="none"/>
                <w:lang w:val="en-US" w:eastAsia="zh-CN"/>
              </w:rPr>
              <w:t>下</w:t>
            </w:r>
            <w:r>
              <w:rPr>
                <w:rFonts w:hint="default" w:ascii="Times New Roman" w:hAnsi="Times New Roman" w:eastAsia="宋体" w:cs="Times New Roman"/>
                <w:color w:val="auto"/>
                <w:sz w:val="21"/>
                <w:szCs w:val="21"/>
                <w:highlight w:val="none"/>
              </w:rPr>
              <w:t>表。</w:t>
            </w:r>
          </w:p>
          <w:p w14:paraId="32004486">
            <w:pPr>
              <w:pStyle w:val="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bCs/>
                <w:color w:val="auto"/>
                <w:spacing w:val="0"/>
                <w:sz w:val="21"/>
                <w:szCs w:val="21"/>
                <w:highlight w:val="none"/>
                <w:lang w:val="en-US" w:eastAsia="zh-CN"/>
              </w:rPr>
            </w:pPr>
            <w:r>
              <w:rPr>
                <w:rFonts w:hint="default" w:ascii="Times New Roman" w:hAnsi="Times New Roman" w:eastAsia="宋体" w:cs="Times New Roman"/>
                <w:b/>
                <w:bCs/>
                <w:color w:val="auto"/>
                <w:spacing w:val="0"/>
                <w:sz w:val="21"/>
                <w:szCs w:val="21"/>
                <w:highlight w:val="none"/>
                <w:lang w:val="en-US" w:eastAsia="zh-CN"/>
              </w:rPr>
              <w:t>表2-3 本项目产品方案一览表</w:t>
            </w:r>
          </w:p>
          <w:tbl>
            <w:tblPr>
              <w:tblStyle w:val="14"/>
              <w:tblW w:w="4998"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513"/>
              <w:gridCol w:w="1472"/>
              <w:gridCol w:w="1472"/>
              <w:gridCol w:w="1472"/>
              <w:gridCol w:w="1472"/>
              <w:gridCol w:w="1473"/>
            </w:tblGrid>
            <w:tr w14:paraId="4A865CC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326" w:type="pct"/>
                  <w:tcBorders>
                    <w:tl2br w:val="nil"/>
                    <w:tr2bl w:val="nil"/>
                  </w:tcBorders>
                  <w:noWrap w:val="0"/>
                  <w:vAlign w:val="center"/>
                </w:tcPr>
                <w:p w14:paraId="6E91BC41">
                  <w:pPr>
                    <w:pStyle w:val="26"/>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序号</w:t>
                  </w:r>
                </w:p>
              </w:tc>
              <w:tc>
                <w:tcPr>
                  <w:tcW w:w="934" w:type="pct"/>
                  <w:tcBorders>
                    <w:tl2br w:val="nil"/>
                    <w:tr2bl w:val="nil"/>
                  </w:tcBorders>
                  <w:noWrap w:val="0"/>
                  <w:vAlign w:val="center"/>
                </w:tcPr>
                <w:p w14:paraId="57E66427">
                  <w:pPr>
                    <w:pStyle w:val="26"/>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名称</w:t>
                  </w:r>
                </w:p>
              </w:tc>
              <w:tc>
                <w:tcPr>
                  <w:tcW w:w="934" w:type="pct"/>
                  <w:tcBorders>
                    <w:tl2br w:val="nil"/>
                    <w:tr2bl w:val="nil"/>
                  </w:tcBorders>
                  <w:noWrap w:val="0"/>
                  <w:vAlign w:val="center"/>
                </w:tcPr>
                <w:p w14:paraId="495E780E">
                  <w:pPr>
                    <w:pStyle w:val="26"/>
                    <w:spacing w:line="240" w:lineRule="auto"/>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rPr>
                    <w:t>单位</w:t>
                  </w:r>
                </w:p>
              </w:tc>
              <w:tc>
                <w:tcPr>
                  <w:tcW w:w="934" w:type="pct"/>
                  <w:tcBorders>
                    <w:tl2br w:val="nil"/>
                    <w:tr2bl w:val="nil"/>
                  </w:tcBorders>
                  <w:noWrap w:val="0"/>
                  <w:vAlign w:val="center"/>
                </w:tcPr>
                <w:p w14:paraId="226C91EE">
                  <w:pPr>
                    <w:pStyle w:val="26"/>
                    <w:spacing w:line="240" w:lineRule="auto"/>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现有项目产量</w:t>
                  </w:r>
                </w:p>
              </w:tc>
              <w:tc>
                <w:tcPr>
                  <w:tcW w:w="934" w:type="pct"/>
                  <w:tcBorders>
                    <w:tl2br w:val="nil"/>
                    <w:tr2bl w:val="nil"/>
                  </w:tcBorders>
                  <w:noWrap w:val="0"/>
                  <w:vAlign w:val="center"/>
                </w:tcPr>
                <w:p w14:paraId="3D378D58">
                  <w:pPr>
                    <w:pStyle w:val="26"/>
                    <w:spacing w:line="240" w:lineRule="auto"/>
                    <w:jc w:val="center"/>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color w:val="auto"/>
                      <w:sz w:val="21"/>
                      <w:szCs w:val="21"/>
                      <w:highlight w:val="none"/>
                      <w:lang w:val="en-US" w:eastAsia="zh-CN"/>
                    </w:rPr>
                    <w:t>扩建后项目</w:t>
                  </w:r>
                  <w:r>
                    <w:rPr>
                      <w:rFonts w:hint="default" w:ascii="Times New Roman" w:hAnsi="Times New Roman" w:eastAsia="宋体" w:cs="Times New Roman"/>
                      <w:b/>
                      <w:bCs/>
                      <w:color w:val="auto"/>
                      <w:sz w:val="21"/>
                      <w:szCs w:val="21"/>
                      <w:highlight w:val="none"/>
                      <w:lang w:eastAsia="zh-CN"/>
                    </w:rPr>
                    <w:t>产量</w:t>
                  </w:r>
                </w:p>
              </w:tc>
              <w:tc>
                <w:tcPr>
                  <w:tcW w:w="935" w:type="pct"/>
                  <w:tcBorders>
                    <w:tl2br w:val="nil"/>
                    <w:tr2bl w:val="nil"/>
                  </w:tcBorders>
                  <w:noWrap w:val="0"/>
                  <w:vAlign w:val="center"/>
                </w:tcPr>
                <w:p w14:paraId="3D998B91">
                  <w:pPr>
                    <w:pStyle w:val="26"/>
                    <w:spacing w:line="240" w:lineRule="auto"/>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备注</w:t>
                  </w:r>
                </w:p>
              </w:tc>
            </w:tr>
            <w:tr w14:paraId="64DC855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326" w:type="pct"/>
                  <w:tcBorders>
                    <w:tl2br w:val="nil"/>
                    <w:tr2bl w:val="nil"/>
                  </w:tcBorders>
                  <w:noWrap w:val="0"/>
                  <w:vAlign w:val="center"/>
                </w:tcPr>
                <w:p w14:paraId="5FF2DE1F">
                  <w:pPr>
                    <w:pStyle w:val="26"/>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1</w:t>
                  </w:r>
                </w:p>
              </w:tc>
              <w:tc>
                <w:tcPr>
                  <w:tcW w:w="934" w:type="pct"/>
                  <w:tcBorders>
                    <w:tl2br w:val="nil"/>
                    <w:tr2bl w:val="nil"/>
                  </w:tcBorders>
                  <w:shd w:val="clear" w:color="auto" w:fill="auto"/>
                  <w:noWrap w:val="0"/>
                  <w:vAlign w:val="center"/>
                </w:tcPr>
                <w:p w14:paraId="4317C096">
                  <w:pPr>
                    <w:pStyle w:val="26"/>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刚玉砂</w:t>
                  </w:r>
                </w:p>
              </w:tc>
              <w:tc>
                <w:tcPr>
                  <w:tcW w:w="934" w:type="pct"/>
                  <w:tcBorders>
                    <w:tl2br w:val="nil"/>
                    <w:tr2bl w:val="nil"/>
                  </w:tcBorders>
                  <w:shd w:val="clear" w:color="auto" w:fill="auto"/>
                  <w:noWrap w:val="0"/>
                  <w:vAlign w:val="center"/>
                </w:tcPr>
                <w:p w14:paraId="6E1A5188">
                  <w:pPr>
                    <w:pStyle w:val="26"/>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t/年</w:t>
                  </w:r>
                </w:p>
              </w:tc>
              <w:tc>
                <w:tcPr>
                  <w:tcW w:w="934" w:type="pct"/>
                  <w:tcBorders>
                    <w:tl2br w:val="nil"/>
                    <w:tr2bl w:val="nil"/>
                  </w:tcBorders>
                  <w:shd w:val="clear" w:color="auto" w:fill="auto"/>
                  <w:noWrap w:val="0"/>
                  <w:vAlign w:val="center"/>
                </w:tcPr>
                <w:p w14:paraId="1EE62588">
                  <w:pPr>
                    <w:pStyle w:val="26"/>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5000</w:t>
                  </w:r>
                </w:p>
              </w:tc>
              <w:tc>
                <w:tcPr>
                  <w:tcW w:w="934" w:type="pct"/>
                  <w:tcBorders>
                    <w:tl2br w:val="nil"/>
                    <w:tr2bl w:val="nil"/>
                  </w:tcBorders>
                  <w:shd w:val="clear" w:color="auto" w:fill="auto"/>
                  <w:noWrap w:val="0"/>
                  <w:vAlign w:val="center"/>
                </w:tcPr>
                <w:p w14:paraId="5D799F82">
                  <w:pPr>
                    <w:pStyle w:val="26"/>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10000</w:t>
                  </w:r>
                </w:p>
              </w:tc>
              <w:tc>
                <w:tcPr>
                  <w:tcW w:w="935" w:type="pct"/>
                  <w:tcBorders>
                    <w:tl2br w:val="nil"/>
                    <w:tr2bl w:val="nil"/>
                  </w:tcBorders>
                  <w:shd w:val="clear" w:color="auto" w:fill="auto"/>
                  <w:noWrap w:val="0"/>
                  <w:vAlign w:val="center"/>
                </w:tcPr>
                <w:p w14:paraId="3C95B88A">
                  <w:pPr>
                    <w:pStyle w:val="26"/>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外售</w:t>
                  </w:r>
                </w:p>
              </w:tc>
            </w:tr>
          </w:tbl>
          <w:p w14:paraId="4C158FB2">
            <w:pPr>
              <w:pStyle w:val="8"/>
              <w:keepNext w:val="0"/>
              <w:keepLines w:val="0"/>
              <w:pageBreakBefore w:val="0"/>
              <w:numPr>
                <w:ilvl w:val="0"/>
                <w:numId w:val="0"/>
              </w:numPr>
              <w:kinsoku/>
              <w:wordWrap/>
              <w:overflowPunct/>
              <w:topLinePunct w:val="0"/>
              <w:autoSpaceDE/>
              <w:autoSpaceDN/>
              <w:bidi w:val="0"/>
              <w:spacing w:after="0" w:line="360" w:lineRule="auto"/>
              <w:ind w:left="420" w:leftChars="0"/>
              <w:textAlignment w:val="auto"/>
              <w:rPr>
                <w:rFonts w:hint="default" w:ascii="Times New Roman" w:hAnsi="Times New Roman" w:eastAsia="宋体" w:cs="Times New Roman"/>
                <w:b/>
                <w:bCs/>
                <w:color w:val="auto"/>
                <w:spacing w:val="0"/>
                <w:sz w:val="21"/>
                <w:szCs w:val="21"/>
                <w:highlight w:val="none"/>
                <w:lang w:val="en-US" w:eastAsia="zh-CN"/>
              </w:rPr>
            </w:pPr>
            <w:r>
              <w:rPr>
                <w:rFonts w:hint="default" w:ascii="Times New Roman" w:hAnsi="Times New Roman" w:eastAsia="宋体" w:cs="Times New Roman"/>
                <w:b/>
                <w:bCs/>
                <w:color w:val="auto"/>
                <w:spacing w:val="0"/>
                <w:sz w:val="21"/>
                <w:szCs w:val="21"/>
                <w:highlight w:val="none"/>
                <w:lang w:val="en-US" w:eastAsia="zh-CN"/>
              </w:rPr>
              <w:t>5、主要原辅材料</w:t>
            </w:r>
          </w:p>
          <w:p w14:paraId="73A5527F">
            <w:pPr>
              <w:keepNext w:val="0"/>
              <w:keepLines w:val="0"/>
              <w:pageBreakBefore w:val="0"/>
              <w:numPr>
                <w:ilvl w:val="0"/>
                <w:numId w:val="0"/>
              </w:numPr>
              <w:kinsoku/>
              <w:wordWrap/>
              <w:overflowPunct/>
              <w:topLinePunct w:val="0"/>
              <w:autoSpaceDE/>
              <w:autoSpaceDN/>
              <w:bidi w:val="0"/>
              <w:spacing w:line="360" w:lineRule="auto"/>
              <w:ind w:left="0" w:leftChars="0" w:firstLine="420" w:firstLineChars="200"/>
              <w:textAlignment w:val="auto"/>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lang w:val="en-US" w:eastAsia="zh-CN"/>
              </w:rPr>
              <w:t>本项目主要原辅材料消耗情况见下表。</w:t>
            </w:r>
          </w:p>
          <w:p w14:paraId="45D0F976">
            <w:pPr>
              <w:pStyle w:val="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bCs/>
                <w:color w:val="auto"/>
                <w:spacing w:val="0"/>
                <w:sz w:val="21"/>
                <w:szCs w:val="21"/>
                <w:highlight w:val="none"/>
                <w:lang w:val="en-US" w:eastAsia="zh-CN"/>
              </w:rPr>
            </w:pPr>
            <w:r>
              <w:rPr>
                <w:rFonts w:hint="default" w:ascii="Times New Roman" w:hAnsi="Times New Roman" w:eastAsia="宋体" w:cs="Times New Roman"/>
                <w:b/>
                <w:bCs/>
                <w:color w:val="auto"/>
                <w:spacing w:val="0"/>
                <w:sz w:val="21"/>
                <w:szCs w:val="21"/>
                <w:highlight w:val="none"/>
                <w:lang w:val="en-US" w:eastAsia="zh-CN"/>
              </w:rPr>
              <w:t>表2-4 本项目主要原辅材料及能源消耗一览表</w:t>
            </w:r>
          </w:p>
          <w:tbl>
            <w:tblPr>
              <w:tblStyle w:val="14"/>
              <w:tblW w:w="4996"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448"/>
              <w:gridCol w:w="1343"/>
              <w:gridCol w:w="1032"/>
              <w:gridCol w:w="1153"/>
              <w:gridCol w:w="1153"/>
              <w:gridCol w:w="1153"/>
              <w:gridCol w:w="1589"/>
            </w:tblGrid>
            <w:tr w14:paraId="5525725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49" w:type="dxa"/>
                  <w:tcBorders>
                    <w:tl2br w:val="nil"/>
                    <w:tr2bl w:val="nil"/>
                  </w:tcBorders>
                  <w:noWrap w:val="0"/>
                  <w:vAlign w:val="center"/>
                </w:tcPr>
                <w:p w14:paraId="36BEB19E">
                  <w:pPr>
                    <w:widowControl/>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序号</w:t>
                  </w:r>
                </w:p>
              </w:tc>
              <w:tc>
                <w:tcPr>
                  <w:tcW w:w="1343" w:type="dxa"/>
                  <w:tcBorders>
                    <w:tl2br w:val="nil"/>
                    <w:tr2bl w:val="nil"/>
                  </w:tcBorders>
                  <w:noWrap w:val="0"/>
                  <w:vAlign w:val="center"/>
                </w:tcPr>
                <w:p w14:paraId="7E63A2D2">
                  <w:pPr>
                    <w:widowControl/>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名称</w:t>
                  </w:r>
                </w:p>
              </w:tc>
              <w:tc>
                <w:tcPr>
                  <w:tcW w:w="1032" w:type="dxa"/>
                  <w:tcBorders>
                    <w:tl2br w:val="nil"/>
                    <w:tr2bl w:val="nil"/>
                  </w:tcBorders>
                  <w:noWrap w:val="0"/>
                  <w:vAlign w:val="center"/>
                </w:tcPr>
                <w:p w14:paraId="4DDF94CF">
                  <w:pPr>
                    <w:widowControl/>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单位</w:t>
                  </w:r>
                </w:p>
              </w:tc>
              <w:tc>
                <w:tcPr>
                  <w:tcW w:w="1153" w:type="dxa"/>
                  <w:tcBorders>
                    <w:tl2br w:val="nil"/>
                    <w:tr2bl w:val="nil"/>
                  </w:tcBorders>
                  <w:noWrap w:val="0"/>
                  <w:vAlign w:val="center"/>
                </w:tcPr>
                <w:p w14:paraId="286EE344">
                  <w:pPr>
                    <w:widowControl/>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现有项目用量</w:t>
                  </w:r>
                </w:p>
              </w:tc>
              <w:tc>
                <w:tcPr>
                  <w:tcW w:w="1153" w:type="dxa"/>
                  <w:tcBorders>
                    <w:tl2br w:val="nil"/>
                    <w:tr2bl w:val="nil"/>
                  </w:tcBorders>
                  <w:noWrap w:val="0"/>
                  <w:vAlign w:val="center"/>
                </w:tcPr>
                <w:p w14:paraId="08C6CDC7">
                  <w:pPr>
                    <w:widowControl/>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扩建项目新增</w:t>
                  </w:r>
                </w:p>
              </w:tc>
              <w:tc>
                <w:tcPr>
                  <w:tcW w:w="1153" w:type="dxa"/>
                  <w:tcBorders>
                    <w:tl2br w:val="nil"/>
                    <w:tr2bl w:val="nil"/>
                  </w:tcBorders>
                  <w:noWrap w:val="0"/>
                  <w:vAlign w:val="center"/>
                </w:tcPr>
                <w:p w14:paraId="7F62C477">
                  <w:pPr>
                    <w:widowControl/>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扩建后项目用量</w:t>
                  </w:r>
                </w:p>
              </w:tc>
              <w:tc>
                <w:tcPr>
                  <w:tcW w:w="1589" w:type="dxa"/>
                  <w:tcBorders>
                    <w:tl2br w:val="nil"/>
                    <w:tr2bl w:val="nil"/>
                  </w:tcBorders>
                  <w:noWrap w:val="0"/>
                  <w:vAlign w:val="center"/>
                </w:tcPr>
                <w:p w14:paraId="07360DDB">
                  <w:pPr>
                    <w:widowControl/>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sz w:val="21"/>
                      <w:szCs w:val="21"/>
                      <w:highlight w:val="none"/>
                      <w:lang w:val="en-US" w:eastAsia="zh-CN"/>
                    </w:rPr>
                    <w:t>备注</w:t>
                  </w:r>
                </w:p>
              </w:tc>
            </w:tr>
            <w:tr w14:paraId="702F7D5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7872" w:type="dxa"/>
                  <w:gridSpan w:val="7"/>
                  <w:tcBorders>
                    <w:tl2br w:val="nil"/>
                    <w:tr2bl w:val="nil"/>
                  </w:tcBorders>
                  <w:noWrap w:val="0"/>
                  <w:vAlign w:val="center"/>
                </w:tcPr>
                <w:p w14:paraId="38188670">
                  <w:pPr>
                    <w:widowControl/>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原辅材料</w:t>
                  </w:r>
                </w:p>
              </w:tc>
            </w:tr>
            <w:tr w14:paraId="09D7AC6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49" w:type="dxa"/>
                  <w:tcBorders>
                    <w:tl2br w:val="nil"/>
                    <w:tr2bl w:val="nil"/>
                  </w:tcBorders>
                  <w:shd w:val="clear" w:color="auto" w:fill="auto"/>
                  <w:noWrap w:val="0"/>
                  <w:vAlign w:val="center"/>
                </w:tcPr>
                <w:p w14:paraId="7E89414F">
                  <w:pPr>
                    <w:pStyle w:val="26"/>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1</w:t>
                  </w:r>
                </w:p>
              </w:tc>
              <w:tc>
                <w:tcPr>
                  <w:tcW w:w="1343" w:type="dxa"/>
                  <w:tcBorders>
                    <w:tl2br w:val="nil"/>
                    <w:tr2bl w:val="nil"/>
                  </w:tcBorders>
                  <w:shd w:val="clear" w:color="auto" w:fill="auto"/>
                  <w:noWrap w:val="0"/>
                  <w:vAlign w:val="center"/>
                </w:tcPr>
                <w:p w14:paraId="19B8AD01">
                  <w:pPr>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刚玉块</w:t>
                  </w:r>
                </w:p>
              </w:tc>
              <w:tc>
                <w:tcPr>
                  <w:tcW w:w="1032" w:type="dxa"/>
                  <w:tcBorders>
                    <w:tl2br w:val="nil"/>
                    <w:tr2bl w:val="nil"/>
                  </w:tcBorders>
                  <w:shd w:val="clear" w:color="auto" w:fill="auto"/>
                  <w:noWrap w:val="0"/>
                  <w:vAlign w:val="center"/>
                </w:tcPr>
                <w:p w14:paraId="0C55E474">
                  <w:pPr>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t/a</w:t>
                  </w:r>
                </w:p>
              </w:tc>
              <w:tc>
                <w:tcPr>
                  <w:tcW w:w="1153" w:type="dxa"/>
                  <w:tcBorders>
                    <w:tl2br w:val="nil"/>
                    <w:tr2bl w:val="nil"/>
                  </w:tcBorders>
                  <w:shd w:val="clear" w:color="auto" w:fill="auto"/>
                  <w:noWrap w:val="0"/>
                  <w:vAlign w:val="center"/>
                </w:tcPr>
                <w:p w14:paraId="367A2295">
                  <w:pPr>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5010</w:t>
                  </w:r>
                </w:p>
              </w:tc>
              <w:tc>
                <w:tcPr>
                  <w:tcW w:w="1153" w:type="dxa"/>
                  <w:tcBorders>
                    <w:tl2br w:val="nil"/>
                    <w:tr2bl w:val="nil"/>
                  </w:tcBorders>
                  <w:shd w:val="clear" w:color="auto" w:fill="auto"/>
                  <w:noWrap w:val="0"/>
                  <w:vAlign w:val="center"/>
                </w:tcPr>
                <w:p w14:paraId="53024ED2">
                  <w:pPr>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5010</w:t>
                  </w:r>
                </w:p>
              </w:tc>
              <w:tc>
                <w:tcPr>
                  <w:tcW w:w="1153" w:type="dxa"/>
                  <w:tcBorders>
                    <w:tl2br w:val="nil"/>
                    <w:tr2bl w:val="nil"/>
                  </w:tcBorders>
                  <w:shd w:val="clear" w:color="auto" w:fill="auto"/>
                  <w:noWrap w:val="0"/>
                  <w:vAlign w:val="center"/>
                </w:tcPr>
                <w:p w14:paraId="256A403E">
                  <w:pPr>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10020</w:t>
                  </w:r>
                </w:p>
              </w:tc>
              <w:tc>
                <w:tcPr>
                  <w:tcW w:w="1589" w:type="dxa"/>
                  <w:tcBorders>
                    <w:tl2br w:val="nil"/>
                    <w:tr2bl w:val="nil"/>
                  </w:tcBorders>
                  <w:noWrap w:val="0"/>
                  <w:vAlign w:val="center"/>
                </w:tcPr>
                <w:p w14:paraId="107ABE9C">
                  <w:pPr>
                    <w:widowControl/>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外购</w:t>
                  </w:r>
                </w:p>
              </w:tc>
            </w:tr>
            <w:tr w14:paraId="1954CB7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7872" w:type="dxa"/>
                  <w:gridSpan w:val="7"/>
                  <w:tcBorders>
                    <w:tl2br w:val="nil"/>
                    <w:tr2bl w:val="nil"/>
                  </w:tcBorders>
                  <w:noWrap w:val="0"/>
                  <w:vAlign w:val="center"/>
                </w:tcPr>
                <w:p w14:paraId="183ECE03">
                  <w:pPr>
                    <w:widowControl/>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能源消耗</w:t>
                  </w:r>
                </w:p>
              </w:tc>
            </w:tr>
            <w:tr w14:paraId="687949A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49" w:type="dxa"/>
                  <w:tcBorders>
                    <w:tl2br w:val="nil"/>
                    <w:tr2bl w:val="nil"/>
                  </w:tcBorders>
                  <w:noWrap w:val="0"/>
                  <w:vAlign w:val="center"/>
                </w:tcPr>
                <w:p w14:paraId="6A7FE6D4">
                  <w:pPr>
                    <w:widowControl/>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w:t>
                  </w:r>
                </w:p>
              </w:tc>
              <w:tc>
                <w:tcPr>
                  <w:tcW w:w="1343" w:type="dxa"/>
                  <w:tcBorders>
                    <w:tl2br w:val="nil"/>
                    <w:tr2bl w:val="nil"/>
                  </w:tcBorders>
                  <w:shd w:val="clear" w:color="auto" w:fill="auto"/>
                  <w:noWrap w:val="0"/>
                  <w:vAlign w:val="center"/>
                </w:tcPr>
                <w:p w14:paraId="20E16E22">
                  <w:pPr>
                    <w:widowControl/>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水</w:t>
                  </w:r>
                </w:p>
              </w:tc>
              <w:tc>
                <w:tcPr>
                  <w:tcW w:w="1032" w:type="dxa"/>
                  <w:tcBorders>
                    <w:tl2br w:val="nil"/>
                    <w:tr2bl w:val="nil"/>
                  </w:tcBorders>
                  <w:shd w:val="clear" w:color="auto" w:fill="auto"/>
                  <w:noWrap w:val="0"/>
                  <w:vAlign w:val="center"/>
                </w:tcPr>
                <w:p w14:paraId="01AFE129">
                  <w:pPr>
                    <w:widowControl/>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lang w:val="en-US" w:eastAsia="zh-CN" w:bidi="ar-SA"/>
                    </w:rPr>
                    <w:t>m</w:t>
                  </w:r>
                  <w:r>
                    <w:rPr>
                      <w:rFonts w:hint="default" w:ascii="Times New Roman" w:hAnsi="Times New Roman" w:eastAsia="宋体" w:cs="Times New Roman"/>
                      <w:color w:val="auto"/>
                      <w:sz w:val="21"/>
                      <w:szCs w:val="21"/>
                      <w:vertAlign w:val="superscript"/>
                      <w:lang w:val="en-US" w:eastAsia="zh-CN" w:bidi="ar-SA"/>
                    </w:rPr>
                    <w:t>3</w:t>
                  </w:r>
                  <w:r>
                    <w:rPr>
                      <w:rFonts w:hint="default" w:ascii="Times New Roman" w:hAnsi="Times New Roman" w:eastAsia="宋体" w:cs="Times New Roman"/>
                      <w:color w:val="auto"/>
                      <w:sz w:val="21"/>
                      <w:szCs w:val="21"/>
                      <w:lang w:val="en-US" w:eastAsia="zh-CN" w:bidi="ar-SA"/>
                    </w:rPr>
                    <w:t>/a</w:t>
                  </w:r>
                </w:p>
              </w:tc>
              <w:tc>
                <w:tcPr>
                  <w:tcW w:w="1153" w:type="dxa"/>
                  <w:tcBorders>
                    <w:tl2br w:val="nil"/>
                    <w:tr2bl w:val="nil"/>
                  </w:tcBorders>
                  <w:shd w:val="clear" w:color="auto" w:fill="auto"/>
                  <w:noWrap w:val="0"/>
                  <w:vAlign w:val="center"/>
                </w:tcPr>
                <w:p w14:paraId="206D7FCD">
                  <w:pPr>
                    <w:pStyle w:val="26"/>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140</w:t>
                  </w:r>
                </w:p>
              </w:tc>
              <w:tc>
                <w:tcPr>
                  <w:tcW w:w="1153" w:type="dxa"/>
                  <w:tcBorders>
                    <w:tl2br w:val="nil"/>
                    <w:tr2bl w:val="nil"/>
                  </w:tcBorders>
                  <w:shd w:val="clear" w:color="auto" w:fill="auto"/>
                  <w:noWrap w:val="0"/>
                  <w:vAlign w:val="center"/>
                </w:tcPr>
                <w:p w14:paraId="44F51BD7">
                  <w:pPr>
                    <w:pStyle w:val="26"/>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20</w:t>
                  </w:r>
                </w:p>
              </w:tc>
              <w:tc>
                <w:tcPr>
                  <w:tcW w:w="1153" w:type="dxa"/>
                  <w:tcBorders>
                    <w:tl2br w:val="nil"/>
                    <w:tr2bl w:val="nil"/>
                  </w:tcBorders>
                  <w:shd w:val="clear" w:color="auto" w:fill="auto"/>
                  <w:noWrap w:val="0"/>
                  <w:vAlign w:val="center"/>
                </w:tcPr>
                <w:p w14:paraId="689CB924">
                  <w:pPr>
                    <w:pStyle w:val="26"/>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160</w:t>
                  </w:r>
                </w:p>
              </w:tc>
              <w:tc>
                <w:tcPr>
                  <w:tcW w:w="1589" w:type="dxa"/>
                  <w:tcBorders>
                    <w:tl2br w:val="nil"/>
                    <w:tr2bl w:val="nil"/>
                  </w:tcBorders>
                  <w:shd w:val="clear" w:color="auto" w:fill="auto"/>
                  <w:noWrap w:val="0"/>
                  <w:vAlign w:val="center"/>
                </w:tcPr>
                <w:p w14:paraId="11881A7F">
                  <w:pPr>
                    <w:widowControl/>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lang w:val="en-US" w:eastAsia="zh-CN"/>
                    </w:rPr>
                    <w:t>由</w:t>
                  </w:r>
                  <w:r>
                    <w:rPr>
                      <w:rFonts w:hint="default" w:ascii="Times New Roman" w:hAnsi="Times New Roman" w:eastAsia="宋体" w:cs="Times New Roman"/>
                      <w:color w:val="auto"/>
                      <w:sz w:val="21"/>
                      <w:szCs w:val="21"/>
                    </w:rPr>
                    <w:t>文昌湖区供水公司提供</w:t>
                  </w:r>
                </w:p>
              </w:tc>
            </w:tr>
            <w:tr w14:paraId="0C802BE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49" w:type="dxa"/>
                  <w:tcBorders>
                    <w:tl2br w:val="nil"/>
                    <w:tr2bl w:val="nil"/>
                  </w:tcBorders>
                  <w:noWrap w:val="0"/>
                  <w:vAlign w:val="center"/>
                </w:tcPr>
                <w:p w14:paraId="56ADC313">
                  <w:pPr>
                    <w:widowControl/>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w:t>
                  </w:r>
                </w:p>
              </w:tc>
              <w:tc>
                <w:tcPr>
                  <w:tcW w:w="1343" w:type="dxa"/>
                  <w:tcBorders>
                    <w:tl2br w:val="nil"/>
                    <w:tr2bl w:val="nil"/>
                  </w:tcBorders>
                  <w:shd w:val="clear" w:color="auto" w:fill="auto"/>
                  <w:noWrap w:val="0"/>
                  <w:vAlign w:val="center"/>
                </w:tcPr>
                <w:p w14:paraId="14C64598">
                  <w:pPr>
                    <w:widowControl/>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电</w:t>
                  </w:r>
                </w:p>
              </w:tc>
              <w:tc>
                <w:tcPr>
                  <w:tcW w:w="1032" w:type="dxa"/>
                  <w:tcBorders>
                    <w:tl2br w:val="nil"/>
                    <w:tr2bl w:val="nil"/>
                  </w:tcBorders>
                  <w:shd w:val="clear" w:color="auto" w:fill="auto"/>
                  <w:noWrap w:val="0"/>
                  <w:vAlign w:val="center"/>
                </w:tcPr>
                <w:p w14:paraId="0FC1FA15">
                  <w:pPr>
                    <w:widowControl/>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lang w:eastAsia="zh-CN"/>
                    </w:rPr>
                    <w:t>万</w:t>
                  </w:r>
                  <w:r>
                    <w:rPr>
                      <w:rFonts w:hint="default" w:ascii="Times New Roman" w:hAnsi="Times New Roman" w:eastAsia="宋体" w:cs="Times New Roman"/>
                      <w:color w:val="auto"/>
                      <w:sz w:val="21"/>
                      <w:szCs w:val="21"/>
                    </w:rPr>
                    <w:t>kW</w:t>
                  </w:r>
                  <w:r>
                    <w:rPr>
                      <w:rFonts w:hint="default" w:ascii="Times New Roman" w:hAnsi="Times New Roman" w:eastAsia="宋体" w:cs="Times New Roman"/>
                      <w:color w:val="auto"/>
                      <w:sz w:val="21"/>
                      <w:szCs w:val="21"/>
                      <w:lang w:val="en-US" w:eastAsia="zh-CN"/>
                    </w:rPr>
                    <w:t>·</w:t>
                  </w:r>
                  <w:r>
                    <w:rPr>
                      <w:rFonts w:hint="default" w:ascii="Times New Roman" w:hAnsi="Times New Roman" w:eastAsia="宋体" w:cs="Times New Roman"/>
                      <w:color w:val="auto"/>
                      <w:sz w:val="21"/>
                      <w:szCs w:val="21"/>
                    </w:rPr>
                    <w:t>h/a</w:t>
                  </w:r>
                </w:p>
              </w:tc>
              <w:tc>
                <w:tcPr>
                  <w:tcW w:w="1153" w:type="dxa"/>
                  <w:tcBorders>
                    <w:tl2br w:val="nil"/>
                    <w:tr2bl w:val="nil"/>
                  </w:tcBorders>
                  <w:shd w:val="clear" w:color="auto" w:fill="auto"/>
                  <w:noWrap w:val="0"/>
                  <w:vAlign w:val="center"/>
                </w:tcPr>
                <w:p w14:paraId="6ED56390">
                  <w:pPr>
                    <w:pStyle w:val="26"/>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6</w:t>
                  </w:r>
                </w:p>
              </w:tc>
              <w:tc>
                <w:tcPr>
                  <w:tcW w:w="1153" w:type="dxa"/>
                  <w:tcBorders>
                    <w:tl2br w:val="nil"/>
                    <w:tr2bl w:val="nil"/>
                  </w:tcBorders>
                  <w:shd w:val="clear" w:color="auto" w:fill="auto"/>
                  <w:noWrap w:val="0"/>
                  <w:vAlign w:val="center"/>
                </w:tcPr>
                <w:p w14:paraId="2785B511">
                  <w:pPr>
                    <w:pStyle w:val="26"/>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6</w:t>
                  </w:r>
                </w:p>
              </w:tc>
              <w:tc>
                <w:tcPr>
                  <w:tcW w:w="1153" w:type="dxa"/>
                  <w:tcBorders>
                    <w:tl2br w:val="nil"/>
                    <w:tr2bl w:val="nil"/>
                  </w:tcBorders>
                  <w:shd w:val="clear" w:color="auto" w:fill="auto"/>
                  <w:noWrap w:val="0"/>
                  <w:vAlign w:val="center"/>
                </w:tcPr>
                <w:p w14:paraId="5F0482D2">
                  <w:pPr>
                    <w:pStyle w:val="26"/>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12</w:t>
                  </w:r>
                </w:p>
              </w:tc>
              <w:tc>
                <w:tcPr>
                  <w:tcW w:w="1589" w:type="dxa"/>
                  <w:tcBorders>
                    <w:tl2br w:val="nil"/>
                    <w:tr2bl w:val="nil"/>
                  </w:tcBorders>
                  <w:shd w:val="clear" w:color="auto" w:fill="auto"/>
                  <w:noWrap w:val="0"/>
                  <w:vAlign w:val="center"/>
                </w:tcPr>
                <w:p w14:paraId="1E780EE0">
                  <w:pPr>
                    <w:widowControl/>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lang w:val="en-US" w:eastAsia="zh-CN"/>
                    </w:rPr>
                    <w:t>由萌水镇</w:t>
                  </w:r>
                  <w:r>
                    <w:rPr>
                      <w:rFonts w:hint="default" w:ascii="Times New Roman" w:hAnsi="Times New Roman" w:eastAsia="宋体" w:cs="Times New Roman"/>
                      <w:color w:val="auto"/>
                      <w:sz w:val="21"/>
                      <w:szCs w:val="21"/>
                    </w:rPr>
                    <w:t>供电所提供</w:t>
                  </w:r>
                </w:p>
              </w:tc>
            </w:tr>
          </w:tbl>
          <w:p w14:paraId="7FD3E9B4">
            <w:pPr>
              <w:snapToGrid w:val="0"/>
              <w:spacing w:line="360" w:lineRule="auto"/>
              <w:ind w:firstLine="420" w:firstLineChars="200"/>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刚玉（Corundum）是一种氧化物矿物，主要成分为氧化铝（Al</w:t>
            </w:r>
            <w:r>
              <w:rPr>
                <w:rFonts w:hint="default" w:ascii="Times New Roman" w:hAnsi="Times New Roman" w:eastAsia="宋体" w:cs="Times New Roman"/>
                <w:b w:val="0"/>
                <w:bCs w:val="0"/>
                <w:color w:val="auto"/>
                <w:sz w:val="21"/>
                <w:szCs w:val="21"/>
                <w:vertAlign w:val="subscript"/>
              </w:rPr>
              <w:t>2</w:t>
            </w:r>
            <w:r>
              <w:rPr>
                <w:rFonts w:hint="default" w:ascii="Times New Roman" w:hAnsi="Times New Roman" w:eastAsia="宋体" w:cs="Times New Roman"/>
                <w:b w:val="0"/>
                <w:bCs w:val="0"/>
                <w:color w:val="auto"/>
                <w:sz w:val="21"/>
                <w:szCs w:val="21"/>
              </w:rPr>
              <w:t>O</w:t>
            </w:r>
            <w:r>
              <w:rPr>
                <w:rFonts w:hint="default" w:ascii="Times New Roman" w:hAnsi="Times New Roman" w:eastAsia="宋体" w:cs="Times New Roman"/>
                <w:b w:val="0"/>
                <w:bCs w:val="0"/>
                <w:color w:val="auto"/>
                <w:sz w:val="21"/>
                <w:szCs w:val="21"/>
                <w:vertAlign w:val="subscript"/>
              </w:rPr>
              <w:t>3</w:t>
            </w:r>
            <w:r>
              <w:rPr>
                <w:rFonts w:hint="default" w:ascii="Times New Roman" w:hAnsi="Times New Roman" w:eastAsia="宋体" w:cs="Times New Roman"/>
                <w:b w:val="0"/>
                <w:bCs w:val="0"/>
                <w:color w:val="auto"/>
                <w:sz w:val="21"/>
                <w:szCs w:val="21"/>
              </w:rPr>
              <w:t>），颜色有无色或灰色、黄灰色、蓝色等，莫氏硬度九级，透明或半透明，具有玻璃光泽。刚玉产于变质岩的接触面（硅卡岩等）麻粒岩和其冲积层，具有硬度大、熔点高、耐侵蚀等特性，以复相材料的形式广泛应用于工业各个领域，也具有一定的观赏价值。</w:t>
            </w:r>
          </w:p>
          <w:p w14:paraId="612CB7C3">
            <w:pPr>
              <w:snapToGrid w:val="0"/>
              <w:spacing w:line="360" w:lineRule="auto"/>
              <w:ind w:firstLine="420" w:firstLineChars="200"/>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a.利用刚玉耐高温、耐腐蚀、高强度等性能，用作浇钢滑动水口，冶炼稀贵金属、特种合金、高纯金属、玻璃拉丝、制作激光玻璃的绀竭及器皿；制各种高温炉窑，如耐火材料、陶瓷、炼铁高炉的内衬（墙和管）；作理化器皿、火花塞、耐热抗氧化涂层；另外SiO</w:t>
            </w:r>
            <w:r>
              <w:rPr>
                <w:rFonts w:hint="default" w:ascii="Times New Roman" w:hAnsi="Times New Roman" w:eastAsia="宋体" w:cs="Times New Roman"/>
                <w:b w:val="0"/>
                <w:bCs w:val="0"/>
                <w:color w:val="auto"/>
                <w:sz w:val="21"/>
                <w:szCs w:val="21"/>
                <w:vertAlign w:val="subscript"/>
              </w:rPr>
              <w:t>2</w:t>
            </w:r>
            <w:r>
              <w:rPr>
                <w:rFonts w:hint="default" w:ascii="Times New Roman" w:hAnsi="Times New Roman" w:eastAsia="宋体" w:cs="Times New Roman"/>
                <w:b w:val="0"/>
                <w:bCs w:val="0"/>
                <w:color w:val="auto"/>
                <w:sz w:val="21"/>
                <w:szCs w:val="21"/>
              </w:rPr>
              <w:t>＜0.5%的低硅烧结刚玉砖是炭黑、硼化工、化肥、合成氨反应炉和汽化炉的专用炉衬。</w:t>
            </w:r>
          </w:p>
          <w:p w14:paraId="7FA979AE">
            <w:pPr>
              <w:snapToGrid w:val="0"/>
              <w:spacing w:line="360" w:lineRule="auto"/>
              <w:ind w:firstLine="420" w:firstLineChars="200"/>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 xml:space="preserve">b.利用其硬度大、耐磨性好、强度高的特点，在化工系统中，用作各种反应器皿和管道，化工泵的部件；作机械零部件、各种模具，如拔丝模、挤铅笔芯模嘴等；作刀具、磨具磨料、防弹材料、人体关节、密封磨环等；作高级研磨材料，制成砂轮、研磨盘、砂纸及研磨粉，也可作为仪器轴承；用其制造的磨具适用磨削各种硬度较大和抗张强度较高的金属，如碳钢、合金钢、可煅铸铁、硬青铜等；刚玉粉可作高档抛光粉，还是激光及红外射线的窗口材料。 </w:t>
            </w:r>
          </w:p>
          <w:p w14:paraId="48FD5E0E">
            <w:pPr>
              <w:snapToGrid w:val="0"/>
              <w:spacing w:line="360" w:lineRule="auto"/>
              <w:ind w:firstLine="420" w:firstLineChars="200"/>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c.刚玉属离子型晶体，结构很稳定。在高频、高压和较高的温度下使用，其绝缘性依旧优良，加之损耗不大，介电常数也不大，在电子工业中被广泛用于固体合成电路基板管座、外壳、瓷架、微玻窗口、导弹雷达天线保护罩等。</w:t>
            </w:r>
          </w:p>
          <w:p w14:paraId="5FC37B3C">
            <w:pPr>
              <w:snapToGrid w:val="0"/>
              <w:spacing w:line="360" w:lineRule="auto"/>
              <w:ind w:firstLine="420" w:firstLineChars="200"/>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d.刚玉制品气密性好，即使在高温下也严密不透气，因此在电真空中得到广泛应用，如用刚玉制作各种大型电子管壳、固体微电路中的双列直插式封装外壳。</w:t>
            </w:r>
          </w:p>
          <w:p w14:paraId="2622F5A8">
            <w:pPr>
              <w:snapToGrid w:val="0"/>
              <w:spacing w:line="360" w:lineRule="auto"/>
              <w:ind w:firstLine="420" w:firstLineChars="200"/>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e.作刚玉保温材料，如刚玉轻质砖、刚玉空心球和纤维制品，广泛应用于各种高温炉窑的炉墙及炉顶，既耐高温又保温。</w:t>
            </w:r>
          </w:p>
          <w:p w14:paraId="36BBA08A">
            <w:pPr>
              <w:snapToGrid w:val="0"/>
              <w:spacing w:line="360" w:lineRule="auto"/>
              <w:ind w:firstLine="420" w:firstLineChars="200"/>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f.透明刚玉制品可制作灯管、微波整流罩。</w:t>
            </w:r>
          </w:p>
          <w:p w14:paraId="0C17254F">
            <w:pPr>
              <w:snapToGrid w:val="0"/>
              <w:spacing w:line="360" w:lineRule="auto"/>
              <w:ind w:firstLine="422" w:firstLineChars="200"/>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6、主要生产设备</w:t>
            </w:r>
          </w:p>
          <w:p w14:paraId="6EFF061D">
            <w:pPr>
              <w:snapToGrid w:val="0"/>
              <w:spacing w:line="360" w:lineRule="auto"/>
              <w:ind w:firstLine="420" w:firstLineChars="20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项目主要生产设备详见下表。</w:t>
            </w:r>
          </w:p>
          <w:p w14:paraId="37498193">
            <w:pPr>
              <w:snapToGrid w:val="0"/>
              <w:spacing w:line="360" w:lineRule="auto"/>
              <w:ind w:firstLine="422" w:firstLineChars="200"/>
              <w:jc w:val="center"/>
              <w:rPr>
                <w:rFonts w:hint="default" w:ascii="Times New Roman" w:hAnsi="Times New Roman" w:eastAsia="宋体" w:cs="Times New Roman"/>
                <w:bCs/>
                <w:color w:val="auto"/>
                <w:sz w:val="21"/>
                <w:szCs w:val="21"/>
              </w:rPr>
            </w:pPr>
            <w:r>
              <w:rPr>
                <w:rStyle w:val="27"/>
                <w:rFonts w:hint="default" w:ascii="Times New Roman" w:hAnsi="Times New Roman" w:eastAsia="宋体" w:cs="Times New Roman"/>
                <w:bCs/>
                <w:color w:val="auto"/>
                <w:sz w:val="21"/>
                <w:szCs w:val="21"/>
              </w:rPr>
              <w:t>表2-5</w:t>
            </w:r>
            <w:r>
              <w:rPr>
                <w:rStyle w:val="27"/>
                <w:rFonts w:hint="default" w:ascii="Times New Roman" w:hAnsi="Times New Roman" w:eastAsia="宋体" w:cs="Times New Roman"/>
                <w:bCs/>
                <w:color w:val="auto"/>
                <w:sz w:val="21"/>
                <w:szCs w:val="21"/>
                <w:lang w:eastAsia="zh-CN"/>
              </w:rPr>
              <w:t xml:space="preserve"> </w:t>
            </w:r>
            <w:r>
              <w:rPr>
                <w:rStyle w:val="27"/>
                <w:rFonts w:hint="default" w:ascii="Times New Roman" w:hAnsi="Times New Roman" w:eastAsia="宋体" w:cs="Times New Roman"/>
                <w:bCs/>
                <w:color w:val="auto"/>
                <w:sz w:val="21"/>
                <w:szCs w:val="21"/>
              </w:rPr>
              <w:t>本项目主要生产设备一览表</w:t>
            </w:r>
          </w:p>
          <w:tbl>
            <w:tblPr>
              <w:tblStyle w:val="14"/>
              <w:tblW w:w="4997" w:type="pct"/>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427"/>
              <w:gridCol w:w="687"/>
              <w:gridCol w:w="1395"/>
              <w:gridCol w:w="1321"/>
              <w:gridCol w:w="1424"/>
              <w:gridCol w:w="1425"/>
              <w:gridCol w:w="1188"/>
            </w:tblGrid>
            <w:tr w14:paraId="5F5B29FA">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85" w:type="pct"/>
                  <w:noWrap w:val="0"/>
                  <w:vAlign w:val="center"/>
                </w:tcPr>
                <w:p w14:paraId="5390A2CF">
                  <w:pPr>
                    <w:ind w:left="0" w:leftChars="0" w:right="0" w:rightChars="0"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序号</w:t>
                  </w:r>
                </w:p>
              </w:tc>
              <w:tc>
                <w:tcPr>
                  <w:tcW w:w="478" w:type="pct"/>
                  <w:noWrap w:val="0"/>
                  <w:vAlign w:val="center"/>
                </w:tcPr>
                <w:p w14:paraId="725BA671">
                  <w:pPr>
                    <w:ind w:left="0" w:leftChars="0" w:right="0" w:rightChars="0"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设备名称</w:t>
                  </w:r>
                </w:p>
              </w:tc>
              <w:tc>
                <w:tcPr>
                  <w:tcW w:w="720" w:type="pct"/>
                  <w:noWrap w:val="0"/>
                  <w:vAlign w:val="center"/>
                </w:tcPr>
                <w:p w14:paraId="323BECCF">
                  <w:pPr>
                    <w:ind w:left="0" w:leftChars="0" w:right="0" w:rightChars="0"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规格型号</w:t>
                  </w:r>
                </w:p>
              </w:tc>
              <w:tc>
                <w:tcPr>
                  <w:tcW w:w="867" w:type="pct"/>
                  <w:noWrap w:val="0"/>
                  <w:vAlign w:val="center"/>
                </w:tcPr>
                <w:p w14:paraId="7B090507">
                  <w:pPr>
                    <w:ind w:left="0" w:leftChars="0" w:right="0" w:rightChars="0"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lang w:val="en-US" w:eastAsia="zh-CN"/>
                    </w:rPr>
                    <w:t>原有项目</w:t>
                  </w:r>
                  <w:r>
                    <w:rPr>
                      <w:rFonts w:hint="default" w:ascii="Times New Roman" w:hAnsi="Times New Roman" w:eastAsia="宋体" w:cs="Times New Roman"/>
                      <w:b/>
                      <w:bCs/>
                      <w:color w:val="auto"/>
                      <w:sz w:val="21"/>
                      <w:szCs w:val="21"/>
                    </w:rPr>
                    <w:t>数量（台/</w:t>
                  </w:r>
                  <w:r>
                    <w:rPr>
                      <w:rFonts w:hint="default" w:ascii="Times New Roman" w:hAnsi="Times New Roman" w:eastAsia="宋体" w:cs="Times New Roman"/>
                      <w:b/>
                      <w:bCs/>
                      <w:color w:val="auto"/>
                      <w:sz w:val="21"/>
                      <w:szCs w:val="21"/>
                      <w:lang w:val="en-US" w:eastAsia="zh-CN"/>
                    </w:rPr>
                    <w:t>套</w:t>
                  </w:r>
                  <w:r>
                    <w:rPr>
                      <w:rFonts w:hint="default" w:ascii="Times New Roman" w:hAnsi="Times New Roman" w:eastAsia="宋体" w:cs="Times New Roman"/>
                      <w:b/>
                      <w:bCs/>
                      <w:color w:val="auto"/>
                      <w:sz w:val="21"/>
                      <w:szCs w:val="21"/>
                    </w:rPr>
                    <w:t>）</w:t>
                  </w:r>
                </w:p>
              </w:tc>
              <w:tc>
                <w:tcPr>
                  <w:tcW w:w="932" w:type="pct"/>
                  <w:noWrap w:val="0"/>
                  <w:vAlign w:val="center"/>
                </w:tcPr>
                <w:p w14:paraId="0BFFCC14">
                  <w:pPr>
                    <w:ind w:left="0" w:leftChars="0" w:right="0" w:rightChars="0" w:firstLine="0" w:firstLineChars="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扩建项目增加数量</w:t>
                  </w:r>
                  <w:r>
                    <w:rPr>
                      <w:rFonts w:hint="default" w:ascii="Times New Roman" w:hAnsi="Times New Roman" w:eastAsia="宋体" w:cs="Times New Roman"/>
                      <w:b/>
                      <w:bCs/>
                      <w:color w:val="auto"/>
                      <w:sz w:val="21"/>
                      <w:szCs w:val="21"/>
                    </w:rPr>
                    <w:t>（台/</w:t>
                  </w:r>
                  <w:r>
                    <w:rPr>
                      <w:rFonts w:hint="default" w:ascii="Times New Roman" w:hAnsi="Times New Roman" w:eastAsia="宋体" w:cs="Times New Roman"/>
                      <w:b/>
                      <w:bCs/>
                      <w:color w:val="auto"/>
                      <w:sz w:val="21"/>
                      <w:szCs w:val="21"/>
                      <w:lang w:val="en-US" w:eastAsia="zh-CN"/>
                    </w:rPr>
                    <w:t>套</w:t>
                  </w:r>
                  <w:r>
                    <w:rPr>
                      <w:rFonts w:hint="default" w:ascii="Times New Roman" w:hAnsi="Times New Roman" w:eastAsia="宋体" w:cs="Times New Roman"/>
                      <w:b/>
                      <w:bCs/>
                      <w:color w:val="auto"/>
                      <w:sz w:val="21"/>
                      <w:szCs w:val="21"/>
                    </w:rPr>
                    <w:t>）</w:t>
                  </w:r>
                </w:p>
              </w:tc>
              <w:tc>
                <w:tcPr>
                  <w:tcW w:w="932" w:type="pct"/>
                  <w:noWrap w:val="0"/>
                  <w:vAlign w:val="center"/>
                </w:tcPr>
                <w:p w14:paraId="54623CD3">
                  <w:pPr>
                    <w:ind w:left="0" w:leftChars="0" w:right="0" w:rightChars="0"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lang w:val="en-US" w:eastAsia="zh-CN"/>
                    </w:rPr>
                    <w:t>扩建后全厂</w:t>
                  </w:r>
                  <w:r>
                    <w:rPr>
                      <w:rFonts w:hint="default" w:ascii="Times New Roman" w:hAnsi="Times New Roman" w:eastAsia="宋体" w:cs="Times New Roman"/>
                      <w:b/>
                      <w:bCs/>
                      <w:color w:val="auto"/>
                      <w:sz w:val="21"/>
                      <w:szCs w:val="21"/>
                    </w:rPr>
                    <w:t>数量（台/</w:t>
                  </w:r>
                  <w:r>
                    <w:rPr>
                      <w:rFonts w:hint="default" w:ascii="Times New Roman" w:hAnsi="Times New Roman" w:eastAsia="宋体" w:cs="Times New Roman"/>
                      <w:b/>
                      <w:bCs/>
                      <w:color w:val="auto"/>
                      <w:sz w:val="21"/>
                      <w:szCs w:val="21"/>
                      <w:lang w:val="en-US" w:eastAsia="zh-CN"/>
                    </w:rPr>
                    <w:t>套</w:t>
                  </w:r>
                  <w:r>
                    <w:rPr>
                      <w:rFonts w:hint="default" w:ascii="Times New Roman" w:hAnsi="Times New Roman" w:eastAsia="宋体" w:cs="Times New Roman"/>
                      <w:b/>
                      <w:bCs/>
                      <w:color w:val="auto"/>
                      <w:sz w:val="21"/>
                      <w:szCs w:val="21"/>
                    </w:rPr>
                    <w:t>）</w:t>
                  </w:r>
                </w:p>
              </w:tc>
              <w:tc>
                <w:tcPr>
                  <w:tcW w:w="782" w:type="pct"/>
                  <w:noWrap w:val="0"/>
                  <w:vAlign w:val="center"/>
                </w:tcPr>
                <w:p w14:paraId="6BEF6B3C">
                  <w:pPr>
                    <w:ind w:left="0" w:leftChars="0" w:right="0" w:rightChars="0"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备注</w:t>
                  </w:r>
                </w:p>
              </w:tc>
            </w:tr>
            <w:tr w14:paraId="7F68810F">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85" w:type="pct"/>
                  <w:noWrap w:val="0"/>
                  <w:vAlign w:val="center"/>
                </w:tcPr>
                <w:p w14:paraId="5101B7B8">
                  <w:pPr>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w:t>
                  </w:r>
                </w:p>
              </w:tc>
              <w:tc>
                <w:tcPr>
                  <w:tcW w:w="478" w:type="pct"/>
                  <w:noWrap w:val="0"/>
                  <w:vAlign w:val="center"/>
                </w:tcPr>
                <w:p w14:paraId="799F4321">
                  <w:pPr>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破碎机</w:t>
                  </w:r>
                </w:p>
              </w:tc>
              <w:tc>
                <w:tcPr>
                  <w:tcW w:w="720" w:type="pct"/>
                  <w:noWrap w:val="0"/>
                  <w:vAlign w:val="center"/>
                </w:tcPr>
                <w:p w14:paraId="73773862">
                  <w:pPr>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PE400X600</w:t>
                  </w:r>
                </w:p>
              </w:tc>
              <w:tc>
                <w:tcPr>
                  <w:tcW w:w="867" w:type="pct"/>
                  <w:noWrap w:val="0"/>
                  <w:vAlign w:val="center"/>
                </w:tcPr>
                <w:p w14:paraId="29560BD4">
                  <w:pPr>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c>
                <w:tcPr>
                  <w:tcW w:w="932" w:type="pct"/>
                  <w:shd w:val="clear" w:color="auto" w:fill="auto"/>
                  <w:noWrap w:val="0"/>
                  <w:vAlign w:val="center"/>
                </w:tcPr>
                <w:p w14:paraId="48C146BD">
                  <w:pPr>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w:t>
                  </w:r>
                </w:p>
              </w:tc>
              <w:tc>
                <w:tcPr>
                  <w:tcW w:w="932" w:type="pct"/>
                  <w:shd w:val="clear" w:color="auto" w:fill="auto"/>
                  <w:noWrap w:val="0"/>
                  <w:vAlign w:val="center"/>
                </w:tcPr>
                <w:p w14:paraId="6BC319BD">
                  <w:pPr>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1</w:t>
                  </w:r>
                </w:p>
              </w:tc>
              <w:tc>
                <w:tcPr>
                  <w:tcW w:w="782" w:type="pct"/>
                  <w:noWrap w:val="0"/>
                  <w:vAlign w:val="center"/>
                </w:tcPr>
                <w:p w14:paraId="5047AE1A">
                  <w:pPr>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新增</w:t>
                  </w:r>
                </w:p>
              </w:tc>
            </w:tr>
            <w:tr w14:paraId="1772D28D">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85" w:type="pct"/>
                  <w:noWrap w:val="0"/>
                  <w:vAlign w:val="center"/>
                </w:tcPr>
                <w:p w14:paraId="23485A4F">
                  <w:pPr>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w:t>
                  </w:r>
                </w:p>
              </w:tc>
              <w:tc>
                <w:tcPr>
                  <w:tcW w:w="478" w:type="pct"/>
                  <w:noWrap w:val="0"/>
                  <w:vAlign w:val="center"/>
                </w:tcPr>
                <w:p w14:paraId="193B6939">
                  <w:pPr>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破碎机</w:t>
                  </w:r>
                </w:p>
              </w:tc>
              <w:tc>
                <w:tcPr>
                  <w:tcW w:w="720" w:type="pct"/>
                  <w:noWrap w:val="0"/>
                  <w:vAlign w:val="center"/>
                </w:tcPr>
                <w:p w14:paraId="70C3E369">
                  <w:pPr>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PE150X750</w:t>
                  </w:r>
                </w:p>
              </w:tc>
              <w:tc>
                <w:tcPr>
                  <w:tcW w:w="867" w:type="pct"/>
                  <w:noWrap w:val="0"/>
                  <w:vAlign w:val="center"/>
                </w:tcPr>
                <w:p w14:paraId="253509D4">
                  <w:pPr>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w:t>
                  </w:r>
                </w:p>
              </w:tc>
              <w:tc>
                <w:tcPr>
                  <w:tcW w:w="932" w:type="pct"/>
                  <w:shd w:val="clear" w:color="auto" w:fill="auto"/>
                  <w:noWrap w:val="0"/>
                  <w:vAlign w:val="center"/>
                </w:tcPr>
                <w:p w14:paraId="7B8306CE">
                  <w:pPr>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c>
                <w:tcPr>
                  <w:tcW w:w="932" w:type="pct"/>
                  <w:shd w:val="clear" w:color="auto" w:fill="auto"/>
                  <w:noWrap w:val="0"/>
                  <w:vAlign w:val="center"/>
                </w:tcPr>
                <w:p w14:paraId="03AC3C81">
                  <w:pPr>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1</w:t>
                  </w:r>
                </w:p>
              </w:tc>
              <w:tc>
                <w:tcPr>
                  <w:tcW w:w="782" w:type="pct"/>
                  <w:noWrap w:val="0"/>
                  <w:vAlign w:val="center"/>
                </w:tcPr>
                <w:p w14:paraId="6D1845EC">
                  <w:pPr>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利旧</w:t>
                  </w:r>
                </w:p>
              </w:tc>
            </w:tr>
            <w:tr w14:paraId="27EC9CBC">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85" w:type="pct"/>
                  <w:noWrap w:val="0"/>
                  <w:vAlign w:val="center"/>
                </w:tcPr>
                <w:p w14:paraId="00FE4D27">
                  <w:pPr>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w:t>
                  </w:r>
                </w:p>
              </w:tc>
              <w:tc>
                <w:tcPr>
                  <w:tcW w:w="478" w:type="pct"/>
                  <w:noWrap w:val="0"/>
                  <w:vAlign w:val="center"/>
                </w:tcPr>
                <w:p w14:paraId="64860F70">
                  <w:pPr>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对辊机</w:t>
                  </w:r>
                </w:p>
              </w:tc>
              <w:tc>
                <w:tcPr>
                  <w:tcW w:w="720" w:type="pct"/>
                  <w:noWrap w:val="0"/>
                  <w:vAlign w:val="center"/>
                </w:tcPr>
                <w:p w14:paraId="54D15085">
                  <w:pPr>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ZPG400X610</w:t>
                  </w:r>
                </w:p>
              </w:tc>
              <w:tc>
                <w:tcPr>
                  <w:tcW w:w="867" w:type="pct"/>
                  <w:noWrap w:val="0"/>
                  <w:vAlign w:val="center"/>
                </w:tcPr>
                <w:p w14:paraId="73D02B71">
                  <w:pPr>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c>
                <w:tcPr>
                  <w:tcW w:w="932" w:type="pct"/>
                  <w:shd w:val="clear" w:color="auto" w:fill="auto"/>
                  <w:noWrap w:val="0"/>
                  <w:vAlign w:val="center"/>
                </w:tcPr>
                <w:p w14:paraId="512F68C7">
                  <w:pPr>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w:t>
                  </w:r>
                </w:p>
              </w:tc>
              <w:tc>
                <w:tcPr>
                  <w:tcW w:w="932" w:type="pct"/>
                  <w:shd w:val="clear" w:color="auto" w:fill="auto"/>
                  <w:noWrap w:val="0"/>
                  <w:vAlign w:val="center"/>
                </w:tcPr>
                <w:p w14:paraId="2FECDC5A">
                  <w:pPr>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2</w:t>
                  </w:r>
                </w:p>
              </w:tc>
              <w:tc>
                <w:tcPr>
                  <w:tcW w:w="782" w:type="pct"/>
                  <w:noWrap w:val="0"/>
                  <w:vAlign w:val="center"/>
                </w:tcPr>
                <w:p w14:paraId="38194A7E">
                  <w:pPr>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新增</w:t>
                  </w:r>
                </w:p>
              </w:tc>
            </w:tr>
            <w:tr w14:paraId="54BE2668">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85" w:type="pct"/>
                  <w:noWrap w:val="0"/>
                  <w:vAlign w:val="center"/>
                </w:tcPr>
                <w:p w14:paraId="1E05EA4E">
                  <w:pPr>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w:t>
                  </w:r>
                </w:p>
              </w:tc>
              <w:tc>
                <w:tcPr>
                  <w:tcW w:w="478" w:type="pct"/>
                  <w:noWrap w:val="0"/>
                  <w:vAlign w:val="center"/>
                </w:tcPr>
                <w:p w14:paraId="2D62C38F">
                  <w:pPr>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回料对辊机</w:t>
                  </w:r>
                </w:p>
              </w:tc>
              <w:tc>
                <w:tcPr>
                  <w:tcW w:w="720" w:type="pct"/>
                  <w:noWrap w:val="0"/>
                  <w:vAlign w:val="center"/>
                </w:tcPr>
                <w:p w14:paraId="43806DDB">
                  <w:pPr>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ZPG400X500</w:t>
                  </w:r>
                </w:p>
              </w:tc>
              <w:tc>
                <w:tcPr>
                  <w:tcW w:w="867" w:type="pct"/>
                  <w:noWrap w:val="0"/>
                  <w:vAlign w:val="center"/>
                </w:tcPr>
                <w:p w14:paraId="7BB84E5D">
                  <w:pPr>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w:t>
                  </w:r>
                </w:p>
              </w:tc>
              <w:tc>
                <w:tcPr>
                  <w:tcW w:w="932" w:type="pct"/>
                  <w:shd w:val="clear" w:color="auto" w:fill="auto"/>
                  <w:noWrap w:val="0"/>
                  <w:vAlign w:val="center"/>
                </w:tcPr>
                <w:p w14:paraId="2A7FB048">
                  <w:pPr>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w:t>
                  </w:r>
                </w:p>
              </w:tc>
              <w:tc>
                <w:tcPr>
                  <w:tcW w:w="932" w:type="pct"/>
                  <w:shd w:val="clear" w:color="auto" w:fill="auto"/>
                  <w:noWrap w:val="0"/>
                  <w:vAlign w:val="center"/>
                </w:tcPr>
                <w:p w14:paraId="225B1FED">
                  <w:pPr>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2</w:t>
                  </w:r>
                </w:p>
              </w:tc>
              <w:tc>
                <w:tcPr>
                  <w:tcW w:w="782" w:type="pct"/>
                  <w:noWrap w:val="0"/>
                  <w:vAlign w:val="center"/>
                </w:tcPr>
                <w:p w14:paraId="1C65DCC0">
                  <w:pPr>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新增1台，利旧1台</w:t>
                  </w:r>
                </w:p>
              </w:tc>
            </w:tr>
            <w:tr w14:paraId="7F993B22">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85" w:type="pct"/>
                  <w:noWrap w:val="0"/>
                  <w:vAlign w:val="center"/>
                </w:tcPr>
                <w:p w14:paraId="276CEC66">
                  <w:pPr>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5</w:t>
                  </w:r>
                </w:p>
              </w:tc>
              <w:tc>
                <w:tcPr>
                  <w:tcW w:w="478" w:type="pct"/>
                  <w:noWrap w:val="0"/>
                  <w:vAlign w:val="center"/>
                </w:tcPr>
                <w:p w14:paraId="2CC284D5">
                  <w:pPr>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磁选机</w:t>
                  </w:r>
                </w:p>
              </w:tc>
              <w:tc>
                <w:tcPr>
                  <w:tcW w:w="720" w:type="pct"/>
                  <w:noWrap w:val="0"/>
                  <w:vAlign w:val="center"/>
                </w:tcPr>
                <w:p w14:paraId="54CDA59B">
                  <w:pPr>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60B-3</w:t>
                  </w:r>
                </w:p>
              </w:tc>
              <w:tc>
                <w:tcPr>
                  <w:tcW w:w="867" w:type="pct"/>
                  <w:noWrap w:val="0"/>
                  <w:vAlign w:val="center"/>
                </w:tcPr>
                <w:p w14:paraId="05BC4FD6">
                  <w:pPr>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w:t>
                  </w:r>
                </w:p>
              </w:tc>
              <w:tc>
                <w:tcPr>
                  <w:tcW w:w="932" w:type="pct"/>
                  <w:shd w:val="clear" w:color="auto" w:fill="auto"/>
                  <w:noWrap w:val="0"/>
                  <w:vAlign w:val="center"/>
                </w:tcPr>
                <w:p w14:paraId="77E053DC">
                  <w:pPr>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w:t>
                  </w:r>
                </w:p>
              </w:tc>
              <w:tc>
                <w:tcPr>
                  <w:tcW w:w="932" w:type="pct"/>
                  <w:shd w:val="clear" w:color="auto" w:fill="auto"/>
                  <w:noWrap w:val="0"/>
                  <w:vAlign w:val="center"/>
                </w:tcPr>
                <w:p w14:paraId="758F4152">
                  <w:pPr>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4</w:t>
                  </w:r>
                </w:p>
              </w:tc>
              <w:tc>
                <w:tcPr>
                  <w:tcW w:w="782" w:type="pct"/>
                  <w:noWrap w:val="0"/>
                  <w:vAlign w:val="center"/>
                </w:tcPr>
                <w:p w14:paraId="6BEAA81C">
                  <w:pPr>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新增1台，利旧3台</w:t>
                  </w:r>
                </w:p>
              </w:tc>
            </w:tr>
            <w:tr w14:paraId="092BCEB7">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85" w:type="pct"/>
                  <w:noWrap w:val="0"/>
                  <w:vAlign w:val="center"/>
                </w:tcPr>
                <w:p w14:paraId="5A134A85">
                  <w:pPr>
                    <w:ind w:left="0" w:leftChars="0" w:right="0" w:rightChars="0" w:firstLine="0" w:firstLineChars="0"/>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6</w:t>
                  </w:r>
                </w:p>
              </w:tc>
              <w:tc>
                <w:tcPr>
                  <w:tcW w:w="478" w:type="pct"/>
                  <w:noWrap w:val="0"/>
                  <w:vAlign w:val="center"/>
                </w:tcPr>
                <w:p w14:paraId="45BEEA3F">
                  <w:pPr>
                    <w:ind w:left="0" w:leftChars="0" w:right="0" w:rightChars="0" w:firstLine="0" w:firstLineChars="0"/>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除尘器</w:t>
                  </w:r>
                </w:p>
              </w:tc>
              <w:tc>
                <w:tcPr>
                  <w:tcW w:w="720" w:type="pct"/>
                  <w:noWrap w:val="0"/>
                  <w:vAlign w:val="center"/>
                </w:tcPr>
                <w:p w14:paraId="1DA0FF4D">
                  <w:pPr>
                    <w:ind w:left="0" w:leftChars="0" w:right="0" w:rightChars="0" w:firstLine="0" w:firstLineChars="0"/>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HMC-220X2</w:t>
                  </w:r>
                </w:p>
              </w:tc>
              <w:tc>
                <w:tcPr>
                  <w:tcW w:w="867" w:type="pct"/>
                  <w:noWrap w:val="0"/>
                  <w:vAlign w:val="center"/>
                </w:tcPr>
                <w:p w14:paraId="0D9F06BE">
                  <w:pPr>
                    <w:ind w:left="0" w:leftChars="0" w:right="0" w:rightChars="0" w:firstLine="0" w:firstLineChars="0"/>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1</w:t>
                  </w:r>
                </w:p>
              </w:tc>
              <w:tc>
                <w:tcPr>
                  <w:tcW w:w="932" w:type="pct"/>
                  <w:shd w:val="clear" w:color="auto" w:fill="auto"/>
                  <w:noWrap w:val="0"/>
                  <w:vAlign w:val="center"/>
                </w:tcPr>
                <w:p w14:paraId="671B64B7">
                  <w:pPr>
                    <w:ind w:left="0" w:leftChars="0" w:right="0" w:rightChars="0" w:firstLine="0" w:firstLineChars="0"/>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1</w:t>
                  </w:r>
                </w:p>
              </w:tc>
              <w:tc>
                <w:tcPr>
                  <w:tcW w:w="932" w:type="pct"/>
                  <w:shd w:val="clear" w:color="auto" w:fill="auto"/>
                  <w:noWrap w:val="0"/>
                  <w:vAlign w:val="center"/>
                </w:tcPr>
                <w:p w14:paraId="3212F7B1">
                  <w:pPr>
                    <w:ind w:left="0" w:leftChars="0" w:right="0" w:rightChars="0" w:firstLine="0" w:firstLineChars="0"/>
                    <w:jc w:val="center"/>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eastAsia="宋体" w:cs="Times New Roman"/>
                      <w:color w:val="FF0000"/>
                      <w:sz w:val="21"/>
                      <w:szCs w:val="21"/>
                      <w:lang w:val="en-US" w:eastAsia="zh-CN"/>
                    </w:rPr>
                    <w:t>2</w:t>
                  </w:r>
                </w:p>
              </w:tc>
              <w:tc>
                <w:tcPr>
                  <w:tcW w:w="782" w:type="pct"/>
                  <w:noWrap w:val="0"/>
                  <w:vAlign w:val="center"/>
                </w:tcPr>
                <w:p w14:paraId="19F36555">
                  <w:pPr>
                    <w:ind w:left="0" w:leftChars="0" w:right="0" w:rightChars="0" w:firstLine="0" w:firstLineChars="0"/>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FF0000"/>
                      <w:sz w:val="21"/>
                      <w:szCs w:val="21"/>
                      <w:lang w:val="en-US" w:eastAsia="zh-CN"/>
                    </w:rPr>
                    <w:t>新增1台，利旧1台</w:t>
                  </w:r>
                </w:p>
              </w:tc>
            </w:tr>
            <w:tr w14:paraId="43AF9E26">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85" w:type="pct"/>
                  <w:noWrap w:val="0"/>
                  <w:vAlign w:val="center"/>
                </w:tcPr>
                <w:p w14:paraId="238C9A43">
                  <w:pPr>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7</w:t>
                  </w:r>
                </w:p>
              </w:tc>
              <w:tc>
                <w:tcPr>
                  <w:tcW w:w="478" w:type="pct"/>
                  <w:noWrap w:val="0"/>
                  <w:vAlign w:val="center"/>
                </w:tcPr>
                <w:p w14:paraId="73B0D3CC">
                  <w:pPr>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振动筛</w:t>
                  </w:r>
                </w:p>
              </w:tc>
              <w:tc>
                <w:tcPr>
                  <w:tcW w:w="720" w:type="pct"/>
                  <w:noWrap w:val="0"/>
                  <w:vAlign w:val="center"/>
                </w:tcPr>
                <w:p w14:paraId="2643D483">
                  <w:pPr>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SZF1030</w:t>
                  </w:r>
                </w:p>
              </w:tc>
              <w:tc>
                <w:tcPr>
                  <w:tcW w:w="867" w:type="pct"/>
                  <w:noWrap w:val="0"/>
                  <w:vAlign w:val="center"/>
                </w:tcPr>
                <w:p w14:paraId="1E13FC1E">
                  <w:pPr>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5</w:t>
                  </w:r>
                </w:p>
              </w:tc>
              <w:tc>
                <w:tcPr>
                  <w:tcW w:w="932" w:type="pct"/>
                  <w:shd w:val="clear" w:color="auto" w:fill="auto"/>
                  <w:noWrap w:val="0"/>
                  <w:vAlign w:val="center"/>
                </w:tcPr>
                <w:p w14:paraId="48DC0850">
                  <w:pPr>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c>
                <w:tcPr>
                  <w:tcW w:w="932" w:type="pct"/>
                  <w:shd w:val="clear" w:color="auto" w:fill="auto"/>
                  <w:noWrap w:val="0"/>
                  <w:vAlign w:val="center"/>
                </w:tcPr>
                <w:p w14:paraId="045D1B07">
                  <w:pPr>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5</w:t>
                  </w:r>
                </w:p>
              </w:tc>
              <w:tc>
                <w:tcPr>
                  <w:tcW w:w="782" w:type="pct"/>
                  <w:noWrap w:val="0"/>
                  <w:vAlign w:val="center"/>
                </w:tcPr>
                <w:p w14:paraId="62160251">
                  <w:pPr>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利旧</w:t>
                  </w:r>
                </w:p>
              </w:tc>
            </w:tr>
            <w:tr w14:paraId="55C2A496">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85" w:type="pct"/>
                  <w:noWrap w:val="0"/>
                  <w:vAlign w:val="center"/>
                </w:tcPr>
                <w:p w14:paraId="7B8F2C91">
                  <w:pPr>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8</w:t>
                  </w:r>
                </w:p>
              </w:tc>
              <w:tc>
                <w:tcPr>
                  <w:tcW w:w="478" w:type="pct"/>
                  <w:noWrap w:val="0"/>
                  <w:vAlign w:val="center"/>
                </w:tcPr>
                <w:p w14:paraId="637A052A">
                  <w:pPr>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整形机</w:t>
                  </w:r>
                </w:p>
              </w:tc>
              <w:tc>
                <w:tcPr>
                  <w:tcW w:w="720" w:type="pct"/>
                  <w:noWrap w:val="0"/>
                  <w:vAlign w:val="center"/>
                </w:tcPr>
                <w:p w14:paraId="25F9F3A0">
                  <w:pPr>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867" w:type="pct"/>
                  <w:noWrap w:val="0"/>
                  <w:vAlign w:val="center"/>
                </w:tcPr>
                <w:p w14:paraId="71091DB7">
                  <w:pPr>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w:t>
                  </w:r>
                </w:p>
              </w:tc>
              <w:tc>
                <w:tcPr>
                  <w:tcW w:w="932" w:type="pct"/>
                  <w:shd w:val="clear" w:color="auto" w:fill="auto"/>
                  <w:noWrap w:val="0"/>
                  <w:vAlign w:val="center"/>
                </w:tcPr>
                <w:p w14:paraId="459109F8">
                  <w:pPr>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c>
                <w:tcPr>
                  <w:tcW w:w="932" w:type="pct"/>
                  <w:shd w:val="clear" w:color="auto" w:fill="auto"/>
                  <w:noWrap w:val="0"/>
                  <w:vAlign w:val="center"/>
                </w:tcPr>
                <w:p w14:paraId="19C76F8B">
                  <w:pPr>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1</w:t>
                  </w:r>
                </w:p>
              </w:tc>
              <w:tc>
                <w:tcPr>
                  <w:tcW w:w="782" w:type="pct"/>
                  <w:noWrap w:val="0"/>
                  <w:vAlign w:val="center"/>
                </w:tcPr>
                <w:p w14:paraId="33A22491">
                  <w:pPr>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利旧</w:t>
                  </w:r>
                </w:p>
              </w:tc>
            </w:tr>
            <w:tr w14:paraId="18A60A81">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85" w:type="pct"/>
                  <w:noWrap w:val="0"/>
                  <w:vAlign w:val="center"/>
                </w:tcPr>
                <w:p w14:paraId="5DE5116D">
                  <w:pPr>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9</w:t>
                  </w:r>
                </w:p>
              </w:tc>
              <w:tc>
                <w:tcPr>
                  <w:tcW w:w="478" w:type="pct"/>
                  <w:noWrap w:val="0"/>
                  <w:vAlign w:val="center"/>
                </w:tcPr>
                <w:p w14:paraId="6463EDD6">
                  <w:pPr>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圆形筛</w:t>
                  </w:r>
                </w:p>
              </w:tc>
              <w:tc>
                <w:tcPr>
                  <w:tcW w:w="720" w:type="pct"/>
                  <w:noWrap w:val="0"/>
                  <w:vAlign w:val="center"/>
                </w:tcPr>
                <w:p w14:paraId="2ADA7CD2">
                  <w:pPr>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867" w:type="pct"/>
                  <w:noWrap w:val="0"/>
                  <w:vAlign w:val="center"/>
                </w:tcPr>
                <w:p w14:paraId="3F3591E0">
                  <w:pPr>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c>
                <w:tcPr>
                  <w:tcW w:w="932" w:type="pct"/>
                  <w:shd w:val="clear" w:color="auto" w:fill="auto"/>
                  <w:noWrap w:val="0"/>
                  <w:vAlign w:val="center"/>
                </w:tcPr>
                <w:p w14:paraId="31D741A0">
                  <w:pPr>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w:t>
                  </w:r>
                </w:p>
              </w:tc>
              <w:tc>
                <w:tcPr>
                  <w:tcW w:w="932" w:type="pct"/>
                  <w:shd w:val="clear" w:color="auto" w:fill="auto"/>
                  <w:noWrap w:val="0"/>
                  <w:vAlign w:val="center"/>
                </w:tcPr>
                <w:p w14:paraId="5F08937D">
                  <w:pPr>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1</w:t>
                  </w:r>
                </w:p>
              </w:tc>
              <w:tc>
                <w:tcPr>
                  <w:tcW w:w="782" w:type="pct"/>
                  <w:noWrap w:val="0"/>
                  <w:vAlign w:val="center"/>
                </w:tcPr>
                <w:p w14:paraId="528B7470">
                  <w:pPr>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新增</w:t>
                  </w:r>
                </w:p>
              </w:tc>
            </w:tr>
            <w:tr w14:paraId="47141CCE">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85" w:type="pct"/>
                  <w:noWrap w:val="0"/>
                  <w:vAlign w:val="center"/>
                </w:tcPr>
                <w:p w14:paraId="55DBD741">
                  <w:pPr>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10</w:t>
                  </w:r>
                </w:p>
              </w:tc>
              <w:tc>
                <w:tcPr>
                  <w:tcW w:w="478" w:type="pct"/>
                  <w:noWrap w:val="0"/>
                  <w:vAlign w:val="center"/>
                </w:tcPr>
                <w:p w14:paraId="0982E82D">
                  <w:pPr>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行车</w:t>
                  </w:r>
                </w:p>
              </w:tc>
              <w:tc>
                <w:tcPr>
                  <w:tcW w:w="720" w:type="pct"/>
                  <w:noWrap w:val="0"/>
                  <w:vAlign w:val="center"/>
                </w:tcPr>
                <w:p w14:paraId="03F0CA83">
                  <w:pPr>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867" w:type="pct"/>
                  <w:noWrap w:val="0"/>
                  <w:vAlign w:val="center"/>
                </w:tcPr>
                <w:p w14:paraId="55DD0462">
                  <w:pPr>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c>
                <w:tcPr>
                  <w:tcW w:w="932" w:type="pct"/>
                  <w:shd w:val="clear" w:color="auto" w:fill="auto"/>
                  <w:noWrap w:val="0"/>
                  <w:vAlign w:val="center"/>
                </w:tcPr>
                <w:p w14:paraId="7BB033C9">
                  <w:pPr>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w:t>
                  </w:r>
                </w:p>
              </w:tc>
              <w:tc>
                <w:tcPr>
                  <w:tcW w:w="932" w:type="pct"/>
                  <w:shd w:val="clear" w:color="auto" w:fill="auto"/>
                  <w:noWrap w:val="0"/>
                  <w:vAlign w:val="center"/>
                </w:tcPr>
                <w:p w14:paraId="2105B8CE">
                  <w:pPr>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2</w:t>
                  </w:r>
                </w:p>
              </w:tc>
              <w:tc>
                <w:tcPr>
                  <w:tcW w:w="782" w:type="pct"/>
                  <w:noWrap w:val="0"/>
                  <w:vAlign w:val="center"/>
                </w:tcPr>
                <w:p w14:paraId="2801C9CF">
                  <w:pPr>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新增</w:t>
                  </w:r>
                </w:p>
              </w:tc>
            </w:tr>
            <w:tr w14:paraId="06E48EB0">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85" w:type="pct"/>
                  <w:noWrap w:val="0"/>
                  <w:vAlign w:val="center"/>
                </w:tcPr>
                <w:p w14:paraId="2DFEF1C6">
                  <w:pPr>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11</w:t>
                  </w:r>
                </w:p>
              </w:tc>
              <w:tc>
                <w:tcPr>
                  <w:tcW w:w="478" w:type="pct"/>
                  <w:noWrap w:val="0"/>
                  <w:vAlign w:val="center"/>
                </w:tcPr>
                <w:p w14:paraId="66002B73">
                  <w:pPr>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空压机</w:t>
                  </w:r>
                </w:p>
              </w:tc>
              <w:tc>
                <w:tcPr>
                  <w:tcW w:w="720" w:type="pct"/>
                  <w:noWrap w:val="0"/>
                  <w:vAlign w:val="center"/>
                </w:tcPr>
                <w:p w14:paraId="583BDF47">
                  <w:pPr>
                    <w:ind w:left="0" w:leftChars="0" w:right="0" w:rightChars="0" w:firstLine="0" w:firstLineChars="0"/>
                    <w:jc w:val="center"/>
                    <w:rPr>
                      <w:rFonts w:hint="default" w:ascii="Times New Roman" w:hAnsi="Times New Roman" w:eastAsia="宋体" w:cs="Times New Roman"/>
                      <w:color w:val="auto"/>
                      <w:sz w:val="21"/>
                      <w:szCs w:val="21"/>
                      <w:lang w:val="en-US" w:eastAsia="zh-CN"/>
                    </w:rPr>
                  </w:pPr>
                </w:p>
              </w:tc>
              <w:tc>
                <w:tcPr>
                  <w:tcW w:w="867" w:type="pct"/>
                  <w:noWrap w:val="0"/>
                  <w:vAlign w:val="center"/>
                </w:tcPr>
                <w:p w14:paraId="7FA20CA5">
                  <w:pPr>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c>
                <w:tcPr>
                  <w:tcW w:w="932" w:type="pct"/>
                  <w:shd w:val="clear" w:color="auto" w:fill="auto"/>
                  <w:noWrap w:val="0"/>
                  <w:vAlign w:val="center"/>
                </w:tcPr>
                <w:p w14:paraId="1EC9FEB2">
                  <w:pPr>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w:t>
                  </w:r>
                </w:p>
              </w:tc>
              <w:tc>
                <w:tcPr>
                  <w:tcW w:w="932" w:type="pct"/>
                  <w:shd w:val="clear" w:color="auto" w:fill="auto"/>
                  <w:noWrap w:val="0"/>
                  <w:vAlign w:val="center"/>
                </w:tcPr>
                <w:p w14:paraId="4FC16509">
                  <w:pPr>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1</w:t>
                  </w:r>
                </w:p>
              </w:tc>
              <w:tc>
                <w:tcPr>
                  <w:tcW w:w="782" w:type="pct"/>
                  <w:noWrap w:val="0"/>
                  <w:vAlign w:val="center"/>
                </w:tcPr>
                <w:p w14:paraId="7C18D237">
                  <w:pPr>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新增</w:t>
                  </w:r>
                </w:p>
              </w:tc>
            </w:tr>
            <w:tr w14:paraId="723B3ED0">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85" w:type="pct"/>
                  <w:noWrap w:val="0"/>
                  <w:vAlign w:val="center"/>
                </w:tcPr>
                <w:p w14:paraId="2180D71C">
                  <w:pPr>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12</w:t>
                  </w:r>
                </w:p>
              </w:tc>
              <w:tc>
                <w:tcPr>
                  <w:tcW w:w="478" w:type="pct"/>
                  <w:noWrap w:val="0"/>
                  <w:vAlign w:val="center"/>
                </w:tcPr>
                <w:p w14:paraId="56994BB3">
                  <w:pPr>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提升机</w:t>
                  </w:r>
                </w:p>
              </w:tc>
              <w:tc>
                <w:tcPr>
                  <w:tcW w:w="720" w:type="pct"/>
                  <w:noWrap w:val="0"/>
                  <w:vAlign w:val="center"/>
                </w:tcPr>
                <w:p w14:paraId="77C24B37">
                  <w:pPr>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867" w:type="pct"/>
                  <w:noWrap w:val="0"/>
                  <w:vAlign w:val="center"/>
                </w:tcPr>
                <w:p w14:paraId="6C080006">
                  <w:pPr>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5</w:t>
                  </w:r>
                </w:p>
              </w:tc>
              <w:tc>
                <w:tcPr>
                  <w:tcW w:w="932" w:type="pct"/>
                  <w:shd w:val="clear" w:color="auto" w:fill="auto"/>
                  <w:noWrap w:val="0"/>
                  <w:vAlign w:val="center"/>
                </w:tcPr>
                <w:p w14:paraId="23A390D3">
                  <w:pPr>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w:t>
                  </w:r>
                </w:p>
              </w:tc>
              <w:tc>
                <w:tcPr>
                  <w:tcW w:w="932" w:type="pct"/>
                  <w:shd w:val="clear" w:color="auto" w:fill="auto"/>
                  <w:noWrap w:val="0"/>
                  <w:vAlign w:val="center"/>
                </w:tcPr>
                <w:p w14:paraId="61721545">
                  <w:pPr>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7</w:t>
                  </w:r>
                </w:p>
              </w:tc>
              <w:tc>
                <w:tcPr>
                  <w:tcW w:w="782" w:type="pct"/>
                  <w:noWrap w:val="0"/>
                  <w:vAlign w:val="center"/>
                </w:tcPr>
                <w:p w14:paraId="248DF3D2">
                  <w:pPr>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新增2台，利旧5台</w:t>
                  </w:r>
                </w:p>
              </w:tc>
            </w:tr>
          </w:tbl>
          <w:p w14:paraId="286B2789">
            <w:pPr>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firstLine="420" w:firstLineChars="200"/>
              <w:jc w:val="left"/>
              <w:textAlignment w:val="baseline"/>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7、工作制度和劳动定员</w:t>
            </w:r>
          </w:p>
          <w:p w14:paraId="7AFE4AA0">
            <w:pPr>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firstLine="420" w:firstLineChars="200"/>
              <w:jc w:val="left"/>
              <w:textAlignment w:val="baseline"/>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本项目扩建完成后全厂不增加劳动定员，扩建项目生产人员全部由现有项目调剂。年运营300天，8小时白班制，年工作时间2400小时。</w:t>
            </w:r>
          </w:p>
          <w:p w14:paraId="49D39FE4">
            <w:pPr>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firstLine="420" w:firstLineChars="200"/>
              <w:jc w:val="left"/>
              <w:textAlignment w:val="baseline"/>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8、公用工程</w:t>
            </w:r>
          </w:p>
          <w:p w14:paraId="6BAE0132">
            <w:pPr>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firstLine="420" w:firstLineChars="200"/>
              <w:jc w:val="left"/>
              <w:textAlignment w:val="baseline"/>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（1）给排水</w:t>
            </w:r>
          </w:p>
          <w:p w14:paraId="6A5436BB">
            <w:pPr>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left="0" w:leftChars="0" w:firstLine="420" w:firstLineChars="200"/>
              <w:jc w:val="left"/>
              <w:textAlignment w:val="baseline"/>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本项目未增加劳动定员，故不新增生活用水，生活污水经化粪池暂存后由环卫部门定期清运。</w:t>
            </w:r>
          </w:p>
          <w:p w14:paraId="216D4391">
            <w:pPr>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left="0" w:leftChars="0" w:firstLine="420" w:firstLineChars="200"/>
              <w:jc w:val="left"/>
              <w:textAlignment w:val="baseline"/>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项目新建的生产车间面积约为原生产车间面积的2倍，类比当前项目抑尘用水量20m</w:t>
            </w:r>
            <w:r>
              <w:rPr>
                <w:rFonts w:hint="default" w:ascii="Times New Roman" w:hAnsi="Times New Roman" w:eastAsia="宋体" w:cs="Times New Roman"/>
                <w:color w:val="auto"/>
                <w:sz w:val="21"/>
                <w:szCs w:val="21"/>
                <w:vertAlign w:val="superscript"/>
                <w:lang w:val="en-US" w:eastAsia="zh-CN"/>
              </w:rPr>
              <w:t>3</w:t>
            </w:r>
            <w:r>
              <w:rPr>
                <w:rFonts w:hint="default" w:ascii="Times New Roman" w:hAnsi="Times New Roman" w:eastAsia="宋体" w:cs="Times New Roman"/>
                <w:color w:val="auto"/>
                <w:sz w:val="21"/>
                <w:szCs w:val="21"/>
                <w:vertAlign w:val="baseline"/>
                <w:lang w:val="en-US" w:eastAsia="zh-CN"/>
              </w:rPr>
              <w:t>/a，项目扩建完成后抑尘用水约为40m</w:t>
            </w:r>
            <w:r>
              <w:rPr>
                <w:rFonts w:hint="default" w:ascii="Times New Roman" w:hAnsi="Times New Roman" w:eastAsia="宋体" w:cs="Times New Roman"/>
                <w:color w:val="auto"/>
                <w:sz w:val="21"/>
                <w:szCs w:val="21"/>
                <w:vertAlign w:val="superscript"/>
                <w:lang w:val="en-US" w:eastAsia="zh-CN"/>
              </w:rPr>
              <w:t>3</w:t>
            </w:r>
            <w:r>
              <w:rPr>
                <w:rFonts w:hint="default" w:ascii="Times New Roman" w:hAnsi="Times New Roman" w:eastAsia="宋体" w:cs="Times New Roman"/>
                <w:color w:val="auto"/>
                <w:sz w:val="21"/>
                <w:szCs w:val="21"/>
                <w:vertAlign w:val="baseline"/>
                <w:lang w:val="en-US" w:eastAsia="zh-CN"/>
              </w:rPr>
              <w:t>/a，全部蒸发损耗，不外排。</w:t>
            </w:r>
          </w:p>
          <w:p w14:paraId="2C4D08EB">
            <w:pPr>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left="0" w:leftChars="0" w:firstLine="420" w:firstLineChars="200"/>
              <w:jc w:val="left"/>
              <w:textAlignment w:val="baseline"/>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本项目扩建完成后，扩建项目水平衡图和全厂水平衡图如下：</w:t>
            </w:r>
          </w:p>
          <w:p w14:paraId="117B27FA">
            <w:pPr>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jc w:val="left"/>
              <w:textAlignment w:val="baseline"/>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rPr>
              <w:drawing>
                <wp:inline distT="0" distB="0" distL="114300" distR="114300">
                  <wp:extent cx="5033645" cy="1027430"/>
                  <wp:effectExtent l="0" t="0" r="14605" b="127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4"/>
                          <a:stretch>
                            <a:fillRect/>
                          </a:stretch>
                        </pic:blipFill>
                        <pic:spPr>
                          <a:xfrm>
                            <a:off x="0" y="0"/>
                            <a:ext cx="5033645" cy="1027430"/>
                          </a:xfrm>
                          <a:prstGeom prst="rect">
                            <a:avLst/>
                          </a:prstGeom>
                          <a:noFill/>
                          <a:ln>
                            <a:noFill/>
                          </a:ln>
                        </pic:spPr>
                      </pic:pic>
                    </a:graphicData>
                  </a:graphic>
                </wp:inline>
              </w:drawing>
            </w:r>
          </w:p>
          <w:p w14:paraId="469A6C3C">
            <w:pPr>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left="0" w:leftChars="0" w:right="0" w:rightChars="0" w:firstLine="0" w:firstLineChars="0"/>
              <w:jc w:val="center"/>
              <w:textAlignment w:val="baseline"/>
              <w:rPr>
                <w:rFonts w:hint="default" w:ascii="Times New Roman" w:hAnsi="Times New Roman" w:eastAsia="宋体" w:cs="Times New Roman"/>
                <w:color w:val="auto"/>
                <w:sz w:val="21"/>
                <w:szCs w:val="21"/>
                <w:vertAlign w:val="baseline"/>
                <w:lang w:val="en-US" w:eastAsia="zh-CN"/>
              </w:rPr>
            </w:pPr>
            <w:r>
              <w:rPr>
                <w:rStyle w:val="27"/>
                <w:rFonts w:hint="default" w:ascii="Times New Roman" w:hAnsi="Times New Roman" w:eastAsia="宋体" w:cs="Times New Roman"/>
                <w:color w:val="auto"/>
                <w:sz w:val="21"/>
                <w:szCs w:val="21"/>
              </w:rPr>
              <w:t>图2-1</w:t>
            </w:r>
            <w:r>
              <w:rPr>
                <w:rStyle w:val="27"/>
                <w:rFonts w:hint="default" w:ascii="Times New Roman" w:hAnsi="Times New Roman" w:eastAsia="宋体" w:cs="Times New Roman"/>
                <w:color w:val="auto"/>
                <w:sz w:val="21"/>
                <w:szCs w:val="21"/>
                <w:lang w:eastAsia="zh-CN"/>
              </w:rPr>
              <w:t xml:space="preserve"> </w:t>
            </w:r>
            <w:r>
              <w:rPr>
                <w:rStyle w:val="27"/>
                <w:rFonts w:hint="default" w:ascii="Times New Roman" w:hAnsi="Times New Roman" w:eastAsia="宋体" w:cs="Times New Roman"/>
                <w:color w:val="auto"/>
                <w:sz w:val="21"/>
                <w:szCs w:val="21"/>
                <w:lang w:val="en-US" w:eastAsia="zh-CN"/>
              </w:rPr>
              <w:t>扩建项目</w:t>
            </w:r>
            <w:r>
              <w:rPr>
                <w:rStyle w:val="27"/>
                <w:rFonts w:hint="default" w:ascii="Times New Roman" w:hAnsi="Times New Roman" w:eastAsia="宋体" w:cs="Times New Roman"/>
                <w:color w:val="auto"/>
                <w:sz w:val="21"/>
                <w:szCs w:val="21"/>
              </w:rPr>
              <w:t>水平衡图（单位：m</w:t>
            </w:r>
            <w:r>
              <w:rPr>
                <w:rStyle w:val="27"/>
                <w:rFonts w:hint="default" w:ascii="Times New Roman" w:hAnsi="Times New Roman" w:eastAsia="宋体" w:cs="Times New Roman"/>
                <w:color w:val="auto"/>
                <w:sz w:val="21"/>
                <w:szCs w:val="21"/>
                <w:vertAlign w:val="superscript"/>
              </w:rPr>
              <w:t>3</w:t>
            </w:r>
            <w:r>
              <w:rPr>
                <w:rStyle w:val="27"/>
                <w:rFonts w:hint="default" w:ascii="Times New Roman" w:hAnsi="Times New Roman" w:eastAsia="宋体" w:cs="Times New Roman"/>
                <w:color w:val="auto"/>
                <w:sz w:val="21"/>
                <w:szCs w:val="21"/>
              </w:rPr>
              <w:t>/a）</w:t>
            </w:r>
          </w:p>
          <w:p w14:paraId="6DCA63C5">
            <w:pPr>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jc w:val="left"/>
              <w:textAlignment w:val="baseline"/>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rPr>
              <w:drawing>
                <wp:inline distT="0" distB="0" distL="114300" distR="114300">
                  <wp:extent cx="5039360" cy="2586990"/>
                  <wp:effectExtent l="0" t="0" r="8890" b="381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5"/>
                          <a:stretch>
                            <a:fillRect/>
                          </a:stretch>
                        </pic:blipFill>
                        <pic:spPr>
                          <a:xfrm>
                            <a:off x="0" y="0"/>
                            <a:ext cx="5039360" cy="2586990"/>
                          </a:xfrm>
                          <a:prstGeom prst="rect">
                            <a:avLst/>
                          </a:prstGeom>
                          <a:noFill/>
                          <a:ln>
                            <a:noFill/>
                          </a:ln>
                        </pic:spPr>
                      </pic:pic>
                    </a:graphicData>
                  </a:graphic>
                </wp:inline>
              </w:drawing>
            </w:r>
          </w:p>
          <w:p w14:paraId="5642B854">
            <w:pPr>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left="0" w:leftChars="0" w:right="0" w:rightChars="0" w:firstLine="0" w:firstLineChars="0"/>
              <w:jc w:val="center"/>
              <w:textAlignment w:val="baseline"/>
              <w:rPr>
                <w:rFonts w:hint="default" w:ascii="Times New Roman" w:hAnsi="Times New Roman" w:eastAsia="宋体" w:cs="Times New Roman"/>
                <w:color w:val="auto"/>
                <w:sz w:val="21"/>
                <w:szCs w:val="21"/>
                <w:vertAlign w:val="baseline"/>
                <w:lang w:val="en-US" w:eastAsia="zh-CN"/>
              </w:rPr>
            </w:pPr>
            <w:r>
              <w:rPr>
                <w:rStyle w:val="27"/>
                <w:rFonts w:hint="default" w:ascii="Times New Roman" w:hAnsi="Times New Roman" w:eastAsia="宋体" w:cs="Times New Roman"/>
                <w:color w:val="auto"/>
                <w:sz w:val="21"/>
                <w:szCs w:val="21"/>
              </w:rPr>
              <w:t>图2-</w:t>
            </w:r>
            <w:r>
              <w:rPr>
                <w:rStyle w:val="27"/>
                <w:rFonts w:hint="default" w:ascii="Times New Roman" w:hAnsi="Times New Roman" w:eastAsia="宋体" w:cs="Times New Roman"/>
                <w:color w:val="auto"/>
                <w:sz w:val="21"/>
                <w:szCs w:val="21"/>
                <w:lang w:val="en-US" w:eastAsia="zh-CN"/>
              </w:rPr>
              <w:t>2</w:t>
            </w:r>
            <w:r>
              <w:rPr>
                <w:rStyle w:val="27"/>
                <w:rFonts w:hint="default" w:ascii="Times New Roman" w:hAnsi="Times New Roman" w:eastAsia="宋体" w:cs="Times New Roman"/>
                <w:color w:val="auto"/>
                <w:sz w:val="21"/>
                <w:szCs w:val="21"/>
                <w:lang w:eastAsia="zh-CN"/>
              </w:rPr>
              <w:t xml:space="preserve"> </w:t>
            </w:r>
            <w:r>
              <w:rPr>
                <w:rStyle w:val="27"/>
                <w:rFonts w:hint="default" w:ascii="Times New Roman" w:hAnsi="Times New Roman" w:eastAsia="宋体" w:cs="Times New Roman"/>
                <w:color w:val="auto"/>
                <w:sz w:val="21"/>
                <w:szCs w:val="21"/>
                <w:lang w:val="en-US" w:eastAsia="zh-CN"/>
              </w:rPr>
              <w:t>扩建完成后</w:t>
            </w:r>
            <w:r>
              <w:rPr>
                <w:rStyle w:val="27"/>
                <w:rFonts w:hint="default" w:ascii="Times New Roman" w:hAnsi="Times New Roman" w:eastAsia="宋体" w:cs="Times New Roman"/>
                <w:color w:val="auto"/>
                <w:sz w:val="21"/>
                <w:szCs w:val="21"/>
              </w:rPr>
              <w:t>全厂水平衡图（单位：m</w:t>
            </w:r>
            <w:r>
              <w:rPr>
                <w:rStyle w:val="27"/>
                <w:rFonts w:hint="default" w:ascii="Times New Roman" w:hAnsi="Times New Roman" w:eastAsia="宋体" w:cs="Times New Roman"/>
                <w:color w:val="auto"/>
                <w:sz w:val="21"/>
                <w:szCs w:val="21"/>
                <w:vertAlign w:val="superscript"/>
              </w:rPr>
              <w:t>3</w:t>
            </w:r>
            <w:r>
              <w:rPr>
                <w:rStyle w:val="27"/>
                <w:rFonts w:hint="default" w:ascii="Times New Roman" w:hAnsi="Times New Roman" w:eastAsia="宋体" w:cs="Times New Roman"/>
                <w:color w:val="auto"/>
                <w:sz w:val="21"/>
                <w:szCs w:val="21"/>
              </w:rPr>
              <w:t>/a）</w:t>
            </w:r>
          </w:p>
          <w:p w14:paraId="3044AE4A">
            <w:pPr>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left="0" w:leftChars="0" w:firstLine="420" w:firstLineChars="200"/>
              <w:jc w:val="left"/>
              <w:textAlignment w:val="baseline"/>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（2）供电：扩建项目新增部分设备，新增用电量6万kW·h/a，项目完成后全厂用电量为12万kW·h/a，由萌水镇供电网供给。</w:t>
            </w:r>
          </w:p>
          <w:p w14:paraId="4F1F4E8B">
            <w:pPr>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left="0" w:leftChars="0" w:firstLine="420" w:firstLineChars="200"/>
              <w:jc w:val="left"/>
              <w:textAlignment w:val="baseline"/>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（3）供热：本项目厂区内不设燃煤锅炉，办公室冬季取暖使用空调。</w:t>
            </w:r>
          </w:p>
          <w:p w14:paraId="228482F4">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9、项目平面布置</w:t>
            </w:r>
          </w:p>
          <w:p w14:paraId="7060B5AF">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淄博启新新材料科技有限公司位于山东省淄博市文昌湖区萌水镇萌三村（村委南1000米），厂区以产品的加工生产流程为原则布置，</w:t>
            </w:r>
            <w:r>
              <w:rPr>
                <w:rFonts w:hint="default" w:ascii="Times New Roman" w:hAnsi="Times New Roman" w:eastAsia="宋体" w:cs="Times New Roman"/>
                <w:bCs/>
                <w:color w:val="auto"/>
                <w:sz w:val="21"/>
                <w:szCs w:val="21"/>
                <w:lang w:val="en-US" w:eastAsia="zh-CN"/>
              </w:rPr>
              <w:t>分为生产车间、北仓库、南仓库和办公室，其中办公室位于厂区东北部，紧邻厂区大门，北仓库位于办公室南侧，南仓库位于北仓库东南侧，生产车间位于整个厂区的西南侧</w:t>
            </w:r>
            <w:r>
              <w:rPr>
                <w:rFonts w:hint="default" w:ascii="Times New Roman" w:hAnsi="Times New Roman" w:eastAsia="宋体" w:cs="Times New Roman"/>
                <w:bCs/>
                <w:color w:val="auto"/>
                <w:sz w:val="21"/>
                <w:szCs w:val="21"/>
              </w:rPr>
              <w:t>。整体布局</w:t>
            </w:r>
            <w:r>
              <w:rPr>
                <w:rFonts w:hint="default" w:ascii="Times New Roman" w:hAnsi="Times New Roman" w:eastAsia="宋体" w:cs="Times New Roman"/>
                <w:bCs/>
                <w:color w:val="auto"/>
                <w:sz w:val="21"/>
                <w:szCs w:val="21"/>
                <w:lang w:eastAsia="zh-CN"/>
              </w:rPr>
              <w:t>顺应</w:t>
            </w:r>
            <w:r>
              <w:rPr>
                <w:rFonts w:hint="default" w:ascii="Times New Roman" w:hAnsi="Times New Roman" w:eastAsia="宋体" w:cs="Times New Roman"/>
                <w:bCs/>
                <w:color w:val="auto"/>
                <w:sz w:val="21"/>
                <w:szCs w:val="21"/>
              </w:rPr>
              <w:t>了物料走向，且项目</w:t>
            </w:r>
            <w:r>
              <w:rPr>
                <w:rFonts w:hint="default" w:ascii="Times New Roman" w:hAnsi="Times New Roman" w:eastAsia="宋体" w:cs="Times New Roman"/>
                <w:bCs/>
                <w:color w:val="auto"/>
                <w:sz w:val="21"/>
                <w:szCs w:val="21"/>
                <w:lang w:val="en-US" w:eastAsia="zh-CN"/>
              </w:rPr>
              <w:t>北</w:t>
            </w:r>
            <w:r>
              <w:rPr>
                <w:rFonts w:hint="default" w:ascii="Times New Roman" w:hAnsi="Times New Roman" w:eastAsia="宋体" w:cs="Times New Roman"/>
                <w:bCs/>
                <w:color w:val="auto"/>
                <w:sz w:val="21"/>
                <w:szCs w:val="21"/>
              </w:rPr>
              <w:t>侧为</w:t>
            </w:r>
            <w:r>
              <w:rPr>
                <w:rFonts w:hint="default" w:ascii="Times New Roman" w:hAnsi="Times New Roman" w:eastAsia="宋体" w:cs="Times New Roman"/>
                <w:bCs/>
                <w:color w:val="auto"/>
                <w:sz w:val="21"/>
                <w:szCs w:val="21"/>
                <w:lang w:val="en-US" w:eastAsia="zh-CN"/>
              </w:rPr>
              <w:t>小路</w:t>
            </w:r>
            <w:r>
              <w:rPr>
                <w:rFonts w:hint="default" w:ascii="Times New Roman" w:hAnsi="Times New Roman" w:eastAsia="宋体" w:cs="Times New Roman"/>
                <w:bCs/>
                <w:color w:val="auto"/>
                <w:sz w:val="21"/>
                <w:szCs w:val="21"/>
              </w:rPr>
              <w:t>，交通</w:t>
            </w:r>
            <w:r>
              <w:rPr>
                <w:rFonts w:hint="default" w:ascii="Times New Roman" w:hAnsi="Times New Roman" w:eastAsia="宋体" w:cs="Times New Roman"/>
                <w:bCs/>
                <w:color w:val="auto"/>
                <w:sz w:val="21"/>
                <w:szCs w:val="21"/>
                <w:lang w:val="en-US" w:eastAsia="zh-CN"/>
              </w:rPr>
              <w:t>较</w:t>
            </w:r>
            <w:r>
              <w:rPr>
                <w:rFonts w:hint="default" w:ascii="Times New Roman" w:hAnsi="Times New Roman" w:eastAsia="宋体" w:cs="Times New Roman"/>
                <w:bCs/>
                <w:color w:val="auto"/>
                <w:sz w:val="21"/>
                <w:szCs w:val="21"/>
              </w:rPr>
              <w:t>方便，便于物料的输送。厂房内各个生产作业区域之间紧密相连，厂房总平面布置满足生产工艺流程的需要，节约用地并便于材料输入和产品输出，功能划分比较明确，功能划分较为合理。厂区平面布置图详见附图3。</w:t>
            </w:r>
          </w:p>
          <w:p w14:paraId="514F7C7B">
            <w:pPr>
              <w:autoSpaceDE w:val="0"/>
              <w:autoSpaceDN w:val="0"/>
              <w:adjustRightInd w:val="0"/>
              <w:snapToGrid w:val="0"/>
              <w:spacing w:line="360" w:lineRule="auto"/>
              <w:ind w:firstLine="420" w:firstLineChars="200"/>
              <w:jc w:val="left"/>
              <w:rPr>
                <w:rFonts w:hint="default" w:ascii="Times New Roman" w:hAnsi="Times New Roman" w:eastAsia="宋体" w:cs="Times New Roman"/>
                <w:color w:val="auto"/>
                <w:spacing w:val="0"/>
                <w:position w:val="0"/>
                <w:sz w:val="21"/>
                <w:szCs w:val="21"/>
              </w:rPr>
            </w:pPr>
            <w:r>
              <w:rPr>
                <w:rFonts w:hint="default" w:ascii="Times New Roman" w:hAnsi="Times New Roman" w:eastAsia="宋体" w:cs="Times New Roman"/>
                <w:color w:val="auto"/>
                <w:spacing w:val="0"/>
                <w:position w:val="0"/>
                <w:sz w:val="21"/>
                <w:szCs w:val="21"/>
                <w:lang w:val="en-US" w:eastAsia="zh-CN"/>
              </w:rPr>
              <w:t>10</w:t>
            </w:r>
            <w:r>
              <w:rPr>
                <w:rFonts w:hint="default" w:ascii="Times New Roman" w:hAnsi="Times New Roman" w:eastAsia="宋体" w:cs="Times New Roman"/>
                <w:color w:val="auto"/>
                <w:spacing w:val="0"/>
                <w:position w:val="0"/>
                <w:sz w:val="21"/>
                <w:szCs w:val="21"/>
              </w:rPr>
              <w:t>、环保投资与建设内容</w:t>
            </w:r>
          </w:p>
          <w:p w14:paraId="05052253">
            <w:pPr>
              <w:autoSpaceDE w:val="0"/>
              <w:autoSpaceDN w:val="0"/>
              <w:adjustRightInd w:val="0"/>
              <w:snapToGrid w:val="0"/>
              <w:spacing w:line="360" w:lineRule="auto"/>
              <w:ind w:firstLine="420" w:firstLineChars="200"/>
              <w:jc w:val="left"/>
              <w:rPr>
                <w:rFonts w:hint="default" w:ascii="Times New Roman" w:hAnsi="Times New Roman" w:eastAsia="宋体" w:cs="Times New Roman"/>
                <w:color w:val="auto"/>
                <w:spacing w:val="0"/>
                <w:position w:val="0"/>
                <w:sz w:val="21"/>
                <w:szCs w:val="21"/>
              </w:rPr>
            </w:pPr>
            <w:r>
              <w:rPr>
                <w:rFonts w:hint="default" w:ascii="Times New Roman" w:hAnsi="Times New Roman" w:eastAsia="宋体" w:cs="Times New Roman"/>
                <w:color w:val="auto"/>
                <w:spacing w:val="0"/>
                <w:position w:val="0"/>
                <w:sz w:val="21"/>
                <w:szCs w:val="21"/>
              </w:rPr>
              <w:t>本项目总投资</w:t>
            </w:r>
            <w:r>
              <w:rPr>
                <w:rFonts w:hint="default" w:ascii="Times New Roman" w:hAnsi="Times New Roman" w:eastAsia="宋体" w:cs="Times New Roman"/>
                <w:color w:val="auto"/>
                <w:spacing w:val="0"/>
                <w:position w:val="0"/>
                <w:sz w:val="21"/>
                <w:szCs w:val="21"/>
                <w:lang w:val="en-US" w:eastAsia="zh-CN"/>
              </w:rPr>
              <w:t>520</w:t>
            </w:r>
            <w:r>
              <w:rPr>
                <w:rFonts w:hint="default" w:ascii="Times New Roman" w:hAnsi="Times New Roman" w:eastAsia="宋体" w:cs="Times New Roman"/>
                <w:color w:val="auto"/>
                <w:spacing w:val="0"/>
                <w:position w:val="0"/>
                <w:sz w:val="21"/>
                <w:szCs w:val="21"/>
              </w:rPr>
              <w:t>万，环保投资</w:t>
            </w:r>
            <w:r>
              <w:rPr>
                <w:rFonts w:hint="default" w:ascii="Times New Roman" w:hAnsi="Times New Roman" w:eastAsia="宋体" w:cs="Times New Roman"/>
                <w:color w:val="auto"/>
                <w:spacing w:val="0"/>
                <w:position w:val="0"/>
                <w:sz w:val="21"/>
                <w:szCs w:val="21"/>
                <w:lang w:val="en-US" w:eastAsia="zh-CN"/>
              </w:rPr>
              <w:t>10</w:t>
            </w:r>
            <w:r>
              <w:rPr>
                <w:rFonts w:hint="default" w:ascii="Times New Roman" w:hAnsi="Times New Roman" w:eastAsia="宋体" w:cs="Times New Roman"/>
                <w:color w:val="auto"/>
                <w:spacing w:val="0"/>
                <w:position w:val="0"/>
                <w:sz w:val="21"/>
                <w:szCs w:val="21"/>
              </w:rPr>
              <w:t>万，占工程总投资的</w:t>
            </w:r>
            <w:r>
              <w:rPr>
                <w:rFonts w:hint="default" w:ascii="Times New Roman" w:hAnsi="Times New Roman" w:eastAsia="宋体" w:cs="Times New Roman"/>
                <w:color w:val="auto"/>
                <w:spacing w:val="0"/>
                <w:position w:val="0"/>
                <w:sz w:val="21"/>
                <w:szCs w:val="21"/>
                <w:lang w:val="en-US" w:eastAsia="zh-CN"/>
              </w:rPr>
              <w:t>1.9</w:t>
            </w:r>
            <w:r>
              <w:rPr>
                <w:rFonts w:hint="default" w:ascii="Times New Roman" w:hAnsi="Times New Roman" w:eastAsia="宋体" w:cs="Times New Roman"/>
                <w:color w:val="auto"/>
                <w:spacing w:val="0"/>
                <w:position w:val="0"/>
                <w:sz w:val="21"/>
                <w:szCs w:val="21"/>
              </w:rPr>
              <w:t>%，环保建设内容见下表。</w:t>
            </w:r>
          </w:p>
          <w:p w14:paraId="05194012">
            <w:pPr>
              <w:spacing w:line="360" w:lineRule="auto"/>
              <w:ind w:firstLine="413" w:firstLineChars="196"/>
              <w:jc w:val="center"/>
              <w:rPr>
                <w:rFonts w:hint="default" w:ascii="Times New Roman" w:hAnsi="Times New Roman" w:eastAsia="宋体" w:cs="Times New Roman"/>
                <w:b/>
                <w:bCs/>
                <w:color w:val="auto"/>
                <w:spacing w:val="0"/>
                <w:position w:val="0"/>
                <w:sz w:val="21"/>
                <w:szCs w:val="21"/>
              </w:rPr>
            </w:pPr>
            <w:r>
              <w:rPr>
                <w:rFonts w:hint="default" w:ascii="Times New Roman" w:hAnsi="Times New Roman" w:eastAsia="宋体" w:cs="Times New Roman"/>
                <w:b/>
                <w:bCs/>
                <w:color w:val="auto"/>
                <w:spacing w:val="0"/>
                <w:position w:val="0"/>
                <w:sz w:val="21"/>
                <w:szCs w:val="21"/>
              </w:rPr>
              <w:t>表</w:t>
            </w:r>
            <w:r>
              <w:rPr>
                <w:rFonts w:hint="default" w:ascii="Times New Roman" w:hAnsi="Times New Roman" w:eastAsia="宋体" w:cs="Times New Roman"/>
                <w:b/>
                <w:bCs/>
                <w:color w:val="auto"/>
                <w:spacing w:val="0"/>
                <w:position w:val="0"/>
                <w:sz w:val="21"/>
                <w:szCs w:val="21"/>
                <w:lang w:val="en-US" w:eastAsia="zh-CN"/>
              </w:rPr>
              <w:t>2-6</w:t>
            </w:r>
            <w:r>
              <w:rPr>
                <w:rFonts w:hint="default" w:ascii="Times New Roman" w:hAnsi="Times New Roman" w:eastAsia="宋体" w:cs="Times New Roman"/>
                <w:b/>
                <w:bCs/>
                <w:color w:val="auto"/>
                <w:spacing w:val="0"/>
                <w:position w:val="0"/>
                <w:sz w:val="21"/>
                <w:szCs w:val="21"/>
              </w:rPr>
              <w:t>工程环保设施（措施）及投资估算一览表</w:t>
            </w:r>
          </w:p>
          <w:tbl>
            <w:tblPr>
              <w:tblStyle w:val="14"/>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620"/>
              <w:gridCol w:w="1087"/>
              <w:gridCol w:w="3759"/>
              <w:gridCol w:w="1311"/>
              <w:gridCol w:w="1095"/>
            </w:tblGrid>
            <w:tr w14:paraId="69418F8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620" w:type="dxa"/>
                  <w:noWrap w:val="0"/>
                  <w:vAlign w:val="center"/>
                </w:tcPr>
                <w:p w14:paraId="01A85D7C">
                  <w:pPr>
                    <w:jc w:val="center"/>
                    <w:textAlignment w:val="baseline"/>
                    <w:rPr>
                      <w:rFonts w:hint="default" w:ascii="Times New Roman" w:hAnsi="Times New Roman" w:eastAsia="宋体" w:cs="Times New Roman"/>
                      <w:b/>
                      <w:bCs/>
                      <w:color w:val="auto"/>
                      <w:spacing w:val="0"/>
                      <w:position w:val="0"/>
                      <w:sz w:val="21"/>
                      <w:szCs w:val="21"/>
                    </w:rPr>
                  </w:pPr>
                  <w:r>
                    <w:rPr>
                      <w:rFonts w:hint="default" w:ascii="Times New Roman" w:hAnsi="Times New Roman" w:eastAsia="宋体" w:cs="Times New Roman"/>
                      <w:b/>
                      <w:bCs/>
                      <w:color w:val="auto"/>
                      <w:spacing w:val="0"/>
                      <w:position w:val="0"/>
                      <w:sz w:val="21"/>
                      <w:szCs w:val="21"/>
                    </w:rPr>
                    <w:t>序号</w:t>
                  </w:r>
                </w:p>
              </w:tc>
              <w:tc>
                <w:tcPr>
                  <w:tcW w:w="1087" w:type="dxa"/>
                  <w:noWrap w:val="0"/>
                  <w:vAlign w:val="center"/>
                </w:tcPr>
                <w:p w14:paraId="3633C360">
                  <w:pPr>
                    <w:jc w:val="center"/>
                    <w:textAlignment w:val="baseline"/>
                    <w:rPr>
                      <w:rFonts w:hint="default" w:ascii="Times New Roman" w:hAnsi="Times New Roman" w:eastAsia="宋体" w:cs="Times New Roman"/>
                      <w:b/>
                      <w:bCs/>
                      <w:color w:val="auto"/>
                      <w:spacing w:val="0"/>
                      <w:position w:val="0"/>
                      <w:sz w:val="21"/>
                      <w:szCs w:val="21"/>
                    </w:rPr>
                  </w:pPr>
                  <w:r>
                    <w:rPr>
                      <w:rFonts w:hint="default" w:ascii="Times New Roman" w:hAnsi="Times New Roman" w:eastAsia="宋体" w:cs="Times New Roman"/>
                      <w:b/>
                      <w:bCs/>
                      <w:color w:val="auto"/>
                      <w:spacing w:val="0"/>
                      <w:position w:val="0"/>
                      <w:sz w:val="21"/>
                      <w:szCs w:val="21"/>
                    </w:rPr>
                    <w:t>项目名称</w:t>
                  </w:r>
                </w:p>
              </w:tc>
              <w:tc>
                <w:tcPr>
                  <w:tcW w:w="3759" w:type="dxa"/>
                  <w:noWrap w:val="0"/>
                  <w:vAlign w:val="center"/>
                </w:tcPr>
                <w:p w14:paraId="6F55EF6E">
                  <w:pPr>
                    <w:jc w:val="center"/>
                    <w:textAlignment w:val="baseline"/>
                    <w:rPr>
                      <w:rFonts w:hint="default" w:ascii="Times New Roman" w:hAnsi="Times New Roman" w:eastAsia="宋体" w:cs="Times New Roman"/>
                      <w:b/>
                      <w:bCs/>
                      <w:color w:val="auto"/>
                      <w:spacing w:val="0"/>
                      <w:position w:val="0"/>
                      <w:sz w:val="21"/>
                      <w:szCs w:val="21"/>
                    </w:rPr>
                  </w:pPr>
                  <w:r>
                    <w:rPr>
                      <w:rFonts w:hint="default" w:ascii="Times New Roman" w:hAnsi="Times New Roman" w:eastAsia="宋体" w:cs="Times New Roman"/>
                      <w:b/>
                      <w:bCs/>
                      <w:color w:val="auto"/>
                      <w:spacing w:val="0"/>
                      <w:position w:val="0"/>
                      <w:sz w:val="21"/>
                      <w:szCs w:val="21"/>
                    </w:rPr>
                    <w:t>处理方式</w:t>
                  </w:r>
                </w:p>
              </w:tc>
              <w:tc>
                <w:tcPr>
                  <w:tcW w:w="1311" w:type="dxa"/>
                  <w:noWrap w:val="0"/>
                  <w:vAlign w:val="center"/>
                </w:tcPr>
                <w:p w14:paraId="092A9D7F">
                  <w:pPr>
                    <w:jc w:val="center"/>
                    <w:textAlignment w:val="baseline"/>
                    <w:rPr>
                      <w:rFonts w:hint="default" w:ascii="Times New Roman" w:hAnsi="Times New Roman" w:eastAsia="宋体" w:cs="Times New Roman"/>
                      <w:b/>
                      <w:bCs/>
                      <w:color w:val="auto"/>
                      <w:spacing w:val="0"/>
                      <w:position w:val="0"/>
                      <w:sz w:val="21"/>
                      <w:szCs w:val="21"/>
                    </w:rPr>
                  </w:pPr>
                  <w:r>
                    <w:rPr>
                      <w:rFonts w:hint="default" w:ascii="Times New Roman" w:hAnsi="Times New Roman" w:eastAsia="宋体" w:cs="Times New Roman"/>
                      <w:b/>
                      <w:bCs/>
                      <w:color w:val="auto"/>
                      <w:spacing w:val="0"/>
                      <w:position w:val="0"/>
                      <w:sz w:val="21"/>
                      <w:szCs w:val="21"/>
                    </w:rPr>
                    <w:t>投资（万元）</w:t>
                  </w:r>
                </w:p>
              </w:tc>
              <w:tc>
                <w:tcPr>
                  <w:tcW w:w="1095" w:type="dxa"/>
                  <w:noWrap w:val="0"/>
                  <w:vAlign w:val="center"/>
                </w:tcPr>
                <w:p w14:paraId="7BCBFD9E">
                  <w:pPr>
                    <w:jc w:val="center"/>
                    <w:textAlignment w:val="baseline"/>
                    <w:rPr>
                      <w:rFonts w:hint="default" w:ascii="Times New Roman" w:hAnsi="Times New Roman" w:eastAsia="宋体" w:cs="Times New Roman"/>
                      <w:b/>
                      <w:bCs/>
                      <w:color w:val="auto"/>
                      <w:spacing w:val="0"/>
                      <w:position w:val="0"/>
                      <w:sz w:val="21"/>
                      <w:szCs w:val="21"/>
                    </w:rPr>
                  </w:pPr>
                  <w:r>
                    <w:rPr>
                      <w:rFonts w:hint="default" w:ascii="Times New Roman" w:hAnsi="Times New Roman" w:eastAsia="宋体" w:cs="Times New Roman"/>
                      <w:b/>
                      <w:bCs/>
                      <w:color w:val="auto"/>
                      <w:spacing w:val="0"/>
                      <w:position w:val="0"/>
                      <w:sz w:val="21"/>
                      <w:szCs w:val="21"/>
                    </w:rPr>
                    <w:t>三同时进度</w:t>
                  </w:r>
                </w:p>
              </w:tc>
            </w:tr>
            <w:tr w14:paraId="4FD06D8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620" w:type="dxa"/>
                  <w:noWrap w:val="0"/>
                  <w:vAlign w:val="center"/>
                </w:tcPr>
                <w:p w14:paraId="3E5AFE7C">
                  <w:pPr>
                    <w:jc w:val="center"/>
                    <w:textAlignment w:val="baseline"/>
                    <w:rPr>
                      <w:rFonts w:hint="default" w:ascii="Times New Roman" w:hAnsi="Times New Roman" w:eastAsia="宋体" w:cs="Times New Roman"/>
                      <w:color w:val="auto"/>
                      <w:spacing w:val="0"/>
                      <w:position w:val="0"/>
                      <w:sz w:val="21"/>
                      <w:szCs w:val="21"/>
                    </w:rPr>
                  </w:pPr>
                  <w:r>
                    <w:rPr>
                      <w:rFonts w:hint="default" w:ascii="Times New Roman" w:hAnsi="Times New Roman" w:eastAsia="宋体" w:cs="Times New Roman"/>
                      <w:color w:val="auto"/>
                      <w:spacing w:val="0"/>
                      <w:position w:val="0"/>
                      <w:sz w:val="21"/>
                      <w:szCs w:val="21"/>
                    </w:rPr>
                    <w:t>1</w:t>
                  </w:r>
                </w:p>
              </w:tc>
              <w:tc>
                <w:tcPr>
                  <w:tcW w:w="1087" w:type="dxa"/>
                  <w:noWrap w:val="0"/>
                  <w:vAlign w:val="center"/>
                </w:tcPr>
                <w:p w14:paraId="46BCFD77">
                  <w:pPr>
                    <w:jc w:val="center"/>
                    <w:textAlignment w:val="baseline"/>
                    <w:rPr>
                      <w:rFonts w:hint="default" w:ascii="Times New Roman" w:hAnsi="Times New Roman" w:eastAsia="宋体" w:cs="Times New Roman"/>
                      <w:color w:val="auto"/>
                      <w:spacing w:val="0"/>
                      <w:position w:val="0"/>
                      <w:sz w:val="21"/>
                      <w:szCs w:val="21"/>
                    </w:rPr>
                  </w:pPr>
                  <w:r>
                    <w:rPr>
                      <w:rFonts w:hint="default" w:ascii="Times New Roman" w:hAnsi="Times New Roman" w:eastAsia="宋体" w:cs="Times New Roman"/>
                      <w:color w:val="auto"/>
                      <w:spacing w:val="0"/>
                      <w:position w:val="0"/>
                      <w:sz w:val="21"/>
                      <w:szCs w:val="21"/>
                    </w:rPr>
                    <w:t>废气</w:t>
                  </w:r>
                </w:p>
              </w:tc>
              <w:tc>
                <w:tcPr>
                  <w:tcW w:w="3759" w:type="dxa"/>
                  <w:noWrap w:val="0"/>
                  <w:vAlign w:val="center"/>
                </w:tcPr>
                <w:p w14:paraId="70174D84">
                  <w:pPr>
                    <w:jc w:val="center"/>
                    <w:textAlignment w:val="baseline"/>
                    <w:rPr>
                      <w:rFonts w:hint="default" w:ascii="Times New Roman" w:hAnsi="Times New Roman" w:eastAsia="宋体" w:cs="Times New Roman"/>
                      <w:color w:val="auto"/>
                      <w:spacing w:val="0"/>
                      <w:position w:val="0"/>
                      <w:sz w:val="21"/>
                      <w:szCs w:val="21"/>
                      <w:lang w:val="en-US" w:eastAsia="zh-CN"/>
                    </w:rPr>
                  </w:pPr>
                  <w:r>
                    <w:rPr>
                      <w:rFonts w:hint="default" w:ascii="Times New Roman" w:hAnsi="Times New Roman" w:eastAsia="宋体" w:cs="Times New Roman"/>
                      <w:color w:val="auto"/>
                      <w:spacing w:val="0"/>
                      <w:position w:val="0"/>
                      <w:sz w:val="21"/>
                      <w:szCs w:val="21"/>
                      <w:lang w:val="en-US" w:eastAsia="zh-CN"/>
                    </w:rPr>
                    <w:t>布袋除尘器+15m排气筒</w:t>
                  </w:r>
                </w:p>
              </w:tc>
              <w:tc>
                <w:tcPr>
                  <w:tcW w:w="1311" w:type="dxa"/>
                  <w:noWrap w:val="0"/>
                  <w:vAlign w:val="center"/>
                </w:tcPr>
                <w:p w14:paraId="143C6335">
                  <w:pPr>
                    <w:jc w:val="center"/>
                    <w:textAlignment w:val="baseline"/>
                    <w:rPr>
                      <w:rFonts w:hint="default" w:ascii="Times New Roman" w:hAnsi="Times New Roman" w:eastAsia="宋体" w:cs="Times New Roman"/>
                      <w:color w:val="auto"/>
                      <w:spacing w:val="0"/>
                      <w:position w:val="0"/>
                      <w:sz w:val="21"/>
                      <w:szCs w:val="21"/>
                      <w:lang w:val="en-US" w:eastAsia="zh-CN"/>
                    </w:rPr>
                  </w:pPr>
                  <w:r>
                    <w:rPr>
                      <w:rFonts w:hint="default" w:ascii="Times New Roman" w:hAnsi="Times New Roman" w:eastAsia="宋体" w:cs="Times New Roman"/>
                      <w:color w:val="auto"/>
                      <w:spacing w:val="0"/>
                      <w:position w:val="0"/>
                      <w:sz w:val="21"/>
                      <w:szCs w:val="21"/>
                      <w:lang w:val="en-US" w:eastAsia="zh-CN"/>
                    </w:rPr>
                    <w:t>5</w:t>
                  </w:r>
                </w:p>
              </w:tc>
              <w:tc>
                <w:tcPr>
                  <w:tcW w:w="1095" w:type="dxa"/>
                  <w:vMerge w:val="restart"/>
                  <w:noWrap w:val="0"/>
                  <w:vAlign w:val="center"/>
                </w:tcPr>
                <w:p w14:paraId="324E6EBD">
                  <w:pPr>
                    <w:jc w:val="center"/>
                    <w:textAlignment w:val="baseline"/>
                    <w:rPr>
                      <w:rFonts w:hint="default" w:ascii="Times New Roman" w:hAnsi="Times New Roman" w:eastAsia="宋体" w:cs="Times New Roman"/>
                      <w:color w:val="auto"/>
                      <w:spacing w:val="0"/>
                      <w:position w:val="0"/>
                      <w:sz w:val="21"/>
                      <w:szCs w:val="21"/>
                    </w:rPr>
                  </w:pPr>
                  <w:r>
                    <w:rPr>
                      <w:rFonts w:hint="default" w:ascii="Times New Roman" w:hAnsi="Times New Roman" w:eastAsia="宋体" w:cs="Times New Roman"/>
                      <w:color w:val="auto"/>
                      <w:spacing w:val="0"/>
                      <w:position w:val="0"/>
                      <w:sz w:val="21"/>
                      <w:szCs w:val="21"/>
                    </w:rPr>
                    <w:t>与建设项目同时设计、同时施工、同时投产使用</w:t>
                  </w:r>
                </w:p>
              </w:tc>
            </w:tr>
            <w:tr w14:paraId="7001435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620" w:type="dxa"/>
                  <w:noWrap w:val="0"/>
                  <w:vAlign w:val="center"/>
                </w:tcPr>
                <w:p w14:paraId="47FAACF2">
                  <w:pPr>
                    <w:jc w:val="center"/>
                    <w:textAlignment w:val="baseline"/>
                    <w:rPr>
                      <w:rFonts w:hint="default" w:ascii="Times New Roman" w:hAnsi="Times New Roman" w:eastAsia="宋体" w:cs="Times New Roman"/>
                      <w:color w:val="auto"/>
                      <w:spacing w:val="0"/>
                      <w:position w:val="0"/>
                      <w:sz w:val="21"/>
                      <w:szCs w:val="21"/>
                    </w:rPr>
                  </w:pPr>
                  <w:r>
                    <w:rPr>
                      <w:rFonts w:hint="default" w:ascii="Times New Roman" w:hAnsi="Times New Roman" w:eastAsia="宋体" w:cs="Times New Roman"/>
                      <w:color w:val="auto"/>
                      <w:spacing w:val="0"/>
                      <w:position w:val="0"/>
                      <w:sz w:val="21"/>
                      <w:szCs w:val="21"/>
                    </w:rPr>
                    <w:t>2</w:t>
                  </w:r>
                </w:p>
              </w:tc>
              <w:tc>
                <w:tcPr>
                  <w:tcW w:w="1087" w:type="dxa"/>
                  <w:noWrap w:val="0"/>
                  <w:vAlign w:val="center"/>
                </w:tcPr>
                <w:p w14:paraId="3C499099">
                  <w:pPr>
                    <w:jc w:val="center"/>
                    <w:textAlignment w:val="baseline"/>
                    <w:rPr>
                      <w:rFonts w:hint="default" w:ascii="Times New Roman" w:hAnsi="Times New Roman" w:eastAsia="宋体" w:cs="Times New Roman"/>
                      <w:color w:val="auto"/>
                      <w:spacing w:val="0"/>
                      <w:position w:val="0"/>
                      <w:sz w:val="21"/>
                      <w:szCs w:val="21"/>
                    </w:rPr>
                  </w:pPr>
                  <w:r>
                    <w:rPr>
                      <w:rFonts w:hint="default" w:ascii="Times New Roman" w:hAnsi="Times New Roman" w:eastAsia="宋体" w:cs="Times New Roman"/>
                      <w:color w:val="auto"/>
                      <w:spacing w:val="0"/>
                      <w:position w:val="0"/>
                      <w:sz w:val="21"/>
                      <w:szCs w:val="21"/>
                    </w:rPr>
                    <w:t>噪声</w:t>
                  </w:r>
                </w:p>
              </w:tc>
              <w:tc>
                <w:tcPr>
                  <w:tcW w:w="3759" w:type="dxa"/>
                  <w:noWrap w:val="0"/>
                  <w:vAlign w:val="center"/>
                </w:tcPr>
                <w:p w14:paraId="1B8D59DA">
                  <w:pPr>
                    <w:jc w:val="center"/>
                    <w:textAlignment w:val="baseline"/>
                    <w:rPr>
                      <w:rFonts w:hint="default" w:ascii="Times New Roman" w:hAnsi="Times New Roman" w:eastAsia="宋体" w:cs="Times New Roman"/>
                      <w:color w:val="auto"/>
                      <w:spacing w:val="0"/>
                      <w:position w:val="0"/>
                      <w:sz w:val="21"/>
                      <w:szCs w:val="21"/>
                    </w:rPr>
                  </w:pPr>
                  <w:r>
                    <w:rPr>
                      <w:rFonts w:hint="default" w:ascii="Times New Roman" w:hAnsi="Times New Roman" w:eastAsia="宋体" w:cs="Times New Roman"/>
                      <w:color w:val="auto"/>
                      <w:spacing w:val="0"/>
                      <w:position w:val="0"/>
                      <w:sz w:val="21"/>
                      <w:szCs w:val="21"/>
                    </w:rPr>
                    <w:t>厂房消声隔声、基础减震、距离衰减</w:t>
                  </w:r>
                </w:p>
              </w:tc>
              <w:tc>
                <w:tcPr>
                  <w:tcW w:w="1311" w:type="dxa"/>
                  <w:noWrap w:val="0"/>
                  <w:vAlign w:val="center"/>
                </w:tcPr>
                <w:p w14:paraId="232360DC">
                  <w:pPr>
                    <w:jc w:val="center"/>
                    <w:textAlignment w:val="baseline"/>
                    <w:rPr>
                      <w:rFonts w:hint="default" w:ascii="Times New Roman" w:hAnsi="Times New Roman" w:eastAsia="宋体" w:cs="Times New Roman"/>
                      <w:color w:val="auto"/>
                      <w:spacing w:val="0"/>
                      <w:position w:val="0"/>
                      <w:sz w:val="21"/>
                      <w:szCs w:val="21"/>
                      <w:lang w:val="en-US" w:eastAsia="zh-CN"/>
                    </w:rPr>
                  </w:pPr>
                  <w:r>
                    <w:rPr>
                      <w:rFonts w:hint="default" w:ascii="Times New Roman" w:hAnsi="Times New Roman" w:eastAsia="宋体" w:cs="Times New Roman"/>
                      <w:color w:val="auto"/>
                      <w:spacing w:val="0"/>
                      <w:position w:val="0"/>
                      <w:sz w:val="21"/>
                      <w:szCs w:val="21"/>
                      <w:lang w:val="en-US" w:eastAsia="zh-CN"/>
                    </w:rPr>
                    <w:t>2</w:t>
                  </w:r>
                </w:p>
              </w:tc>
              <w:tc>
                <w:tcPr>
                  <w:tcW w:w="1095" w:type="dxa"/>
                  <w:vMerge w:val="continue"/>
                  <w:noWrap w:val="0"/>
                  <w:vAlign w:val="center"/>
                </w:tcPr>
                <w:p w14:paraId="5A9FF76A">
                  <w:pPr>
                    <w:jc w:val="center"/>
                    <w:textAlignment w:val="baseline"/>
                    <w:rPr>
                      <w:rFonts w:hint="default" w:ascii="Times New Roman" w:hAnsi="Times New Roman" w:eastAsia="宋体" w:cs="Times New Roman"/>
                      <w:color w:val="auto"/>
                      <w:spacing w:val="0"/>
                      <w:position w:val="0"/>
                      <w:sz w:val="21"/>
                      <w:szCs w:val="21"/>
                    </w:rPr>
                  </w:pPr>
                </w:p>
              </w:tc>
            </w:tr>
            <w:tr w14:paraId="434CE5A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620" w:type="dxa"/>
                  <w:noWrap w:val="0"/>
                  <w:vAlign w:val="center"/>
                </w:tcPr>
                <w:p w14:paraId="5955AE3E">
                  <w:pPr>
                    <w:jc w:val="center"/>
                    <w:textAlignment w:val="baseline"/>
                    <w:rPr>
                      <w:rFonts w:hint="default" w:ascii="Times New Roman" w:hAnsi="Times New Roman" w:eastAsia="宋体" w:cs="Times New Roman"/>
                      <w:color w:val="auto"/>
                      <w:spacing w:val="0"/>
                      <w:position w:val="0"/>
                      <w:sz w:val="21"/>
                      <w:szCs w:val="21"/>
                    </w:rPr>
                  </w:pPr>
                  <w:r>
                    <w:rPr>
                      <w:rFonts w:hint="default" w:ascii="Times New Roman" w:hAnsi="Times New Roman" w:eastAsia="宋体" w:cs="Times New Roman"/>
                      <w:color w:val="auto"/>
                      <w:spacing w:val="0"/>
                      <w:position w:val="0"/>
                      <w:sz w:val="21"/>
                      <w:szCs w:val="21"/>
                    </w:rPr>
                    <w:t>3</w:t>
                  </w:r>
                </w:p>
              </w:tc>
              <w:tc>
                <w:tcPr>
                  <w:tcW w:w="1087" w:type="dxa"/>
                  <w:noWrap w:val="0"/>
                  <w:vAlign w:val="center"/>
                </w:tcPr>
                <w:p w14:paraId="5A70F25D">
                  <w:pPr>
                    <w:jc w:val="center"/>
                    <w:textAlignment w:val="baseline"/>
                    <w:rPr>
                      <w:rFonts w:hint="default" w:ascii="Times New Roman" w:hAnsi="Times New Roman" w:eastAsia="宋体" w:cs="Times New Roman"/>
                      <w:color w:val="auto"/>
                      <w:spacing w:val="0"/>
                      <w:position w:val="0"/>
                      <w:sz w:val="21"/>
                      <w:szCs w:val="21"/>
                    </w:rPr>
                  </w:pPr>
                  <w:r>
                    <w:rPr>
                      <w:rFonts w:hint="default" w:ascii="Times New Roman" w:hAnsi="Times New Roman" w:eastAsia="宋体" w:cs="Times New Roman"/>
                      <w:color w:val="auto"/>
                      <w:spacing w:val="0"/>
                      <w:position w:val="0"/>
                      <w:sz w:val="21"/>
                      <w:szCs w:val="21"/>
                    </w:rPr>
                    <w:t>固废</w:t>
                  </w:r>
                </w:p>
              </w:tc>
              <w:tc>
                <w:tcPr>
                  <w:tcW w:w="3759" w:type="dxa"/>
                  <w:noWrap w:val="0"/>
                  <w:vAlign w:val="center"/>
                </w:tcPr>
                <w:p w14:paraId="6BEE7DE3">
                  <w:pPr>
                    <w:jc w:val="center"/>
                    <w:textAlignment w:val="baseline"/>
                    <w:rPr>
                      <w:rFonts w:hint="default" w:ascii="Times New Roman" w:hAnsi="Times New Roman" w:eastAsia="宋体" w:cs="Times New Roman"/>
                      <w:color w:val="auto"/>
                      <w:spacing w:val="0"/>
                      <w:position w:val="0"/>
                      <w:sz w:val="21"/>
                      <w:szCs w:val="21"/>
                      <w:lang w:val="en-US" w:eastAsia="zh-CN"/>
                    </w:rPr>
                  </w:pPr>
                  <w:r>
                    <w:rPr>
                      <w:rFonts w:hint="default" w:ascii="Times New Roman" w:hAnsi="Times New Roman" w:eastAsia="宋体" w:cs="Times New Roman"/>
                      <w:color w:val="auto"/>
                      <w:spacing w:val="0"/>
                      <w:position w:val="0"/>
                      <w:sz w:val="21"/>
                      <w:szCs w:val="21"/>
                      <w:lang w:val="en-US" w:eastAsia="zh-CN"/>
                    </w:rPr>
                    <w:t>固废暂存处</w:t>
                  </w:r>
                </w:p>
              </w:tc>
              <w:tc>
                <w:tcPr>
                  <w:tcW w:w="1311" w:type="dxa"/>
                  <w:noWrap w:val="0"/>
                  <w:vAlign w:val="center"/>
                </w:tcPr>
                <w:p w14:paraId="132BD646">
                  <w:pPr>
                    <w:jc w:val="center"/>
                    <w:textAlignment w:val="baseline"/>
                    <w:rPr>
                      <w:rFonts w:hint="default" w:ascii="Times New Roman" w:hAnsi="Times New Roman" w:eastAsia="宋体" w:cs="Times New Roman"/>
                      <w:color w:val="auto"/>
                      <w:spacing w:val="0"/>
                      <w:position w:val="0"/>
                      <w:sz w:val="21"/>
                      <w:szCs w:val="21"/>
                      <w:lang w:val="en-US" w:eastAsia="zh-CN"/>
                    </w:rPr>
                  </w:pPr>
                  <w:r>
                    <w:rPr>
                      <w:rFonts w:hint="default" w:ascii="Times New Roman" w:hAnsi="Times New Roman" w:eastAsia="宋体" w:cs="Times New Roman"/>
                      <w:color w:val="auto"/>
                      <w:spacing w:val="0"/>
                      <w:position w:val="0"/>
                      <w:sz w:val="21"/>
                      <w:szCs w:val="21"/>
                      <w:lang w:val="en-US" w:eastAsia="zh-CN"/>
                    </w:rPr>
                    <w:t>2</w:t>
                  </w:r>
                </w:p>
              </w:tc>
              <w:tc>
                <w:tcPr>
                  <w:tcW w:w="1095" w:type="dxa"/>
                  <w:vMerge w:val="continue"/>
                  <w:noWrap w:val="0"/>
                  <w:vAlign w:val="center"/>
                </w:tcPr>
                <w:p w14:paraId="0AF688D1">
                  <w:pPr>
                    <w:jc w:val="center"/>
                    <w:textAlignment w:val="baseline"/>
                    <w:rPr>
                      <w:rFonts w:hint="default" w:ascii="Times New Roman" w:hAnsi="Times New Roman" w:eastAsia="宋体" w:cs="Times New Roman"/>
                      <w:color w:val="auto"/>
                      <w:spacing w:val="0"/>
                      <w:position w:val="0"/>
                      <w:sz w:val="21"/>
                      <w:szCs w:val="21"/>
                    </w:rPr>
                  </w:pPr>
                </w:p>
              </w:tc>
            </w:tr>
            <w:tr w14:paraId="46980D5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620" w:type="dxa"/>
                  <w:noWrap w:val="0"/>
                  <w:vAlign w:val="center"/>
                </w:tcPr>
                <w:p w14:paraId="056BEEDE">
                  <w:pPr>
                    <w:jc w:val="center"/>
                    <w:textAlignment w:val="baseline"/>
                    <w:rPr>
                      <w:rFonts w:hint="default" w:ascii="Times New Roman" w:hAnsi="Times New Roman" w:eastAsia="宋体" w:cs="Times New Roman"/>
                      <w:color w:val="auto"/>
                      <w:spacing w:val="0"/>
                      <w:position w:val="0"/>
                      <w:sz w:val="21"/>
                      <w:szCs w:val="21"/>
                    </w:rPr>
                  </w:pPr>
                  <w:r>
                    <w:rPr>
                      <w:rFonts w:hint="default" w:ascii="Times New Roman" w:hAnsi="Times New Roman" w:eastAsia="宋体" w:cs="Times New Roman"/>
                      <w:color w:val="auto"/>
                      <w:spacing w:val="0"/>
                      <w:position w:val="0"/>
                      <w:sz w:val="21"/>
                      <w:szCs w:val="21"/>
                    </w:rPr>
                    <w:t>4</w:t>
                  </w:r>
                </w:p>
              </w:tc>
              <w:tc>
                <w:tcPr>
                  <w:tcW w:w="1087" w:type="dxa"/>
                  <w:noWrap w:val="0"/>
                  <w:vAlign w:val="center"/>
                </w:tcPr>
                <w:p w14:paraId="6D704D31">
                  <w:pPr>
                    <w:jc w:val="center"/>
                    <w:textAlignment w:val="baseline"/>
                    <w:rPr>
                      <w:rFonts w:hint="default" w:ascii="Times New Roman" w:hAnsi="Times New Roman" w:eastAsia="宋体" w:cs="Times New Roman"/>
                      <w:color w:val="auto"/>
                      <w:spacing w:val="0"/>
                      <w:position w:val="0"/>
                      <w:sz w:val="21"/>
                      <w:szCs w:val="21"/>
                    </w:rPr>
                  </w:pPr>
                  <w:r>
                    <w:rPr>
                      <w:rFonts w:hint="default" w:ascii="Times New Roman" w:hAnsi="Times New Roman" w:eastAsia="宋体" w:cs="Times New Roman"/>
                      <w:color w:val="auto"/>
                      <w:spacing w:val="0"/>
                      <w:position w:val="0"/>
                      <w:sz w:val="21"/>
                      <w:szCs w:val="21"/>
                    </w:rPr>
                    <w:t>废水</w:t>
                  </w:r>
                </w:p>
              </w:tc>
              <w:tc>
                <w:tcPr>
                  <w:tcW w:w="3759" w:type="dxa"/>
                  <w:noWrap w:val="0"/>
                  <w:vAlign w:val="center"/>
                </w:tcPr>
                <w:p w14:paraId="17E38C9C">
                  <w:pPr>
                    <w:jc w:val="center"/>
                    <w:textAlignment w:val="baseline"/>
                    <w:rPr>
                      <w:rFonts w:hint="default" w:ascii="Times New Roman" w:hAnsi="Times New Roman" w:eastAsia="宋体" w:cs="Times New Roman"/>
                      <w:color w:val="auto"/>
                      <w:spacing w:val="0"/>
                      <w:position w:val="0"/>
                      <w:sz w:val="21"/>
                      <w:szCs w:val="21"/>
                      <w:lang w:eastAsia="zh-CN"/>
                    </w:rPr>
                  </w:pPr>
                  <w:r>
                    <w:rPr>
                      <w:rFonts w:hint="default" w:ascii="Times New Roman" w:hAnsi="Times New Roman" w:eastAsia="宋体" w:cs="Times New Roman"/>
                      <w:color w:val="auto"/>
                      <w:spacing w:val="0"/>
                      <w:position w:val="0"/>
                      <w:sz w:val="21"/>
                      <w:szCs w:val="21"/>
                      <w:lang w:val="en-US" w:eastAsia="zh-CN"/>
                    </w:rPr>
                    <w:t>化粪池</w:t>
                  </w:r>
                </w:p>
              </w:tc>
              <w:tc>
                <w:tcPr>
                  <w:tcW w:w="1311" w:type="dxa"/>
                  <w:noWrap w:val="0"/>
                  <w:vAlign w:val="center"/>
                </w:tcPr>
                <w:p w14:paraId="37F3A7CF">
                  <w:pPr>
                    <w:jc w:val="center"/>
                    <w:textAlignment w:val="baseline"/>
                    <w:rPr>
                      <w:rFonts w:hint="default" w:ascii="Times New Roman" w:hAnsi="Times New Roman" w:eastAsia="宋体" w:cs="Times New Roman"/>
                      <w:color w:val="auto"/>
                      <w:spacing w:val="0"/>
                      <w:position w:val="0"/>
                      <w:sz w:val="21"/>
                      <w:szCs w:val="21"/>
                      <w:lang w:val="en-US" w:eastAsia="zh-CN"/>
                    </w:rPr>
                  </w:pPr>
                  <w:r>
                    <w:rPr>
                      <w:rFonts w:hint="default" w:ascii="Times New Roman" w:hAnsi="Times New Roman" w:eastAsia="宋体" w:cs="Times New Roman"/>
                      <w:color w:val="auto"/>
                      <w:spacing w:val="0"/>
                      <w:position w:val="0"/>
                      <w:sz w:val="21"/>
                      <w:szCs w:val="21"/>
                      <w:lang w:val="en-US" w:eastAsia="zh-CN"/>
                    </w:rPr>
                    <w:t>1</w:t>
                  </w:r>
                </w:p>
              </w:tc>
              <w:tc>
                <w:tcPr>
                  <w:tcW w:w="1095" w:type="dxa"/>
                  <w:vMerge w:val="continue"/>
                  <w:noWrap w:val="0"/>
                  <w:vAlign w:val="center"/>
                </w:tcPr>
                <w:p w14:paraId="27F4ACD2">
                  <w:pPr>
                    <w:jc w:val="center"/>
                    <w:textAlignment w:val="baseline"/>
                    <w:rPr>
                      <w:rFonts w:hint="default" w:ascii="Times New Roman" w:hAnsi="Times New Roman" w:eastAsia="宋体" w:cs="Times New Roman"/>
                      <w:color w:val="auto"/>
                      <w:spacing w:val="0"/>
                      <w:position w:val="0"/>
                      <w:sz w:val="21"/>
                      <w:szCs w:val="21"/>
                    </w:rPr>
                  </w:pPr>
                </w:p>
              </w:tc>
            </w:tr>
            <w:tr w14:paraId="6664B5C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620" w:type="dxa"/>
                  <w:noWrap w:val="0"/>
                  <w:vAlign w:val="center"/>
                </w:tcPr>
                <w:p w14:paraId="59D6FF7A">
                  <w:pPr>
                    <w:jc w:val="center"/>
                    <w:textAlignment w:val="baseline"/>
                    <w:rPr>
                      <w:rFonts w:hint="default" w:ascii="Times New Roman" w:hAnsi="Times New Roman" w:eastAsia="宋体" w:cs="Times New Roman"/>
                      <w:color w:val="auto"/>
                      <w:spacing w:val="0"/>
                      <w:position w:val="0"/>
                      <w:sz w:val="21"/>
                      <w:szCs w:val="21"/>
                    </w:rPr>
                  </w:pPr>
                </w:p>
              </w:tc>
              <w:tc>
                <w:tcPr>
                  <w:tcW w:w="1087" w:type="dxa"/>
                  <w:noWrap w:val="0"/>
                  <w:vAlign w:val="center"/>
                </w:tcPr>
                <w:p w14:paraId="6D8D4FAD">
                  <w:pPr>
                    <w:jc w:val="center"/>
                    <w:textAlignment w:val="baseline"/>
                    <w:rPr>
                      <w:rFonts w:hint="default" w:ascii="Times New Roman" w:hAnsi="Times New Roman" w:eastAsia="宋体" w:cs="Times New Roman"/>
                      <w:color w:val="auto"/>
                      <w:spacing w:val="0"/>
                      <w:position w:val="0"/>
                      <w:sz w:val="21"/>
                      <w:szCs w:val="21"/>
                    </w:rPr>
                  </w:pPr>
                  <w:r>
                    <w:rPr>
                      <w:rFonts w:hint="default" w:ascii="Times New Roman" w:hAnsi="Times New Roman" w:eastAsia="宋体" w:cs="Times New Roman"/>
                      <w:color w:val="auto"/>
                      <w:spacing w:val="0"/>
                      <w:position w:val="0"/>
                      <w:sz w:val="21"/>
                      <w:szCs w:val="21"/>
                    </w:rPr>
                    <w:t>合计</w:t>
                  </w:r>
                </w:p>
              </w:tc>
              <w:tc>
                <w:tcPr>
                  <w:tcW w:w="3759" w:type="dxa"/>
                  <w:noWrap w:val="0"/>
                  <w:vAlign w:val="center"/>
                </w:tcPr>
                <w:p w14:paraId="04BA9892">
                  <w:pPr>
                    <w:jc w:val="center"/>
                    <w:textAlignment w:val="baseline"/>
                    <w:rPr>
                      <w:rFonts w:hint="default" w:ascii="Times New Roman" w:hAnsi="Times New Roman" w:eastAsia="宋体" w:cs="Times New Roman"/>
                      <w:color w:val="auto"/>
                      <w:spacing w:val="0"/>
                      <w:position w:val="0"/>
                      <w:sz w:val="21"/>
                      <w:szCs w:val="21"/>
                      <w:lang w:eastAsia="zh-CN"/>
                    </w:rPr>
                  </w:pPr>
                  <w:r>
                    <w:rPr>
                      <w:rFonts w:hint="default" w:ascii="Times New Roman" w:hAnsi="Times New Roman" w:eastAsia="宋体" w:cs="Times New Roman"/>
                      <w:color w:val="auto"/>
                      <w:spacing w:val="0"/>
                      <w:position w:val="0"/>
                      <w:sz w:val="21"/>
                      <w:szCs w:val="21"/>
                      <w:lang w:val="en-US" w:eastAsia="zh-CN"/>
                    </w:rPr>
                    <w:t>-</w:t>
                  </w:r>
                </w:p>
              </w:tc>
              <w:tc>
                <w:tcPr>
                  <w:tcW w:w="1311" w:type="dxa"/>
                  <w:noWrap w:val="0"/>
                  <w:vAlign w:val="center"/>
                </w:tcPr>
                <w:p w14:paraId="3B3BBE8F">
                  <w:pPr>
                    <w:jc w:val="center"/>
                    <w:textAlignment w:val="baseline"/>
                    <w:rPr>
                      <w:rFonts w:hint="default" w:ascii="Times New Roman" w:hAnsi="Times New Roman" w:eastAsia="宋体" w:cs="Times New Roman"/>
                      <w:color w:val="auto"/>
                      <w:spacing w:val="0"/>
                      <w:position w:val="0"/>
                      <w:sz w:val="21"/>
                      <w:szCs w:val="21"/>
                      <w:lang w:val="en-US" w:eastAsia="zh-CN"/>
                    </w:rPr>
                  </w:pPr>
                  <w:r>
                    <w:rPr>
                      <w:rFonts w:hint="default" w:ascii="Times New Roman" w:hAnsi="Times New Roman" w:eastAsia="宋体" w:cs="Times New Roman"/>
                      <w:color w:val="auto"/>
                      <w:spacing w:val="0"/>
                      <w:position w:val="0"/>
                      <w:sz w:val="21"/>
                      <w:szCs w:val="21"/>
                      <w:lang w:val="en-US" w:eastAsia="zh-CN"/>
                    </w:rPr>
                    <w:t>10</w:t>
                  </w:r>
                </w:p>
              </w:tc>
              <w:tc>
                <w:tcPr>
                  <w:tcW w:w="1095" w:type="dxa"/>
                  <w:vMerge w:val="continue"/>
                  <w:noWrap w:val="0"/>
                  <w:vAlign w:val="center"/>
                </w:tcPr>
                <w:p w14:paraId="11B3F1B3">
                  <w:pPr>
                    <w:jc w:val="center"/>
                    <w:textAlignment w:val="baseline"/>
                    <w:rPr>
                      <w:rFonts w:hint="default" w:ascii="Times New Roman" w:hAnsi="Times New Roman" w:eastAsia="宋体" w:cs="Times New Roman"/>
                      <w:color w:val="auto"/>
                      <w:spacing w:val="0"/>
                      <w:position w:val="0"/>
                      <w:sz w:val="21"/>
                      <w:szCs w:val="21"/>
                    </w:rPr>
                  </w:pPr>
                </w:p>
              </w:tc>
            </w:tr>
          </w:tbl>
          <w:p w14:paraId="3B1DEDD7">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bCs/>
                <w:color w:val="auto"/>
                <w:sz w:val="21"/>
                <w:szCs w:val="21"/>
              </w:rPr>
            </w:pPr>
          </w:p>
        </w:tc>
      </w:tr>
      <w:tr w14:paraId="1507E9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4" w:type="dxa"/>
          </w:tcPr>
          <w:p w14:paraId="3AF706C1">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vertAlign w:val="baseline"/>
              </w:rPr>
              <w:t>工艺流程和产排污环节</w:t>
            </w:r>
          </w:p>
        </w:tc>
        <w:tc>
          <w:tcPr>
            <w:tcW w:w="7838" w:type="dxa"/>
          </w:tcPr>
          <w:p w14:paraId="2F1EE729">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22" w:firstLineChars="200"/>
              <w:textAlignment w:val="auto"/>
              <w:rPr>
                <w:rFonts w:hint="default" w:ascii="Times New Roman" w:hAnsi="Times New Roman" w:eastAsia="宋体" w:cs="Times New Roman"/>
                <w:b/>
                <w:bCs/>
                <w:snapToGrid w:val="0"/>
                <w:color w:val="auto"/>
                <w:kern w:val="0"/>
                <w:sz w:val="21"/>
                <w:szCs w:val="21"/>
              </w:rPr>
            </w:pPr>
            <w:r>
              <w:rPr>
                <w:rFonts w:hint="default" w:ascii="Times New Roman" w:hAnsi="Times New Roman" w:eastAsia="宋体" w:cs="Times New Roman"/>
                <w:b/>
                <w:bCs/>
                <w:snapToGrid w:val="0"/>
                <w:color w:val="auto"/>
                <w:kern w:val="0"/>
                <w:sz w:val="21"/>
                <w:szCs w:val="21"/>
                <w:lang w:val="en-US" w:eastAsia="zh-CN" w:bidi="ar-SA"/>
              </w:rPr>
              <w:t>一、</w:t>
            </w:r>
            <w:r>
              <w:rPr>
                <w:rFonts w:hint="default" w:ascii="Times New Roman" w:hAnsi="Times New Roman" w:eastAsia="宋体" w:cs="Times New Roman"/>
                <w:b/>
                <w:bCs/>
                <w:snapToGrid w:val="0"/>
                <w:color w:val="auto"/>
                <w:kern w:val="0"/>
                <w:sz w:val="21"/>
                <w:szCs w:val="21"/>
                <w:lang w:val="en-US" w:eastAsia="zh-CN"/>
              </w:rPr>
              <w:t>施工期</w:t>
            </w:r>
          </w:p>
          <w:p w14:paraId="3ACEB931">
            <w:pPr>
              <w:keepNext w:val="0"/>
              <w:keepLines w:val="0"/>
              <w:pageBreakBefore w:val="0"/>
              <w:widowControl/>
              <w:kinsoku/>
              <w:wordWrap/>
              <w:overflowPunct/>
              <w:topLinePunct w:val="0"/>
              <w:autoSpaceDE w:val="0"/>
              <w:autoSpaceDN w:val="0"/>
              <w:bidi w:val="0"/>
              <w:adjustRightInd w:val="0"/>
              <w:snapToGrid w:val="0"/>
              <w:spacing w:line="360" w:lineRule="auto"/>
              <w:ind w:firstLine="420" w:firstLineChars="200"/>
              <w:textAlignment w:val="baseline"/>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本工程施工期主要为生产车间建设及设备安装，施工期的工艺流程及产污情况图示如下：</w:t>
            </w:r>
          </w:p>
          <w:p w14:paraId="10DF245C">
            <w:pPr>
              <w:pStyle w:val="8"/>
              <w:pageBreakBefore w:val="0"/>
              <w:widowControl w:val="0"/>
              <w:kinsoku/>
              <w:wordWrap/>
              <w:overflowPunct/>
              <w:bidi w:val="0"/>
              <w:spacing w:line="360" w:lineRule="auto"/>
              <w:ind w:left="0" w:leftChars="0" w:firstLine="0" w:firstLineChars="0"/>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rPr>
              <mc:AlternateContent>
                <mc:Choice Requires="wps">
                  <w:drawing>
                    <wp:anchor distT="0" distB="0" distL="114300" distR="114300" simplePos="0" relativeHeight="251659264" behindDoc="0" locked="0" layoutInCell="1" allowOverlap="1">
                      <wp:simplePos x="0" y="0"/>
                      <wp:positionH relativeFrom="column">
                        <wp:posOffset>3188970</wp:posOffset>
                      </wp:positionH>
                      <wp:positionV relativeFrom="paragraph">
                        <wp:posOffset>290195</wp:posOffset>
                      </wp:positionV>
                      <wp:extent cx="1132840" cy="304800"/>
                      <wp:effectExtent l="4445" t="4445" r="5715" b="14605"/>
                      <wp:wrapNone/>
                      <wp:docPr id="3" name="文本框 3"/>
                      <wp:cNvGraphicFramePr/>
                      <a:graphic xmlns:a="http://schemas.openxmlformats.org/drawingml/2006/main">
                        <a:graphicData uri="http://schemas.microsoft.com/office/word/2010/wordprocessingShape">
                          <wps:wsp>
                            <wps:cNvSpPr txBox="1"/>
                            <wps:spPr>
                              <a:xfrm>
                                <a:off x="4661535" y="1258570"/>
                                <a:ext cx="1132840" cy="304800"/>
                              </a:xfrm>
                              <a:prstGeom prst="rect">
                                <a:avLst/>
                              </a:prstGeom>
                              <a:solidFill>
                                <a:schemeClr val="lt1"/>
                              </a:solidFill>
                              <a:ln w="6350">
                                <a:solidFill>
                                  <a:prstClr val="black"/>
                                </a:solidFill>
                                <a:prstDash val="lgDash"/>
                              </a:ln>
                            </wps:spPr>
                            <wps:style>
                              <a:lnRef idx="0">
                                <a:schemeClr val="accent1"/>
                              </a:lnRef>
                              <a:fillRef idx="0">
                                <a:schemeClr val="accent1"/>
                              </a:fillRef>
                              <a:effectRef idx="0">
                                <a:schemeClr val="accent1"/>
                              </a:effectRef>
                              <a:fontRef idx="minor">
                                <a:schemeClr val="dk1"/>
                              </a:fontRef>
                            </wps:style>
                            <wps:txbx>
                              <w:txbxContent>
                                <w:p w14:paraId="5F27FF6F">
                                  <w:pPr>
                                    <w:ind w:left="0" w:leftChars="0" w:right="0" w:rightChars="0" w:firstLine="0" w:firstLineChars="0"/>
                                    <w:jc w:val="center"/>
                                    <w:rPr>
                                      <w:sz w:val="16"/>
                                      <w:szCs w:val="20"/>
                                    </w:rPr>
                                  </w:pPr>
                                  <w:r>
                                    <w:rPr>
                                      <w:rFonts w:hint="eastAsia"/>
                                      <w:sz w:val="16"/>
                                      <w:szCs w:val="20"/>
                                    </w:rPr>
                                    <w:t>环卫部门定期清运</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1.1pt;margin-top:22.85pt;height:24pt;width:89.2pt;z-index:251659264;mso-width-relative:page;mso-height-relative:page;" fillcolor="#FFFFFF [3201]" filled="t" stroked="t" coordsize="21600,21600" o:gfxdata="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xzLYVNcAAAAJAQAADwAAAAAAAAABACAAAAAiAAAAZHJzL2Rvd25yZXYu&#10;eG1sUEsBAhQAFAAAAAgAh07iQKMW0cRuAgAA3QQAAA4AAAAAAAAAAQAgAAAAJgEAAGRycy9lMm9E&#10;b2MueG1sUEsFBgAAAAAGAAYAWQEAAAYGAAAAAA==&#10;">
                      <v:fill on="t" focussize="0,0"/>
                      <v:stroke weight="0.5pt" color="#000000 [3204]" joinstyle="round" dashstyle="longDash"/>
                      <v:imagedata o:title=""/>
                      <o:lock v:ext="edit" aspectratio="f"/>
                      <v:textbox>
                        <w:txbxContent>
                          <w:p w14:paraId="5F27FF6F">
                            <w:pPr>
                              <w:ind w:left="0" w:leftChars="0" w:right="0" w:rightChars="0" w:firstLine="0" w:firstLineChars="0"/>
                              <w:jc w:val="center"/>
                              <w:rPr>
                                <w:sz w:val="16"/>
                                <w:szCs w:val="20"/>
                              </w:rPr>
                            </w:pPr>
                            <w:r>
                              <w:rPr>
                                <w:rFonts w:hint="eastAsia"/>
                                <w:sz w:val="16"/>
                                <w:szCs w:val="20"/>
                              </w:rPr>
                              <w:t>环卫部门定期清运</w:t>
                            </w:r>
                          </w:p>
                        </w:txbxContent>
                      </v:textbox>
                    </v:shape>
                  </w:pict>
                </mc:Fallback>
              </mc:AlternateContent>
            </w:r>
            <w:r>
              <w:rPr>
                <w:rFonts w:hint="default" w:ascii="Times New Roman" w:hAnsi="Times New Roman" w:eastAsia="宋体" w:cs="Times New Roman"/>
                <w:color w:val="auto"/>
                <w:sz w:val="21"/>
                <w:szCs w:val="21"/>
                <w:lang w:eastAsia="zh-CN"/>
              </w:rPr>
              <w:drawing>
                <wp:inline distT="0" distB="0" distL="114300" distR="114300">
                  <wp:extent cx="4819650" cy="3648075"/>
                  <wp:effectExtent l="0" t="0" r="0" b="9525"/>
                  <wp:docPr id="25" name="图片 25" descr="16605529822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1660552982200(1)"/>
                          <pic:cNvPicPr>
                            <a:picLocks noChangeAspect="1"/>
                          </pic:cNvPicPr>
                        </pic:nvPicPr>
                        <pic:blipFill>
                          <a:blip r:embed="rId16"/>
                          <a:stretch>
                            <a:fillRect/>
                          </a:stretch>
                        </pic:blipFill>
                        <pic:spPr>
                          <a:xfrm>
                            <a:off x="0" y="0"/>
                            <a:ext cx="4819650" cy="3648075"/>
                          </a:xfrm>
                          <a:prstGeom prst="rect">
                            <a:avLst/>
                          </a:prstGeom>
                        </pic:spPr>
                      </pic:pic>
                    </a:graphicData>
                  </a:graphic>
                </wp:inline>
              </w:drawing>
            </w:r>
          </w:p>
          <w:p w14:paraId="30950D21">
            <w:pPr>
              <w:keepNext w:val="0"/>
              <w:keepLines w:val="0"/>
              <w:pageBreakBefore w:val="0"/>
              <w:widowControl/>
              <w:kinsoku/>
              <w:wordWrap/>
              <w:overflowPunct/>
              <w:topLinePunct w:val="0"/>
              <w:autoSpaceDE w:val="0"/>
              <w:autoSpaceDN w:val="0"/>
              <w:bidi w:val="0"/>
              <w:adjustRightInd w:val="0"/>
              <w:snapToGrid w:val="0"/>
              <w:spacing w:line="360" w:lineRule="auto"/>
              <w:ind w:firstLine="422" w:firstLineChars="200"/>
              <w:jc w:val="center"/>
              <w:textAlignment w:val="baseline"/>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kern w:val="2"/>
                <w:sz w:val="21"/>
                <w:szCs w:val="21"/>
                <w:lang w:val="en-US" w:eastAsia="zh-CN" w:bidi="ar-SA"/>
              </w:rPr>
              <w:t>图2-3 施工期的工艺流程及产污情况图</w:t>
            </w:r>
          </w:p>
          <w:p w14:paraId="09DFDD1C">
            <w:pPr>
              <w:keepNext w:val="0"/>
              <w:keepLines w:val="0"/>
              <w:pageBreakBefore w:val="0"/>
              <w:widowControl/>
              <w:kinsoku w:val="0"/>
              <w:wordWrap/>
              <w:overflowPunct/>
              <w:topLinePunct w:val="0"/>
              <w:autoSpaceDE w:val="0"/>
              <w:autoSpaceDN w:val="0"/>
              <w:bidi w:val="0"/>
              <w:adjustRightInd w:val="0"/>
              <w:snapToGrid w:val="0"/>
              <w:spacing w:line="360" w:lineRule="auto"/>
              <w:ind w:firstLine="420" w:firstLineChars="200"/>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施工期产污情况：</w:t>
            </w:r>
          </w:p>
          <w:p w14:paraId="432917C5">
            <w:pPr>
              <w:keepNext w:val="0"/>
              <w:keepLines w:val="0"/>
              <w:pageBreakBefore w:val="0"/>
              <w:widowControl/>
              <w:kinsoku w:val="0"/>
              <w:wordWrap/>
              <w:overflowPunct/>
              <w:topLinePunct w:val="0"/>
              <w:autoSpaceDE w:val="0"/>
              <w:autoSpaceDN w:val="0"/>
              <w:bidi w:val="0"/>
              <w:adjustRightInd w:val="0"/>
              <w:snapToGrid w:val="0"/>
              <w:spacing w:line="360" w:lineRule="auto"/>
              <w:ind w:left="0" w:leftChars="0" w:firstLine="420" w:firstLineChars="200"/>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1、扬尘</w:t>
            </w:r>
          </w:p>
          <w:p w14:paraId="6853624D">
            <w:pPr>
              <w:keepNext w:val="0"/>
              <w:keepLines w:val="0"/>
              <w:pageBreakBefore w:val="0"/>
              <w:widowControl/>
              <w:kinsoku w:val="0"/>
              <w:wordWrap/>
              <w:overflowPunct/>
              <w:topLinePunct w:val="0"/>
              <w:autoSpaceDE w:val="0"/>
              <w:autoSpaceDN w:val="0"/>
              <w:bidi w:val="0"/>
              <w:adjustRightInd w:val="0"/>
              <w:snapToGrid w:val="0"/>
              <w:spacing w:line="360" w:lineRule="auto"/>
              <w:ind w:left="0" w:leftChars="0" w:firstLine="420" w:firstLineChars="200"/>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项目施工期废气主要为</w:t>
            </w:r>
            <w:r>
              <w:rPr>
                <w:rFonts w:hint="default" w:ascii="Times New Roman" w:hAnsi="Times New Roman" w:eastAsia="宋体" w:cs="Times New Roman"/>
                <w:color w:val="auto"/>
                <w:sz w:val="21"/>
                <w:szCs w:val="21"/>
                <w:lang w:val="en-US" w:eastAsia="zh-CN"/>
              </w:rPr>
              <w:t>土方工程和</w:t>
            </w:r>
            <w:r>
              <w:rPr>
                <w:rFonts w:hint="default" w:ascii="Times New Roman" w:hAnsi="Times New Roman" w:eastAsia="宋体" w:cs="Times New Roman"/>
                <w:color w:val="auto"/>
                <w:sz w:val="21"/>
                <w:szCs w:val="21"/>
              </w:rPr>
              <w:t>设备安装时产生的扬尘，产生的途径主要为车辆运输、管沟开挖、土方清运、车辆装卸堆放等</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扬尘产生量较少，通过施工时对施工区域进行定期洒水，降低扬尘产生量。</w:t>
            </w:r>
          </w:p>
          <w:p w14:paraId="2E9BBC02">
            <w:pPr>
              <w:keepNext w:val="0"/>
              <w:keepLines w:val="0"/>
              <w:pageBreakBefore w:val="0"/>
              <w:widowControl/>
              <w:kinsoku w:val="0"/>
              <w:wordWrap/>
              <w:overflowPunct/>
              <w:topLinePunct w:val="0"/>
              <w:autoSpaceDE w:val="0"/>
              <w:autoSpaceDN w:val="0"/>
              <w:bidi w:val="0"/>
              <w:adjustRightInd w:val="0"/>
              <w:snapToGrid w:val="0"/>
              <w:spacing w:line="360" w:lineRule="auto"/>
              <w:ind w:left="0" w:leftChars="0" w:firstLine="420" w:firstLineChars="200"/>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2、废水</w:t>
            </w:r>
          </w:p>
          <w:p w14:paraId="0FA551D1">
            <w:pPr>
              <w:keepNext w:val="0"/>
              <w:keepLines w:val="0"/>
              <w:pageBreakBefore w:val="0"/>
              <w:widowControl/>
              <w:kinsoku w:val="0"/>
              <w:wordWrap/>
              <w:overflowPunct/>
              <w:topLinePunct w:val="0"/>
              <w:autoSpaceDE w:val="0"/>
              <w:autoSpaceDN w:val="0"/>
              <w:bidi w:val="0"/>
              <w:adjustRightInd w:val="0"/>
              <w:snapToGrid w:val="0"/>
              <w:spacing w:line="360" w:lineRule="auto"/>
              <w:ind w:left="0" w:leftChars="0" w:firstLine="420" w:firstLineChars="200"/>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项目施工期废水主要为施工人员生活废水</w:t>
            </w:r>
            <w:r>
              <w:rPr>
                <w:rFonts w:hint="default" w:ascii="Times New Roman" w:hAnsi="Times New Roman" w:eastAsia="宋体" w:cs="Times New Roman"/>
                <w:color w:val="auto"/>
                <w:sz w:val="21"/>
                <w:szCs w:val="21"/>
                <w:lang w:val="en-US" w:eastAsia="zh-CN"/>
              </w:rPr>
              <w:t>，经化粪池暂存后由环卫部门定期清运</w:t>
            </w:r>
            <w:r>
              <w:rPr>
                <w:rFonts w:hint="default" w:ascii="Times New Roman" w:hAnsi="Times New Roman" w:eastAsia="宋体" w:cs="Times New Roman"/>
                <w:color w:val="auto"/>
                <w:sz w:val="21"/>
                <w:szCs w:val="21"/>
              </w:rPr>
              <w:t>。</w:t>
            </w:r>
          </w:p>
          <w:p w14:paraId="70EEA75C">
            <w:pPr>
              <w:keepNext w:val="0"/>
              <w:keepLines w:val="0"/>
              <w:pageBreakBefore w:val="0"/>
              <w:widowControl/>
              <w:kinsoku w:val="0"/>
              <w:wordWrap/>
              <w:overflowPunct/>
              <w:topLinePunct w:val="0"/>
              <w:autoSpaceDE w:val="0"/>
              <w:autoSpaceDN w:val="0"/>
              <w:bidi w:val="0"/>
              <w:adjustRightInd w:val="0"/>
              <w:snapToGrid w:val="0"/>
              <w:spacing w:line="360" w:lineRule="auto"/>
              <w:ind w:left="0" w:leftChars="0" w:firstLine="420" w:firstLineChars="200"/>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3、噪声</w:t>
            </w:r>
          </w:p>
          <w:p w14:paraId="447C6A4D">
            <w:pPr>
              <w:keepNext w:val="0"/>
              <w:keepLines w:val="0"/>
              <w:pageBreakBefore w:val="0"/>
              <w:widowControl/>
              <w:kinsoku w:val="0"/>
              <w:wordWrap/>
              <w:overflowPunct/>
              <w:topLinePunct w:val="0"/>
              <w:autoSpaceDE w:val="0"/>
              <w:autoSpaceDN w:val="0"/>
              <w:bidi w:val="0"/>
              <w:adjustRightInd w:val="0"/>
              <w:snapToGrid w:val="0"/>
              <w:spacing w:line="360" w:lineRule="auto"/>
              <w:ind w:left="0" w:leftChars="0" w:firstLine="420" w:firstLineChars="200"/>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项目施工期噪声主要为</w:t>
            </w:r>
            <w:r>
              <w:rPr>
                <w:rFonts w:hint="default" w:ascii="Times New Roman" w:hAnsi="Times New Roman" w:eastAsia="宋体" w:cs="Times New Roman"/>
                <w:color w:val="auto"/>
                <w:sz w:val="21"/>
                <w:szCs w:val="21"/>
                <w:lang w:val="en-US" w:eastAsia="zh-CN"/>
              </w:rPr>
              <w:t>施工设备施工和</w:t>
            </w:r>
            <w:r>
              <w:rPr>
                <w:rFonts w:hint="default" w:ascii="Times New Roman" w:hAnsi="Times New Roman" w:eastAsia="宋体" w:cs="Times New Roman"/>
                <w:color w:val="auto"/>
                <w:sz w:val="21"/>
                <w:szCs w:val="21"/>
              </w:rPr>
              <w:t>设备安装时产生的噪声。施工期</w:t>
            </w:r>
            <w:r>
              <w:rPr>
                <w:rFonts w:hint="default" w:ascii="Times New Roman" w:hAnsi="Times New Roman" w:eastAsia="宋体" w:cs="Times New Roman"/>
                <w:color w:val="auto"/>
                <w:sz w:val="21"/>
                <w:szCs w:val="21"/>
                <w:lang w:val="en-US" w:eastAsia="zh-CN"/>
              </w:rPr>
              <w:t>土建工程</w:t>
            </w:r>
            <w:r>
              <w:rPr>
                <w:rFonts w:hint="default" w:ascii="Times New Roman" w:hAnsi="Times New Roman" w:eastAsia="宋体" w:cs="Times New Roman"/>
                <w:color w:val="auto"/>
                <w:sz w:val="21"/>
                <w:szCs w:val="21"/>
              </w:rPr>
              <w:t>主要噪声源为挖掘机、推土机等施工机械运转产生的设备噪声和车辆运输产</w:t>
            </w:r>
            <w:r>
              <w:rPr>
                <w:rFonts w:hint="default" w:ascii="Times New Roman" w:hAnsi="Times New Roman" w:eastAsia="宋体" w:cs="Times New Roman"/>
                <w:color w:val="auto"/>
                <w:sz w:val="21"/>
                <w:szCs w:val="21"/>
                <w:lang w:eastAsia="zh-CN"/>
              </w:rPr>
              <w:t>生的</w:t>
            </w:r>
            <w:r>
              <w:rPr>
                <w:rFonts w:hint="default" w:ascii="Times New Roman" w:hAnsi="Times New Roman" w:eastAsia="宋体" w:cs="Times New Roman"/>
                <w:color w:val="auto"/>
                <w:sz w:val="21"/>
                <w:szCs w:val="21"/>
              </w:rPr>
              <w:t>交通噪声等</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val="en-US" w:eastAsia="zh-CN"/>
              </w:rPr>
              <w:t>安装工程</w:t>
            </w:r>
            <w:r>
              <w:rPr>
                <w:rFonts w:hint="default" w:ascii="Times New Roman" w:hAnsi="Times New Roman" w:eastAsia="宋体" w:cs="Times New Roman"/>
                <w:color w:val="auto"/>
                <w:sz w:val="21"/>
                <w:szCs w:val="21"/>
              </w:rPr>
              <w:t>仅昼间对设备进行安装，安装时关闭车间门窗，通过车间隔声减振并通过距离衰减降低噪声，施工期厂界噪声能够满足《</w:t>
            </w:r>
            <w:r>
              <w:rPr>
                <w:rFonts w:hint="default" w:ascii="Times New Roman" w:hAnsi="Times New Roman" w:eastAsia="宋体" w:cs="Times New Roman"/>
                <w:color w:val="auto"/>
                <w:sz w:val="21"/>
                <w:szCs w:val="21"/>
                <w:lang w:val="en-US" w:eastAsia="zh-CN"/>
              </w:rPr>
              <w:t>建筑</w:t>
            </w:r>
            <w:r>
              <w:rPr>
                <w:rFonts w:hint="default" w:ascii="Times New Roman" w:hAnsi="Times New Roman" w:eastAsia="宋体" w:cs="Times New Roman"/>
                <w:color w:val="auto"/>
                <w:sz w:val="21"/>
                <w:szCs w:val="21"/>
              </w:rPr>
              <w:t>施工</w:t>
            </w:r>
            <w:r>
              <w:rPr>
                <w:rFonts w:hint="default" w:ascii="Times New Roman" w:hAnsi="Times New Roman" w:eastAsia="宋体" w:cs="Times New Roman"/>
                <w:color w:val="auto"/>
                <w:sz w:val="21"/>
                <w:szCs w:val="21"/>
                <w:lang w:val="en-US" w:eastAsia="zh-CN"/>
              </w:rPr>
              <w:t>场界</w:t>
            </w:r>
            <w:r>
              <w:rPr>
                <w:rFonts w:hint="default" w:ascii="Times New Roman" w:hAnsi="Times New Roman" w:eastAsia="宋体" w:cs="Times New Roman"/>
                <w:color w:val="auto"/>
                <w:sz w:val="21"/>
                <w:szCs w:val="21"/>
              </w:rPr>
              <w:t>环境噪声排放标准》（GB12523－2011）昼间70dB(A)。</w:t>
            </w:r>
          </w:p>
          <w:p w14:paraId="1D5B6D3E">
            <w:pPr>
              <w:keepNext w:val="0"/>
              <w:keepLines w:val="0"/>
              <w:pageBreakBefore w:val="0"/>
              <w:widowControl/>
              <w:kinsoku w:val="0"/>
              <w:wordWrap/>
              <w:overflowPunct/>
              <w:topLinePunct w:val="0"/>
              <w:autoSpaceDE w:val="0"/>
              <w:autoSpaceDN w:val="0"/>
              <w:bidi w:val="0"/>
              <w:adjustRightInd w:val="0"/>
              <w:snapToGrid w:val="0"/>
              <w:spacing w:line="360" w:lineRule="auto"/>
              <w:ind w:left="0" w:leftChars="0" w:firstLine="420" w:firstLineChars="200"/>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4、固废</w:t>
            </w:r>
          </w:p>
          <w:p w14:paraId="14918337">
            <w:pPr>
              <w:keepNext w:val="0"/>
              <w:keepLines w:val="0"/>
              <w:pageBreakBefore w:val="0"/>
              <w:widowControl/>
              <w:kinsoku w:val="0"/>
              <w:wordWrap/>
              <w:overflowPunct/>
              <w:topLinePunct w:val="0"/>
              <w:autoSpaceDE w:val="0"/>
              <w:autoSpaceDN w:val="0"/>
              <w:bidi w:val="0"/>
              <w:adjustRightInd w:val="0"/>
              <w:snapToGrid w:val="0"/>
              <w:spacing w:line="360" w:lineRule="auto"/>
              <w:ind w:left="0" w:leftChars="0" w:firstLine="420" w:firstLineChars="200"/>
              <w:textAlignment w:val="baseline"/>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项目施工期固废主要为施工人员生活垃圾和设备安装产生的废包装物。产生的生活垃圾和设备安装产生的废包装物经收集，由环卫部门定期清运</w:t>
            </w:r>
            <w:r>
              <w:rPr>
                <w:rFonts w:hint="default" w:ascii="Times New Roman" w:hAnsi="Times New Roman" w:eastAsia="宋体" w:cs="Times New Roman"/>
                <w:color w:val="auto"/>
                <w:sz w:val="21"/>
                <w:szCs w:val="21"/>
                <w:lang w:eastAsia="zh-CN"/>
              </w:rPr>
              <w:t>。</w:t>
            </w:r>
          </w:p>
          <w:p w14:paraId="30613157">
            <w:pPr>
              <w:pStyle w:val="8"/>
              <w:keepNext w:val="0"/>
              <w:keepLines w:val="0"/>
              <w:pageBreakBefore w:val="0"/>
              <w:widowControl w:val="0"/>
              <w:kinsoku/>
              <w:wordWrap/>
              <w:overflowPunct/>
              <w:topLinePunct w:val="0"/>
              <w:autoSpaceDE w:val="0"/>
              <w:autoSpaceDN w:val="0"/>
              <w:bidi w:val="0"/>
              <w:adjustRightInd w:val="0"/>
              <w:snapToGrid w:val="0"/>
              <w:spacing w:after="0" w:line="360" w:lineRule="auto"/>
              <w:ind w:left="0" w:leftChars="0" w:firstLine="422" w:firstLineChars="200"/>
              <w:textAlignment w:val="baseline"/>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二、运营期</w:t>
            </w:r>
          </w:p>
          <w:p w14:paraId="34AC5B44">
            <w:pPr>
              <w:keepNext w:val="0"/>
              <w:keepLines w:val="0"/>
              <w:pageBreakBefore w:val="0"/>
              <w:widowControl w:val="0"/>
              <w:kinsoku/>
              <w:wordWrap/>
              <w:overflowPunct/>
              <w:topLinePunct w:val="0"/>
              <w:autoSpaceDE w:val="0"/>
              <w:autoSpaceDN w:val="0"/>
              <w:bidi w:val="0"/>
              <w:adjustRightInd w:val="0"/>
              <w:snapToGrid w:val="0"/>
              <w:spacing w:line="360" w:lineRule="auto"/>
              <w:ind w:left="0" w:leftChars="0" w:firstLine="420" w:firstLineChars="200"/>
              <w:textAlignment w:val="baseline"/>
              <w:rPr>
                <w:rFonts w:hint="default" w:ascii="Times New Roman" w:hAnsi="Times New Roman" w:eastAsia="宋体" w:cs="Times New Roman"/>
                <w:color w:val="auto"/>
                <w:sz w:val="21"/>
                <w:szCs w:val="21"/>
                <w:vertAlign w:val="baseline"/>
                <w:lang w:eastAsia="zh-CN"/>
              </w:rPr>
            </w:pPr>
            <w:r>
              <w:rPr>
                <w:rFonts w:hint="default" w:ascii="Times New Roman" w:hAnsi="Times New Roman" w:eastAsia="宋体" w:cs="Times New Roman"/>
                <w:color w:val="auto"/>
                <w:sz w:val="21"/>
                <w:szCs w:val="21"/>
                <w:vertAlign w:val="baseline"/>
                <w:lang w:val="en-US" w:eastAsia="zh-CN"/>
              </w:rPr>
              <w:t>1、</w:t>
            </w:r>
            <w:r>
              <w:rPr>
                <w:rFonts w:hint="default" w:ascii="Times New Roman" w:hAnsi="Times New Roman" w:eastAsia="宋体" w:cs="Times New Roman"/>
                <w:color w:val="auto"/>
                <w:sz w:val="21"/>
                <w:szCs w:val="21"/>
                <w:vertAlign w:val="baseline"/>
                <w:lang w:eastAsia="zh-CN"/>
              </w:rPr>
              <w:t>主要生产工艺</w:t>
            </w:r>
          </w:p>
          <w:p w14:paraId="0C8B5E14">
            <w:pPr>
              <w:pStyle w:val="8"/>
              <w:keepNext w:val="0"/>
              <w:keepLines w:val="0"/>
              <w:pageBreakBefore w:val="0"/>
              <w:widowControl w:val="0"/>
              <w:kinsoku/>
              <w:wordWrap/>
              <w:overflowPunct/>
              <w:topLinePunct w:val="0"/>
              <w:autoSpaceDE w:val="0"/>
              <w:autoSpaceDN w:val="0"/>
              <w:bidi w:val="0"/>
              <w:adjustRightInd w:val="0"/>
              <w:snapToGrid w:val="0"/>
              <w:spacing w:after="0" w:line="360" w:lineRule="auto"/>
              <w:ind w:left="0" w:leftChars="0" w:right="0" w:rightChars="0" w:firstLine="0" w:firstLineChars="0"/>
              <w:jc w:val="center"/>
              <w:textAlignment w:val="baseline"/>
              <w:rPr>
                <w:rFonts w:hint="default" w:ascii="Times New Roman" w:hAnsi="Times New Roman" w:eastAsia="宋体" w:cs="Times New Roman"/>
                <w:color w:val="auto"/>
                <w:sz w:val="21"/>
                <w:szCs w:val="21"/>
                <w:vertAlign w:val="baseline"/>
                <w:lang w:eastAsia="zh-CN"/>
              </w:rPr>
            </w:pPr>
            <w:r>
              <w:rPr>
                <w:rFonts w:hint="default" w:ascii="Times New Roman" w:hAnsi="Times New Roman" w:eastAsia="宋体" w:cs="Times New Roman"/>
                <w:color w:val="auto"/>
              </w:rPr>
              <w:drawing>
                <wp:inline distT="0" distB="0" distL="114300" distR="114300">
                  <wp:extent cx="5019040" cy="2806065"/>
                  <wp:effectExtent l="0" t="0" r="10160" b="13335"/>
                  <wp:docPr id="3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7"/>
                          <pic:cNvPicPr>
                            <a:picLocks noChangeAspect="1"/>
                          </pic:cNvPicPr>
                        </pic:nvPicPr>
                        <pic:blipFill>
                          <a:blip r:embed="rId17"/>
                          <a:stretch>
                            <a:fillRect/>
                          </a:stretch>
                        </pic:blipFill>
                        <pic:spPr>
                          <a:xfrm>
                            <a:off x="0" y="0"/>
                            <a:ext cx="5019040" cy="2806065"/>
                          </a:xfrm>
                          <a:prstGeom prst="rect">
                            <a:avLst/>
                          </a:prstGeom>
                          <a:noFill/>
                          <a:ln>
                            <a:noFill/>
                          </a:ln>
                        </pic:spPr>
                      </pic:pic>
                    </a:graphicData>
                  </a:graphic>
                </wp:inline>
              </w:drawing>
            </w:r>
          </w:p>
          <w:p w14:paraId="244359BB">
            <w:pPr>
              <w:keepNext w:val="0"/>
              <w:keepLines w:val="0"/>
              <w:pageBreakBefore w:val="0"/>
              <w:widowControl w:val="0"/>
              <w:kinsoku/>
              <w:wordWrap/>
              <w:overflowPunct/>
              <w:topLinePunct w:val="0"/>
              <w:autoSpaceDE w:val="0"/>
              <w:autoSpaceDN w:val="0"/>
              <w:bidi w:val="0"/>
              <w:adjustRightInd w:val="0"/>
              <w:snapToGrid w:val="0"/>
              <w:spacing w:line="360" w:lineRule="auto"/>
              <w:ind w:left="0" w:leftChars="0" w:right="0" w:rightChars="0" w:firstLine="0" w:firstLineChars="0"/>
              <w:jc w:val="center"/>
              <w:textAlignment w:val="baseline"/>
              <w:rPr>
                <w:rFonts w:hint="default" w:ascii="Times New Roman" w:hAnsi="Times New Roman" w:eastAsia="宋体" w:cs="Times New Roman"/>
                <w:b/>
                <w:bCs/>
                <w:color w:val="auto"/>
                <w:sz w:val="21"/>
                <w:szCs w:val="21"/>
                <w:lang w:eastAsia="zh-CN"/>
              </w:rPr>
            </w:pPr>
            <w:r>
              <w:rPr>
                <w:rFonts w:hint="default" w:ascii="Times New Roman" w:hAnsi="Times New Roman" w:eastAsia="宋体" w:cs="Times New Roman"/>
                <w:b/>
                <w:bCs/>
                <w:color w:val="auto"/>
                <w:sz w:val="21"/>
                <w:szCs w:val="21"/>
                <w:lang w:eastAsia="zh-CN"/>
              </w:rPr>
              <w:t>图2-</w:t>
            </w:r>
            <w:r>
              <w:rPr>
                <w:rFonts w:hint="default" w:ascii="Times New Roman" w:hAnsi="Times New Roman" w:eastAsia="宋体" w:cs="Times New Roman"/>
                <w:b/>
                <w:bCs/>
                <w:color w:val="auto"/>
                <w:sz w:val="21"/>
                <w:szCs w:val="21"/>
                <w:lang w:val="en-US" w:eastAsia="zh-CN"/>
              </w:rPr>
              <w:t>4</w:t>
            </w:r>
            <w:r>
              <w:rPr>
                <w:rFonts w:hint="default" w:ascii="Times New Roman" w:hAnsi="Times New Roman" w:eastAsia="宋体" w:cs="Times New Roman"/>
                <w:b/>
                <w:bCs/>
                <w:color w:val="auto"/>
                <w:sz w:val="21"/>
                <w:szCs w:val="21"/>
                <w:lang w:eastAsia="zh-CN"/>
              </w:rPr>
              <w:t xml:space="preserve"> 本项目生产工艺流程及产污环节图</w:t>
            </w:r>
          </w:p>
          <w:p w14:paraId="6D993477">
            <w:pPr>
              <w:keepNext w:val="0"/>
              <w:keepLines w:val="0"/>
              <w:pageBreakBefore w:val="0"/>
              <w:widowControl w:val="0"/>
              <w:kinsoku/>
              <w:wordWrap/>
              <w:overflowPunct/>
              <w:topLinePunct w:val="0"/>
              <w:autoSpaceDE w:val="0"/>
              <w:autoSpaceDN w:val="0"/>
              <w:bidi w:val="0"/>
              <w:adjustRightInd w:val="0"/>
              <w:snapToGrid w:val="0"/>
              <w:spacing w:line="360" w:lineRule="auto"/>
              <w:ind w:left="0" w:leftChars="0" w:firstLine="420" w:firstLineChars="200"/>
              <w:textAlignment w:val="baseline"/>
              <w:rPr>
                <w:rFonts w:hint="default" w:ascii="Times New Roman" w:hAnsi="Times New Roman" w:eastAsia="宋体" w:cs="Times New Roman"/>
                <w:color w:val="auto"/>
                <w:sz w:val="21"/>
                <w:szCs w:val="21"/>
                <w:vertAlign w:val="baseline"/>
                <w:lang w:eastAsia="zh-CN"/>
              </w:rPr>
            </w:pPr>
            <w:r>
              <w:rPr>
                <w:rFonts w:hint="default" w:ascii="Times New Roman" w:hAnsi="Times New Roman" w:eastAsia="宋体" w:cs="Times New Roman"/>
                <w:color w:val="auto"/>
                <w:sz w:val="21"/>
                <w:szCs w:val="21"/>
                <w:vertAlign w:val="baseline"/>
                <w:lang w:eastAsia="zh-CN"/>
              </w:rPr>
              <w:t>工艺流程简述：</w:t>
            </w:r>
          </w:p>
          <w:p w14:paraId="2BEBCDDB">
            <w:pPr>
              <w:pStyle w:val="8"/>
              <w:keepNext w:val="0"/>
              <w:keepLines w:val="0"/>
              <w:pageBreakBefore w:val="0"/>
              <w:widowControl w:val="0"/>
              <w:kinsoku/>
              <w:wordWrap/>
              <w:overflowPunct/>
              <w:topLinePunct w:val="0"/>
              <w:autoSpaceDE w:val="0"/>
              <w:autoSpaceDN w:val="0"/>
              <w:bidi w:val="0"/>
              <w:adjustRightInd w:val="0"/>
              <w:snapToGrid w:val="0"/>
              <w:spacing w:after="0" w:line="360" w:lineRule="auto"/>
              <w:ind w:left="0" w:leftChars="0" w:firstLine="420" w:firstLineChars="200"/>
              <w:textAlignment w:val="baseline"/>
              <w:rPr>
                <w:rFonts w:hint="default" w:ascii="Times New Roman" w:hAnsi="Times New Roman" w:eastAsia="宋体" w:cs="Times New Roman"/>
                <w:color w:val="auto"/>
                <w:sz w:val="21"/>
                <w:szCs w:val="21"/>
                <w:vertAlign w:val="baseline"/>
                <w:lang w:eastAsia="zh-CN"/>
              </w:rPr>
            </w:pPr>
            <w:r>
              <w:rPr>
                <w:rFonts w:hint="default" w:ascii="Times New Roman" w:hAnsi="Times New Roman" w:eastAsia="宋体" w:cs="Times New Roman"/>
                <w:color w:val="auto"/>
                <w:sz w:val="21"/>
                <w:szCs w:val="21"/>
                <w:vertAlign w:val="baseline"/>
                <w:lang w:eastAsia="zh-CN"/>
              </w:rPr>
              <w:t>将外购的白刚玉块投入颚破机进行破碎，然后经提升机提升至料仓内进入对辊机进行研磨，研磨完成后先用振动筛进行筛分，筛分粒径较大的刚玉砂重新进入对辊机内进行研磨，筛分出来粒径符合要求的刚玉砂通过料仓进入整形机内去除棱角，整形</w:t>
            </w:r>
            <w:r>
              <w:rPr>
                <w:rFonts w:hint="default" w:ascii="Times New Roman" w:hAnsi="Times New Roman" w:eastAsia="宋体" w:cs="Times New Roman"/>
                <w:color w:val="auto"/>
                <w:sz w:val="21"/>
                <w:szCs w:val="21"/>
                <w:vertAlign w:val="baseline"/>
                <w:lang w:val="en-US" w:eastAsia="zh-CN"/>
              </w:rPr>
              <w:t>粉磨</w:t>
            </w:r>
            <w:r>
              <w:rPr>
                <w:rFonts w:hint="default" w:ascii="Times New Roman" w:hAnsi="Times New Roman" w:eastAsia="宋体" w:cs="Times New Roman"/>
                <w:color w:val="auto"/>
                <w:sz w:val="21"/>
                <w:szCs w:val="21"/>
                <w:vertAlign w:val="baseline"/>
                <w:lang w:eastAsia="zh-CN"/>
              </w:rPr>
              <w:t>后通过磁选机将其中的含铁物质分离出来，然后再次通过振动筛进行筛分，筛分出粒径不同的刚玉砂作为不同规格的产品，</w:t>
            </w:r>
            <w:r>
              <w:rPr>
                <w:rFonts w:hint="default" w:ascii="Times New Roman" w:hAnsi="Times New Roman" w:eastAsia="宋体" w:cs="Times New Roman"/>
                <w:color w:val="auto"/>
                <w:sz w:val="21"/>
                <w:szCs w:val="21"/>
                <w:vertAlign w:val="baseline"/>
                <w:lang w:val="en-US" w:eastAsia="zh-CN"/>
              </w:rPr>
              <w:t>最后成品砂包装入库</w:t>
            </w:r>
            <w:r>
              <w:rPr>
                <w:rFonts w:hint="default" w:ascii="Times New Roman" w:hAnsi="Times New Roman" w:eastAsia="宋体" w:cs="Times New Roman"/>
                <w:color w:val="auto"/>
                <w:sz w:val="21"/>
                <w:szCs w:val="21"/>
                <w:vertAlign w:val="baseline"/>
                <w:lang w:eastAsia="zh-CN"/>
              </w:rPr>
              <w:t>。</w:t>
            </w:r>
          </w:p>
          <w:p w14:paraId="3E08DF7C">
            <w:pPr>
              <w:pStyle w:val="8"/>
              <w:keepNext w:val="0"/>
              <w:keepLines w:val="0"/>
              <w:pageBreakBefore w:val="0"/>
              <w:widowControl w:val="0"/>
              <w:kinsoku/>
              <w:wordWrap/>
              <w:overflowPunct/>
              <w:topLinePunct w:val="0"/>
              <w:autoSpaceDE w:val="0"/>
              <w:autoSpaceDN w:val="0"/>
              <w:bidi w:val="0"/>
              <w:adjustRightInd w:val="0"/>
              <w:snapToGrid w:val="0"/>
              <w:spacing w:after="0" w:line="360" w:lineRule="auto"/>
              <w:ind w:left="0" w:leftChars="0" w:firstLine="420" w:firstLineChars="200"/>
              <w:textAlignment w:val="baseline"/>
              <w:rPr>
                <w:rFonts w:hint="default" w:ascii="Times New Roman" w:hAnsi="Times New Roman" w:eastAsia="宋体" w:cs="Times New Roman"/>
                <w:color w:val="auto"/>
                <w:sz w:val="21"/>
                <w:szCs w:val="21"/>
                <w:vertAlign w:val="baseline"/>
                <w:lang w:eastAsia="zh-CN"/>
              </w:rPr>
            </w:pPr>
            <w:r>
              <w:rPr>
                <w:rFonts w:hint="default" w:ascii="Times New Roman" w:hAnsi="Times New Roman" w:eastAsia="宋体" w:cs="Times New Roman"/>
                <w:color w:val="auto"/>
                <w:sz w:val="21"/>
                <w:szCs w:val="21"/>
                <w:vertAlign w:val="baseline"/>
                <w:lang w:val="en-US" w:eastAsia="zh-CN"/>
              </w:rPr>
              <w:t>2</w:t>
            </w:r>
            <w:r>
              <w:rPr>
                <w:rFonts w:hint="default" w:ascii="Times New Roman" w:hAnsi="Times New Roman" w:eastAsia="宋体" w:cs="Times New Roman"/>
                <w:color w:val="auto"/>
                <w:sz w:val="21"/>
                <w:szCs w:val="21"/>
                <w:vertAlign w:val="baseline"/>
                <w:lang w:eastAsia="zh-CN"/>
              </w:rPr>
              <w:t>、主要产排污环节</w:t>
            </w:r>
          </w:p>
          <w:p w14:paraId="3CEC8612">
            <w:pPr>
              <w:pStyle w:val="8"/>
              <w:keepNext w:val="0"/>
              <w:keepLines w:val="0"/>
              <w:pageBreakBefore w:val="0"/>
              <w:widowControl w:val="0"/>
              <w:kinsoku/>
              <w:wordWrap/>
              <w:overflowPunct/>
              <w:topLinePunct w:val="0"/>
              <w:autoSpaceDE w:val="0"/>
              <w:autoSpaceDN w:val="0"/>
              <w:bidi w:val="0"/>
              <w:adjustRightInd w:val="0"/>
              <w:snapToGrid w:val="0"/>
              <w:spacing w:after="0" w:line="360" w:lineRule="auto"/>
              <w:ind w:left="0" w:leftChars="0" w:firstLine="420" w:firstLineChars="200"/>
              <w:textAlignment w:val="baseline"/>
              <w:rPr>
                <w:rFonts w:hint="default" w:ascii="Times New Roman" w:hAnsi="Times New Roman" w:eastAsia="宋体" w:cs="Times New Roman"/>
                <w:color w:val="auto"/>
                <w:sz w:val="21"/>
                <w:szCs w:val="21"/>
                <w:vertAlign w:val="baseline"/>
                <w:lang w:eastAsia="zh-CN"/>
              </w:rPr>
            </w:pPr>
            <w:r>
              <w:rPr>
                <w:rFonts w:hint="default" w:ascii="Times New Roman" w:hAnsi="Times New Roman" w:eastAsia="宋体" w:cs="Times New Roman"/>
                <w:color w:val="auto"/>
                <w:sz w:val="21"/>
                <w:szCs w:val="21"/>
                <w:vertAlign w:val="baseline"/>
                <w:lang w:eastAsia="zh-CN"/>
              </w:rPr>
              <w:t>（1）废气</w:t>
            </w:r>
          </w:p>
          <w:p w14:paraId="5AFF6C5B">
            <w:pPr>
              <w:pStyle w:val="8"/>
              <w:keepNext w:val="0"/>
              <w:keepLines w:val="0"/>
              <w:pageBreakBefore w:val="0"/>
              <w:widowControl w:val="0"/>
              <w:kinsoku/>
              <w:wordWrap/>
              <w:overflowPunct/>
              <w:topLinePunct w:val="0"/>
              <w:autoSpaceDE w:val="0"/>
              <w:autoSpaceDN w:val="0"/>
              <w:bidi w:val="0"/>
              <w:adjustRightInd w:val="0"/>
              <w:snapToGrid w:val="0"/>
              <w:spacing w:after="0" w:line="360" w:lineRule="auto"/>
              <w:ind w:left="0" w:leftChars="0" w:firstLine="420" w:firstLineChars="200"/>
              <w:textAlignment w:val="baseline"/>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eastAsia="zh-CN"/>
              </w:rPr>
              <w:t>本项目废气主要为</w:t>
            </w:r>
            <w:r>
              <w:rPr>
                <w:rFonts w:hint="default" w:ascii="Times New Roman" w:hAnsi="Times New Roman" w:eastAsia="宋体" w:cs="Times New Roman"/>
                <w:color w:val="auto"/>
                <w:sz w:val="21"/>
                <w:szCs w:val="21"/>
                <w:vertAlign w:val="baseline"/>
                <w:lang w:val="en-US" w:eastAsia="zh-CN"/>
              </w:rPr>
              <w:t>破碎、对辊破碎、粗筛分、整形粉磨、细筛分工序产生的颗粒物。</w:t>
            </w:r>
          </w:p>
          <w:p w14:paraId="02BCCEE2">
            <w:pPr>
              <w:pStyle w:val="8"/>
              <w:keepNext w:val="0"/>
              <w:keepLines w:val="0"/>
              <w:pageBreakBefore w:val="0"/>
              <w:widowControl w:val="0"/>
              <w:kinsoku/>
              <w:wordWrap/>
              <w:overflowPunct/>
              <w:topLinePunct w:val="0"/>
              <w:autoSpaceDE w:val="0"/>
              <w:autoSpaceDN w:val="0"/>
              <w:bidi w:val="0"/>
              <w:adjustRightInd w:val="0"/>
              <w:snapToGrid w:val="0"/>
              <w:spacing w:after="0" w:line="360" w:lineRule="auto"/>
              <w:ind w:left="0" w:leftChars="0" w:firstLine="420" w:firstLineChars="200"/>
              <w:textAlignment w:val="baseline"/>
              <w:rPr>
                <w:rFonts w:hint="default" w:ascii="Times New Roman" w:hAnsi="Times New Roman" w:eastAsia="宋体" w:cs="Times New Roman"/>
                <w:color w:val="auto"/>
                <w:sz w:val="21"/>
                <w:szCs w:val="21"/>
                <w:vertAlign w:val="baseline"/>
                <w:lang w:eastAsia="zh-CN"/>
              </w:rPr>
            </w:pPr>
            <w:r>
              <w:rPr>
                <w:rFonts w:hint="default" w:ascii="Times New Roman" w:hAnsi="Times New Roman" w:eastAsia="宋体" w:cs="Times New Roman"/>
                <w:color w:val="auto"/>
                <w:sz w:val="21"/>
                <w:szCs w:val="21"/>
                <w:vertAlign w:val="baseline"/>
                <w:lang w:eastAsia="zh-CN"/>
              </w:rPr>
              <w:t>（2）废水</w:t>
            </w:r>
          </w:p>
          <w:p w14:paraId="43CCA68A">
            <w:pPr>
              <w:pStyle w:val="8"/>
              <w:keepNext w:val="0"/>
              <w:keepLines w:val="0"/>
              <w:pageBreakBefore w:val="0"/>
              <w:widowControl w:val="0"/>
              <w:kinsoku/>
              <w:wordWrap/>
              <w:overflowPunct/>
              <w:topLinePunct w:val="0"/>
              <w:autoSpaceDE w:val="0"/>
              <w:autoSpaceDN w:val="0"/>
              <w:bidi w:val="0"/>
              <w:adjustRightInd w:val="0"/>
              <w:snapToGrid w:val="0"/>
              <w:spacing w:after="0" w:line="360" w:lineRule="auto"/>
              <w:ind w:left="0" w:leftChars="0" w:firstLine="420" w:firstLineChars="200"/>
              <w:textAlignment w:val="baseline"/>
              <w:rPr>
                <w:rFonts w:hint="default" w:ascii="Times New Roman" w:hAnsi="Times New Roman" w:eastAsia="宋体" w:cs="Times New Roman"/>
                <w:color w:val="auto"/>
                <w:sz w:val="21"/>
                <w:szCs w:val="21"/>
                <w:vertAlign w:val="baseline"/>
                <w:lang w:eastAsia="zh-CN"/>
              </w:rPr>
            </w:pPr>
            <w:r>
              <w:rPr>
                <w:rFonts w:hint="default" w:ascii="Times New Roman" w:hAnsi="Times New Roman" w:eastAsia="宋体" w:cs="Times New Roman"/>
                <w:color w:val="auto"/>
                <w:sz w:val="21"/>
                <w:szCs w:val="21"/>
                <w:vertAlign w:val="baseline"/>
                <w:lang w:eastAsia="zh-CN"/>
              </w:rPr>
              <w:t>本项目不增加劳动定员，不新增生活</w:t>
            </w:r>
            <w:r>
              <w:rPr>
                <w:rFonts w:hint="default" w:ascii="Times New Roman" w:hAnsi="Times New Roman" w:eastAsia="宋体" w:cs="Times New Roman"/>
                <w:color w:val="auto"/>
                <w:sz w:val="21"/>
                <w:szCs w:val="21"/>
                <w:vertAlign w:val="baseline"/>
                <w:lang w:val="en-US" w:eastAsia="zh-CN"/>
              </w:rPr>
              <w:t>污水</w:t>
            </w:r>
            <w:r>
              <w:rPr>
                <w:rFonts w:hint="default" w:ascii="Times New Roman" w:hAnsi="Times New Roman" w:eastAsia="宋体" w:cs="Times New Roman"/>
                <w:color w:val="auto"/>
                <w:sz w:val="21"/>
                <w:szCs w:val="21"/>
                <w:vertAlign w:val="baseline"/>
                <w:lang w:eastAsia="zh-CN"/>
              </w:rPr>
              <w:t>；生活污水经化粪池处理后</w:t>
            </w:r>
            <w:r>
              <w:rPr>
                <w:rFonts w:hint="default" w:ascii="Times New Roman" w:hAnsi="Times New Roman" w:eastAsia="宋体" w:cs="Times New Roman"/>
                <w:color w:val="auto"/>
                <w:sz w:val="21"/>
                <w:szCs w:val="21"/>
                <w:vertAlign w:val="baseline"/>
                <w:lang w:val="en-US" w:eastAsia="zh-CN"/>
              </w:rPr>
              <w:t>由</w:t>
            </w:r>
            <w:r>
              <w:rPr>
                <w:rFonts w:hint="default" w:ascii="Times New Roman" w:hAnsi="Times New Roman" w:eastAsia="宋体" w:cs="Times New Roman"/>
                <w:color w:val="auto"/>
                <w:sz w:val="21"/>
                <w:szCs w:val="21"/>
                <w:vertAlign w:val="baseline"/>
                <w:lang w:eastAsia="zh-CN"/>
              </w:rPr>
              <w:t>环卫部门定期清运；抑尘用水全部蒸发损耗，不外排。</w:t>
            </w:r>
          </w:p>
          <w:p w14:paraId="70FEB73F">
            <w:pPr>
              <w:pStyle w:val="8"/>
              <w:keepNext w:val="0"/>
              <w:keepLines w:val="0"/>
              <w:pageBreakBefore w:val="0"/>
              <w:widowControl w:val="0"/>
              <w:kinsoku/>
              <w:wordWrap/>
              <w:overflowPunct/>
              <w:topLinePunct w:val="0"/>
              <w:autoSpaceDE w:val="0"/>
              <w:autoSpaceDN w:val="0"/>
              <w:bidi w:val="0"/>
              <w:adjustRightInd w:val="0"/>
              <w:snapToGrid w:val="0"/>
              <w:spacing w:after="0" w:line="360" w:lineRule="auto"/>
              <w:ind w:left="0" w:leftChars="0" w:firstLine="420" w:firstLineChars="200"/>
              <w:textAlignment w:val="baseline"/>
              <w:rPr>
                <w:rFonts w:hint="default" w:ascii="Times New Roman" w:hAnsi="Times New Roman" w:eastAsia="宋体" w:cs="Times New Roman"/>
                <w:color w:val="auto"/>
                <w:sz w:val="21"/>
                <w:szCs w:val="21"/>
                <w:vertAlign w:val="baseline"/>
                <w:lang w:eastAsia="zh-CN"/>
              </w:rPr>
            </w:pPr>
            <w:r>
              <w:rPr>
                <w:rFonts w:hint="default" w:ascii="Times New Roman" w:hAnsi="Times New Roman" w:eastAsia="宋体" w:cs="Times New Roman"/>
                <w:color w:val="auto"/>
                <w:sz w:val="21"/>
                <w:szCs w:val="21"/>
                <w:vertAlign w:val="baseline"/>
                <w:lang w:eastAsia="zh-CN"/>
              </w:rPr>
              <w:t>（3）噪声</w:t>
            </w:r>
          </w:p>
          <w:p w14:paraId="3827E010">
            <w:pPr>
              <w:pStyle w:val="8"/>
              <w:keepNext w:val="0"/>
              <w:keepLines w:val="0"/>
              <w:pageBreakBefore w:val="0"/>
              <w:widowControl w:val="0"/>
              <w:kinsoku/>
              <w:wordWrap/>
              <w:overflowPunct/>
              <w:topLinePunct w:val="0"/>
              <w:autoSpaceDE w:val="0"/>
              <w:autoSpaceDN w:val="0"/>
              <w:bidi w:val="0"/>
              <w:adjustRightInd w:val="0"/>
              <w:snapToGrid w:val="0"/>
              <w:spacing w:after="0" w:line="360" w:lineRule="auto"/>
              <w:ind w:left="0" w:leftChars="0" w:firstLine="420" w:firstLineChars="200"/>
              <w:textAlignment w:val="baseline"/>
              <w:rPr>
                <w:rFonts w:hint="default" w:ascii="Times New Roman" w:hAnsi="Times New Roman" w:eastAsia="宋体" w:cs="Times New Roman"/>
                <w:color w:val="auto"/>
                <w:sz w:val="21"/>
                <w:szCs w:val="21"/>
                <w:vertAlign w:val="baseline"/>
                <w:lang w:eastAsia="zh-CN"/>
              </w:rPr>
            </w:pPr>
            <w:r>
              <w:rPr>
                <w:rFonts w:hint="default" w:ascii="Times New Roman" w:hAnsi="Times New Roman" w:eastAsia="宋体" w:cs="Times New Roman"/>
                <w:color w:val="auto"/>
                <w:sz w:val="21"/>
                <w:szCs w:val="21"/>
                <w:vertAlign w:val="baseline"/>
                <w:lang w:eastAsia="zh-CN"/>
              </w:rPr>
              <w:t>本项目噪声源主要为设备</w:t>
            </w:r>
            <w:r>
              <w:rPr>
                <w:rFonts w:hint="default" w:ascii="Times New Roman" w:hAnsi="Times New Roman" w:eastAsia="宋体" w:cs="Times New Roman"/>
                <w:color w:val="auto"/>
                <w:sz w:val="21"/>
                <w:szCs w:val="21"/>
                <w:vertAlign w:val="baseline"/>
                <w:lang w:val="en-US" w:eastAsia="zh-CN"/>
              </w:rPr>
              <w:t>运行</w:t>
            </w:r>
            <w:r>
              <w:rPr>
                <w:rFonts w:hint="default" w:ascii="Times New Roman" w:hAnsi="Times New Roman" w:eastAsia="宋体" w:cs="Times New Roman"/>
                <w:color w:val="auto"/>
                <w:sz w:val="21"/>
                <w:szCs w:val="21"/>
                <w:vertAlign w:val="baseline"/>
                <w:lang w:eastAsia="zh-CN"/>
              </w:rPr>
              <w:t>产生的噪声。主要噪声源为</w:t>
            </w:r>
            <w:r>
              <w:rPr>
                <w:rFonts w:hint="default" w:ascii="Times New Roman" w:hAnsi="Times New Roman" w:eastAsia="宋体" w:cs="Times New Roman"/>
                <w:color w:val="auto"/>
                <w:sz w:val="21"/>
                <w:szCs w:val="21"/>
                <w:vertAlign w:val="baseline"/>
                <w:lang w:val="en-US" w:eastAsia="zh-CN"/>
              </w:rPr>
              <w:t>破碎机、对辊机、磁选机、振动筛、整形机、空压机和提升机，</w:t>
            </w:r>
            <w:r>
              <w:rPr>
                <w:rFonts w:hint="default" w:ascii="Times New Roman" w:hAnsi="Times New Roman" w:eastAsia="宋体" w:cs="Times New Roman"/>
                <w:color w:val="auto"/>
                <w:sz w:val="21"/>
                <w:szCs w:val="21"/>
                <w:vertAlign w:val="baseline"/>
                <w:lang w:eastAsia="zh-CN"/>
              </w:rPr>
              <w:t>噪声源强约70-</w:t>
            </w:r>
            <w:r>
              <w:rPr>
                <w:rFonts w:hint="default" w:ascii="Times New Roman" w:hAnsi="Times New Roman" w:eastAsia="宋体" w:cs="Times New Roman"/>
                <w:color w:val="auto"/>
                <w:sz w:val="21"/>
                <w:szCs w:val="21"/>
                <w:vertAlign w:val="baseline"/>
                <w:lang w:val="en-US" w:eastAsia="zh-CN"/>
              </w:rPr>
              <w:t>90</w:t>
            </w:r>
            <w:r>
              <w:rPr>
                <w:rFonts w:hint="default" w:ascii="Times New Roman" w:hAnsi="Times New Roman" w:eastAsia="宋体" w:cs="Times New Roman"/>
                <w:color w:val="auto"/>
                <w:sz w:val="21"/>
                <w:szCs w:val="21"/>
                <w:vertAlign w:val="baseline"/>
                <w:lang w:eastAsia="zh-CN"/>
              </w:rPr>
              <w:t>dB（A）。</w:t>
            </w:r>
          </w:p>
          <w:p w14:paraId="78F4BF7C">
            <w:pPr>
              <w:pStyle w:val="8"/>
              <w:keepNext w:val="0"/>
              <w:keepLines w:val="0"/>
              <w:pageBreakBefore w:val="0"/>
              <w:widowControl w:val="0"/>
              <w:kinsoku/>
              <w:wordWrap/>
              <w:overflowPunct/>
              <w:topLinePunct w:val="0"/>
              <w:autoSpaceDE w:val="0"/>
              <w:autoSpaceDN w:val="0"/>
              <w:bidi w:val="0"/>
              <w:adjustRightInd w:val="0"/>
              <w:snapToGrid w:val="0"/>
              <w:spacing w:after="0" w:line="360" w:lineRule="auto"/>
              <w:ind w:left="0" w:leftChars="0" w:firstLine="420" w:firstLineChars="200"/>
              <w:textAlignment w:val="baseline"/>
              <w:rPr>
                <w:rFonts w:hint="default" w:ascii="Times New Roman" w:hAnsi="Times New Roman" w:eastAsia="宋体" w:cs="Times New Roman"/>
                <w:color w:val="auto"/>
                <w:sz w:val="21"/>
                <w:szCs w:val="21"/>
                <w:vertAlign w:val="baseline"/>
                <w:lang w:eastAsia="zh-CN"/>
              </w:rPr>
            </w:pPr>
            <w:r>
              <w:rPr>
                <w:rFonts w:hint="default" w:ascii="Times New Roman" w:hAnsi="Times New Roman" w:eastAsia="宋体" w:cs="Times New Roman"/>
                <w:color w:val="auto"/>
                <w:sz w:val="21"/>
                <w:szCs w:val="21"/>
                <w:vertAlign w:val="baseline"/>
                <w:lang w:eastAsia="zh-CN"/>
              </w:rPr>
              <w:t>（4）固废</w:t>
            </w:r>
          </w:p>
          <w:p w14:paraId="1F079898">
            <w:pPr>
              <w:keepNext w:val="0"/>
              <w:keepLines w:val="0"/>
              <w:pageBreakBefore w:val="0"/>
              <w:widowControl/>
              <w:kinsoku w:val="0"/>
              <w:wordWrap/>
              <w:overflowPunct/>
              <w:topLinePunct w:val="0"/>
              <w:autoSpaceDE w:val="0"/>
              <w:autoSpaceDN w:val="0"/>
              <w:bidi w:val="0"/>
              <w:adjustRightInd w:val="0"/>
              <w:snapToGrid w:val="0"/>
              <w:spacing w:line="360" w:lineRule="auto"/>
              <w:ind w:left="0" w:leftChars="0" w:firstLine="420" w:firstLineChars="200"/>
              <w:textAlignment w:val="baseline"/>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本项目产生固废为生活垃圾、布袋除尘器收集的粉尘和含铁物料。生活垃圾由环卫部门定期进行清运，布袋除尘器收集的粉尘回用于生产，含铁物料集中收集后外售。</w:t>
            </w:r>
          </w:p>
          <w:p w14:paraId="133FA897">
            <w:pPr>
              <w:keepNext w:val="0"/>
              <w:keepLines w:val="0"/>
              <w:pageBreakBefore w:val="0"/>
              <w:widowControl/>
              <w:kinsoku w:val="0"/>
              <w:wordWrap/>
              <w:overflowPunct/>
              <w:topLinePunct w:val="0"/>
              <w:autoSpaceDE w:val="0"/>
              <w:autoSpaceDN w:val="0"/>
              <w:bidi w:val="0"/>
              <w:adjustRightInd w:val="0"/>
              <w:snapToGrid w:val="0"/>
              <w:spacing w:line="360" w:lineRule="auto"/>
              <w:ind w:left="0" w:leftChars="0" w:firstLine="420" w:firstLineChars="200"/>
              <w:textAlignment w:val="baseline"/>
              <w:rPr>
                <w:rFonts w:hint="default" w:ascii="Times New Roman" w:hAnsi="Times New Roman" w:eastAsia="宋体" w:cs="Times New Roman"/>
                <w:color w:val="auto"/>
                <w:sz w:val="21"/>
                <w:szCs w:val="21"/>
                <w:lang w:eastAsia="zh-CN"/>
              </w:rPr>
            </w:pPr>
          </w:p>
        </w:tc>
      </w:tr>
      <w:tr w14:paraId="3E9629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4" w:type="dxa"/>
          </w:tcPr>
          <w:p w14:paraId="62E73178">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vertAlign w:val="baseline"/>
              </w:rPr>
              <w:t>与项目有关的原有环境污染问题</w:t>
            </w:r>
          </w:p>
        </w:tc>
        <w:tc>
          <w:tcPr>
            <w:tcW w:w="7838" w:type="dxa"/>
          </w:tcPr>
          <w:p w14:paraId="64EA1560">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kern w:val="2"/>
                <w:sz w:val="21"/>
                <w:szCs w:val="21"/>
                <w:vertAlign w:val="baseline"/>
                <w:lang w:val="en-US" w:eastAsia="zh-CN" w:bidi="ar-SA"/>
              </w:rPr>
              <w:t>一、</w:t>
            </w:r>
            <w:r>
              <w:rPr>
                <w:rFonts w:hint="default" w:ascii="Times New Roman" w:hAnsi="Times New Roman" w:eastAsia="宋体" w:cs="Times New Roman"/>
                <w:color w:val="auto"/>
                <w:sz w:val="21"/>
                <w:szCs w:val="21"/>
                <w:vertAlign w:val="baseline"/>
              </w:rPr>
              <w:t>现有项目履行环境影响评价及竣工环境保护验收</w:t>
            </w:r>
          </w:p>
          <w:p w14:paraId="19CFDAC0">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vertAlign w:val="baseline"/>
              </w:rPr>
              <w:t>1、公司现有项目见下表：</w:t>
            </w:r>
          </w:p>
          <w:p w14:paraId="449C3B8B">
            <w:pPr>
              <w:adjustRightInd w:val="0"/>
              <w:snapToGrid w:val="0"/>
              <w:spacing w:line="360" w:lineRule="auto"/>
              <w:ind w:firstLine="420" w:firstLineChars="200"/>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bCs/>
                <w:color w:val="auto"/>
                <w:sz w:val="21"/>
                <w:szCs w:val="21"/>
                <w:lang w:val="en-US" w:eastAsia="zh-CN"/>
              </w:rPr>
              <w:t>淄博市周村鲁萌磨料磨具有限公司</w:t>
            </w:r>
            <w:r>
              <w:rPr>
                <w:rFonts w:hint="default" w:ascii="Times New Roman" w:hAnsi="Times New Roman" w:eastAsia="宋体" w:cs="Times New Roman"/>
                <w:color w:val="auto"/>
                <w:sz w:val="21"/>
                <w:szCs w:val="21"/>
                <w:vertAlign w:val="baseline"/>
              </w:rPr>
              <w:t>于</w:t>
            </w:r>
            <w:r>
              <w:rPr>
                <w:rFonts w:hint="default" w:ascii="Times New Roman" w:hAnsi="Times New Roman" w:eastAsia="宋体" w:cs="Times New Roman"/>
                <w:color w:val="auto"/>
                <w:sz w:val="21"/>
                <w:szCs w:val="21"/>
                <w:vertAlign w:val="baseline"/>
                <w:lang w:val="en-US" w:eastAsia="zh-CN"/>
              </w:rPr>
              <w:t>2020</w:t>
            </w:r>
            <w:r>
              <w:rPr>
                <w:rFonts w:hint="default" w:ascii="Times New Roman" w:hAnsi="Times New Roman" w:eastAsia="宋体" w:cs="Times New Roman"/>
                <w:color w:val="auto"/>
                <w:sz w:val="21"/>
                <w:szCs w:val="21"/>
                <w:vertAlign w:val="baseline"/>
              </w:rPr>
              <w:t>年</w:t>
            </w:r>
            <w:r>
              <w:rPr>
                <w:rFonts w:hint="default" w:ascii="Times New Roman" w:hAnsi="Times New Roman" w:eastAsia="宋体" w:cs="Times New Roman"/>
                <w:color w:val="auto"/>
                <w:sz w:val="21"/>
                <w:szCs w:val="21"/>
                <w:vertAlign w:val="baseline"/>
                <w:lang w:val="en-US" w:eastAsia="zh-CN"/>
              </w:rPr>
              <w:t>12</w:t>
            </w:r>
            <w:r>
              <w:rPr>
                <w:rFonts w:hint="default" w:ascii="Times New Roman" w:hAnsi="Times New Roman" w:eastAsia="宋体" w:cs="Times New Roman"/>
                <w:color w:val="auto"/>
                <w:sz w:val="21"/>
                <w:szCs w:val="21"/>
                <w:vertAlign w:val="baseline"/>
              </w:rPr>
              <w:t>月编制了</w:t>
            </w:r>
            <w:r>
              <w:rPr>
                <w:rFonts w:hint="default" w:ascii="Times New Roman" w:hAnsi="Times New Roman" w:eastAsia="宋体" w:cs="Times New Roman"/>
                <w:color w:val="auto"/>
                <w:sz w:val="21"/>
                <w:szCs w:val="21"/>
                <w:vertAlign w:val="baseline"/>
                <w:lang w:eastAsia="zh-CN"/>
              </w:rPr>
              <w:t>《年产9000吨超硬复合新材料提升改造和扩建项目</w:t>
            </w:r>
            <w:r>
              <w:rPr>
                <w:rFonts w:hint="default" w:ascii="Times New Roman" w:hAnsi="Times New Roman" w:eastAsia="宋体" w:cs="Times New Roman"/>
                <w:color w:val="auto"/>
                <w:sz w:val="21"/>
                <w:szCs w:val="21"/>
                <w:vertAlign w:val="baseline"/>
              </w:rPr>
              <w:t>环境影响报告表</w:t>
            </w:r>
            <w:r>
              <w:rPr>
                <w:rFonts w:hint="default" w:ascii="Times New Roman" w:hAnsi="Times New Roman" w:eastAsia="宋体" w:cs="Times New Roman"/>
                <w:color w:val="auto"/>
                <w:sz w:val="21"/>
                <w:szCs w:val="21"/>
                <w:vertAlign w:val="baseline"/>
                <w:lang w:eastAsia="zh-CN"/>
              </w:rPr>
              <w:t>》，</w:t>
            </w:r>
            <w:r>
              <w:rPr>
                <w:rFonts w:hint="default" w:ascii="Times New Roman" w:hAnsi="Times New Roman" w:eastAsia="宋体" w:cs="Times New Roman"/>
                <w:bCs/>
                <w:color w:val="auto"/>
                <w:sz w:val="21"/>
                <w:szCs w:val="21"/>
                <w:lang w:val="en-US" w:eastAsia="zh-CN"/>
              </w:rPr>
              <w:t>并于2020年12月11日取得了淄博文昌湖省级</w:t>
            </w:r>
            <w:r>
              <w:rPr>
                <w:rFonts w:hint="default" w:ascii="Times New Roman" w:hAnsi="Times New Roman" w:eastAsia="宋体" w:cs="Times New Roman"/>
                <w:bCs/>
                <w:color w:val="auto"/>
                <w:sz w:val="21"/>
                <w:szCs w:val="21"/>
              </w:rPr>
              <w:t>旅游度假区管理委员会安全生产监管和环境保护局</w:t>
            </w:r>
            <w:r>
              <w:rPr>
                <w:rFonts w:hint="default" w:ascii="Times New Roman" w:hAnsi="Times New Roman" w:eastAsia="宋体" w:cs="Times New Roman"/>
                <w:bCs/>
                <w:color w:val="auto"/>
                <w:sz w:val="21"/>
                <w:szCs w:val="21"/>
                <w:lang w:val="en-US" w:eastAsia="zh-CN"/>
              </w:rPr>
              <w:t>《关于淄博市周村鲁萌磨料磨具有限公司年产9000吨超硬复合新材料提升改造和扩建项目环境影响报告表的审批意见》（淄文环报告表〔2020〕74号）。</w:t>
            </w:r>
          </w:p>
          <w:p w14:paraId="51EDBA22">
            <w:pPr>
              <w:adjustRightInd w:val="0"/>
              <w:snapToGrid w:val="0"/>
              <w:spacing w:line="360" w:lineRule="auto"/>
              <w:ind w:firstLine="420" w:firstLineChars="200"/>
              <w:rPr>
                <w:rFonts w:hint="default" w:ascii="Times New Roman" w:hAnsi="Times New Roman" w:eastAsia="宋体" w:cs="Times New Roman"/>
                <w:color w:val="auto"/>
                <w:sz w:val="21"/>
                <w:szCs w:val="21"/>
                <w:vertAlign w:val="baseline"/>
                <w:lang w:eastAsia="zh-CN"/>
              </w:rPr>
            </w:pPr>
            <w:r>
              <w:rPr>
                <w:rFonts w:hint="default" w:ascii="Times New Roman" w:hAnsi="Times New Roman" w:eastAsia="宋体" w:cs="Times New Roman"/>
                <w:color w:val="auto"/>
                <w:sz w:val="21"/>
                <w:szCs w:val="21"/>
                <w:vertAlign w:val="baseline"/>
              </w:rPr>
              <w:t>淄博市周村鲁萌磨料磨具有限公司因法人年迈，无力继续经营，于2021年4月底停产，将原厂房、生产设备、生产工艺流程转让给淄博恒业研磨材料有限公司</w:t>
            </w:r>
            <w:r>
              <w:rPr>
                <w:rFonts w:hint="default" w:ascii="Times New Roman" w:hAnsi="Times New Roman" w:eastAsia="宋体" w:cs="Times New Roman"/>
                <w:color w:val="auto"/>
                <w:sz w:val="21"/>
                <w:szCs w:val="21"/>
                <w:vertAlign w:val="baseline"/>
                <w:lang w:eastAsia="zh-CN"/>
              </w:rPr>
              <w:t>。淄博恒业研磨材料有限公司需按照原淄博市周村鲁萌磨料磨具有限公司环境影响评价文件及其批复执行，并保持项目的性质、规模、地点、采用的生产工艺和污染防治措施均不变。淄博恒业研磨材料有限公司因业务发展需要于2021年</w:t>
            </w:r>
            <w:r>
              <w:rPr>
                <w:rFonts w:hint="default" w:ascii="Times New Roman" w:hAnsi="Times New Roman" w:eastAsia="宋体" w:cs="Times New Roman"/>
                <w:color w:val="auto"/>
                <w:sz w:val="21"/>
                <w:szCs w:val="21"/>
                <w:vertAlign w:val="baseline"/>
                <w:lang w:val="en-US" w:eastAsia="zh-CN"/>
              </w:rPr>
              <w:t>5</w:t>
            </w:r>
            <w:r>
              <w:rPr>
                <w:rFonts w:hint="default" w:ascii="Times New Roman" w:hAnsi="Times New Roman" w:eastAsia="宋体" w:cs="Times New Roman"/>
                <w:color w:val="auto"/>
                <w:sz w:val="21"/>
                <w:szCs w:val="21"/>
                <w:vertAlign w:val="baseline"/>
                <w:lang w:eastAsia="zh-CN"/>
              </w:rPr>
              <w:t>月</w:t>
            </w:r>
            <w:r>
              <w:rPr>
                <w:rFonts w:hint="default" w:ascii="Times New Roman" w:hAnsi="Times New Roman" w:eastAsia="宋体" w:cs="Times New Roman"/>
                <w:color w:val="FF0000"/>
                <w:sz w:val="21"/>
                <w:szCs w:val="21"/>
                <w:vertAlign w:val="baseline"/>
                <w:lang w:eastAsia="zh-CN"/>
              </w:rPr>
              <w:t>，将原有</w:t>
            </w:r>
            <w:r>
              <w:rPr>
                <w:rFonts w:hint="default" w:ascii="Times New Roman" w:hAnsi="Times New Roman" w:eastAsia="宋体" w:cs="Times New Roman"/>
                <w:color w:val="FF0000"/>
                <w:sz w:val="21"/>
                <w:szCs w:val="21"/>
                <w:vertAlign w:val="baseline"/>
                <w:lang w:val="en-US" w:eastAsia="zh-CN"/>
              </w:rPr>
              <w:t>年产5000吨</w:t>
            </w:r>
            <w:r>
              <w:rPr>
                <w:rFonts w:hint="default" w:ascii="Times New Roman" w:hAnsi="Times New Roman" w:eastAsia="宋体" w:cs="Times New Roman"/>
                <w:color w:val="FF0000"/>
                <w:sz w:val="21"/>
                <w:szCs w:val="21"/>
                <w:vertAlign w:val="baseline"/>
                <w:lang w:eastAsia="zh-CN"/>
              </w:rPr>
              <w:t>白刚玉生产线原厂房、生产设备、生产工艺流程转让给淄博启新新材料科技有限公司。</w:t>
            </w:r>
          </w:p>
          <w:p w14:paraId="14E1D10D">
            <w:pPr>
              <w:adjustRightInd w:val="0"/>
              <w:snapToGrid w:val="0"/>
              <w:spacing w:line="360" w:lineRule="auto"/>
              <w:ind w:firstLine="420" w:firstLineChars="200"/>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bCs/>
                <w:color w:val="auto"/>
                <w:sz w:val="21"/>
                <w:szCs w:val="21"/>
                <w:lang w:val="en-US" w:eastAsia="zh-CN"/>
              </w:rPr>
              <w:t>相关证明材料见附件9。</w:t>
            </w:r>
          </w:p>
          <w:p w14:paraId="19B7ED38">
            <w:pPr>
              <w:adjustRightInd w:val="0"/>
              <w:snapToGrid w:val="0"/>
              <w:spacing w:line="360" w:lineRule="auto"/>
              <w:ind w:firstLine="420" w:firstLineChars="200"/>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rPr>
              <w:t>淄博启新新材料科技有限公司</w:t>
            </w:r>
            <w:r>
              <w:rPr>
                <w:rFonts w:hint="default" w:ascii="Times New Roman" w:hAnsi="Times New Roman" w:eastAsia="宋体" w:cs="Times New Roman"/>
                <w:color w:val="auto"/>
                <w:sz w:val="21"/>
                <w:szCs w:val="21"/>
                <w:vertAlign w:val="baseline"/>
                <w:lang w:val="en-US" w:eastAsia="zh-CN"/>
              </w:rPr>
              <w:t>实际</w:t>
            </w:r>
            <w:r>
              <w:rPr>
                <w:rFonts w:hint="default" w:ascii="Times New Roman" w:hAnsi="Times New Roman" w:eastAsia="宋体" w:cs="Times New Roman"/>
                <w:color w:val="auto"/>
                <w:sz w:val="21"/>
                <w:szCs w:val="21"/>
                <w:vertAlign w:val="baseline"/>
              </w:rPr>
              <w:t>现有项目为：年产</w:t>
            </w:r>
            <w:r>
              <w:rPr>
                <w:rFonts w:hint="default" w:ascii="Times New Roman" w:hAnsi="Times New Roman" w:eastAsia="宋体" w:cs="Times New Roman"/>
                <w:color w:val="auto"/>
                <w:sz w:val="21"/>
                <w:szCs w:val="21"/>
                <w:vertAlign w:val="baseline"/>
                <w:lang w:val="en-US" w:eastAsia="zh-CN"/>
              </w:rPr>
              <w:t>5</w:t>
            </w:r>
            <w:r>
              <w:rPr>
                <w:rFonts w:hint="default" w:ascii="Times New Roman" w:hAnsi="Times New Roman" w:eastAsia="宋体" w:cs="Times New Roman"/>
                <w:color w:val="auto"/>
                <w:sz w:val="21"/>
                <w:szCs w:val="21"/>
                <w:vertAlign w:val="baseline"/>
              </w:rPr>
              <w:t>000吨超硬复合新材</w:t>
            </w:r>
            <w:r>
              <w:rPr>
                <w:rFonts w:hint="default" w:ascii="Times New Roman" w:hAnsi="Times New Roman" w:eastAsia="宋体" w:cs="Times New Roman"/>
                <w:color w:val="auto"/>
                <w:sz w:val="21"/>
                <w:szCs w:val="21"/>
                <w:vertAlign w:val="baseline"/>
                <w:lang w:val="en-US" w:eastAsia="zh-CN"/>
              </w:rPr>
              <w:t>料</w:t>
            </w:r>
            <w:r>
              <w:rPr>
                <w:rFonts w:hint="default" w:ascii="Times New Roman" w:hAnsi="Times New Roman" w:eastAsia="宋体" w:cs="Times New Roman"/>
                <w:color w:val="auto"/>
                <w:sz w:val="21"/>
                <w:szCs w:val="21"/>
                <w:vertAlign w:val="baseline"/>
              </w:rPr>
              <w:t>提升改造和扩建项目</w:t>
            </w:r>
            <w:r>
              <w:rPr>
                <w:rFonts w:hint="default" w:ascii="Times New Roman" w:hAnsi="Times New Roman" w:eastAsia="宋体" w:cs="Times New Roman"/>
                <w:color w:val="auto"/>
                <w:sz w:val="21"/>
                <w:szCs w:val="21"/>
                <w:vertAlign w:val="baseline"/>
                <w:lang w:eastAsia="zh-CN"/>
              </w:rPr>
              <w:t>，</w:t>
            </w:r>
            <w:r>
              <w:rPr>
                <w:rFonts w:hint="default" w:ascii="Times New Roman" w:hAnsi="Times New Roman" w:eastAsia="宋体" w:cs="Times New Roman"/>
                <w:color w:val="auto"/>
                <w:sz w:val="21"/>
                <w:szCs w:val="21"/>
                <w:vertAlign w:val="baseline"/>
              </w:rPr>
              <w:t>该项目正常运行。</w:t>
            </w:r>
          </w:p>
          <w:p w14:paraId="6EAABC37">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vertAlign w:val="baseline"/>
              </w:rPr>
            </w:pPr>
            <w:r>
              <w:rPr>
                <w:rFonts w:hint="default" w:ascii="Times New Roman" w:hAnsi="Times New Roman" w:eastAsia="宋体" w:cs="Times New Roman"/>
                <w:b/>
                <w:bCs/>
                <w:color w:val="auto"/>
                <w:sz w:val="21"/>
                <w:szCs w:val="21"/>
              </w:rPr>
              <w:t>表2-</w:t>
            </w:r>
            <w:r>
              <w:rPr>
                <w:rFonts w:hint="default" w:ascii="Times New Roman" w:hAnsi="Times New Roman" w:eastAsia="宋体" w:cs="Times New Roman"/>
                <w:b/>
                <w:bCs/>
                <w:color w:val="auto"/>
                <w:sz w:val="21"/>
                <w:szCs w:val="21"/>
                <w:lang w:val="en-US" w:eastAsia="zh-CN"/>
              </w:rPr>
              <w:t xml:space="preserve">6 </w:t>
            </w:r>
            <w:r>
              <w:rPr>
                <w:rFonts w:hint="default" w:ascii="Times New Roman" w:hAnsi="Times New Roman" w:eastAsia="宋体" w:cs="Times New Roman"/>
                <w:b/>
                <w:bCs/>
                <w:color w:val="auto"/>
                <w:sz w:val="21"/>
                <w:szCs w:val="21"/>
              </w:rPr>
              <w:t>现有项目环评“三同时”执行情况表</w:t>
            </w:r>
          </w:p>
          <w:tbl>
            <w:tblPr>
              <w:tblStyle w:val="14"/>
              <w:tblW w:w="4999"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0" w:type="dxa"/>
                <w:bottom w:w="0" w:type="dxa"/>
                <w:right w:w="0" w:type="dxa"/>
              </w:tblCellMar>
            </w:tblPr>
            <w:tblGrid>
              <w:gridCol w:w="518"/>
              <w:gridCol w:w="1291"/>
              <w:gridCol w:w="2079"/>
              <w:gridCol w:w="1635"/>
              <w:gridCol w:w="1337"/>
              <w:gridCol w:w="1015"/>
            </w:tblGrid>
            <w:tr w14:paraId="022DD76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403" w:hRule="atLeast"/>
                <w:jc w:val="center"/>
              </w:trPr>
              <w:tc>
                <w:tcPr>
                  <w:tcW w:w="329" w:type="pct"/>
                  <w:tcBorders>
                    <w:tl2br w:val="nil"/>
                    <w:tr2bl w:val="nil"/>
                  </w:tcBorders>
                  <w:vAlign w:val="center"/>
                </w:tcPr>
                <w:p w14:paraId="5EACD4EE">
                  <w:pPr>
                    <w:pStyle w:val="25"/>
                    <w:adjustRightInd w:val="0"/>
                    <w:snapToGrid w:val="0"/>
                    <w:rPr>
                      <w:rFonts w:hint="default" w:ascii="Times New Roman" w:hAnsi="Times New Roman" w:eastAsia="宋体" w:cs="Times New Roman"/>
                      <w:b/>
                      <w:bCs/>
                      <w:color w:val="auto"/>
                      <w:kern w:val="2"/>
                      <w:sz w:val="21"/>
                      <w:szCs w:val="21"/>
                    </w:rPr>
                  </w:pPr>
                  <w:r>
                    <w:rPr>
                      <w:rFonts w:hint="default" w:ascii="Times New Roman" w:hAnsi="Times New Roman" w:eastAsia="宋体" w:cs="Times New Roman"/>
                      <w:b/>
                      <w:bCs/>
                      <w:color w:val="auto"/>
                      <w:kern w:val="2"/>
                      <w:sz w:val="21"/>
                      <w:szCs w:val="21"/>
                    </w:rPr>
                    <w:t>序号</w:t>
                  </w:r>
                </w:p>
              </w:tc>
              <w:tc>
                <w:tcPr>
                  <w:tcW w:w="819" w:type="pct"/>
                  <w:tcBorders>
                    <w:tl2br w:val="nil"/>
                    <w:tr2bl w:val="nil"/>
                  </w:tcBorders>
                  <w:tcMar>
                    <w:left w:w="0" w:type="dxa"/>
                    <w:right w:w="0" w:type="dxa"/>
                  </w:tcMar>
                  <w:vAlign w:val="center"/>
                </w:tcPr>
                <w:p w14:paraId="7F923588">
                  <w:pPr>
                    <w:pStyle w:val="25"/>
                    <w:adjustRightInd w:val="0"/>
                    <w:snapToGrid w:val="0"/>
                    <w:rPr>
                      <w:rFonts w:hint="default" w:ascii="Times New Roman" w:hAnsi="Times New Roman" w:eastAsia="宋体" w:cs="Times New Roman"/>
                      <w:b/>
                      <w:bCs/>
                      <w:color w:val="auto"/>
                      <w:kern w:val="2"/>
                      <w:sz w:val="21"/>
                      <w:szCs w:val="21"/>
                    </w:rPr>
                  </w:pPr>
                  <w:r>
                    <w:rPr>
                      <w:rFonts w:hint="default" w:ascii="Times New Roman" w:hAnsi="Times New Roman" w:eastAsia="宋体" w:cs="Times New Roman"/>
                      <w:b/>
                      <w:bCs/>
                      <w:color w:val="auto"/>
                      <w:kern w:val="2"/>
                      <w:sz w:val="21"/>
                      <w:szCs w:val="21"/>
                    </w:rPr>
                    <w:t>项目名称</w:t>
                  </w:r>
                </w:p>
              </w:tc>
              <w:tc>
                <w:tcPr>
                  <w:tcW w:w="1319" w:type="pct"/>
                  <w:tcBorders>
                    <w:tl2br w:val="nil"/>
                    <w:tr2bl w:val="nil"/>
                  </w:tcBorders>
                  <w:tcMar>
                    <w:left w:w="0" w:type="dxa"/>
                    <w:right w:w="0" w:type="dxa"/>
                  </w:tcMar>
                  <w:vAlign w:val="center"/>
                </w:tcPr>
                <w:p w14:paraId="7BC89D9D">
                  <w:pPr>
                    <w:pStyle w:val="25"/>
                    <w:adjustRightInd w:val="0"/>
                    <w:snapToGrid w:val="0"/>
                    <w:rPr>
                      <w:rFonts w:hint="default" w:ascii="Times New Roman" w:hAnsi="Times New Roman" w:eastAsia="宋体" w:cs="Times New Roman"/>
                      <w:b/>
                      <w:bCs/>
                      <w:color w:val="auto"/>
                      <w:kern w:val="2"/>
                      <w:sz w:val="21"/>
                      <w:szCs w:val="21"/>
                    </w:rPr>
                  </w:pPr>
                  <w:r>
                    <w:rPr>
                      <w:rFonts w:hint="default" w:ascii="Times New Roman" w:hAnsi="Times New Roman" w:eastAsia="宋体" w:cs="Times New Roman"/>
                      <w:b/>
                      <w:bCs/>
                      <w:color w:val="auto"/>
                      <w:kern w:val="2"/>
                      <w:sz w:val="21"/>
                      <w:szCs w:val="21"/>
                    </w:rPr>
                    <w:t>环评批复文号及时间</w:t>
                  </w:r>
                </w:p>
              </w:tc>
              <w:tc>
                <w:tcPr>
                  <w:tcW w:w="1037" w:type="pct"/>
                  <w:tcBorders>
                    <w:tl2br w:val="nil"/>
                    <w:tr2bl w:val="nil"/>
                  </w:tcBorders>
                  <w:tcMar>
                    <w:left w:w="0" w:type="dxa"/>
                    <w:right w:w="0" w:type="dxa"/>
                  </w:tcMar>
                  <w:vAlign w:val="center"/>
                </w:tcPr>
                <w:p w14:paraId="77851B59">
                  <w:pPr>
                    <w:pStyle w:val="25"/>
                    <w:adjustRightInd w:val="0"/>
                    <w:snapToGrid w:val="0"/>
                    <w:rPr>
                      <w:rFonts w:hint="default" w:ascii="Times New Roman" w:hAnsi="Times New Roman" w:eastAsia="宋体" w:cs="Times New Roman"/>
                      <w:b/>
                      <w:bCs/>
                      <w:color w:val="auto"/>
                      <w:kern w:val="2"/>
                      <w:sz w:val="21"/>
                      <w:szCs w:val="21"/>
                    </w:rPr>
                  </w:pPr>
                  <w:r>
                    <w:rPr>
                      <w:rFonts w:hint="default" w:ascii="Times New Roman" w:hAnsi="Times New Roman" w:eastAsia="宋体" w:cs="Times New Roman"/>
                      <w:b/>
                      <w:bCs/>
                      <w:color w:val="auto"/>
                      <w:kern w:val="2"/>
                      <w:sz w:val="21"/>
                      <w:szCs w:val="21"/>
                    </w:rPr>
                    <w:t>验收文号及时间</w:t>
                  </w:r>
                </w:p>
              </w:tc>
              <w:tc>
                <w:tcPr>
                  <w:tcW w:w="848" w:type="pct"/>
                  <w:tcBorders>
                    <w:tl2br w:val="nil"/>
                    <w:tr2bl w:val="nil"/>
                  </w:tcBorders>
                  <w:tcMar>
                    <w:left w:w="0" w:type="dxa"/>
                    <w:right w:w="0" w:type="dxa"/>
                  </w:tcMar>
                  <w:vAlign w:val="center"/>
                </w:tcPr>
                <w:p w14:paraId="1DE2E05D">
                  <w:pPr>
                    <w:pStyle w:val="25"/>
                    <w:adjustRightInd w:val="0"/>
                    <w:snapToGrid w:val="0"/>
                    <w:rPr>
                      <w:rFonts w:hint="default" w:ascii="Times New Roman" w:hAnsi="Times New Roman" w:eastAsia="宋体" w:cs="Times New Roman"/>
                      <w:b/>
                      <w:bCs/>
                      <w:color w:val="auto"/>
                      <w:kern w:val="2"/>
                      <w:sz w:val="21"/>
                      <w:szCs w:val="21"/>
                    </w:rPr>
                  </w:pPr>
                  <w:r>
                    <w:rPr>
                      <w:rFonts w:hint="default" w:ascii="Times New Roman" w:hAnsi="Times New Roman" w:eastAsia="宋体" w:cs="Times New Roman"/>
                      <w:b/>
                      <w:bCs/>
                      <w:color w:val="auto"/>
                      <w:kern w:val="2"/>
                      <w:sz w:val="21"/>
                      <w:szCs w:val="21"/>
                    </w:rPr>
                    <w:t>产品规模</w:t>
                  </w:r>
                </w:p>
              </w:tc>
              <w:tc>
                <w:tcPr>
                  <w:tcW w:w="644" w:type="pct"/>
                  <w:tcBorders>
                    <w:tl2br w:val="nil"/>
                    <w:tr2bl w:val="nil"/>
                  </w:tcBorders>
                  <w:tcMar>
                    <w:left w:w="0" w:type="dxa"/>
                    <w:right w:w="0" w:type="dxa"/>
                  </w:tcMar>
                  <w:vAlign w:val="center"/>
                </w:tcPr>
                <w:p w14:paraId="2E1FEB3E">
                  <w:pPr>
                    <w:pStyle w:val="25"/>
                    <w:adjustRightInd w:val="0"/>
                    <w:snapToGrid w:val="0"/>
                    <w:rPr>
                      <w:rFonts w:hint="default" w:ascii="Times New Roman" w:hAnsi="Times New Roman" w:eastAsia="宋体" w:cs="Times New Roman"/>
                      <w:b/>
                      <w:bCs/>
                      <w:color w:val="auto"/>
                      <w:kern w:val="2"/>
                      <w:sz w:val="21"/>
                      <w:szCs w:val="21"/>
                    </w:rPr>
                  </w:pPr>
                  <w:r>
                    <w:rPr>
                      <w:rFonts w:hint="default" w:ascii="Times New Roman" w:hAnsi="Times New Roman" w:eastAsia="宋体" w:cs="Times New Roman"/>
                      <w:b/>
                      <w:bCs/>
                      <w:color w:val="auto"/>
                      <w:kern w:val="2"/>
                      <w:sz w:val="21"/>
                      <w:szCs w:val="21"/>
                    </w:rPr>
                    <w:t>生产情况</w:t>
                  </w:r>
                </w:p>
              </w:tc>
            </w:tr>
            <w:tr w14:paraId="7F02D1F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403" w:hRule="atLeast"/>
                <w:jc w:val="center"/>
              </w:trPr>
              <w:tc>
                <w:tcPr>
                  <w:tcW w:w="329" w:type="pct"/>
                  <w:tcBorders>
                    <w:tl2br w:val="nil"/>
                    <w:tr2bl w:val="nil"/>
                  </w:tcBorders>
                  <w:vAlign w:val="center"/>
                </w:tcPr>
                <w:p w14:paraId="63FBC79B">
                  <w:pPr>
                    <w:pStyle w:val="25"/>
                    <w:adjustRightInd w:val="0"/>
                    <w:snapToGrid w:val="0"/>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1</w:t>
                  </w:r>
                </w:p>
              </w:tc>
              <w:tc>
                <w:tcPr>
                  <w:tcW w:w="819" w:type="pct"/>
                  <w:tcBorders>
                    <w:tl2br w:val="nil"/>
                    <w:tr2bl w:val="nil"/>
                  </w:tcBorders>
                  <w:tcMar>
                    <w:left w:w="0" w:type="dxa"/>
                    <w:right w:w="0" w:type="dxa"/>
                  </w:tcMar>
                  <w:vAlign w:val="center"/>
                </w:tcPr>
                <w:p w14:paraId="27B88693">
                  <w:pPr>
                    <w:pStyle w:val="25"/>
                    <w:adjustRightInd w:val="0"/>
                    <w:snapToGrid w:val="0"/>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年产9000吨超硬复合新</w:t>
                  </w:r>
                  <w:r>
                    <w:rPr>
                      <w:rFonts w:hint="default" w:ascii="Times New Roman" w:hAnsi="Times New Roman" w:eastAsia="宋体" w:cs="Times New Roman"/>
                      <w:color w:val="auto"/>
                      <w:kern w:val="2"/>
                      <w:sz w:val="21"/>
                      <w:szCs w:val="21"/>
                      <w:lang w:eastAsia="zh-CN"/>
                    </w:rPr>
                    <w:t>材料</w:t>
                  </w:r>
                  <w:r>
                    <w:rPr>
                      <w:rFonts w:hint="default" w:ascii="Times New Roman" w:hAnsi="Times New Roman" w:eastAsia="宋体" w:cs="Times New Roman"/>
                      <w:color w:val="auto"/>
                      <w:kern w:val="2"/>
                      <w:sz w:val="21"/>
                      <w:szCs w:val="21"/>
                    </w:rPr>
                    <w:t>提升改造和扩建项目</w:t>
                  </w:r>
                </w:p>
              </w:tc>
              <w:tc>
                <w:tcPr>
                  <w:tcW w:w="1319" w:type="pct"/>
                  <w:tcBorders>
                    <w:tl2br w:val="nil"/>
                    <w:tr2bl w:val="nil"/>
                  </w:tcBorders>
                  <w:tcMar>
                    <w:left w:w="0" w:type="dxa"/>
                    <w:right w:w="0" w:type="dxa"/>
                  </w:tcMar>
                  <w:vAlign w:val="center"/>
                </w:tcPr>
                <w:p w14:paraId="1090D157">
                  <w:pPr>
                    <w:pStyle w:val="25"/>
                    <w:adjustRightInd w:val="0"/>
                    <w:snapToGrid w:val="0"/>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淄文环报告表〔2020〕74号</w:t>
                  </w:r>
                </w:p>
              </w:tc>
              <w:tc>
                <w:tcPr>
                  <w:tcW w:w="1037" w:type="pct"/>
                  <w:tcBorders>
                    <w:tl2br w:val="nil"/>
                    <w:tr2bl w:val="nil"/>
                  </w:tcBorders>
                  <w:tcMar>
                    <w:left w:w="0" w:type="dxa"/>
                    <w:right w:w="0" w:type="dxa"/>
                  </w:tcMar>
                  <w:vAlign w:val="center"/>
                </w:tcPr>
                <w:p w14:paraId="47174E6D">
                  <w:pPr>
                    <w:pStyle w:val="25"/>
                    <w:adjustRightInd w:val="0"/>
                    <w:snapToGrid w:val="0"/>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自主验收，2021年6月</w:t>
                  </w:r>
                </w:p>
              </w:tc>
              <w:tc>
                <w:tcPr>
                  <w:tcW w:w="848" w:type="pct"/>
                  <w:tcBorders>
                    <w:tl2br w:val="nil"/>
                    <w:tr2bl w:val="nil"/>
                  </w:tcBorders>
                  <w:tcMar>
                    <w:left w:w="0" w:type="dxa"/>
                    <w:right w:w="0" w:type="dxa"/>
                  </w:tcMar>
                  <w:vAlign w:val="center"/>
                </w:tcPr>
                <w:p w14:paraId="03E33E3C">
                  <w:pPr>
                    <w:pStyle w:val="25"/>
                    <w:adjustRightInd w:val="0"/>
                    <w:snapToGrid w:val="0"/>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lang w:val="en-US" w:eastAsia="zh-CN"/>
                    </w:rPr>
                    <w:t>年产刚玉砂9000t/a（本公司实有年产刚玉砂5000t/a）</w:t>
                  </w:r>
                </w:p>
              </w:tc>
              <w:tc>
                <w:tcPr>
                  <w:tcW w:w="644" w:type="pct"/>
                  <w:tcBorders>
                    <w:tl2br w:val="nil"/>
                    <w:tr2bl w:val="nil"/>
                  </w:tcBorders>
                  <w:tcMar>
                    <w:left w:w="0" w:type="dxa"/>
                    <w:right w:w="0" w:type="dxa"/>
                  </w:tcMar>
                  <w:vAlign w:val="center"/>
                </w:tcPr>
                <w:p w14:paraId="25CAAD63">
                  <w:pPr>
                    <w:pStyle w:val="25"/>
                    <w:adjustRightInd w:val="0"/>
                    <w:snapToGrid w:val="0"/>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正常运行</w:t>
                  </w:r>
                </w:p>
              </w:tc>
            </w:tr>
          </w:tbl>
          <w:p w14:paraId="1A2BE8F3">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vertAlign w:val="baseline"/>
              </w:rPr>
              <w:t>2、现有项目生产工艺</w:t>
            </w:r>
          </w:p>
          <w:p w14:paraId="65BB0745">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both"/>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rPr>
              <w:drawing>
                <wp:inline distT="0" distB="0" distL="114300" distR="114300">
                  <wp:extent cx="5019040" cy="2806065"/>
                  <wp:effectExtent l="0" t="0" r="10160" b="13335"/>
                  <wp:docPr id="5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8"/>
                          <pic:cNvPicPr>
                            <a:picLocks noChangeAspect="1"/>
                          </pic:cNvPicPr>
                        </pic:nvPicPr>
                        <pic:blipFill>
                          <a:blip r:embed="rId17"/>
                          <a:stretch>
                            <a:fillRect/>
                          </a:stretch>
                        </pic:blipFill>
                        <pic:spPr>
                          <a:xfrm>
                            <a:off x="0" y="0"/>
                            <a:ext cx="5019040" cy="2806065"/>
                          </a:xfrm>
                          <a:prstGeom prst="rect">
                            <a:avLst/>
                          </a:prstGeom>
                          <a:noFill/>
                          <a:ln>
                            <a:noFill/>
                          </a:ln>
                        </pic:spPr>
                      </pic:pic>
                    </a:graphicData>
                  </a:graphic>
                </wp:inline>
              </w:drawing>
            </w:r>
          </w:p>
          <w:p w14:paraId="2E93DF13">
            <w:pPr>
              <w:keepNext w:val="0"/>
              <w:keepLines w:val="0"/>
              <w:pageBreakBefore w:val="0"/>
              <w:widowControl w:val="0"/>
              <w:kinsoku/>
              <w:wordWrap/>
              <w:overflowPunct/>
              <w:topLinePunct w:val="0"/>
              <w:autoSpaceDE w:val="0"/>
              <w:autoSpaceDN w:val="0"/>
              <w:bidi w:val="0"/>
              <w:adjustRightInd w:val="0"/>
              <w:snapToGrid w:val="0"/>
              <w:spacing w:line="360" w:lineRule="auto"/>
              <w:ind w:left="0" w:leftChars="0" w:right="0" w:rightChars="0" w:firstLine="0" w:firstLineChars="0"/>
              <w:jc w:val="center"/>
              <w:textAlignment w:val="baseline"/>
              <w:rPr>
                <w:rFonts w:hint="default" w:ascii="Times New Roman" w:hAnsi="Times New Roman" w:eastAsia="宋体" w:cs="Times New Roman"/>
                <w:b/>
                <w:bCs/>
                <w:color w:val="auto"/>
                <w:sz w:val="21"/>
                <w:szCs w:val="21"/>
                <w:lang w:eastAsia="zh-CN"/>
              </w:rPr>
            </w:pPr>
            <w:r>
              <w:rPr>
                <w:rFonts w:hint="default" w:ascii="Times New Roman" w:hAnsi="Times New Roman" w:eastAsia="宋体" w:cs="Times New Roman"/>
                <w:b/>
                <w:bCs/>
                <w:color w:val="auto"/>
                <w:sz w:val="21"/>
                <w:szCs w:val="21"/>
                <w:lang w:eastAsia="zh-CN"/>
              </w:rPr>
              <w:t>图2-</w:t>
            </w:r>
            <w:r>
              <w:rPr>
                <w:rFonts w:hint="default" w:ascii="Times New Roman" w:hAnsi="Times New Roman" w:eastAsia="宋体" w:cs="Times New Roman"/>
                <w:b/>
                <w:bCs/>
                <w:color w:val="auto"/>
                <w:sz w:val="21"/>
                <w:szCs w:val="21"/>
                <w:lang w:val="en-US" w:eastAsia="zh-CN"/>
              </w:rPr>
              <w:t>5</w:t>
            </w:r>
            <w:r>
              <w:rPr>
                <w:rFonts w:hint="default" w:ascii="Times New Roman" w:hAnsi="Times New Roman" w:eastAsia="宋体" w:cs="Times New Roman"/>
                <w:b/>
                <w:bCs/>
                <w:color w:val="auto"/>
                <w:sz w:val="21"/>
                <w:szCs w:val="21"/>
                <w:lang w:eastAsia="zh-CN"/>
              </w:rPr>
              <w:t xml:space="preserve"> </w:t>
            </w:r>
            <w:r>
              <w:rPr>
                <w:rFonts w:hint="default" w:ascii="Times New Roman" w:hAnsi="Times New Roman" w:eastAsia="宋体" w:cs="Times New Roman"/>
                <w:b/>
                <w:bCs/>
                <w:color w:val="auto"/>
                <w:sz w:val="21"/>
                <w:szCs w:val="21"/>
                <w:lang w:val="en-US" w:eastAsia="zh-CN"/>
              </w:rPr>
              <w:t>现有</w:t>
            </w:r>
            <w:r>
              <w:rPr>
                <w:rFonts w:hint="default" w:ascii="Times New Roman" w:hAnsi="Times New Roman" w:eastAsia="宋体" w:cs="Times New Roman"/>
                <w:b/>
                <w:bCs/>
                <w:color w:val="auto"/>
                <w:sz w:val="21"/>
                <w:szCs w:val="21"/>
                <w:lang w:eastAsia="zh-CN"/>
              </w:rPr>
              <w:t>项目生产工艺流程及产污环节图</w:t>
            </w:r>
          </w:p>
          <w:p w14:paraId="57901316">
            <w:pPr>
              <w:keepNext w:val="0"/>
              <w:keepLines w:val="0"/>
              <w:pageBreakBefore w:val="0"/>
              <w:widowControl w:val="0"/>
              <w:kinsoku/>
              <w:wordWrap/>
              <w:overflowPunct/>
              <w:topLinePunct w:val="0"/>
              <w:autoSpaceDE w:val="0"/>
              <w:autoSpaceDN w:val="0"/>
              <w:bidi w:val="0"/>
              <w:adjustRightInd w:val="0"/>
              <w:snapToGrid w:val="0"/>
              <w:spacing w:line="360" w:lineRule="auto"/>
              <w:ind w:left="0" w:leftChars="0" w:firstLine="420" w:firstLineChars="200"/>
              <w:textAlignment w:val="baseline"/>
              <w:rPr>
                <w:rFonts w:hint="default" w:ascii="Times New Roman" w:hAnsi="Times New Roman" w:eastAsia="宋体" w:cs="Times New Roman"/>
                <w:color w:val="auto"/>
                <w:sz w:val="21"/>
                <w:szCs w:val="21"/>
                <w:vertAlign w:val="baseline"/>
                <w:lang w:eastAsia="zh-CN"/>
              </w:rPr>
            </w:pPr>
            <w:r>
              <w:rPr>
                <w:rFonts w:hint="default" w:ascii="Times New Roman" w:hAnsi="Times New Roman" w:eastAsia="宋体" w:cs="Times New Roman"/>
                <w:color w:val="auto"/>
                <w:sz w:val="21"/>
                <w:szCs w:val="21"/>
                <w:vertAlign w:val="baseline"/>
                <w:lang w:eastAsia="zh-CN"/>
              </w:rPr>
              <w:t>工艺流程简述：</w:t>
            </w:r>
          </w:p>
          <w:p w14:paraId="0533F663">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vertAlign w:val="baseline"/>
                <w:lang w:eastAsia="zh-CN"/>
              </w:rPr>
              <w:t>将外购的白刚玉块投入颚破机进行破碎，然后经提升机提升至料仓内进入对辊机进行研磨，研磨完成后先用振动筛进行筛分，筛分粒径较大的刚玉砂重新进入对辊机内进行研磨，筛分出来粒径符合要求的刚玉砂通过料仓进入整形机内去除棱角，整形</w:t>
            </w:r>
            <w:r>
              <w:rPr>
                <w:rFonts w:hint="default" w:ascii="Times New Roman" w:hAnsi="Times New Roman" w:eastAsia="宋体" w:cs="Times New Roman"/>
                <w:color w:val="auto"/>
                <w:sz w:val="21"/>
                <w:szCs w:val="21"/>
                <w:vertAlign w:val="baseline"/>
                <w:lang w:val="en-US" w:eastAsia="zh-CN"/>
              </w:rPr>
              <w:t>粉磨</w:t>
            </w:r>
            <w:r>
              <w:rPr>
                <w:rFonts w:hint="default" w:ascii="Times New Roman" w:hAnsi="Times New Roman" w:eastAsia="宋体" w:cs="Times New Roman"/>
                <w:color w:val="auto"/>
                <w:sz w:val="21"/>
                <w:szCs w:val="21"/>
                <w:vertAlign w:val="baseline"/>
                <w:lang w:eastAsia="zh-CN"/>
              </w:rPr>
              <w:t>后通过磁选机将其中的含铁物质分离出来，然后再次通过振动筛进行筛分，筛分出粒径不同的刚玉砂作为不同规格的产品，</w:t>
            </w:r>
            <w:r>
              <w:rPr>
                <w:rFonts w:hint="default" w:ascii="Times New Roman" w:hAnsi="Times New Roman" w:eastAsia="宋体" w:cs="Times New Roman"/>
                <w:color w:val="auto"/>
                <w:sz w:val="21"/>
                <w:szCs w:val="21"/>
                <w:vertAlign w:val="baseline"/>
                <w:lang w:val="en-US" w:eastAsia="zh-CN"/>
              </w:rPr>
              <w:t>最后成品砂包装入库</w:t>
            </w:r>
            <w:r>
              <w:rPr>
                <w:rFonts w:hint="default" w:ascii="Times New Roman" w:hAnsi="Times New Roman" w:eastAsia="宋体" w:cs="Times New Roman"/>
                <w:color w:val="auto"/>
                <w:sz w:val="21"/>
                <w:szCs w:val="21"/>
                <w:vertAlign w:val="baseline"/>
                <w:lang w:eastAsia="zh-CN"/>
              </w:rPr>
              <w:t>。</w:t>
            </w:r>
          </w:p>
          <w:p w14:paraId="50F5995C">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rPr>
              <w:t>二、现有项目污染物治理及排放情况</w:t>
            </w:r>
          </w:p>
          <w:p w14:paraId="00B616B1">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vertAlign w:val="baseline"/>
              </w:rPr>
              <w:t>（1）废气</w:t>
            </w:r>
          </w:p>
          <w:p w14:paraId="02690215">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现有项目废气主要为破碎、对辊破碎、粗筛分、整形粉磨、细筛分工序产生的粉尘，经集气罩收集后经脉冲式布袋除尘器处理后通过15m高排气筒（P4）有组织排放。</w:t>
            </w:r>
          </w:p>
          <w:p w14:paraId="4A00C397">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rPr>
              <w:t>表2-</w:t>
            </w:r>
            <w:r>
              <w:rPr>
                <w:rFonts w:hint="default" w:ascii="Times New Roman" w:hAnsi="Times New Roman" w:eastAsia="宋体" w:cs="Times New Roman"/>
                <w:b/>
                <w:bCs/>
                <w:color w:val="auto"/>
                <w:sz w:val="21"/>
                <w:szCs w:val="21"/>
                <w:lang w:val="en-US" w:eastAsia="zh-CN"/>
              </w:rPr>
              <w:t>7</w:t>
            </w:r>
            <w:r>
              <w:rPr>
                <w:rFonts w:hint="default" w:ascii="Times New Roman" w:hAnsi="Times New Roman" w:eastAsia="宋体" w:cs="Times New Roman"/>
                <w:b/>
                <w:bCs/>
                <w:color w:val="auto"/>
                <w:sz w:val="21"/>
                <w:szCs w:val="21"/>
              </w:rPr>
              <w:t xml:space="preserve"> 现有项目</w:t>
            </w:r>
            <w:r>
              <w:rPr>
                <w:rFonts w:hint="default" w:ascii="Times New Roman" w:hAnsi="Times New Roman" w:eastAsia="宋体" w:cs="Times New Roman"/>
                <w:b/>
                <w:bCs/>
                <w:color w:val="auto"/>
                <w:sz w:val="21"/>
                <w:szCs w:val="21"/>
                <w:lang w:val="en-US" w:eastAsia="zh-CN"/>
              </w:rPr>
              <w:t>颗粒物有组织检测结果</w:t>
            </w:r>
          </w:p>
          <w:tbl>
            <w:tblPr>
              <w:tblStyle w:val="15"/>
              <w:tblW w:w="76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05"/>
              <w:gridCol w:w="1905"/>
              <w:gridCol w:w="1906"/>
              <w:gridCol w:w="1906"/>
            </w:tblGrid>
            <w:tr w14:paraId="62AE6A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5" w:type="dxa"/>
                  <w:vAlign w:val="center"/>
                </w:tcPr>
                <w:p w14:paraId="294CBBCD">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监测点位</w:t>
                  </w:r>
                </w:p>
              </w:tc>
              <w:tc>
                <w:tcPr>
                  <w:tcW w:w="5717" w:type="dxa"/>
                  <w:gridSpan w:val="3"/>
                  <w:vAlign w:val="center"/>
                </w:tcPr>
                <w:p w14:paraId="61BD659F">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P4 排气筒（出口）</w:t>
                  </w:r>
                </w:p>
              </w:tc>
            </w:tr>
            <w:tr w14:paraId="73FF9E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5" w:type="dxa"/>
                  <w:vAlign w:val="center"/>
                </w:tcPr>
                <w:p w14:paraId="5E38364E">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采样日期</w:t>
                  </w:r>
                </w:p>
              </w:tc>
              <w:tc>
                <w:tcPr>
                  <w:tcW w:w="5717" w:type="dxa"/>
                  <w:gridSpan w:val="3"/>
                  <w:vAlign w:val="center"/>
                </w:tcPr>
                <w:p w14:paraId="6CB507BD">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2024年08月10日</w:t>
                  </w:r>
                </w:p>
              </w:tc>
            </w:tr>
            <w:tr w14:paraId="2BD3A5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5" w:type="dxa"/>
                  <w:vAlign w:val="center"/>
                </w:tcPr>
                <w:p w14:paraId="707C3942">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检测频次</w:t>
                  </w:r>
                </w:p>
              </w:tc>
              <w:tc>
                <w:tcPr>
                  <w:tcW w:w="1905" w:type="dxa"/>
                  <w:vAlign w:val="center"/>
                </w:tcPr>
                <w:p w14:paraId="5067C48C">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w:t>
                  </w:r>
                </w:p>
              </w:tc>
              <w:tc>
                <w:tcPr>
                  <w:tcW w:w="1906" w:type="dxa"/>
                  <w:vAlign w:val="center"/>
                </w:tcPr>
                <w:p w14:paraId="4706512B">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w:t>
                  </w:r>
                </w:p>
              </w:tc>
              <w:tc>
                <w:tcPr>
                  <w:tcW w:w="1906" w:type="dxa"/>
                  <w:vAlign w:val="center"/>
                </w:tcPr>
                <w:p w14:paraId="46D7C271">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3</w:t>
                  </w:r>
                </w:p>
              </w:tc>
            </w:tr>
            <w:tr w14:paraId="3F7184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5" w:type="dxa"/>
                  <w:vAlign w:val="center"/>
                </w:tcPr>
                <w:p w14:paraId="5A300FF9">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高度（m）</w:t>
                  </w:r>
                </w:p>
              </w:tc>
              <w:tc>
                <w:tcPr>
                  <w:tcW w:w="5717" w:type="dxa"/>
                  <w:gridSpan w:val="3"/>
                  <w:vAlign w:val="center"/>
                </w:tcPr>
                <w:p w14:paraId="5B109DC4">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15</w:t>
                  </w:r>
                </w:p>
              </w:tc>
            </w:tr>
            <w:tr w14:paraId="3C5AFB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5" w:type="dxa"/>
                  <w:vAlign w:val="center"/>
                </w:tcPr>
                <w:p w14:paraId="034B0764">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内径（m）</w:t>
                  </w:r>
                </w:p>
              </w:tc>
              <w:tc>
                <w:tcPr>
                  <w:tcW w:w="5717" w:type="dxa"/>
                  <w:gridSpan w:val="3"/>
                  <w:vAlign w:val="center"/>
                </w:tcPr>
                <w:p w14:paraId="0CF01A36">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0.25</w:t>
                  </w:r>
                </w:p>
              </w:tc>
            </w:tr>
            <w:tr w14:paraId="19DF6A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5" w:type="dxa"/>
                  <w:vAlign w:val="center"/>
                </w:tcPr>
                <w:p w14:paraId="68E544CD">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烟温（℃）</w:t>
                  </w:r>
                </w:p>
              </w:tc>
              <w:tc>
                <w:tcPr>
                  <w:tcW w:w="1905" w:type="dxa"/>
                  <w:vAlign w:val="center"/>
                </w:tcPr>
                <w:p w14:paraId="4778F69B">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31</w:t>
                  </w:r>
                </w:p>
              </w:tc>
              <w:tc>
                <w:tcPr>
                  <w:tcW w:w="1906" w:type="dxa"/>
                  <w:vAlign w:val="center"/>
                </w:tcPr>
                <w:p w14:paraId="08F9C649">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30</w:t>
                  </w:r>
                </w:p>
              </w:tc>
              <w:tc>
                <w:tcPr>
                  <w:tcW w:w="1906" w:type="dxa"/>
                  <w:vAlign w:val="center"/>
                </w:tcPr>
                <w:p w14:paraId="3905E7F7">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29</w:t>
                  </w:r>
                </w:p>
              </w:tc>
            </w:tr>
            <w:tr w14:paraId="4C3F56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5" w:type="dxa"/>
                  <w:vAlign w:val="center"/>
                </w:tcPr>
                <w:p w14:paraId="591D5187">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流速（m/s）</w:t>
                  </w:r>
                </w:p>
              </w:tc>
              <w:tc>
                <w:tcPr>
                  <w:tcW w:w="1905" w:type="dxa"/>
                  <w:vAlign w:val="center"/>
                </w:tcPr>
                <w:p w14:paraId="2CC3E3CB">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23.3</w:t>
                  </w:r>
                </w:p>
              </w:tc>
              <w:tc>
                <w:tcPr>
                  <w:tcW w:w="1906" w:type="dxa"/>
                  <w:vAlign w:val="center"/>
                </w:tcPr>
                <w:p w14:paraId="6CA2B317">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22.9</w:t>
                  </w:r>
                </w:p>
              </w:tc>
              <w:tc>
                <w:tcPr>
                  <w:tcW w:w="1906" w:type="dxa"/>
                  <w:vAlign w:val="center"/>
                </w:tcPr>
                <w:p w14:paraId="128A71B1">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23.0</w:t>
                  </w:r>
                </w:p>
              </w:tc>
            </w:tr>
            <w:tr w14:paraId="1E93A2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5" w:type="dxa"/>
                  <w:vAlign w:val="center"/>
                </w:tcPr>
                <w:p w14:paraId="45036F0D">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标干流量（Nm</w:t>
                  </w:r>
                  <w:r>
                    <w:rPr>
                      <w:rFonts w:hint="default" w:ascii="Times New Roman" w:hAnsi="Times New Roman" w:eastAsia="宋体" w:cs="Times New Roman"/>
                      <w:color w:val="auto"/>
                      <w:sz w:val="21"/>
                      <w:szCs w:val="21"/>
                      <w:vertAlign w:val="superscript"/>
                      <w:lang w:val="en-US" w:eastAsia="zh-CN"/>
                    </w:rPr>
                    <w:t>3</w:t>
                  </w:r>
                  <w:r>
                    <w:rPr>
                      <w:rFonts w:hint="default" w:ascii="Times New Roman" w:hAnsi="Times New Roman" w:eastAsia="宋体" w:cs="Times New Roman"/>
                      <w:color w:val="auto"/>
                      <w:sz w:val="21"/>
                      <w:szCs w:val="21"/>
                      <w:vertAlign w:val="baseline"/>
                      <w:lang w:val="en-US" w:eastAsia="zh-CN"/>
                    </w:rPr>
                    <w:t>/h）</w:t>
                  </w:r>
                </w:p>
              </w:tc>
              <w:tc>
                <w:tcPr>
                  <w:tcW w:w="1905" w:type="dxa"/>
                  <w:vAlign w:val="center"/>
                </w:tcPr>
                <w:p w14:paraId="6451CAC3">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3582</w:t>
                  </w:r>
                </w:p>
              </w:tc>
              <w:tc>
                <w:tcPr>
                  <w:tcW w:w="1906" w:type="dxa"/>
                  <w:vAlign w:val="center"/>
                </w:tcPr>
                <w:p w14:paraId="32F41F23">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3540</w:t>
                  </w:r>
                </w:p>
              </w:tc>
              <w:tc>
                <w:tcPr>
                  <w:tcW w:w="1906" w:type="dxa"/>
                  <w:vAlign w:val="center"/>
                </w:tcPr>
                <w:p w14:paraId="511C18A6">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3558</w:t>
                  </w:r>
                </w:p>
              </w:tc>
            </w:tr>
            <w:tr w14:paraId="568535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5" w:type="dxa"/>
                  <w:vAlign w:val="center"/>
                </w:tcPr>
                <w:p w14:paraId="4694C669">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样品编号</w:t>
                  </w:r>
                </w:p>
              </w:tc>
              <w:tc>
                <w:tcPr>
                  <w:tcW w:w="1905" w:type="dxa"/>
                  <w:vAlign w:val="center"/>
                </w:tcPr>
                <w:p w14:paraId="09F33A0C">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2024081001FQ010</w:t>
                  </w:r>
                </w:p>
              </w:tc>
              <w:tc>
                <w:tcPr>
                  <w:tcW w:w="1906" w:type="dxa"/>
                  <w:vAlign w:val="center"/>
                </w:tcPr>
                <w:p w14:paraId="3CACE6A1">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2024081001FQ011</w:t>
                  </w:r>
                </w:p>
              </w:tc>
              <w:tc>
                <w:tcPr>
                  <w:tcW w:w="1906" w:type="dxa"/>
                  <w:vAlign w:val="center"/>
                </w:tcPr>
                <w:p w14:paraId="7FAC57B6">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2024081001FQ012</w:t>
                  </w:r>
                </w:p>
              </w:tc>
            </w:tr>
            <w:tr w14:paraId="759167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5" w:type="dxa"/>
                  <w:vAlign w:val="center"/>
                </w:tcPr>
                <w:p w14:paraId="1D18703A">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颗粒物排放浓度（</w:t>
                  </w:r>
                  <w:r>
                    <w:rPr>
                      <w:rFonts w:hint="default" w:ascii="Times New Roman" w:hAnsi="Times New Roman" w:eastAsia="宋体" w:cs="Times New Roman"/>
                      <w:color w:val="auto"/>
                      <w:sz w:val="21"/>
                      <w:szCs w:val="21"/>
                      <w:vertAlign w:val="baseline"/>
                    </w:rPr>
                    <w:t>mg/m</w:t>
                  </w:r>
                  <w:r>
                    <w:rPr>
                      <w:rFonts w:hint="default"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sz w:val="21"/>
                      <w:szCs w:val="21"/>
                      <w:vertAlign w:val="baseline"/>
                      <w:lang w:val="en-US" w:eastAsia="zh-CN"/>
                    </w:rPr>
                    <w:t>）</w:t>
                  </w:r>
                </w:p>
              </w:tc>
              <w:tc>
                <w:tcPr>
                  <w:tcW w:w="1905" w:type="dxa"/>
                  <w:vAlign w:val="center"/>
                </w:tcPr>
                <w:p w14:paraId="23CC47FC">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6.0</w:t>
                  </w:r>
                </w:p>
              </w:tc>
              <w:tc>
                <w:tcPr>
                  <w:tcW w:w="1906" w:type="dxa"/>
                  <w:vAlign w:val="center"/>
                </w:tcPr>
                <w:p w14:paraId="1AB740DA">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6.5</w:t>
                  </w:r>
                </w:p>
              </w:tc>
              <w:tc>
                <w:tcPr>
                  <w:tcW w:w="1906" w:type="dxa"/>
                  <w:vAlign w:val="center"/>
                </w:tcPr>
                <w:p w14:paraId="2831CCC9">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5.4</w:t>
                  </w:r>
                </w:p>
              </w:tc>
            </w:tr>
            <w:tr w14:paraId="100AEB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5" w:type="dxa"/>
                  <w:vAlign w:val="center"/>
                </w:tcPr>
                <w:p w14:paraId="67580B04">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颗粒物排放速率（</w:t>
                  </w:r>
                  <w:r>
                    <w:rPr>
                      <w:rFonts w:hint="default" w:ascii="Times New Roman" w:hAnsi="Times New Roman" w:eastAsia="宋体" w:cs="Times New Roman"/>
                      <w:color w:val="auto"/>
                      <w:sz w:val="21"/>
                      <w:szCs w:val="21"/>
                      <w:vertAlign w:val="baseline"/>
                    </w:rPr>
                    <w:t>kg/h</w:t>
                  </w:r>
                  <w:r>
                    <w:rPr>
                      <w:rFonts w:hint="default" w:ascii="Times New Roman" w:hAnsi="Times New Roman" w:eastAsia="宋体" w:cs="Times New Roman"/>
                      <w:color w:val="auto"/>
                      <w:sz w:val="21"/>
                      <w:szCs w:val="21"/>
                      <w:vertAlign w:val="baseline"/>
                      <w:lang w:val="en-US" w:eastAsia="zh-CN"/>
                    </w:rPr>
                    <w:t>）</w:t>
                  </w:r>
                </w:p>
              </w:tc>
              <w:tc>
                <w:tcPr>
                  <w:tcW w:w="1905" w:type="dxa"/>
                  <w:vAlign w:val="center"/>
                </w:tcPr>
                <w:p w14:paraId="54C74016">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2.1×10</w:t>
                  </w:r>
                  <w:r>
                    <w:rPr>
                      <w:rFonts w:hint="default" w:ascii="Times New Roman" w:hAnsi="Times New Roman" w:eastAsia="宋体" w:cs="Times New Roman"/>
                      <w:color w:val="auto"/>
                      <w:sz w:val="21"/>
                      <w:szCs w:val="21"/>
                      <w:vertAlign w:val="superscript"/>
                      <w:lang w:val="en-US" w:eastAsia="zh-CN"/>
                    </w:rPr>
                    <w:t>-2</w:t>
                  </w:r>
                </w:p>
              </w:tc>
              <w:tc>
                <w:tcPr>
                  <w:tcW w:w="1906" w:type="dxa"/>
                  <w:vAlign w:val="center"/>
                </w:tcPr>
                <w:p w14:paraId="780E6796">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2.3×10</w:t>
                  </w:r>
                  <w:r>
                    <w:rPr>
                      <w:rFonts w:hint="default" w:ascii="Times New Roman" w:hAnsi="Times New Roman" w:eastAsia="宋体" w:cs="Times New Roman"/>
                      <w:color w:val="auto"/>
                      <w:sz w:val="21"/>
                      <w:szCs w:val="21"/>
                      <w:vertAlign w:val="superscript"/>
                      <w:lang w:val="en-US" w:eastAsia="zh-CN"/>
                    </w:rPr>
                    <w:t>-2</w:t>
                  </w:r>
                </w:p>
              </w:tc>
              <w:tc>
                <w:tcPr>
                  <w:tcW w:w="1906" w:type="dxa"/>
                  <w:vAlign w:val="center"/>
                </w:tcPr>
                <w:p w14:paraId="31B247A4">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1.9×10</w:t>
                  </w:r>
                  <w:r>
                    <w:rPr>
                      <w:rFonts w:hint="default" w:ascii="Times New Roman" w:hAnsi="Times New Roman" w:eastAsia="宋体" w:cs="Times New Roman"/>
                      <w:color w:val="auto"/>
                      <w:sz w:val="21"/>
                      <w:szCs w:val="21"/>
                      <w:vertAlign w:val="superscript"/>
                      <w:lang w:val="en-US" w:eastAsia="zh-CN"/>
                    </w:rPr>
                    <w:t>-2</w:t>
                  </w:r>
                </w:p>
              </w:tc>
            </w:tr>
            <w:tr w14:paraId="26CE1B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05" w:type="dxa"/>
                  <w:vAlign w:val="center"/>
                </w:tcPr>
                <w:p w14:paraId="3497CC1B">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备注</w:t>
                  </w:r>
                </w:p>
              </w:tc>
              <w:tc>
                <w:tcPr>
                  <w:tcW w:w="5717" w:type="dxa"/>
                  <w:gridSpan w:val="3"/>
                  <w:vAlign w:val="center"/>
                </w:tcPr>
                <w:p w14:paraId="73EDBEC8">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w:t>
                  </w:r>
                </w:p>
              </w:tc>
            </w:tr>
          </w:tbl>
          <w:p w14:paraId="315ED0C5">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rPr>
              <w:t>根据2024年</w:t>
            </w:r>
            <w:r>
              <w:rPr>
                <w:rFonts w:hint="default" w:ascii="Times New Roman" w:hAnsi="Times New Roman" w:eastAsia="宋体" w:cs="Times New Roman"/>
                <w:color w:val="auto"/>
                <w:sz w:val="21"/>
                <w:szCs w:val="21"/>
                <w:vertAlign w:val="baseline"/>
                <w:lang w:val="en-US" w:eastAsia="zh-CN"/>
              </w:rPr>
              <w:t>8</w:t>
            </w:r>
            <w:r>
              <w:rPr>
                <w:rFonts w:hint="default" w:ascii="Times New Roman" w:hAnsi="Times New Roman" w:eastAsia="宋体" w:cs="Times New Roman"/>
                <w:color w:val="auto"/>
                <w:sz w:val="21"/>
                <w:szCs w:val="21"/>
                <w:vertAlign w:val="baseline"/>
              </w:rPr>
              <w:t>月</w:t>
            </w:r>
            <w:r>
              <w:rPr>
                <w:rFonts w:hint="default" w:ascii="Times New Roman" w:hAnsi="Times New Roman" w:eastAsia="宋体" w:cs="Times New Roman"/>
                <w:color w:val="auto"/>
                <w:sz w:val="21"/>
                <w:szCs w:val="21"/>
                <w:vertAlign w:val="baseline"/>
                <w:lang w:val="en-US" w:eastAsia="zh-CN"/>
              </w:rPr>
              <w:t>16</w:t>
            </w:r>
            <w:r>
              <w:rPr>
                <w:rFonts w:hint="default" w:ascii="Times New Roman" w:hAnsi="Times New Roman" w:eastAsia="宋体" w:cs="Times New Roman"/>
                <w:color w:val="auto"/>
                <w:sz w:val="21"/>
                <w:szCs w:val="21"/>
                <w:vertAlign w:val="baseline"/>
              </w:rPr>
              <w:t>日监测报告（山东邦洁(检)字</w:t>
            </w:r>
            <w:r>
              <w:rPr>
                <w:rFonts w:hint="default" w:ascii="Times New Roman" w:hAnsi="Times New Roman" w:eastAsia="宋体" w:cs="Times New Roman"/>
                <w:color w:val="auto"/>
                <w:sz w:val="21"/>
                <w:szCs w:val="21"/>
                <w:vertAlign w:val="baseline"/>
                <w:lang w:eastAsia="zh-CN"/>
              </w:rPr>
              <w:t>〔</w:t>
            </w:r>
            <w:r>
              <w:rPr>
                <w:rFonts w:hint="default" w:ascii="Times New Roman" w:hAnsi="Times New Roman" w:eastAsia="宋体" w:cs="Times New Roman"/>
                <w:color w:val="auto"/>
                <w:sz w:val="21"/>
                <w:szCs w:val="21"/>
                <w:vertAlign w:val="baseline"/>
                <w:lang w:val="en-US" w:eastAsia="zh-CN"/>
              </w:rPr>
              <w:t>2024</w:t>
            </w:r>
            <w:r>
              <w:rPr>
                <w:rFonts w:hint="default" w:ascii="Times New Roman" w:hAnsi="Times New Roman" w:eastAsia="宋体" w:cs="Times New Roman"/>
                <w:color w:val="auto"/>
                <w:sz w:val="21"/>
                <w:szCs w:val="21"/>
                <w:vertAlign w:val="baseline"/>
                <w:lang w:eastAsia="zh-CN"/>
              </w:rPr>
              <w:t>〕</w:t>
            </w:r>
            <w:r>
              <w:rPr>
                <w:rFonts w:hint="default" w:ascii="Times New Roman" w:hAnsi="Times New Roman" w:eastAsia="宋体" w:cs="Times New Roman"/>
                <w:color w:val="auto"/>
                <w:sz w:val="21"/>
                <w:szCs w:val="21"/>
                <w:vertAlign w:val="baseline"/>
              </w:rPr>
              <w:t>081001）中监测数据可知，</w:t>
            </w:r>
            <w:r>
              <w:rPr>
                <w:rFonts w:hint="default" w:ascii="Times New Roman" w:hAnsi="Times New Roman" w:eastAsia="宋体" w:cs="Times New Roman"/>
                <w:color w:val="auto"/>
                <w:sz w:val="21"/>
                <w:szCs w:val="21"/>
                <w:vertAlign w:val="baseline"/>
                <w:lang w:val="en-US" w:eastAsia="zh-CN"/>
              </w:rPr>
              <w:t>现有项目废气排气筒P4颗粒物有组织排放浓度最大值为6.5</w:t>
            </w:r>
            <w:r>
              <w:rPr>
                <w:rFonts w:hint="default" w:ascii="Times New Roman" w:hAnsi="Times New Roman" w:eastAsia="宋体" w:cs="Times New Roman"/>
                <w:color w:val="auto"/>
                <w:sz w:val="21"/>
                <w:szCs w:val="21"/>
                <w:vertAlign w:val="baseline"/>
              </w:rPr>
              <w:t>mg/m</w:t>
            </w:r>
            <w:r>
              <w:rPr>
                <w:rFonts w:hint="default"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sz w:val="21"/>
                <w:szCs w:val="21"/>
                <w:vertAlign w:val="baseline"/>
              </w:rPr>
              <w:t>，</w:t>
            </w:r>
            <w:r>
              <w:rPr>
                <w:rFonts w:hint="default" w:ascii="Times New Roman" w:hAnsi="Times New Roman" w:eastAsia="宋体" w:cs="Times New Roman"/>
                <w:color w:val="auto"/>
                <w:sz w:val="21"/>
                <w:szCs w:val="21"/>
                <w:vertAlign w:val="baseline"/>
                <w:lang w:val="en-US" w:eastAsia="zh-CN"/>
              </w:rPr>
              <w:t>有组织排放速率最大值为0.023</w:t>
            </w:r>
            <w:r>
              <w:rPr>
                <w:rFonts w:hint="default" w:ascii="Times New Roman" w:hAnsi="Times New Roman" w:eastAsia="宋体" w:cs="Times New Roman"/>
                <w:color w:val="auto"/>
                <w:sz w:val="21"/>
                <w:szCs w:val="21"/>
                <w:vertAlign w:val="baseline"/>
              </w:rPr>
              <w:t>kg/h，</w:t>
            </w:r>
            <w:r>
              <w:rPr>
                <w:rFonts w:hint="default" w:ascii="Times New Roman" w:hAnsi="Times New Roman" w:eastAsia="宋体" w:cs="Times New Roman"/>
                <w:color w:val="auto"/>
                <w:sz w:val="21"/>
                <w:szCs w:val="21"/>
                <w:vertAlign w:val="baseline"/>
                <w:lang w:val="en-US" w:eastAsia="zh-CN"/>
              </w:rPr>
              <w:t>废气有组织排放浓度满足山东省《区域性大气污染物综合排放标准》（DB37/2376-2019）表1大气污染排放浓度限值中重点控制区限值要求（10mg/m³），颗粒物有组织排放速率满足《大气污染物综合排放标准》（GB16297-1996）表2新污染源大气污染物排放限值要求（3.5kg/h），根据检测结果，现有项目有组织颗粒物排放量为0.0552t/a，满足排污许可总量申请指标。</w:t>
            </w:r>
          </w:p>
          <w:p w14:paraId="6F686359">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b/>
                <w:bCs/>
                <w:color w:val="auto"/>
                <w:sz w:val="21"/>
                <w:szCs w:val="21"/>
              </w:rPr>
              <w:t>表2-</w:t>
            </w:r>
            <w:r>
              <w:rPr>
                <w:rFonts w:hint="default" w:ascii="Times New Roman" w:hAnsi="Times New Roman" w:eastAsia="宋体" w:cs="Times New Roman"/>
                <w:b/>
                <w:bCs/>
                <w:color w:val="auto"/>
                <w:sz w:val="21"/>
                <w:szCs w:val="21"/>
                <w:lang w:val="en-US" w:eastAsia="zh-CN"/>
              </w:rPr>
              <w:t>8</w:t>
            </w:r>
            <w:r>
              <w:rPr>
                <w:rFonts w:hint="default" w:ascii="Times New Roman" w:hAnsi="Times New Roman" w:eastAsia="宋体" w:cs="Times New Roman"/>
                <w:b/>
                <w:bCs/>
                <w:color w:val="auto"/>
                <w:sz w:val="21"/>
                <w:szCs w:val="21"/>
              </w:rPr>
              <w:t xml:space="preserve"> 现有项目</w:t>
            </w:r>
            <w:r>
              <w:rPr>
                <w:rFonts w:hint="default" w:ascii="Times New Roman" w:hAnsi="Times New Roman" w:eastAsia="宋体" w:cs="Times New Roman"/>
                <w:b/>
                <w:bCs/>
                <w:color w:val="auto"/>
                <w:sz w:val="21"/>
                <w:szCs w:val="21"/>
                <w:lang w:val="en-US" w:eastAsia="zh-CN"/>
              </w:rPr>
              <w:t>颗粒物厂界检测结果</w:t>
            </w:r>
          </w:p>
          <w:tbl>
            <w:tblPr>
              <w:tblStyle w:val="15"/>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60"/>
              <w:gridCol w:w="1149"/>
              <w:gridCol w:w="2048"/>
              <w:gridCol w:w="1148"/>
              <w:gridCol w:w="2264"/>
            </w:tblGrid>
            <w:tr w14:paraId="2DEE03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1" w:type="pct"/>
                  <w:vAlign w:val="center"/>
                </w:tcPr>
                <w:p w14:paraId="235B842B">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采样日期</w:t>
                  </w:r>
                </w:p>
              </w:tc>
              <w:tc>
                <w:tcPr>
                  <w:tcW w:w="729" w:type="pct"/>
                  <w:vAlign w:val="center"/>
                </w:tcPr>
                <w:p w14:paraId="58B47F0B">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检测项目</w:t>
                  </w:r>
                </w:p>
              </w:tc>
              <w:tc>
                <w:tcPr>
                  <w:tcW w:w="1301" w:type="pct"/>
                  <w:vAlign w:val="center"/>
                </w:tcPr>
                <w:p w14:paraId="26D91D75">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样品编号</w:t>
                  </w:r>
                </w:p>
              </w:tc>
              <w:tc>
                <w:tcPr>
                  <w:tcW w:w="729" w:type="pct"/>
                  <w:vAlign w:val="center"/>
                </w:tcPr>
                <w:p w14:paraId="5D318171">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检测点位</w:t>
                  </w:r>
                </w:p>
              </w:tc>
              <w:tc>
                <w:tcPr>
                  <w:tcW w:w="1437" w:type="pct"/>
                  <w:vAlign w:val="center"/>
                </w:tcPr>
                <w:p w14:paraId="6671602A">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检测浓度（μg/m</w:t>
                  </w:r>
                  <w:r>
                    <w:rPr>
                      <w:rFonts w:hint="default" w:ascii="Times New Roman" w:hAnsi="Times New Roman" w:eastAsia="宋体" w:cs="Times New Roman"/>
                      <w:b/>
                      <w:bCs/>
                      <w:color w:val="auto"/>
                      <w:sz w:val="21"/>
                      <w:szCs w:val="21"/>
                      <w:vertAlign w:val="superscript"/>
                      <w:lang w:val="en-US" w:eastAsia="zh-CN"/>
                    </w:rPr>
                    <w:t>3</w:t>
                  </w:r>
                  <w:r>
                    <w:rPr>
                      <w:rFonts w:hint="default" w:ascii="Times New Roman" w:hAnsi="Times New Roman" w:eastAsia="宋体" w:cs="Times New Roman"/>
                      <w:b/>
                      <w:bCs/>
                      <w:color w:val="auto"/>
                      <w:sz w:val="21"/>
                      <w:szCs w:val="21"/>
                      <w:vertAlign w:val="baseline"/>
                      <w:lang w:val="en-US" w:eastAsia="zh-CN"/>
                    </w:rPr>
                    <w:t>）</w:t>
                  </w:r>
                </w:p>
              </w:tc>
            </w:tr>
            <w:tr w14:paraId="1E451B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1" w:type="pct"/>
                  <w:vMerge w:val="restart"/>
                  <w:vAlign w:val="center"/>
                </w:tcPr>
                <w:p w14:paraId="7064534F">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2024.08.10</w:t>
                  </w:r>
                </w:p>
              </w:tc>
              <w:tc>
                <w:tcPr>
                  <w:tcW w:w="729" w:type="pct"/>
                  <w:vMerge w:val="restart"/>
                  <w:vAlign w:val="center"/>
                </w:tcPr>
                <w:p w14:paraId="48DE04C3">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颗粒物</w:t>
                  </w:r>
                </w:p>
              </w:tc>
              <w:tc>
                <w:tcPr>
                  <w:tcW w:w="1301" w:type="pct"/>
                  <w:vAlign w:val="center"/>
                </w:tcPr>
                <w:p w14:paraId="313525D1">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2024081001HQ001</w:t>
                  </w:r>
                </w:p>
              </w:tc>
              <w:tc>
                <w:tcPr>
                  <w:tcW w:w="729" w:type="pct"/>
                  <w:vAlign w:val="center"/>
                </w:tcPr>
                <w:p w14:paraId="2937145B">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1#上风向</w:t>
                  </w:r>
                </w:p>
              </w:tc>
              <w:tc>
                <w:tcPr>
                  <w:tcW w:w="1437" w:type="pct"/>
                  <w:vAlign w:val="center"/>
                </w:tcPr>
                <w:p w14:paraId="4249FACF">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214</w:t>
                  </w:r>
                </w:p>
              </w:tc>
            </w:tr>
            <w:tr w14:paraId="3D24DF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1" w:type="pct"/>
                  <w:vMerge w:val="continue"/>
                  <w:vAlign w:val="center"/>
                </w:tcPr>
                <w:p w14:paraId="649659DE">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729" w:type="pct"/>
                  <w:vMerge w:val="continue"/>
                  <w:vAlign w:val="center"/>
                </w:tcPr>
                <w:p w14:paraId="1E1F1648">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1301" w:type="pct"/>
                  <w:vAlign w:val="center"/>
                </w:tcPr>
                <w:p w14:paraId="5C69B765">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2024081001HQ002</w:t>
                  </w:r>
                </w:p>
              </w:tc>
              <w:tc>
                <w:tcPr>
                  <w:tcW w:w="729" w:type="pct"/>
                  <w:vAlign w:val="center"/>
                </w:tcPr>
                <w:p w14:paraId="45407F04">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1#上风向</w:t>
                  </w:r>
                </w:p>
              </w:tc>
              <w:tc>
                <w:tcPr>
                  <w:tcW w:w="1437" w:type="pct"/>
                  <w:vAlign w:val="center"/>
                </w:tcPr>
                <w:p w14:paraId="738EF139">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247</w:t>
                  </w:r>
                </w:p>
              </w:tc>
            </w:tr>
            <w:tr w14:paraId="78CF6F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801" w:type="pct"/>
                  <w:vMerge w:val="continue"/>
                  <w:vAlign w:val="center"/>
                </w:tcPr>
                <w:p w14:paraId="72FD0F5E">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729" w:type="pct"/>
                  <w:vMerge w:val="continue"/>
                  <w:vAlign w:val="center"/>
                </w:tcPr>
                <w:p w14:paraId="3A1D3F30">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1301" w:type="pct"/>
                  <w:vAlign w:val="center"/>
                </w:tcPr>
                <w:p w14:paraId="12B93C8F">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2024081001HQ003</w:t>
                  </w:r>
                </w:p>
              </w:tc>
              <w:tc>
                <w:tcPr>
                  <w:tcW w:w="729" w:type="pct"/>
                  <w:vAlign w:val="center"/>
                </w:tcPr>
                <w:p w14:paraId="35F675E3">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1#上风向</w:t>
                  </w:r>
                </w:p>
              </w:tc>
              <w:tc>
                <w:tcPr>
                  <w:tcW w:w="1437" w:type="pct"/>
                  <w:vAlign w:val="center"/>
                </w:tcPr>
                <w:p w14:paraId="77611156">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260</w:t>
                  </w:r>
                </w:p>
              </w:tc>
            </w:tr>
            <w:tr w14:paraId="4883F6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1" w:type="pct"/>
                  <w:vMerge w:val="continue"/>
                  <w:vAlign w:val="center"/>
                </w:tcPr>
                <w:p w14:paraId="19CD7353">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729" w:type="pct"/>
                  <w:vMerge w:val="continue"/>
                  <w:vAlign w:val="center"/>
                </w:tcPr>
                <w:p w14:paraId="1DCCD041">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1301" w:type="pct"/>
                  <w:vAlign w:val="center"/>
                </w:tcPr>
                <w:p w14:paraId="2A7EAB88">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2024081001HQ004</w:t>
                  </w:r>
                </w:p>
              </w:tc>
              <w:tc>
                <w:tcPr>
                  <w:tcW w:w="729" w:type="pct"/>
                  <w:vAlign w:val="center"/>
                </w:tcPr>
                <w:p w14:paraId="60FC9C3F">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2#下风向</w:t>
                  </w:r>
                </w:p>
              </w:tc>
              <w:tc>
                <w:tcPr>
                  <w:tcW w:w="1437" w:type="pct"/>
                  <w:vAlign w:val="center"/>
                </w:tcPr>
                <w:p w14:paraId="09CB7826">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350</w:t>
                  </w:r>
                </w:p>
              </w:tc>
            </w:tr>
            <w:tr w14:paraId="228075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1" w:type="pct"/>
                  <w:vMerge w:val="continue"/>
                  <w:vAlign w:val="center"/>
                </w:tcPr>
                <w:p w14:paraId="4C2F4208">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729" w:type="pct"/>
                  <w:vMerge w:val="continue"/>
                  <w:vAlign w:val="center"/>
                </w:tcPr>
                <w:p w14:paraId="1EA3748A">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1301" w:type="pct"/>
                  <w:vAlign w:val="center"/>
                </w:tcPr>
                <w:p w14:paraId="144F5442">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2024081001HQ005</w:t>
                  </w:r>
                </w:p>
              </w:tc>
              <w:tc>
                <w:tcPr>
                  <w:tcW w:w="729" w:type="pct"/>
                  <w:vAlign w:val="center"/>
                </w:tcPr>
                <w:p w14:paraId="67868978">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2#下风向</w:t>
                  </w:r>
                </w:p>
              </w:tc>
              <w:tc>
                <w:tcPr>
                  <w:tcW w:w="1437" w:type="pct"/>
                  <w:vAlign w:val="center"/>
                </w:tcPr>
                <w:p w14:paraId="3CCFA573">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384</w:t>
                  </w:r>
                </w:p>
              </w:tc>
            </w:tr>
            <w:tr w14:paraId="4A6E03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1" w:type="pct"/>
                  <w:vMerge w:val="continue"/>
                  <w:vAlign w:val="center"/>
                </w:tcPr>
                <w:p w14:paraId="64CB4C97">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729" w:type="pct"/>
                  <w:vMerge w:val="continue"/>
                  <w:vAlign w:val="center"/>
                </w:tcPr>
                <w:p w14:paraId="111E782A">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1301" w:type="pct"/>
                  <w:vAlign w:val="center"/>
                </w:tcPr>
                <w:p w14:paraId="40D7C59E">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2024081001HQ006</w:t>
                  </w:r>
                </w:p>
              </w:tc>
              <w:tc>
                <w:tcPr>
                  <w:tcW w:w="729" w:type="pct"/>
                  <w:vAlign w:val="center"/>
                </w:tcPr>
                <w:p w14:paraId="321F71AA">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2#下风向</w:t>
                  </w:r>
                </w:p>
              </w:tc>
              <w:tc>
                <w:tcPr>
                  <w:tcW w:w="1437" w:type="pct"/>
                  <w:vAlign w:val="center"/>
                </w:tcPr>
                <w:p w14:paraId="5BD1A2A2">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409</w:t>
                  </w:r>
                </w:p>
              </w:tc>
            </w:tr>
            <w:tr w14:paraId="6D5D43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1" w:type="pct"/>
                  <w:vMerge w:val="continue"/>
                  <w:vAlign w:val="center"/>
                </w:tcPr>
                <w:p w14:paraId="5A2B7114">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729" w:type="pct"/>
                  <w:vMerge w:val="continue"/>
                  <w:vAlign w:val="center"/>
                </w:tcPr>
                <w:p w14:paraId="15B35A86">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1301" w:type="pct"/>
                  <w:vAlign w:val="center"/>
                </w:tcPr>
                <w:p w14:paraId="3B432584">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2024081001HQ007</w:t>
                  </w:r>
                </w:p>
              </w:tc>
              <w:tc>
                <w:tcPr>
                  <w:tcW w:w="729" w:type="pct"/>
                  <w:vAlign w:val="center"/>
                </w:tcPr>
                <w:p w14:paraId="3E5E0940">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3#下风向</w:t>
                  </w:r>
                </w:p>
              </w:tc>
              <w:tc>
                <w:tcPr>
                  <w:tcW w:w="1437" w:type="pct"/>
                  <w:vAlign w:val="center"/>
                </w:tcPr>
                <w:p w14:paraId="612CD252">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457</w:t>
                  </w:r>
                </w:p>
              </w:tc>
            </w:tr>
            <w:tr w14:paraId="33ED17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1" w:type="pct"/>
                  <w:vMerge w:val="continue"/>
                  <w:vAlign w:val="center"/>
                </w:tcPr>
                <w:p w14:paraId="4612273B">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729" w:type="pct"/>
                  <w:vMerge w:val="continue"/>
                  <w:vAlign w:val="center"/>
                </w:tcPr>
                <w:p w14:paraId="603BF2A3">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1301" w:type="pct"/>
                  <w:vAlign w:val="center"/>
                </w:tcPr>
                <w:p w14:paraId="73715EAB">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2024081001HQ008</w:t>
                  </w:r>
                </w:p>
              </w:tc>
              <w:tc>
                <w:tcPr>
                  <w:tcW w:w="729" w:type="pct"/>
                  <w:vAlign w:val="center"/>
                </w:tcPr>
                <w:p w14:paraId="6266AA08">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3#下风向</w:t>
                  </w:r>
                </w:p>
              </w:tc>
              <w:tc>
                <w:tcPr>
                  <w:tcW w:w="1437" w:type="pct"/>
                  <w:vAlign w:val="center"/>
                </w:tcPr>
                <w:p w14:paraId="715FCCBF">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395</w:t>
                  </w:r>
                </w:p>
              </w:tc>
            </w:tr>
            <w:tr w14:paraId="0A2367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1" w:type="pct"/>
                  <w:vMerge w:val="continue"/>
                  <w:vAlign w:val="center"/>
                </w:tcPr>
                <w:p w14:paraId="4967B34D">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729" w:type="pct"/>
                  <w:vMerge w:val="continue"/>
                  <w:vAlign w:val="center"/>
                </w:tcPr>
                <w:p w14:paraId="1A7F7516">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1301" w:type="pct"/>
                  <w:vAlign w:val="center"/>
                </w:tcPr>
                <w:p w14:paraId="2ED2812F">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2024081001HQ009</w:t>
                  </w:r>
                </w:p>
              </w:tc>
              <w:tc>
                <w:tcPr>
                  <w:tcW w:w="729" w:type="pct"/>
                  <w:vAlign w:val="center"/>
                </w:tcPr>
                <w:p w14:paraId="1C9F0E24">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3#下风向</w:t>
                  </w:r>
                </w:p>
              </w:tc>
              <w:tc>
                <w:tcPr>
                  <w:tcW w:w="1437" w:type="pct"/>
                  <w:vAlign w:val="center"/>
                </w:tcPr>
                <w:p w14:paraId="272FD0A0">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374</w:t>
                  </w:r>
                </w:p>
              </w:tc>
            </w:tr>
            <w:tr w14:paraId="589AD4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1" w:type="pct"/>
                  <w:vMerge w:val="continue"/>
                  <w:vAlign w:val="center"/>
                </w:tcPr>
                <w:p w14:paraId="30A17EAD">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729" w:type="pct"/>
                  <w:vMerge w:val="continue"/>
                  <w:vAlign w:val="center"/>
                </w:tcPr>
                <w:p w14:paraId="7D9D6A0F">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1301" w:type="pct"/>
                  <w:vAlign w:val="center"/>
                </w:tcPr>
                <w:p w14:paraId="2ADAF260">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2024081001HQ010</w:t>
                  </w:r>
                </w:p>
              </w:tc>
              <w:tc>
                <w:tcPr>
                  <w:tcW w:w="729" w:type="pct"/>
                  <w:vAlign w:val="center"/>
                </w:tcPr>
                <w:p w14:paraId="044B0ABB">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4#下风向</w:t>
                  </w:r>
                </w:p>
              </w:tc>
              <w:tc>
                <w:tcPr>
                  <w:tcW w:w="1437" w:type="pct"/>
                  <w:vAlign w:val="center"/>
                </w:tcPr>
                <w:p w14:paraId="77931C03">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411</w:t>
                  </w:r>
                </w:p>
              </w:tc>
            </w:tr>
            <w:tr w14:paraId="5641A4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1" w:type="pct"/>
                  <w:vMerge w:val="continue"/>
                  <w:vAlign w:val="center"/>
                </w:tcPr>
                <w:p w14:paraId="1B820D7D">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729" w:type="pct"/>
                  <w:vMerge w:val="continue"/>
                  <w:vAlign w:val="center"/>
                </w:tcPr>
                <w:p w14:paraId="247BAC3F">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1301" w:type="pct"/>
                  <w:vAlign w:val="center"/>
                </w:tcPr>
                <w:p w14:paraId="680F9A18">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2024081001HQ011</w:t>
                  </w:r>
                </w:p>
              </w:tc>
              <w:tc>
                <w:tcPr>
                  <w:tcW w:w="729" w:type="pct"/>
                  <w:vAlign w:val="center"/>
                </w:tcPr>
                <w:p w14:paraId="75A06317">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4#下风向</w:t>
                  </w:r>
                </w:p>
              </w:tc>
              <w:tc>
                <w:tcPr>
                  <w:tcW w:w="1437" w:type="pct"/>
                  <w:vAlign w:val="center"/>
                </w:tcPr>
                <w:p w14:paraId="4561D9DE">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365</w:t>
                  </w:r>
                </w:p>
              </w:tc>
            </w:tr>
            <w:tr w14:paraId="45F581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1" w:type="pct"/>
                  <w:vMerge w:val="continue"/>
                  <w:vAlign w:val="center"/>
                </w:tcPr>
                <w:p w14:paraId="22CECFB1">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729" w:type="pct"/>
                  <w:vMerge w:val="continue"/>
                  <w:vAlign w:val="center"/>
                </w:tcPr>
                <w:p w14:paraId="673C0D3B">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p>
              </w:tc>
              <w:tc>
                <w:tcPr>
                  <w:tcW w:w="1301" w:type="pct"/>
                  <w:vAlign w:val="center"/>
                </w:tcPr>
                <w:p w14:paraId="702E7468">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2024081001HQ012</w:t>
                  </w:r>
                </w:p>
              </w:tc>
              <w:tc>
                <w:tcPr>
                  <w:tcW w:w="729" w:type="pct"/>
                  <w:vAlign w:val="center"/>
                </w:tcPr>
                <w:p w14:paraId="642B8A95">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4#下风向</w:t>
                  </w:r>
                </w:p>
              </w:tc>
              <w:tc>
                <w:tcPr>
                  <w:tcW w:w="1437" w:type="pct"/>
                  <w:vAlign w:val="center"/>
                </w:tcPr>
                <w:p w14:paraId="28498BC4">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420</w:t>
                  </w:r>
                </w:p>
              </w:tc>
            </w:tr>
            <w:tr w14:paraId="24995A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31" w:type="pct"/>
                  <w:gridSpan w:val="2"/>
                  <w:vAlign w:val="center"/>
                </w:tcPr>
                <w:p w14:paraId="34DBA88E">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备注</w:t>
                  </w:r>
                </w:p>
              </w:tc>
              <w:tc>
                <w:tcPr>
                  <w:tcW w:w="3468" w:type="pct"/>
                  <w:gridSpan w:val="3"/>
                  <w:vAlign w:val="center"/>
                </w:tcPr>
                <w:p w14:paraId="71414031">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w:t>
                  </w:r>
                </w:p>
              </w:tc>
            </w:tr>
          </w:tbl>
          <w:p w14:paraId="0A4ECE39">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厂界颗粒物无组织排放最大浓度为0.457mg/m</w:t>
            </w:r>
            <w:r>
              <w:rPr>
                <w:rFonts w:hint="default" w:ascii="Times New Roman" w:hAnsi="Times New Roman" w:eastAsia="宋体" w:cs="Times New Roman"/>
                <w:color w:val="auto"/>
                <w:sz w:val="21"/>
                <w:szCs w:val="21"/>
                <w:vertAlign w:val="superscript"/>
                <w:lang w:val="en-US" w:eastAsia="zh-CN"/>
              </w:rPr>
              <w:t>3</w:t>
            </w:r>
            <w:r>
              <w:rPr>
                <w:rFonts w:hint="default" w:ascii="Times New Roman" w:hAnsi="Times New Roman" w:eastAsia="宋体" w:cs="Times New Roman"/>
                <w:color w:val="auto"/>
                <w:sz w:val="21"/>
                <w:szCs w:val="21"/>
                <w:vertAlign w:val="baseline"/>
                <w:lang w:val="en-US" w:eastAsia="zh-CN"/>
              </w:rPr>
              <w:t>，满足《大气污染物综合排放标准》（GB16297-1996）表2新污染源大气污染物排放限值中无组织排放监控浓度限值（1.0mg/m</w:t>
            </w:r>
            <w:r>
              <w:rPr>
                <w:rFonts w:hint="default" w:ascii="Times New Roman" w:hAnsi="Times New Roman" w:eastAsia="宋体" w:cs="Times New Roman"/>
                <w:color w:val="auto"/>
                <w:sz w:val="21"/>
                <w:szCs w:val="21"/>
                <w:vertAlign w:val="superscript"/>
                <w:lang w:val="en-US" w:eastAsia="zh-CN"/>
              </w:rPr>
              <w:t>3</w:t>
            </w:r>
            <w:r>
              <w:rPr>
                <w:rFonts w:hint="default" w:ascii="Times New Roman" w:hAnsi="Times New Roman" w:eastAsia="宋体" w:cs="Times New Roman"/>
                <w:color w:val="auto"/>
                <w:sz w:val="21"/>
                <w:szCs w:val="21"/>
                <w:vertAlign w:val="baseline"/>
                <w:lang w:val="en-US" w:eastAsia="zh-CN"/>
              </w:rPr>
              <w:t>）。</w:t>
            </w:r>
          </w:p>
          <w:p w14:paraId="716ABCDE">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vertAlign w:val="baseline"/>
              </w:rPr>
              <w:t>（2）废水</w:t>
            </w:r>
          </w:p>
          <w:p w14:paraId="66847065">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vertAlign w:val="baseline"/>
              </w:rPr>
              <w:t>现有项目废水主要为职工生活污水，生活污水经化粪池处理后</w:t>
            </w:r>
            <w:r>
              <w:rPr>
                <w:rFonts w:hint="default" w:ascii="Times New Roman" w:hAnsi="Times New Roman" w:eastAsia="宋体" w:cs="Times New Roman"/>
                <w:color w:val="auto"/>
                <w:sz w:val="21"/>
                <w:szCs w:val="21"/>
                <w:vertAlign w:val="baseline"/>
                <w:lang w:eastAsia="zh-CN"/>
              </w:rPr>
              <w:t>由</w:t>
            </w:r>
            <w:r>
              <w:rPr>
                <w:rFonts w:hint="default" w:ascii="Times New Roman" w:hAnsi="Times New Roman" w:eastAsia="宋体" w:cs="Times New Roman"/>
                <w:color w:val="auto"/>
                <w:sz w:val="21"/>
                <w:szCs w:val="21"/>
                <w:vertAlign w:val="baseline"/>
              </w:rPr>
              <w:t>环卫部门定期清运</w:t>
            </w:r>
            <w:r>
              <w:rPr>
                <w:rFonts w:hint="default" w:ascii="Times New Roman" w:hAnsi="Times New Roman" w:eastAsia="宋体" w:cs="Times New Roman"/>
                <w:color w:val="auto"/>
                <w:sz w:val="21"/>
                <w:szCs w:val="21"/>
                <w:vertAlign w:val="baseline"/>
                <w:lang w:eastAsia="zh-CN"/>
              </w:rPr>
              <w:t>；</w:t>
            </w:r>
            <w:r>
              <w:rPr>
                <w:rFonts w:hint="default" w:ascii="Times New Roman" w:hAnsi="Times New Roman" w:eastAsia="宋体" w:cs="Times New Roman"/>
                <w:color w:val="auto"/>
                <w:sz w:val="21"/>
                <w:szCs w:val="21"/>
                <w:vertAlign w:val="baseline"/>
              </w:rPr>
              <w:t>抑尘用水全部蒸发损耗，不外排</w:t>
            </w:r>
            <w:r>
              <w:rPr>
                <w:rFonts w:hint="default" w:ascii="Times New Roman" w:hAnsi="Times New Roman" w:eastAsia="宋体" w:cs="Times New Roman"/>
                <w:color w:val="auto"/>
                <w:sz w:val="21"/>
                <w:szCs w:val="21"/>
                <w:vertAlign w:val="baseline"/>
                <w:lang w:eastAsia="zh-CN"/>
              </w:rPr>
              <w:t>。</w:t>
            </w:r>
          </w:p>
          <w:p w14:paraId="1556CB4B">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（3）噪声</w:t>
            </w:r>
          </w:p>
          <w:p w14:paraId="3DC1C467">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根据2024年</w:t>
            </w:r>
            <w:r>
              <w:rPr>
                <w:rFonts w:hint="default" w:ascii="Times New Roman" w:hAnsi="Times New Roman" w:eastAsia="宋体" w:cs="Times New Roman"/>
                <w:color w:val="auto"/>
                <w:sz w:val="21"/>
                <w:szCs w:val="21"/>
                <w:lang w:val="en-US" w:eastAsia="zh-CN"/>
              </w:rPr>
              <w:t>8</w:t>
            </w:r>
            <w:r>
              <w:rPr>
                <w:rFonts w:hint="default" w:ascii="Times New Roman" w:hAnsi="Times New Roman" w:eastAsia="宋体" w:cs="Times New Roman"/>
                <w:color w:val="auto"/>
                <w:sz w:val="21"/>
                <w:szCs w:val="21"/>
              </w:rPr>
              <w:t>月</w:t>
            </w:r>
            <w:r>
              <w:rPr>
                <w:rFonts w:hint="default" w:ascii="Times New Roman" w:hAnsi="Times New Roman" w:eastAsia="宋体" w:cs="Times New Roman"/>
                <w:color w:val="auto"/>
                <w:sz w:val="21"/>
                <w:szCs w:val="21"/>
                <w:lang w:val="en-US" w:eastAsia="zh-CN"/>
              </w:rPr>
              <w:t>16</w:t>
            </w:r>
            <w:r>
              <w:rPr>
                <w:rFonts w:hint="default" w:ascii="Times New Roman" w:hAnsi="Times New Roman" w:eastAsia="宋体" w:cs="Times New Roman"/>
                <w:color w:val="auto"/>
                <w:sz w:val="21"/>
                <w:szCs w:val="21"/>
              </w:rPr>
              <w:t>日监测报告（</w:t>
            </w:r>
            <w:r>
              <w:rPr>
                <w:rFonts w:hint="default" w:ascii="Times New Roman" w:hAnsi="Times New Roman" w:eastAsia="宋体" w:cs="Times New Roman"/>
                <w:color w:val="auto"/>
                <w:sz w:val="21"/>
                <w:szCs w:val="21"/>
                <w:vertAlign w:val="baseline"/>
              </w:rPr>
              <w:t>山东邦洁(检)字</w:t>
            </w:r>
            <w:r>
              <w:rPr>
                <w:rFonts w:hint="default" w:ascii="Times New Roman" w:hAnsi="Times New Roman" w:eastAsia="宋体" w:cs="Times New Roman"/>
                <w:color w:val="auto"/>
                <w:sz w:val="21"/>
                <w:szCs w:val="21"/>
                <w:vertAlign w:val="baseline"/>
                <w:lang w:eastAsia="zh-CN"/>
              </w:rPr>
              <w:t>〔</w:t>
            </w:r>
            <w:r>
              <w:rPr>
                <w:rFonts w:hint="default" w:ascii="Times New Roman" w:hAnsi="Times New Roman" w:eastAsia="宋体" w:cs="Times New Roman"/>
                <w:color w:val="auto"/>
                <w:sz w:val="21"/>
                <w:szCs w:val="21"/>
                <w:vertAlign w:val="baseline"/>
                <w:lang w:val="en-US" w:eastAsia="zh-CN"/>
              </w:rPr>
              <w:t>2024</w:t>
            </w:r>
            <w:r>
              <w:rPr>
                <w:rFonts w:hint="default" w:ascii="Times New Roman" w:hAnsi="Times New Roman" w:eastAsia="宋体" w:cs="Times New Roman"/>
                <w:color w:val="auto"/>
                <w:sz w:val="21"/>
                <w:szCs w:val="21"/>
                <w:vertAlign w:val="baseline"/>
                <w:lang w:eastAsia="zh-CN"/>
              </w:rPr>
              <w:t>〕</w:t>
            </w:r>
            <w:r>
              <w:rPr>
                <w:rFonts w:hint="default" w:ascii="Times New Roman" w:hAnsi="Times New Roman" w:eastAsia="宋体" w:cs="Times New Roman"/>
                <w:color w:val="auto"/>
                <w:sz w:val="21"/>
                <w:szCs w:val="21"/>
                <w:vertAlign w:val="baseline"/>
              </w:rPr>
              <w:t>081001</w:t>
            </w:r>
            <w:r>
              <w:rPr>
                <w:rFonts w:hint="default" w:ascii="Times New Roman" w:hAnsi="Times New Roman" w:eastAsia="宋体" w:cs="Times New Roman"/>
                <w:color w:val="auto"/>
                <w:sz w:val="21"/>
                <w:szCs w:val="21"/>
              </w:rPr>
              <w:t>）中监测数据可知，昼间最大噪声值为5</w:t>
            </w:r>
            <w:r>
              <w:rPr>
                <w:rFonts w:hint="default" w:ascii="Times New Roman" w:hAnsi="Times New Roman" w:eastAsia="宋体" w:cs="Times New Roman"/>
                <w:color w:val="auto"/>
                <w:sz w:val="21"/>
                <w:szCs w:val="21"/>
                <w:lang w:val="en-US" w:eastAsia="zh-CN"/>
              </w:rPr>
              <w:t>9.0</w:t>
            </w:r>
            <w:r>
              <w:rPr>
                <w:rFonts w:hint="default" w:ascii="Times New Roman" w:hAnsi="Times New Roman" w:eastAsia="宋体" w:cs="Times New Roman"/>
                <w:color w:val="auto"/>
                <w:sz w:val="21"/>
                <w:szCs w:val="21"/>
              </w:rPr>
              <w:t>dB（A），</w:t>
            </w:r>
            <w:r>
              <w:rPr>
                <w:rFonts w:hint="default" w:ascii="Times New Roman" w:hAnsi="Times New Roman" w:eastAsia="宋体" w:cs="Times New Roman"/>
                <w:color w:val="auto"/>
                <w:sz w:val="21"/>
                <w:szCs w:val="21"/>
                <w:lang w:val="en-US" w:eastAsia="zh-CN"/>
              </w:rPr>
              <w:t>西边界不具备检测条件，</w:t>
            </w:r>
            <w:r>
              <w:rPr>
                <w:rFonts w:hint="default" w:ascii="Times New Roman" w:hAnsi="Times New Roman" w:eastAsia="宋体" w:cs="Times New Roman"/>
                <w:color w:val="auto"/>
                <w:sz w:val="21"/>
                <w:szCs w:val="21"/>
              </w:rPr>
              <w:t>厂界噪声均满足《工业企业厂界环境噪声排放标准》（GB12348-2008）中2类标准要求（昼间：60dB（A））。</w:t>
            </w:r>
          </w:p>
          <w:p w14:paraId="4D987A2F">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（4）固废</w:t>
            </w:r>
          </w:p>
          <w:p w14:paraId="121DD483">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现有</w:t>
            </w:r>
            <w:r>
              <w:rPr>
                <w:rFonts w:hint="default" w:ascii="Times New Roman" w:hAnsi="Times New Roman" w:eastAsia="宋体" w:cs="Times New Roman"/>
                <w:color w:val="auto"/>
                <w:sz w:val="21"/>
                <w:szCs w:val="21"/>
              </w:rPr>
              <w:t>项目固体废物主要为生活垃圾、布袋除尘器收集的粉尘</w:t>
            </w:r>
            <w:r>
              <w:rPr>
                <w:rFonts w:hint="default" w:ascii="Times New Roman" w:hAnsi="Times New Roman" w:eastAsia="宋体" w:cs="Times New Roman"/>
                <w:color w:val="auto"/>
                <w:sz w:val="21"/>
                <w:szCs w:val="21"/>
                <w:lang w:val="en-US" w:eastAsia="zh-CN"/>
              </w:rPr>
              <w:t>和含铁物料。生活垃圾由环卫部门定期进行清运，布袋除尘器收集的粉尘回用于生产，含铁物料集中收集后外售。</w:t>
            </w:r>
          </w:p>
          <w:p w14:paraId="6BFFAA2D">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三、现有项目污染物排放汇总</w:t>
            </w:r>
          </w:p>
          <w:p w14:paraId="4A306593">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根据现有项目环评报告、验收报告、监测报告</w:t>
            </w:r>
            <w:r>
              <w:rPr>
                <w:rFonts w:hint="default" w:ascii="Times New Roman" w:hAnsi="Times New Roman" w:eastAsia="宋体" w:cs="Times New Roman"/>
                <w:color w:val="auto"/>
                <w:sz w:val="21"/>
                <w:szCs w:val="21"/>
                <w:lang w:eastAsia="zh-CN"/>
              </w:rPr>
              <w:t>以</w:t>
            </w:r>
            <w:r>
              <w:rPr>
                <w:rFonts w:hint="default" w:ascii="Times New Roman" w:hAnsi="Times New Roman" w:eastAsia="宋体" w:cs="Times New Roman"/>
                <w:color w:val="auto"/>
                <w:sz w:val="21"/>
                <w:szCs w:val="21"/>
              </w:rPr>
              <w:t>及企业实际排放情况统计，现有项目污染物排放情况见下表。</w:t>
            </w:r>
          </w:p>
          <w:p w14:paraId="3DB5A187">
            <w:pPr>
              <w:pStyle w:val="24"/>
              <w:keepNext w:val="0"/>
              <w:keepLines w:val="0"/>
              <w:pageBreakBefore w:val="0"/>
              <w:widowControl w:val="0"/>
              <w:kinsoku/>
              <w:wordWrap/>
              <w:overflowPunct/>
              <w:topLinePunct w:val="0"/>
              <w:autoSpaceDE/>
              <w:autoSpaceDN/>
              <w:bidi w:val="0"/>
              <w:spacing w:line="360" w:lineRule="auto"/>
              <w:ind w:firstLine="422" w:firstLineChars="20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表2-9 现有项目污染物排放汇总</w:t>
            </w:r>
          </w:p>
          <w:tbl>
            <w:tblPr>
              <w:tblStyle w:val="14"/>
              <w:tblW w:w="5000" w:type="pct"/>
              <w:tblInd w:w="0"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1014"/>
              <w:gridCol w:w="1015"/>
              <w:gridCol w:w="1995"/>
              <w:gridCol w:w="2220"/>
              <w:gridCol w:w="1633"/>
            </w:tblGrid>
            <w:tr w14:paraId="0E56247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2554" w:type="pct"/>
                  <w:gridSpan w:val="3"/>
                  <w:tcBorders>
                    <w:tl2br w:val="nil"/>
                    <w:tr2bl w:val="nil"/>
                  </w:tcBorders>
                  <w:vAlign w:val="center"/>
                </w:tcPr>
                <w:p w14:paraId="7C028BCF">
                  <w:pPr>
                    <w:pStyle w:val="25"/>
                    <w:keepNext w:val="0"/>
                    <w:keepLines w:val="0"/>
                    <w:pageBreakBefore w:val="0"/>
                    <w:widowControl w:val="0"/>
                    <w:kinsoku/>
                    <w:wordWrap/>
                    <w:overflowPunct/>
                    <w:topLinePunct w:val="0"/>
                    <w:autoSpaceDE/>
                    <w:autoSpaceDN/>
                    <w:bidi w:val="0"/>
                    <w:spacing w:line="240" w:lineRule="auto"/>
                    <w:ind w:firstLine="0" w:firstLineChars="0"/>
                    <w:textAlignment w:val="auto"/>
                    <w:rPr>
                      <w:rFonts w:hint="default" w:ascii="Times New Roman" w:hAnsi="Times New Roman" w:eastAsia="宋体" w:cs="Times New Roman"/>
                      <w:b/>
                      <w:bCs/>
                      <w:color w:val="auto"/>
                      <w:kern w:val="2"/>
                      <w:sz w:val="21"/>
                      <w:szCs w:val="21"/>
                    </w:rPr>
                  </w:pPr>
                  <w:r>
                    <w:rPr>
                      <w:rFonts w:hint="default" w:ascii="Times New Roman" w:hAnsi="Times New Roman" w:eastAsia="宋体" w:cs="Times New Roman"/>
                      <w:b/>
                      <w:bCs/>
                      <w:color w:val="auto"/>
                      <w:kern w:val="2"/>
                      <w:sz w:val="21"/>
                      <w:szCs w:val="21"/>
                    </w:rPr>
                    <w:t>污染物</w:t>
                  </w:r>
                </w:p>
              </w:tc>
              <w:tc>
                <w:tcPr>
                  <w:tcW w:w="1409" w:type="pct"/>
                  <w:tcBorders>
                    <w:tl2br w:val="nil"/>
                    <w:tr2bl w:val="nil"/>
                  </w:tcBorders>
                  <w:vAlign w:val="center"/>
                </w:tcPr>
                <w:p w14:paraId="08BA8741">
                  <w:pPr>
                    <w:pStyle w:val="28"/>
                    <w:keepNext w:val="0"/>
                    <w:keepLines w:val="0"/>
                    <w:pageBreakBefore w:val="0"/>
                    <w:widowControl w:val="0"/>
                    <w:kinsoku/>
                    <w:wordWrap/>
                    <w:overflowPunct/>
                    <w:topLinePunct w:val="0"/>
                    <w:autoSpaceDE/>
                    <w:autoSpaceDN/>
                    <w:bidi w:val="0"/>
                    <w:spacing w:line="240" w:lineRule="auto"/>
                    <w:ind w:firstLine="0" w:firstLineChars="0"/>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现有工程排放量（t/a）</w:t>
                  </w:r>
                </w:p>
              </w:tc>
              <w:tc>
                <w:tcPr>
                  <w:tcW w:w="1036" w:type="pct"/>
                  <w:tcBorders>
                    <w:tl2br w:val="nil"/>
                    <w:tr2bl w:val="nil"/>
                  </w:tcBorders>
                  <w:vAlign w:val="center"/>
                </w:tcPr>
                <w:p w14:paraId="76E3703F">
                  <w:pPr>
                    <w:pStyle w:val="28"/>
                    <w:keepNext w:val="0"/>
                    <w:keepLines w:val="0"/>
                    <w:pageBreakBefore w:val="0"/>
                    <w:widowControl w:val="0"/>
                    <w:kinsoku/>
                    <w:wordWrap/>
                    <w:overflowPunct/>
                    <w:topLinePunct w:val="0"/>
                    <w:autoSpaceDE/>
                    <w:autoSpaceDN/>
                    <w:bidi w:val="0"/>
                    <w:spacing w:line="240" w:lineRule="auto"/>
                    <w:ind w:firstLine="0" w:firstLineChars="0"/>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总量指标（t/a）</w:t>
                  </w:r>
                </w:p>
              </w:tc>
            </w:tr>
            <w:tr w14:paraId="72013E1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644" w:type="pct"/>
                  <w:tcBorders>
                    <w:tl2br w:val="nil"/>
                    <w:tr2bl w:val="nil"/>
                  </w:tcBorders>
                  <w:vAlign w:val="center"/>
                </w:tcPr>
                <w:p w14:paraId="19C19B36">
                  <w:pPr>
                    <w:pStyle w:val="25"/>
                    <w:keepNext w:val="0"/>
                    <w:keepLines w:val="0"/>
                    <w:pageBreakBefore w:val="0"/>
                    <w:widowControl w:val="0"/>
                    <w:kinsoku/>
                    <w:wordWrap/>
                    <w:overflowPunct/>
                    <w:topLinePunct w:val="0"/>
                    <w:autoSpaceDE/>
                    <w:autoSpaceDN/>
                    <w:bidi w:val="0"/>
                    <w:spacing w:line="240" w:lineRule="auto"/>
                    <w:ind w:firstLine="0" w:firstLineChars="0"/>
                    <w:textAlignment w:val="auto"/>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废气</w:t>
                  </w:r>
                </w:p>
              </w:tc>
              <w:tc>
                <w:tcPr>
                  <w:tcW w:w="1910" w:type="pct"/>
                  <w:gridSpan w:val="2"/>
                  <w:tcBorders>
                    <w:tl2br w:val="nil"/>
                    <w:tr2bl w:val="nil"/>
                  </w:tcBorders>
                  <w:vAlign w:val="center"/>
                </w:tcPr>
                <w:p w14:paraId="336C2003">
                  <w:pPr>
                    <w:pStyle w:val="25"/>
                    <w:keepNext w:val="0"/>
                    <w:keepLines w:val="0"/>
                    <w:pageBreakBefore w:val="0"/>
                    <w:widowControl w:val="0"/>
                    <w:kinsoku/>
                    <w:wordWrap/>
                    <w:overflowPunct/>
                    <w:topLinePunct w:val="0"/>
                    <w:autoSpaceDE/>
                    <w:autoSpaceDN/>
                    <w:bidi w:val="0"/>
                    <w:spacing w:line="240" w:lineRule="auto"/>
                    <w:ind w:firstLine="0" w:firstLineChars="0"/>
                    <w:textAlignment w:val="auto"/>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颗粒物</w:t>
                  </w:r>
                </w:p>
              </w:tc>
              <w:tc>
                <w:tcPr>
                  <w:tcW w:w="1409" w:type="pct"/>
                  <w:tcBorders>
                    <w:tl2br w:val="nil"/>
                    <w:tr2bl w:val="nil"/>
                  </w:tcBorders>
                  <w:vAlign w:val="center"/>
                </w:tcPr>
                <w:p w14:paraId="5614F22C">
                  <w:pPr>
                    <w:pStyle w:val="25"/>
                    <w:keepNext w:val="0"/>
                    <w:keepLines w:val="0"/>
                    <w:pageBreakBefore w:val="0"/>
                    <w:widowControl w:val="0"/>
                    <w:kinsoku/>
                    <w:wordWrap/>
                    <w:overflowPunct/>
                    <w:topLinePunct w:val="0"/>
                    <w:autoSpaceDE/>
                    <w:autoSpaceDN/>
                    <w:bidi w:val="0"/>
                    <w:spacing w:line="240" w:lineRule="auto"/>
                    <w:ind w:firstLine="0" w:firstLineChars="0"/>
                    <w:textAlignment w:val="auto"/>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0.1500</w:t>
                  </w:r>
                </w:p>
              </w:tc>
              <w:tc>
                <w:tcPr>
                  <w:tcW w:w="1036" w:type="pct"/>
                  <w:tcBorders>
                    <w:tl2br w:val="nil"/>
                    <w:tr2bl w:val="nil"/>
                  </w:tcBorders>
                  <w:vAlign w:val="center"/>
                </w:tcPr>
                <w:p w14:paraId="7C9B6F14">
                  <w:pPr>
                    <w:pStyle w:val="25"/>
                    <w:keepNext w:val="0"/>
                    <w:keepLines w:val="0"/>
                    <w:pageBreakBefore w:val="0"/>
                    <w:widowControl w:val="0"/>
                    <w:kinsoku/>
                    <w:wordWrap/>
                    <w:overflowPunct/>
                    <w:topLinePunct w:val="0"/>
                    <w:autoSpaceDE/>
                    <w:autoSpaceDN/>
                    <w:bidi w:val="0"/>
                    <w:spacing w:line="240" w:lineRule="auto"/>
                    <w:ind w:firstLine="0" w:firstLineChars="0"/>
                    <w:textAlignment w:val="auto"/>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w:t>
                  </w:r>
                </w:p>
              </w:tc>
            </w:tr>
            <w:tr w14:paraId="36B3E2F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644" w:type="pct"/>
                  <w:vMerge w:val="restart"/>
                  <w:tcBorders>
                    <w:tl2br w:val="nil"/>
                    <w:tr2bl w:val="nil"/>
                  </w:tcBorders>
                  <w:vAlign w:val="center"/>
                </w:tcPr>
                <w:p w14:paraId="30EA1789">
                  <w:pPr>
                    <w:pStyle w:val="25"/>
                    <w:keepNext w:val="0"/>
                    <w:keepLines w:val="0"/>
                    <w:pageBreakBefore w:val="0"/>
                    <w:widowControl w:val="0"/>
                    <w:kinsoku/>
                    <w:wordWrap/>
                    <w:overflowPunct/>
                    <w:topLinePunct w:val="0"/>
                    <w:autoSpaceDE/>
                    <w:autoSpaceDN/>
                    <w:bidi w:val="0"/>
                    <w:spacing w:line="240" w:lineRule="auto"/>
                    <w:ind w:firstLine="0" w:firstLineChars="0"/>
                    <w:textAlignment w:val="auto"/>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固体废物</w:t>
                  </w:r>
                </w:p>
              </w:tc>
              <w:tc>
                <w:tcPr>
                  <w:tcW w:w="644" w:type="pct"/>
                  <w:vMerge w:val="restart"/>
                  <w:tcBorders>
                    <w:tl2br w:val="nil"/>
                    <w:tr2bl w:val="nil"/>
                  </w:tcBorders>
                  <w:vAlign w:val="center"/>
                </w:tcPr>
                <w:p w14:paraId="1F95B9C3">
                  <w:pPr>
                    <w:pStyle w:val="25"/>
                    <w:keepNext w:val="0"/>
                    <w:keepLines w:val="0"/>
                    <w:pageBreakBefore w:val="0"/>
                    <w:widowControl w:val="0"/>
                    <w:kinsoku/>
                    <w:wordWrap/>
                    <w:overflowPunct/>
                    <w:topLinePunct w:val="0"/>
                    <w:autoSpaceDE/>
                    <w:autoSpaceDN/>
                    <w:bidi w:val="0"/>
                    <w:spacing w:line="240" w:lineRule="auto"/>
                    <w:ind w:firstLine="0" w:firstLineChars="0"/>
                    <w:textAlignment w:val="auto"/>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一般固废</w:t>
                  </w:r>
                </w:p>
              </w:tc>
              <w:tc>
                <w:tcPr>
                  <w:tcW w:w="1265" w:type="pct"/>
                  <w:tcBorders>
                    <w:tl2br w:val="nil"/>
                    <w:tr2bl w:val="nil"/>
                  </w:tcBorders>
                  <w:vAlign w:val="center"/>
                </w:tcPr>
                <w:p w14:paraId="747ED954">
                  <w:pPr>
                    <w:pStyle w:val="25"/>
                    <w:keepNext w:val="0"/>
                    <w:keepLines w:val="0"/>
                    <w:pageBreakBefore w:val="0"/>
                    <w:widowControl w:val="0"/>
                    <w:kinsoku/>
                    <w:wordWrap/>
                    <w:overflowPunct/>
                    <w:topLinePunct w:val="0"/>
                    <w:autoSpaceDE/>
                    <w:autoSpaceDN/>
                    <w:bidi w:val="0"/>
                    <w:spacing w:line="240" w:lineRule="auto"/>
                    <w:ind w:firstLine="0" w:firstLineChars="0"/>
                    <w:textAlignment w:val="auto"/>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生活垃圾</w:t>
                  </w:r>
                </w:p>
              </w:tc>
              <w:tc>
                <w:tcPr>
                  <w:tcW w:w="1409" w:type="pct"/>
                  <w:tcBorders>
                    <w:tl2br w:val="nil"/>
                    <w:tr2bl w:val="nil"/>
                  </w:tcBorders>
                  <w:vAlign w:val="center"/>
                </w:tcPr>
                <w:p w14:paraId="4E044342">
                  <w:pPr>
                    <w:pStyle w:val="25"/>
                    <w:keepNext w:val="0"/>
                    <w:keepLines w:val="0"/>
                    <w:pageBreakBefore w:val="0"/>
                    <w:widowControl w:val="0"/>
                    <w:kinsoku/>
                    <w:wordWrap/>
                    <w:overflowPunct/>
                    <w:topLinePunct w:val="0"/>
                    <w:autoSpaceDE/>
                    <w:autoSpaceDN/>
                    <w:bidi w:val="0"/>
                    <w:spacing w:line="240" w:lineRule="auto"/>
                    <w:ind w:firstLine="0" w:firstLineChars="0"/>
                    <w:textAlignment w:val="auto"/>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1.2</w:t>
                  </w:r>
                </w:p>
              </w:tc>
              <w:tc>
                <w:tcPr>
                  <w:tcW w:w="1036" w:type="pct"/>
                  <w:tcBorders>
                    <w:tl2br w:val="nil"/>
                    <w:tr2bl w:val="nil"/>
                  </w:tcBorders>
                  <w:vAlign w:val="center"/>
                </w:tcPr>
                <w:p w14:paraId="14951784">
                  <w:pPr>
                    <w:pStyle w:val="25"/>
                    <w:keepNext w:val="0"/>
                    <w:keepLines w:val="0"/>
                    <w:pageBreakBefore w:val="0"/>
                    <w:widowControl w:val="0"/>
                    <w:kinsoku/>
                    <w:wordWrap/>
                    <w:overflowPunct/>
                    <w:topLinePunct w:val="0"/>
                    <w:autoSpaceDE/>
                    <w:autoSpaceDN/>
                    <w:bidi w:val="0"/>
                    <w:spacing w:line="240" w:lineRule="auto"/>
                    <w:ind w:firstLine="0" w:firstLineChars="0"/>
                    <w:textAlignment w:val="auto"/>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w:t>
                  </w:r>
                </w:p>
              </w:tc>
            </w:tr>
            <w:tr w14:paraId="336343B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644" w:type="pct"/>
                  <w:vMerge w:val="continue"/>
                  <w:tcBorders>
                    <w:tl2br w:val="nil"/>
                    <w:tr2bl w:val="nil"/>
                  </w:tcBorders>
                  <w:vAlign w:val="center"/>
                </w:tcPr>
                <w:p w14:paraId="0B627A28">
                  <w:pPr>
                    <w:pStyle w:val="25"/>
                    <w:keepNext w:val="0"/>
                    <w:keepLines w:val="0"/>
                    <w:pageBreakBefore w:val="0"/>
                    <w:widowControl w:val="0"/>
                    <w:kinsoku/>
                    <w:wordWrap/>
                    <w:overflowPunct/>
                    <w:topLinePunct w:val="0"/>
                    <w:autoSpaceDE/>
                    <w:autoSpaceDN/>
                    <w:bidi w:val="0"/>
                    <w:spacing w:line="240" w:lineRule="auto"/>
                    <w:ind w:firstLine="0" w:firstLineChars="0"/>
                    <w:textAlignment w:val="auto"/>
                    <w:rPr>
                      <w:rFonts w:hint="default" w:ascii="Times New Roman" w:hAnsi="Times New Roman" w:eastAsia="宋体" w:cs="Times New Roman"/>
                      <w:color w:val="auto"/>
                      <w:kern w:val="2"/>
                      <w:sz w:val="21"/>
                      <w:szCs w:val="21"/>
                    </w:rPr>
                  </w:pPr>
                </w:p>
              </w:tc>
              <w:tc>
                <w:tcPr>
                  <w:tcW w:w="644" w:type="pct"/>
                  <w:vMerge w:val="continue"/>
                  <w:tcBorders>
                    <w:tl2br w:val="nil"/>
                    <w:tr2bl w:val="nil"/>
                  </w:tcBorders>
                  <w:vAlign w:val="center"/>
                </w:tcPr>
                <w:p w14:paraId="74A9B79C">
                  <w:pPr>
                    <w:pStyle w:val="25"/>
                    <w:keepNext w:val="0"/>
                    <w:keepLines w:val="0"/>
                    <w:pageBreakBefore w:val="0"/>
                    <w:widowControl w:val="0"/>
                    <w:kinsoku/>
                    <w:wordWrap/>
                    <w:overflowPunct/>
                    <w:topLinePunct w:val="0"/>
                    <w:autoSpaceDE/>
                    <w:autoSpaceDN/>
                    <w:bidi w:val="0"/>
                    <w:spacing w:line="240" w:lineRule="auto"/>
                    <w:ind w:firstLine="0" w:firstLineChars="0"/>
                    <w:textAlignment w:val="auto"/>
                    <w:rPr>
                      <w:rFonts w:hint="default" w:ascii="Times New Roman" w:hAnsi="Times New Roman" w:eastAsia="宋体" w:cs="Times New Roman"/>
                      <w:color w:val="auto"/>
                      <w:kern w:val="2"/>
                      <w:sz w:val="21"/>
                      <w:szCs w:val="21"/>
                    </w:rPr>
                  </w:pPr>
                </w:p>
              </w:tc>
              <w:tc>
                <w:tcPr>
                  <w:tcW w:w="1265" w:type="pct"/>
                  <w:tcBorders>
                    <w:tl2br w:val="nil"/>
                    <w:tr2bl w:val="nil"/>
                  </w:tcBorders>
                  <w:vAlign w:val="center"/>
                </w:tcPr>
                <w:p w14:paraId="4DDF2427">
                  <w:pPr>
                    <w:pStyle w:val="25"/>
                    <w:keepNext w:val="0"/>
                    <w:keepLines w:val="0"/>
                    <w:pageBreakBefore w:val="0"/>
                    <w:widowControl w:val="0"/>
                    <w:kinsoku/>
                    <w:wordWrap/>
                    <w:overflowPunct/>
                    <w:topLinePunct w:val="0"/>
                    <w:autoSpaceDE/>
                    <w:autoSpaceDN/>
                    <w:bidi w:val="0"/>
                    <w:spacing w:line="240" w:lineRule="auto"/>
                    <w:ind w:firstLine="0" w:firstLineChars="0"/>
                    <w:textAlignment w:val="auto"/>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布袋除尘器收集粉尘</w:t>
                  </w:r>
                </w:p>
              </w:tc>
              <w:tc>
                <w:tcPr>
                  <w:tcW w:w="1409" w:type="pct"/>
                  <w:tcBorders>
                    <w:tl2br w:val="nil"/>
                    <w:tr2bl w:val="nil"/>
                  </w:tcBorders>
                  <w:vAlign w:val="center"/>
                </w:tcPr>
                <w:p w14:paraId="13E19B38">
                  <w:pPr>
                    <w:pStyle w:val="25"/>
                    <w:keepNext w:val="0"/>
                    <w:keepLines w:val="0"/>
                    <w:pageBreakBefore w:val="0"/>
                    <w:widowControl w:val="0"/>
                    <w:kinsoku/>
                    <w:wordWrap/>
                    <w:overflowPunct/>
                    <w:topLinePunct w:val="0"/>
                    <w:autoSpaceDE/>
                    <w:autoSpaceDN/>
                    <w:bidi w:val="0"/>
                    <w:spacing w:line="240" w:lineRule="auto"/>
                    <w:ind w:firstLine="0" w:firstLineChars="0"/>
                    <w:textAlignment w:val="auto"/>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6.5</w:t>
                  </w:r>
                </w:p>
              </w:tc>
              <w:tc>
                <w:tcPr>
                  <w:tcW w:w="1036" w:type="pct"/>
                  <w:tcBorders>
                    <w:tl2br w:val="nil"/>
                    <w:tr2bl w:val="nil"/>
                  </w:tcBorders>
                  <w:vAlign w:val="center"/>
                </w:tcPr>
                <w:p w14:paraId="15885748">
                  <w:pPr>
                    <w:pStyle w:val="25"/>
                    <w:keepNext w:val="0"/>
                    <w:keepLines w:val="0"/>
                    <w:pageBreakBefore w:val="0"/>
                    <w:widowControl w:val="0"/>
                    <w:kinsoku/>
                    <w:wordWrap/>
                    <w:overflowPunct/>
                    <w:topLinePunct w:val="0"/>
                    <w:autoSpaceDE/>
                    <w:autoSpaceDN/>
                    <w:bidi w:val="0"/>
                    <w:spacing w:line="240" w:lineRule="auto"/>
                    <w:ind w:firstLine="0" w:firstLineChars="0"/>
                    <w:textAlignment w:val="auto"/>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w:t>
                  </w:r>
                </w:p>
              </w:tc>
            </w:tr>
            <w:tr w14:paraId="4477405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644" w:type="pct"/>
                  <w:vMerge w:val="continue"/>
                  <w:tcBorders>
                    <w:tl2br w:val="nil"/>
                    <w:tr2bl w:val="nil"/>
                  </w:tcBorders>
                  <w:vAlign w:val="center"/>
                </w:tcPr>
                <w:p w14:paraId="776B3FE5">
                  <w:pPr>
                    <w:pStyle w:val="25"/>
                    <w:keepNext w:val="0"/>
                    <w:keepLines w:val="0"/>
                    <w:pageBreakBefore w:val="0"/>
                    <w:widowControl w:val="0"/>
                    <w:kinsoku/>
                    <w:wordWrap/>
                    <w:overflowPunct/>
                    <w:topLinePunct w:val="0"/>
                    <w:autoSpaceDE/>
                    <w:autoSpaceDN/>
                    <w:bidi w:val="0"/>
                    <w:spacing w:line="240" w:lineRule="auto"/>
                    <w:ind w:firstLine="0" w:firstLineChars="0"/>
                    <w:textAlignment w:val="auto"/>
                    <w:rPr>
                      <w:rFonts w:hint="default" w:ascii="Times New Roman" w:hAnsi="Times New Roman" w:eastAsia="宋体" w:cs="Times New Roman"/>
                      <w:color w:val="auto"/>
                      <w:kern w:val="2"/>
                      <w:sz w:val="21"/>
                      <w:szCs w:val="21"/>
                    </w:rPr>
                  </w:pPr>
                </w:p>
              </w:tc>
              <w:tc>
                <w:tcPr>
                  <w:tcW w:w="644" w:type="pct"/>
                  <w:vMerge w:val="continue"/>
                  <w:tcBorders>
                    <w:tl2br w:val="nil"/>
                    <w:tr2bl w:val="nil"/>
                  </w:tcBorders>
                  <w:vAlign w:val="center"/>
                </w:tcPr>
                <w:p w14:paraId="1722BE65">
                  <w:pPr>
                    <w:pStyle w:val="25"/>
                    <w:keepNext w:val="0"/>
                    <w:keepLines w:val="0"/>
                    <w:pageBreakBefore w:val="0"/>
                    <w:widowControl w:val="0"/>
                    <w:kinsoku/>
                    <w:wordWrap/>
                    <w:overflowPunct/>
                    <w:topLinePunct w:val="0"/>
                    <w:autoSpaceDE/>
                    <w:autoSpaceDN/>
                    <w:bidi w:val="0"/>
                    <w:spacing w:line="240" w:lineRule="auto"/>
                    <w:ind w:firstLine="0" w:firstLineChars="0"/>
                    <w:textAlignment w:val="auto"/>
                    <w:rPr>
                      <w:rFonts w:hint="default" w:ascii="Times New Roman" w:hAnsi="Times New Roman" w:eastAsia="宋体" w:cs="Times New Roman"/>
                      <w:color w:val="auto"/>
                      <w:kern w:val="2"/>
                      <w:sz w:val="21"/>
                      <w:szCs w:val="21"/>
                    </w:rPr>
                  </w:pPr>
                </w:p>
              </w:tc>
              <w:tc>
                <w:tcPr>
                  <w:tcW w:w="1265" w:type="pct"/>
                  <w:tcBorders>
                    <w:tl2br w:val="nil"/>
                    <w:tr2bl w:val="nil"/>
                  </w:tcBorders>
                  <w:vAlign w:val="center"/>
                </w:tcPr>
                <w:p w14:paraId="30B483DC">
                  <w:pPr>
                    <w:pStyle w:val="25"/>
                    <w:keepNext w:val="0"/>
                    <w:keepLines w:val="0"/>
                    <w:pageBreakBefore w:val="0"/>
                    <w:widowControl w:val="0"/>
                    <w:kinsoku/>
                    <w:wordWrap/>
                    <w:overflowPunct/>
                    <w:topLinePunct w:val="0"/>
                    <w:autoSpaceDE/>
                    <w:autoSpaceDN/>
                    <w:bidi w:val="0"/>
                    <w:spacing w:line="240" w:lineRule="auto"/>
                    <w:ind w:firstLine="0" w:firstLineChars="0"/>
                    <w:textAlignment w:val="auto"/>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含铁物料</w:t>
                  </w:r>
                </w:p>
              </w:tc>
              <w:tc>
                <w:tcPr>
                  <w:tcW w:w="1409" w:type="pct"/>
                  <w:tcBorders>
                    <w:tl2br w:val="nil"/>
                    <w:tr2bl w:val="nil"/>
                  </w:tcBorders>
                  <w:vAlign w:val="center"/>
                </w:tcPr>
                <w:p w14:paraId="45E321C4">
                  <w:pPr>
                    <w:pStyle w:val="25"/>
                    <w:keepNext w:val="0"/>
                    <w:keepLines w:val="0"/>
                    <w:pageBreakBefore w:val="0"/>
                    <w:widowControl w:val="0"/>
                    <w:kinsoku/>
                    <w:wordWrap/>
                    <w:overflowPunct/>
                    <w:topLinePunct w:val="0"/>
                    <w:autoSpaceDE/>
                    <w:autoSpaceDN/>
                    <w:bidi w:val="0"/>
                    <w:spacing w:line="240" w:lineRule="auto"/>
                    <w:ind w:firstLine="0" w:firstLineChars="0"/>
                    <w:textAlignment w:val="auto"/>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1.6</w:t>
                  </w:r>
                </w:p>
              </w:tc>
              <w:tc>
                <w:tcPr>
                  <w:tcW w:w="1036" w:type="pct"/>
                  <w:tcBorders>
                    <w:tl2br w:val="nil"/>
                    <w:tr2bl w:val="nil"/>
                  </w:tcBorders>
                  <w:vAlign w:val="center"/>
                </w:tcPr>
                <w:p w14:paraId="5A127537">
                  <w:pPr>
                    <w:pStyle w:val="25"/>
                    <w:keepNext w:val="0"/>
                    <w:keepLines w:val="0"/>
                    <w:pageBreakBefore w:val="0"/>
                    <w:widowControl w:val="0"/>
                    <w:kinsoku/>
                    <w:wordWrap/>
                    <w:overflowPunct/>
                    <w:topLinePunct w:val="0"/>
                    <w:autoSpaceDE/>
                    <w:autoSpaceDN/>
                    <w:bidi w:val="0"/>
                    <w:spacing w:line="240" w:lineRule="auto"/>
                    <w:ind w:firstLine="0" w:firstLineChars="0"/>
                    <w:textAlignment w:val="auto"/>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w:t>
                  </w:r>
                </w:p>
              </w:tc>
            </w:tr>
            <w:tr w14:paraId="7ACBE65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644" w:type="pct"/>
                  <w:vMerge w:val="continue"/>
                  <w:tcBorders>
                    <w:tl2br w:val="nil"/>
                    <w:tr2bl w:val="nil"/>
                  </w:tcBorders>
                  <w:vAlign w:val="center"/>
                </w:tcPr>
                <w:p w14:paraId="2A179113">
                  <w:pPr>
                    <w:pStyle w:val="25"/>
                    <w:keepNext w:val="0"/>
                    <w:keepLines w:val="0"/>
                    <w:pageBreakBefore w:val="0"/>
                    <w:widowControl w:val="0"/>
                    <w:kinsoku/>
                    <w:wordWrap/>
                    <w:overflowPunct/>
                    <w:topLinePunct w:val="0"/>
                    <w:autoSpaceDE/>
                    <w:autoSpaceDN/>
                    <w:bidi w:val="0"/>
                    <w:spacing w:line="240" w:lineRule="auto"/>
                    <w:ind w:firstLine="0" w:firstLineChars="0"/>
                    <w:textAlignment w:val="auto"/>
                    <w:rPr>
                      <w:rFonts w:hint="default" w:ascii="Times New Roman" w:hAnsi="Times New Roman" w:eastAsia="宋体" w:cs="Times New Roman"/>
                      <w:color w:val="auto"/>
                      <w:kern w:val="2"/>
                      <w:sz w:val="21"/>
                      <w:szCs w:val="21"/>
                    </w:rPr>
                  </w:pPr>
                </w:p>
              </w:tc>
              <w:tc>
                <w:tcPr>
                  <w:tcW w:w="1910" w:type="pct"/>
                  <w:gridSpan w:val="2"/>
                  <w:tcBorders>
                    <w:tl2br w:val="nil"/>
                    <w:tr2bl w:val="nil"/>
                  </w:tcBorders>
                  <w:vAlign w:val="center"/>
                </w:tcPr>
                <w:p w14:paraId="205832FC">
                  <w:pPr>
                    <w:pStyle w:val="25"/>
                    <w:keepNext w:val="0"/>
                    <w:keepLines w:val="0"/>
                    <w:pageBreakBefore w:val="0"/>
                    <w:widowControl w:val="0"/>
                    <w:kinsoku/>
                    <w:wordWrap/>
                    <w:overflowPunct/>
                    <w:topLinePunct w:val="0"/>
                    <w:autoSpaceDE/>
                    <w:autoSpaceDN/>
                    <w:bidi w:val="0"/>
                    <w:spacing w:line="240" w:lineRule="auto"/>
                    <w:ind w:firstLine="0" w:firstLineChars="0"/>
                    <w:textAlignment w:val="auto"/>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危险废物</w:t>
                  </w:r>
                </w:p>
              </w:tc>
              <w:tc>
                <w:tcPr>
                  <w:tcW w:w="1409" w:type="pct"/>
                  <w:tcBorders>
                    <w:tl2br w:val="nil"/>
                    <w:tr2bl w:val="nil"/>
                  </w:tcBorders>
                  <w:vAlign w:val="center"/>
                </w:tcPr>
                <w:p w14:paraId="72A8AD9C">
                  <w:pPr>
                    <w:pStyle w:val="25"/>
                    <w:keepNext w:val="0"/>
                    <w:keepLines w:val="0"/>
                    <w:pageBreakBefore w:val="0"/>
                    <w:widowControl w:val="0"/>
                    <w:kinsoku/>
                    <w:wordWrap/>
                    <w:overflowPunct/>
                    <w:topLinePunct w:val="0"/>
                    <w:autoSpaceDE/>
                    <w:autoSpaceDN/>
                    <w:bidi w:val="0"/>
                    <w:spacing w:line="240" w:lineRule="auto"/>
                    <w:ind w:firstLine="0" w:firstLineChars="0"/>
                    <w:textAlignment w:val="auto"/>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0</w:t>
                  </w:r>
                </w:p>
              </w:tc>
              <w:tc>
                <w:tcPr>
                  <w:tcW w:w="1036" w:type="pct"/>
                  <w:tcBorders>
                    <w:tl2br w:val="nil"/>
                    <w:tr2bl w:val="nil"/>
                  </w:tcBorders>
                  <w:vAlign w:val="center"/>
                </w:tcPr>
                <w:p w14:paraId="4C191F20">
                  <w:pPr>
                    <w:pStyle w:val="25"/>
                    <w:keepNext w:val="0"/>
                    <w:keepLines w:val="0"/>
                    <w:pageBreakBefore w:val="0"/>
                    <w:widowControl w:val="0"/>
                    <w:kinsoku/>
                    <w:wordWrap/>
                    <w:overflowPunct/>
                    <w:topLinePunct w:val="0"/>
                    <w:autoSpaceDE/>
                    <w:autoSpaceDN/>
                    <w:bidi w:val="0"/>
                    <w:spacing w:line="240" w:lineRule="auto"/>
                    <w:ind w:firstLine="0" w:firstLineChars="0"/>
                    <w:textAlignment w:val="auto"/>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w:t>
                  </w:r>
                </w:p>
              </w:tc>
            </w:tr>
          </w:tbl>
          <w:p w14:paraId="7B517285">
            <w:pPr>
              <w:keepNext w:val="0"/>
              <w:keepLines w:val="0"/>
              <w:pageBreakBefore w:val="0"/>
              <w:widowControl w:val="0"/>
              <w:kinsoku/>
              <w:wordWrap/>
              <w:overflowPunct/>
              <w:topLinePunct w:val="0"/>
              <w:autoSpaceDE/>
              <w:autoSpaceDN/>
              <w:bidi w:val="0"/>
              <w:spacing w:line="360" w:lineRule="auto"/>
              <w:ind w:firstLine="420" w:firstLineChars="20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四、现有工程排污许可执行情况</w:t>
            </w:r>
          </w:p>
          <w:p w14:paraId="7EA35884">
            <w:pPr>
              <w:keepNext w:val="0"/>
              <w:keepLines w:val="0"/>
              <w:pageBreakBefore w:val="0"/>
              <w:widowControl w:val="0"/>
              <w:kinsoku/>
              <w:wordWrap/>
              <w:overflowPunct/>
              <w:topLinePunct w:val="0"/>
              <w:autoSpaceDE/>
              <w:autoSpaceDN/>
              <w:bidi w:val="0"/>
              <w:spacing w:line="360" w:lineRule="auto"/>
              <w:ind w:firstLine="420" w:firstLineChars="20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排污许可执行情况：</w:t>
            </w:r>
            <w:r>
              <w:rPr>
                <w:rFonts w:hint="default" w:ascii="Times New Roman" w:hAnsi="Times New Roman" w:eastAsia="宋体" w:cs="Times New Roman"/>
                <w:bCs/>
                <w:color w:val="auto"/>
                <w:sz w:val="21"/>
                <w:szCs w:val="21"/>
                <w:lang w:val="en-US" w:eastAsia="zh-CN"/>
              </w:rPr>
              <w:t>周村鲁萌磨料磨具有限公司（年产5000吨超硬复合新材料项目现在为</w:t>
            </w:r>
            <w:r>
              <w:rPr>
                <w:rFonts w:hint="default" w:ascii="Times New Roman" w:hAnsi="Times New Roman" w:eastAsia="宋体" w:cs="Times New Roman"/>
                <w:bCs/>
                <w:color w:val="auto"/>
                <w:sz w:val="21"/>
                <w:szCs w:val="21"/>
              </w:rPr>
              <w:t>淄博启新新材料科技有限公司</w:t>
            </w:r>
            <w:r>
              <w:rPr>
                <w:rFonts w:hint="default" w:ascii="Times New Roman" w:hAnsi="Times New Roman" w:eastAsia="宋体" w:cs="Times New Roman"/>
                <w:bCs/>
                <w:color w:val="auto"/>
                <w:sz w:val="21"/>
                <w:szCs w:val="21"/>
                <w:lang w:val="en-US" w:eastAsia="zh-CN"/>
              </w:rPr>
              <w:t>所有）</w:t>
            </w:r>
            <w:r>
              <w:rPr>
                <w:rFonts w:hint="default" w:ascii="Times New Roman" w:hAnsi="Times New Roman" w:eastAsia="宋体" w:cs="Times New Roman"/>
                <w:color w:val="auto"/>
                <w:sz w:val="21"/>
                <w:szCs w:val="21"/>
              </w:rPr>
              <w:t>于2020年</w:t>
            </w:r>
            <w:r>
              <w:rPr>
                <w:rFonts w:hint="default" w:ascii="Times New Roman" w:hAnsi="Times New Roman" w:eastAsia="宋体" w:cs="Times New Roman"/>
                <w:color w:val="auto"/>
                <w:sz w:val="21"/>
                <w:szCs w:val="21"/>
                <w:lang w:val="en-US" w:eastAsia="zh-CN"/>
              </w:rPr>
              <w:t>3</w:t>
            </w:r>
            <w:r>
              <w:rPr>
                <w:rFonts w:hint="default" w:ascii="Times New Roman" w:hAnsi="Times New Roman" w:eastAsia="宋体" w:cs="Times New Roman"/>
                <w:color w:val="auto"/>
                <w:sz w:val="21"/>
                <w:szCs w:val="21"/>
              </w:rPr>
              <w:t>月2</w:t>
            </w:r>
            <w:r>
              <w:rPr>
                <w:rFonts w:hint="default" w:ascii="Times New Roman" w:hAnsi="Times New Roman" w:eastAsia="宋体" w:cs="Times New Roman"/>
                <w:color w:val="auto"/>
                <w:sz w:val="21"/>
                <w:szCs w:val="21"/>
                <w:lang w:val="en-US" w:eastAsia="zh-CN"/>
              </w:rPr>
              <w:t>3</w:t>
            </w:r>
            <w:r>
              <w:rPr>
                <w:rFonts w:hint="default" w:ascii="Times New Roman" w:hAnsi="Times New Roman" w:eastAsia="宋体" w:cs="Times New Roman"/>
                <w:color w:val="auto"/>
                <w:sz w:val="21"/>
                <w:szCs w:val="21"/>
              </w:rPr>
              <w:t>日申领排污</w:t>
            </w:r>
            <w:r>
              <w:rPr>
                <w:rFonts w:hint="default" w:ascii="Times New Roman" w:hAnsi="Times New Roman" w:eastAsia="宋体" w:cs="Times New Roman"/>
                <w:color w:val="auto"/>
                <w:sz w:val="21"/>
                <w:szCs w:val="21"/>
                <w:lang w:val="en-US" w:eastAsia="zh-CN"/>
              </w:rPr>
              <w:t>登记</w:t>
            </w:r>
            <w:r>
              <w:rPr>
                <w:rFonts w:hint="default" w:ascii="Times New Roman" w:hAnsi="Times New Roman" w:eastAsia="宋体" w:cs="Times New Roman"/>
                <w:color w:val="auto"/>
                <w:sz w:val="21"/>
                <w:szCs w:val="21"/>
              </w:rPr>
              <w:t>，证书编号为91370306164367394T002W。根据排污</w:t>
            </w:r>
            <w:r>
              <w:rPr>
                <w:rFonts w:hint="default" w:ascii="Times New Roman" w:hAnsi="Times New Roman" w:eastAsia="宋体" w:cs="Times New Roman"/>
                <w:color w:val="auto"/>
                <w:sz w:val="21"/>
                <w:szCs w:val="21"/>
                <w:lang w:val="en-US" w:eastAsia="zh-CN"/>
              </w:rPr>
              <w:t>登记</w:t>
            </w:r>
            <w:r>
              <w:rPr>
                <w:rFonts w:hint="default" w:ascii="Times New Roman" w:hAnsi="Times New Roman" w:eastAsia="宋体" w:cs="Times New Roman"/>
                <w:color w:val="auto"/>
                <w:sz w:val="21"/>
                <w:szCs w:val="21"/>
              </w:rPr>
              <w:t>排放总许可量，</w:t>
            </w:r>
            <w:r>
              <w:rPr>
                <w:rFonts w:hint="default" w:ascii="Times New Roman" w:hAnsi="Times New Roman" w:eastAsia="宋体" w:cs="Times New Roman"/>
                <w:bCs/>
                <w:color w:val="auto"/>
                <w:sz w:val="21"/>
                <w:szCs w:val="21"/>
                <w:lang w:val="en-US" w:eastAsia="zh-CN"/>
              </w:rPr>
              <w:t>周村鲁萌磨料磨具有限公司</w:t>
            </w:r>
            <w:r>
              <w:rPr>
                <w:rFonts w:hint="default" w:ascii="Times New Roman" w:hAnsi="Times New Roman" w:eastAsia="宋体" w:cs="Times New Roman"/>
                <w:color w:val="auto"/>
                <w:sz w:val="21"/>
                <w:szCs w:val="21"/>
                <w:lang w:val="en-US" w:eastAsia="zh-CN"/>
              </w:rPr>
              <w:t>颗粒物</w:t>
            </w:r>
            <w:r>
              <w:rPr>
                <w:rFonts w:hint="default" w:ascii="Times New Roman" w:hAnsi="Times New Roman" w:eastAsia="宋体" w:cs="Times New Roman"/>
                <w:color w:val="auto"/>
                <w:sz w:val="21"/>
                <w:szCs w:val="21"/>
              </w:rPr>
              <w:t>许可排放量为</w:t>
            </w:r>
            <w:r>
              <w:rPr>
                <w:rFonts w:hint="default" w:ascii="Times New Roman" w:hAnsi="Times New Roman" w:eastAsia="宋体" w:cs="Times New Roman"/>
                <w:color w:val="auto"/>
                <w:sz w:val="21"/>
                <w:szCs w:val="21"/>
                <w:lang w:val="en-US" w:eastAsia="zh-CN"/>
              </w:rPr>
              <w:t>0.2980</w:t>
            </w:r>
            <w:r>
              <w:rPr>
                <w:rFonts w:hint="default" w:ascii="Times New Roman" w:hAnsi="Times New Roman" w:eastAsia="宋体" w:cs="Times New Roman"/>
                <w:color w:val="auto"/>
                <w:sz w:val="21"/>
                <w:szCs w:val="21"/>
              </w:rPr>
              <w:t>t/a</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val="en-US" w:eastAsia="zh-CN"/>
              </w:rPr>
              <w:t>根据</w:t>
            </w:r>
            <w:r>
              <w:rPr>
                <w:rFonts w:hint="default" w:ascii="Times New Roman" w:hAnsi="Times New Roman" w:eastAsia="宋体" w:cs="Times New Roman"/>
                <w:color w:val="auto"/>
                <w:sz w:val="21"/>
                <w:szCs w:val="21"/>
                <w:vertAlign w:val="baseline"/>
                <w:lang w:eastAsia="zh-CN"/>
              </w:rPr>
              <w:t>《年产9000吨超硬复合新材料提升改造和扩建项目</w:t>
            </w:r>
            <w:r>
              <w:rPr>
                <w:rFonts w:hint="default" w:ascii="Times New Roman" w:hAnsi="Times New Roman" w:eastAsia="宋体" w:cs="Times New Roman"/>
                <w:color w:val="auto"/>
                <w:sz w:val="21"/>
                <w:szCs w:val="21"/>
                <w:vertAlign w:val="baseline"/>
              </w:rPr>
              <w:t>环境影响报告表</w:t>
            </w:r>
            <w:r>
              <w:rPr>
                <w:rFonts w:hint="default" w:ascii="Times New Roman" w:hAnsi="Times New Roman" w:eastAsia="宋体" w:cs="Times New Roman"/>
                <w:color w:val="auto"/>
                <w:sz w:val="21"/>
                <w:szCs w:val="21"/>
                <w:vertAlign w:val="baseline"/>
                <w:lang w:eastAsia="zh-CN"/>
              </w:rPr>
              <w:t>》</w:t>
            </w:r>
            <w:r>
              <w:rPr>
                <w:rFonts w:hint="default" w:ascii="Times New Roman" w:hAnsi="Times New Roman" w:eastAsia="宋体" w:cs="Times New Roman"/>
                <w:color w:val="auto"/>
                <w:sz w:val="21"/>
                <w:szCs w:val="21"/>
                <w:vertAlign w:val="baseline"/>
                <w:lang w:val="en-US" w:eastAsia="zh-CN"/>
              </w:rPr>
              <w:t>中相关信息，</w:t>
            </w:r>
            <w:r>
              <w:rPr>
                <w:rFonts w:hint="default" w:ascii="Times New Roman" w:hAnsi="Times New Roman" w:eastAsia="宋体" w:cs="Times New Roman"/>
                <w:bCs/>
                <w:color w:val="auto"/>
                <w:sz w:val="21"/>
                <w:szCs w:val="21"/>
                <w:lang w:val="en-US" w:eastAsia="zh-CN"/>
              </w:rPr>
              <w:t>年产5000吨超硬复合新材料项目</w:t>
            </w:r>
            <w:r>
              <w:rPr>
                <w:rFonts w:hint="default" w:ascii="Times New Roman" w:hAnsi="Times New Roman" w:eastAsia="宋体" w:cs="Times New Roman"/>
                <w:color w:val="auto"/>
                <w:sz w:val="21"/>
                <w:szCs w:val="21"/>
                <w:lang w:val="en-US" w:eastAsia="zh-CN"/>
              </w:rPr>
              <w:t>颗粒物</w:t>
            </w:r>
            <w:r>
              <w:rPr>
                <w:rFonts w:hint="default" w:ascii="Times New Roman" w:hAnsi="Times New Roman" w:eastAsia="宋体" w:cs="Times New Roman"/>
                <w:color w:val="auto"/>
                <w:sz w:val="21"/>
                <w:szCs w:val="21"/>
              </w:rPr>
              <w:t>许可排放量为</w:t>
            </w:r>
            <w:r>
              <w:rPr>
                <w:rFonts w:hint="default" w:ascii="Times New Roman" w:hAnsi="Times New Roman" w:eastAsia="宋体" w:cs="Times New Roman"/>
                <w:color w:val="auto"/>
                <w:sz w:val="21"/>
                <w:szCs w:val="21"/>
                <w:lang w:val="en-US" w:eastAsia="zh-CN"/>
              </w:rPr>
              <w:t>0.1500</w:t>
            </w:r>
            <w:r>
              <w:rPr>
                <w:rFonts w:hint="default" w:ascii="Times New Roman" w:hAnsi="Times New Roman" w:eastAsia="宋体" w:cs="Times New Roman"/>
                <w:color w:val="auto"/>
                <w:sz w:val="21"/>
                <w:szCs w:val="21"/>
              </w:rPr>
              <w:t>t/a。</w:t>
            </w:r>
          </w:p>
          <w:p w14:paraId="5B87B810">
            <w:pPr>
              <w:keepNext w:val="0"/>
              <w:keepLines w:val="0"/>
              <w:pageBreakBefore w:val="0"/>
              <w:widowControl w:val="0"/>
              <w:kinsoku/>
              <w:wordWrap/>
              <w:overflowPunct/>
              <w:topLinePunct w:val="0"/>
              <w:autoSpaceDE/>
              <w:autoSpaceDN/>
              <w:bidi w:val="0"/>
              <w:spacing w:line="360" w:lineRule="auto"/>
              <w:ind w:firstLine="420" w:firstLineChars="200"/>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五、现有项目存在的问题及整改措施：</w:t>
            </w:r>
          </w:p>
          <w:p w14:paraId="626646A9">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both"/>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bCs/>
                <w:color w:val="auto"/>
                <w:sz w:val="21"/>
                <w:szCs w:val="21"/>
              </w:rPr>
              <w:t>现有项目基本落实了环境影响报告表中提出的各项污染防治措施和审批要求，企业应在</w:t>
            </w:r>
            <w:r>
              <w:rPr>
                <w:rFonts w:hint="default" w:ascii="Times New Roman" w:hAnsi="Times New Roman" w:eastAsia="宋体" w:cs="Times New Roman"/>
                <w:bCs/>
                <w:color w:val="auto"/>
                <w:sz w:val="21"/>
                <w:szCs w:val="21"/>
                <w:lang w:val="en-US" w:eastAsia="zh-CN"/>
              </w:rPr>
              <w:t>扩建</w:t>
            </w:r>
            <w:r>
              <w:rPr>
                <w:rFonts w:hint="default" w:ascii="Times New Roman" w:hAnsi="Times New Roman" w:eastAsia="宋体" w:cs="Times New Roman"/>
                <w:bCs/>
                <w:color w:val="auto"/>
                <w:sz w:val="21"/>
                <w:szCs w:val="21"/>
              </w:rPr>
              <w:t>项目投产前进行排污许可证变更。</w:t>
            </w:r>
          </w:p>
        </w:tc>
      </w:tr>
    </w:tbl>
    <w:p w14:paraId="43CE0806">
      <w:pPr>
        <w:rPr>
          <w:rFonts w:hint="default" w:ascii="Times New Roman" w:hAnsi="Times New Roman" w:eastAsia="宋体" w:cs="Times New Roman"/>
          <w:color w:val="auto"/>
        </w:rPr>
      </w:pPr>
      <w:r>
        <w:rPr>
          <w:rFonts w:hint="default" w:ascii="Times New Roman" w:hAnsi="Times New Roman" w:eastAsia="宋体" w:cs="Times New Roman"/>
          <w:color w:val="auto"/>
        </w:rPr>
        <w:br w:type="page"/>
      </w:r>
    </w:p>
    <w:p w14:paraId="109E3A80">
      <w:pPr>
        <w:keepNext w:val="0"/>
        <w:keepLines w:val="0"/>
        <w:pageBreakBefore w:val="0"/>
        <w:widowControl w:val="0"/>
        <w:numPr>
          <w:ilvl w:val="0"/>
          <w:numId w:val="0"/>
        </w:numPr>
        <w:kinsoku/>
        <w:wordWrap/>
        <w:overflowPunct/>
        <w:topLinePunct w:val="0"/>
        <w:autoSpaceDE/>
        <w:autoSpaceDN/>
        <w:bidi w:val="0"/>
        <w:adjustRightInd/>
        <w:snapToGrid/>
        <w:spacing w:after="313" w:afterLines="100" w:line="360" w:lineRule="auto"/>
        <w:ind w:left="0" w:leftChars="0" w:right="0" w:rightChars="0" w:firstLine="600" w:firstLineChars="200"/>
        <w:jc w:val="center"/>
        <w:textAlignment w:val="auto"/>
        <w:rPr>
          <w:rFonts w:hint="default" w:ascii="Times New Roman" w:hAnsi="Times New Roman" w:eastAsia="宋体" w:cs="Times New Roman"/>
          <w:snapToGrid w:val="0"/>
          <w:color w:val="auto"/>
          <w:sz w:val="30"/>
          <w:szCs w:val="30"/>
        </w:rPr>
      </w:pPr>
      <w:r>
        <w:rPr>
          <w:rFonts w:hint="default" w:ascii="Times New Roman" w:hAnsi="Times New Roman" w:eastAsia="宋体" w:cs="Times New Roman"/>
          <w:snapToGrid w:val="0"/>
          <w:color w:val="auto"/>
          <w:kern w:val="2"/>
          <w:sz w:val="30"/>
          <w:szCs w:val="30"/>
          <w:lang w:val="en-US" w:eastAsia="zh-CN" w:bidi="ar-SA"/>
        </w:rPr>
        <w:t>三、</w:t>
      </w:r>
      <w:r>
        <w:rPr>
          <w:rFonts w:hint="default" w:ascii="Times New Roman" w:hAnsi="Times New Roman" w:eastAsia="宋体" w:cs="Times New Roman"/>
          <w:snapToGrid w:val="0"/>
          <w:color w:val="auto"/>
          <w:sz w:val="30"/>
          <w:szCs w:val="30"/>
        </w:rPr>
        <w:t>区域环境质量现状、环境保护目标及评价标准</w:t>
      </w:r>
    </w:p>
    <w:tbl>
      <w:tblPr>
        <w:tblStyle w:val="1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99"/>
        <w:gridCol w:w="7823"/>
      </w:tblGrid>
      <w:tr w14:paraId="437588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9" w:type="dxa"/>
            <w:vAlign w:val="center"/>
          </w:tcPr>
          <w:p w14:paraId="17DC6C88">
            <w:pPr>
              <w:adjustRightInd w:val="0"/>
              <w:snapToGrid w:val="0"/>
              <w:ind w:left="0" w:leftChars="0" w:right="0" w:rightChars="0" w:firstLine="0" w:firstLine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区域</w:t>
            </w:r>
          </w:p>
          <w:p w14:paraId="7E3C6136">
            <w:pPr>
              <w:adjustRightInd w:val="0"/>
              <w:snapToGrid w:val="0"/>
              <w:ind w:left="0" w:leftChars="0" w:right="0" w:rightChars="0" w:firstLine="0" w:firstLine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环境</w:t>
            </w:r>
          </w:p>
          <w:p w14:paraId="6D6A6394">
            <w:pPr>
              <w:adjustRightInd w:val="0"/>
              <w:snapToGrid w:val="0"/>
              <w:ind w:left="0" w:leftChars="0" w:right="0" w:rightChars="0" w:firstLine="0" w:firstLine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质量</w:t>
            </w:r>
          </w:p>
          <w:p w14:paraId="52BFED90">
            <w:pPr>
              <w:keepNext w:val="0"/>
              <w:keepLines w:val="0"/>
              <w:pageBreakBefore w:val="0"/>
              <w:widowControl w:val="0"/>
              <w:numPr>
                <w:ilvl w:val="0"/>
                <w:numId w:val="0"/>
              </w:numPr>
              <w:kinsoku/>
              <w:wordWrap/>
              <w:overflowPunct/>
              <w:topLinePunct w:val="0"/>
              <w:bidi w:val="0"/>
              <w:ind w:left="0" w:leftChars="0" w:right="0" w:rightChars="0" w:firstLine="0" w:firstLineChars="0"/>
              <w:jc w:val="center"/>
              <w:rPr>
                <w:rFonts w:hint="default" w:ascii="Times New Roman" w:hAnsi="Times New Roman" w:eastAsia="宋体" w:cs="Times New Roman"/>
                <w:snapToGrid w:val="0"/>
                <w:color w:val="auto"/>
                <w:sz w:val="21"/>
                <w:szCs w:val="21"/>
                <w:vertAlign w:val="baseline"/>
              </w:rPr>
            </w:pPr>
            <w:r>
              <w:rPr>
                <w:rFonts w:hint="default" w:ascii="Times New Roman" w:hAnsi="Times New Roman" w:eastAsia="宋体" w:cs="Times New Roman"/>
                <w:color w:val="auto"/>
                <w:kern w:val="0"/>
                <w:sz w:val="21"/>
                <w:szCs w:val="21"/>
              </w:rPr>
              <w:t>现状</w:t>
            </w:r>
          </w:p>
        </w:tc>
        <w:tc>
          <w:tcPr>
            <w:tcW w:w="7823" w:type="dxa"/>
          </w:tcPr>
          <w:p w14:paraId="7DCDAC4A">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default" w:ascii="Times New Roman" w:hAnsi="Times New Roman" w:eastAsia="宋体" w:cs="Times New Roman"/>
                <w:b/>
                <w:bCs/>
                <w:color w:val="auto"/>
                <w:sz w:val="21"/>
                <w:szCs w:val="21"/>
                <w:lang w:val="zh-CN"/>
              </w:rPr>
            </w:pPr>
            <w:r>
              <w:rPr>
                <w:rFonts w:hint="default" w:ascii="Times New Roman" w:hAnsi="Times New Roman" w:eastAsia="宋体" w:cs="Times New Roman"/>
                <w:b/>
                <w:bCs/>
                <w:color w:val="auto"/>
                <w:sz w:val="21"/>
                <w:szCs w:val="21"/>
                <w:lang w:val="zh-CN"/>
              </w:rPr>
              <w:t>1、环境空气质量现状</w:t>
            </w:r>
          </w:p>
          <w:p w14:paraId="56578B84">
            <w:pPr>
              <w:keepNext w:val="0"/>
              <w:keepLines w:val="0"/>
              <w:pageBreakBefore w:val="0"/>
              <w:widowControl w:val="0"/>
              <w:kinsoku/>
              <w:wordWrap/>
              <w:overflowPunct/>
              <w:topLinePunct w:val="0"/>
              <w:autoSpaceDE/>
              <w:autoSpaceDN/>
              <w:bidi w:val="0"/>
              <w:adjustRightInd/>
              <w:snapToGrid w:val="0"/>
              <w:spacing w:line="360" w:lineRule="auto"/>
              <w:ind w:firstLine="420" w:firstLineChars="20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根据淄博市生态环境局发布的《2023年12月份及全年环境空气质量情况通报（2024年第1期）》，2023年，全市良好天数219天（国控），同比减少17天。重污染天数8天，同比增加2天。其中，二氧化硫（SO</w:t>
            </w:r>
            <w:r>
              <w:rPr>
                <w:rFonts w:hint="default" w:ascii="Times New Roman" w:hAnsi="Times New Roman" w:eastAsia="宋体" w:cs="Times New Roman"/>
                <w:color w:val="auto"/>
                <w:sz w:val="21"/>
                <w:szCs w:val="21"/>
                <w:vertAlign w:val="subscript"/>
              </w:rPr>
              <w:t>2</w:t>
            </w:r>
            <w:r>
              <w:rPr>
                <w:rFonts w:hint="default" w:ascii="Times New Roman" w:hAnsi="Times New Roman" w:eastAsia="宋体" w:cs="Times New Roman"/>
                <w:color w:val="auto"/>
                <w:sz w:val="21"/>
                <w:szCs w:val="21"/>
              </w:rPr>
              <w:t>）12微克/立方米，同比改善14.3%；二氧化氮（NO</w:t>
            </w:r>
            <w:r>
              <w:rPr>
                <w:rFonts w:hint="default" w:ascii="Times New Roman" w:hAnsi="Times New Roman" w:eastAsia="宋体" w:cs="Times New Roman"/>
                <w:color w:val="auto"/>
                <w:sz w:val="21"/>
                <w:szCs w:val="21"/>
                <w:vertAlign w:val="subscript"/>
              </w:rPr>
              <w:t>2</w:t>
            </w:r>
            <w:r>
              <w:rPr>
                <w:rFonts w:hint="default" w:ascii="Times New Roman" w:hAnsi="Times New Roman" w:eastAsia="宋体" w:cs="Times New Roman"/>
                <w:color w:val="auto"/>
                <w:sz w:val="21"/>
                <w:szCs w:val="21"/>
              </w:rPr>
              <w:t>）34微克/立方米，同比恶化3.0%；可吸入颗粒物（PM</w:t>
            </w:r>
            <w:r>
              <w:rPr>
                <w:rFonts w:hint="default" w:ascii="Times New Roman" w:hAnsi="Times New Roman" w:eastAsia="宋体" w:cs="Times New Roman"/>
                <w:color w:val="auto"/>
                <w:sz w:val="21"/>
                <w:szCs w:val="21"/>
                <w:vertAlign w:val="subscript"/>
              </w:rPr>
              <w:t>10</w:t>
            </w:r>
            <w:r>
              <w:rPr>
                <w:rFonts w:hint="default" w:ascii="Times New Roman" w:hAnsi="Times New Roman" w:eastAsia="宋体" w:cs="Times New Roman"/>
                <w:color w:val="auto"/>
                <w:sz w:val="21"/>
                <w:szCs w:val="21"/>
              </w:rPr>
              <w:t>）75微克/立方米，同比持平；细颗粒物（PM</w:t>
            </w:r>
            <w:r>
              <w:rPr>
                <w:rFonts w:hint="default" w:ascii="Times New Roman" w:hAnsi="Times New Roman" w:eastAsia="宋体" w:cs="Times New Roman"/>
                <w:color w:val="auto"/>
                <w:sz w:val="21"/>
                <w:szCs w:val="21"/>
                <w:vertAlign w:val="subscript"/>
              </w:rPr>
              <w:t>2.5</w:t>
            </w:r>
            <w:r>
              <w:rPr>
                <w:rFonts w:hint="default" w:ascii="Times New Roman" w:hAnsi="Times New Roman" w:eastAsia="宋体" w:cs="Times New Roman"/>
                <w:color w:val="auto"/>
                <w:sz w:val="21"/>
                <w:szCs w:val="21"/>
              </w:rPr>
              <w:t>）41微克/立方米，同比改善4.7%；一氧化碳（CO）1.1毫克/立方米，同比改善15.4%；臭氧（O</w:t>
            </w:r>
            <w:r>
              <w:rPr>
                <w:rFonts w:hint="default" w:ascii="Times New Roman" w:hAnsi="Times New Roman" w:eastAsia="宋体" w:cs="Times New Roman"/>
                <w:color w:val="auto"/>
                <w:sz w:val="21"/>
                <w:szCs w:val="21"/>
                <w:vertAlign w:val="subscript"/>
              </w:rPr>
              <w:t>3</w:t>
            </w:r>
            <w:r>
              <w:rPr>
                <w:rFonts w:hint="default" w:ascii="Times New Roman" w:hAnsi="Times New Roman" w:eastAsia="宋体" w:cs="Times New Roman"/>
                <w:color w:val="auto"/>
                <w:sz w:val="21"/>
                <w:szCs w:val="21"/>
              </w:rPr>
              <w:t>）198微克/立方米，同比恶化3.1%。全市综合指数为4.81，同比改善1.2%。环境空气质量不满足《环境空气质量标准》（GB3095-2012）及其修改单二级标准，项目所在地处于不达标区。2023年度污染物浓度统计如下：</w:t>
            </w:r>
          </w:p>
          <w:p w14:paraId="779031DF">
            <w:pPr>
              <w:ind w:firstLine="422" w:firstLineChars="200"/>
              <w:jc w:val="center"/>
              <w:rPr>
                <w:rStyle w:val="27"/>
                <w:rFonts w:hint="default" w:ascii="Times New Roman" w:hAnsi="Times New Roman" w:eastAsia="宋体" w:cs="Times New Roman"/>
                <w:color w:val="auto"/>
                <w:sz w:val="21"/>
                <w:szCs w:val="21"/>
              </w:rPr>
            </w:pPr>
            <w:r>
              <w:rPr>
                <w:rStyle w:val="27"/>
                <w:rFonts w:hint="default" w:ascii="Times New Roman" w:hAnsi="Times New Roman" w:eastAsia="宋体" w:cs="Times New Roman"/>
                <w:color w:val="auto"/>
                <w:sz w:val="21"/>
                <w:szCs w:val="21"/>
              </w:rPr>
              <w:t>表3-1</w:t>
            </w:r>
            <w:r>
              <w:rPr>
                <w:rStyle w:val="27"/>
                <w:rFonts w:hint="default" w:ascii="Times New Roman" w:hAnsi="Times New Roman" w:eastAsia="宋体" w:cs="Times New Roman"/>
                <w:color w:val="auto"/>
                <w:sz w:val="21"/>
                <w:szCs w:val="21"/>
                <w:lang w:eastAsia="zh-CN"/>
              </w:rPr>
              <w:t xml:space="preserve"> </w:t>
            </w:r>
            <w:r>
              <w:rPr>
                <w:rStyle w:val="27"/>
                <w:rFonts w:hint="default" w:ascii="Times New Roman" w:hAnsi="Times New Roman" w:eastAsia="宋体" w:cs="Times New Roman"/>
                <w:color w:val="auto"/>
                <w:sz w:val="21"/>
                <w:szCs w:val="21"/>
              </w:rPr>
              <w:t>区域空气质量现状评价表单位 μg/m</w:t>
            </w:r>
            <w:r>
              <w:rPr>
                <w:rStyle w:val="27"/>
                <w:rFonts w:hint="default" w:ascii="Times New Roman" w:hAnsi="Times New Roman" w:eastAsia="宋体" w:cs="Times New Roman"/>
                <w:color w:val="auto"/>
                <w:sz w:val="21"/>
                <w:szCs w:val="21"/>
                <w:vertAlign w:val="superscript"/>
              </w:rPr>
              <w:t>3</w:t>
            </w:r>
          </w:p>
          <w:tbl>
            <w:tblPr>
              <w:tblStyle w:val="14"/>
              <w:tblW w:w="0" w:type="auto"/>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856"/>
              <w:gridCol w:w="833"/>
              <w:gridCol w:w="2173"/>
              <w:gridCol w:w="862"/>
              <w:gridCol w:w="747"/>
              <w:gridCol w:w="1098"/>
              <w:gridCol w:w="1018"/>
            </w:tblGrid>
            <w:tr w14:paraId="283A194A">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876" w:type="dxa"/>
                  <w:vAlign w:val="center"/>
                </w:tcPr>
                <w:p w14:paraId="71D63FEE">
                  <w:pPr>
                    <w:adjustRightInd w:val="0"/>
                    <w:snapToGrid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污染物</w:t>
                  </w:r>
                </w:p>
              </w:tc>
              <w:tc>
                <w:tcPr>
                  <w:tcW w:w="840" w:type="dxa"/>
                  <w:vAlign w:val="center"/>
                </w:tcPr>
                <w:p w14:paraId="435F7A7B">
                  <w:pPr>
                    <w:adjustRightInd w:val="0"/>
                    <w:snapToGrid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单位</w:t>
                  </w:r>
                </w:p>
              </w:tc>
              <w:tc>
                <w:tcPr>
                  <w:tcW w:w="2355" w:type="dxa"/>
                  <w:vAlign w:val="center"/>
                </w:tcPr>
                <w:p w14:paraId="40EAA59D">
                  <w:pPr>
                    <w:adjustRightInd w:val="0"/>
                    <w:snapToGrid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年评价指标</w:t>
                  </w:r>
                </w:p>
              </w:tc>
              <w:tc>
                <w:tcPr>
                  <w:tcW w:w="900" w:type="dxa"/>
                  <w:vAlign w:val="center"/>
                </w:tcPr>
                <w:p w14:paraId="04E04537">
                  <w:pPr>
                    <w:adjustRightInd w:val="0"/>
                    <w:snapToGrid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现状浓度</w:t>
                  </w:r>
                </w:p>
              </w:tc>
              <w:tc>
                <w:tcPr>
                  <w:tcW w:w="772" w:type="dxa"/>
                  <w:vAlign w:val="center"/>
                </w:tcPr>
                <w:p w14:paraId="2ACC05E8">
                  <w:pPr>
                    <w:adjustRightInd w:val="0"/>
                    <w:snapToGrid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评价标准</w:t>
                  </w:r>
                </w:p>
              </w:tc>
              <w:tc>
                <w:tcPr>
                  <w:tcW w:w="1125" w:type="dxa"/>
                  <w:vAlign w:val="center"/>
                </w:tcPr>
                <w:p w14:paraId="700B4E39">
                  <w:pPr>
                    <w:adjustRightInd w:val="0"/>
                    <w:snapToGrid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占标率</w:t>
                  </w:r>
                </w:p>
              </w:tc>
              <w:tc>
                <w:tcPr>
                  <w:tcW w:w="1086" w:type="dxa"/>
                  <w:vAlign w:val="center"/>
                </w:tcPr>
                <w:p w14:paraId="7CC4E2B4">
                  <w:pPr>
                    <w:adjustRightInd w:val="0"/>
                    <w:snapToGrid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达标情况</w:t>
                  </w:r>
                </w:p>
              </w:tc>
            </w:tr>
            <w:tr w14:paraId="79953C93">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876" w:type="dxa"/>
                  <w:vAlign w:val="center"/>
                </w:tcPr>
                <w:p w14:paraId="57E8F623">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shd w:val="clear" w:color="auto" w:fill="FFFFFF"/>
                    </w:rPr>
                    <w:t>SO</w:t>
                  </w:r>
                  <w:r>
                    <w:rPr>
                      <w:rFonts w:hint="default" w:ascii="Times New Roman" w:hAnsi="Times New Roman" w:eastAsia="宋体" w:cs="Times New Roman"/>
                      <w:color w:val="auto"/>
                      <w:sz w:val="21"/>
                      <w:szCs w:val="21"/>
                      <w:shd w:val="clear" w:color="auto" w:fill="FFFFFF"/>
                      <w:vertAlign w:val="subscript"/>
                    </w:rPr>
                    <w:t>2</w:t>
                  </w:r>
                </w:p>
              </w:tc>
              <w:tc>
                <w:tcPr>
                  <w:tcW w:w="840" w:type="dxa"/>
                  <w:vAlign w:val="center"/>
                </w:tcPr>
                <w:p w14:paraId="1F3776C8">
                  <w:pPr>
                    <w:pStyle w:val="8"/>
                    <w:adjustRightInd w:val="0"/>
                    <w:snapToGrid w:val="0"/>
                    <w:spacing w:after="0"/>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μg/m</w:t>
                  </w:r>
                  <w:r>
                    <w:rPr>
                      <w:rFonts w:hint="default" w:ascii="Times New Roman" w:hAnsi="Times New Roman" w:eastAsia="宋体" w:cs="Times New Roman"/>
                      <w:color w:val="auto"/>
                      <w:sz w:val="21"/>
                      <w:szCs w:val="21"/>
                      <w:vertAlign w:val="superscript"/>
                    </w:rPr>
                    <w:t>3</w:t>
                  </w:r>
                </w:p>
              </w:tc>
              <w:tc>
                <w:tcPr>
                  <w:tcW w:w="2355" w:type="dxa"/>
                  <w:vAlign w:val="center"/>
                </w:tcPr>
                <w:p w14:paraId="2DD496DF">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年平均质量浓度</w:t>
                  </w:r>
                </w:p>
              </w:tc>
              <w:tc>
                <w:tcPr>
                  <w:tcW w:w="900" w:type="dxa"/>
                  <w:vAlign w:val="center"/>
                </w:tcPr>
                <w:p w14:paraId="4FACB60A">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772" w:type="dxa"/>
                  <w:vAlign w:val="center"/>
                </w:tcPr>
                <w:p w14:paraId="2FD06CFC">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60</w:t>
                  </w:r>
                </w:p>
              </w:tc>
              <w:tc>
                <w:tcPr>
                  <w:tcW w:w="1125" w:type="dxa"/>
                  <w:vAlign w:val="center"/>
                </w:tcPr>
                <w:p w14:paraId="69F1C0BB">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20.0%</w:t>
                  </w:r>
                </w:p>
              </w:tc>
              <w:tc>
                <w:tcPr>
                  <w:tcW w:w="1086" w:type="dxa"/>
                  <w:vAlign w:val="center"/>
                </w:tcPr>
                <w:p w14:paraId="7A7BC72F">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14:paraId="1C740D7C">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876" w:type="dxa"/>
                  <w:vAlign w:val="center"/>
                </w:tcPr>
                <w:p w14:paraId="6D41BFD2">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shd w:val="clear" w:color="auto" w:fill="FFFFFF"/>
                    </w:rPr>
                    <w:t>NO</w:t>
                  </w:r>
                  <w:r>
                    <w:rPr>
                      <w:rFonts w:hint="default" w:ascii="Times New Roman" w:hAnsi="Times New Roman" w:eastAsia="宋体" w:cs="Times New Roman"/>
                      <w:color w:val="auto"/>
                      <w:sz w:val="21"/>
                      <w:szCs w:val="21"/>
                      <w:shd w:val="clear" w:color="auto" w:fill="FFFFFF"/>
                      <w:vertAlign w:val="subscript"/>
                    </w:rPr>
                    <w:t>2</w:t>
                  </w:r>
                </w:p>
              </w:tc>
              <w:tc>
                <w:tcPr>
                  <w:tcW w:w="840" w:type="dxa"/>
                  <w:vAlign w:val="center"/>
                </w:tcPr>
                <w:p w14:paraId="0E68D533">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μg/m</w:t>
                  </w:r>
                  <w:r>
                    <w:rPr>
                      <w:rFonts w:hint="default" w:ascii="Times New Roman" w:hAnsi="Times New Roman" w:eastAsia="宋体" w:cs="Times New Roman"/>
                      <w:color w:val="auto"/>
                      <w:sz w:val="21"/>
                      <w:szCs w:val="21"/>
                      <w:vertAlign w:val="superscript"/>
                    </w:rPr>
                    <w:t>3</w:t>
                  </w:r>
                </w:p>
              </w:tc>
              <w:tc>
                <w:tcPr>
                  <w:tcW w:w="2355" w:type="dxa"/>
                  <w:vAlign w:val="center"/>
                </w:tcPr>
                <w:p w14:paraId="66C7CD62">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年平均质量浓度</w:t>
                  </w:r>
                </w:p>
              </w:tc>
              <w:tc>
                <w:tcPr>
                  <w:tcW w:w="900" w:type="dxa"/>
                  <w:vAlign w:val="center"/>
                </w:tcPr>
                <w:p w14:paraId="1A1F09DC">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34</w:t>
                  </w:r>
                </w:p>
              </w:tc>
              <w:tc>
                <w:tcPr>
                  <w:tcW w:w="772" w:type="dxa"/>
                  <w:vAlign w:val="center"/>
                </w:tcPr>
                <w:p w14:paraId="33CA0DEC">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40</w:t>
                  </w:r>
                </w:p>
              </w:tc>
              <w:tc>
                <w:tcPr>
                  <w:tcW w:w="1125" w:type="dxa"/>
                  <w:vAlign w:val="center"/>
                </w:tcPr>
                <w:p w14:paraId="6984D7C5">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85.0%</w:t>
                  </w:r>
                </w:p>
              </w:tc>
              <w:tc>
                <w:tcPr>
                  <w:tcW w:w="1086" w:type="dxa"/>
                  <w:vAlign w:val="center"/>
                </w:tcPr>
                <w:p w14:paraId="285693E2">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14:paraId="7FAFD4FC">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876" w:type="dxa"/>
                  <w:vAlign w:val="center"/>
                </w:tcPr>
                <w:p w14:paraId="2B36135B">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shd w:val="clear" w:color="auto" w:fill="FFFFFF"/>
                    </w:rPr>
                    <w:t>PM</w:t>
                  </w:r>
                  <w:r>
                    <w:rPr>
                      <w:rFonts w:hint="default" w:ascii="Times New Roman" w:hAnsi="Times New Roman" w:eastAsia="宋体" w:cs="Times New Roman"/>
                      <w:color w:val="auto"/>
                      <w:sz w:val="21"/>
                      <w:szCs w:val="21"/>
                      <w:shd w:val="clear" w:color="auto" w:fill="FFFFFF"/>
                      <w:vertAlign w:val="subscript"/>
                    </w:rPr>
                    <w:t>10</w:t>
                  </w:r>
                </w:p>
              </w:tc>
              <w:tc>
                <w:tcPr>
                  <w:tcW w:w="840" w:type="dxa"/>
                  <w:vAlign w:val="center"/>
                </w:tcPr>
                <w:p w14:paraId="54916492">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μg/m</w:t>
                  </w:r>
                  <w:r>
                    <w:rPr>
                      <w:rFonts w:hint="default" w:ascii="Times New Roman" w:hAnsi="Times New Roman" w:eastAsia="宋体" w:cs="Times New Roman"/>
                      <w:color w:val="auto"/>
                      <w:sz w:val="21"/>
                      <w:szCs w:val="21"/>
                      <w:vertAlign w:val="superscript"/>
                    </w:rPr>
                    <w:t>3</w:t>
                  </w:r>
                </w:p>
              </w:tc>
              <w:tc>
                <w:tcPr>
                  <w:tcW w:w="2355" w:type="dxa"/>
                  <w:vAlign w:val="center"/>
                </w:tcPr>
                <w:p w14:paraId="68CC1F0F">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年平均质量浓度</w:t>
                  </w:r>
                </w:p>
              </w:tc>
              <w:tc>
                <w:tcPr>
                  <w:tcW w:w="900" w:type="dxa"/>
                  <w:vAlign w:val="center"/>
                </w:tcPr>
                <w:p w14:paraId="79D08379">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75</w:t>
                  </w:r>
                </w:p>
              </w:tc>
              <w:tc>
                <w:tcPr>
                  <w:tcW w:w="772" w:type="dxa"/>
                  <w:vAlign w:val="center"/>
                </w:tcPr>
                <w:p w14:paraId="4F50B0EB">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70</w:t>
                  </w:r>
                </w:p>
              </w:tc>
              <w:tc>
                <w:tcPr>
                  <w:tcW w:w="1125" w:type="dxa"/>
                  <w:vAlign w:val="center"/>
                </w:tcPr>
                <w:p w14:paraId="659FF9DD">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107.1%</w:t>
                  </w:r>
                </w:p>
              </w:tc>
              <w:tc>
                <w:tcPr>
                  <w:tcW w:w="1086" w:type="dxa"/>
                  <w:vAlign w:val="center"/>
                </w:tcPr>
                <w:p w14:paraId="454192F7">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不达标</w:t>
                  </w:r>
                </w:p>
              </w:tc>
            </w:tr>
            <w:tr w14:paraId="34B4B5D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876" w:type="dxa"/>
                  <w:vAlign w:val="center"/>
                </w:tcPr>
                <w:p w14:paraId="178ABDC9">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shd w:val="clear" w:color="auto" w:fill="FFFFFF"/>
                    </w:rPr>
                    <w:t>PM</w:t>
                  </w:r>
                  <w:r>
                    <w:rPr>
                      <w:rFonts w:hint="default" w:ascii="Times New Roman" w:hAnsi="Times New Roman" w:eastAsia="宋体" w:cs="Times New Roman"/>
                      <w:color w:val="auto"/>
                      <w:sz w:val="21"/>
                      <w:szCs w:val="21"/>
                      <w:shd w:val="clear" w:color="auto" w:fill="FFFFFF"/>
                      <w:vertAlign w:val="subscript"/>
                    </w:rPr>
                    <w:t>2.5</w:t>
                  </w:r>
                </w:p>
              </w:tc>
              <w:tc>
                <w:tcPr>
                  <w:tcW w:w="840" w:type="dxa"/>
                  <w:vAlign w:val="center"/>
                </w:tcPr>
                <w:p w14:paraId="409F93C6">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μg/m</w:t>
                  </w:r>
                  <w:r>
                    <w:rPr>
                      <w:rFonts w:hint="default" w:ascii="Times New Roman" w:hAnsi="Times New Roman" w:eastAsia="宋体" w:cs="Times New Roman"/>
                      <w:color w:val="auto"/>
                      <w:sz w:val="21"/>
                      <w:szCs w:val="21"/>
                      <w:vertAlign w:val="superscript"/>
                    </w:rPr>
                    <w:t>3</w:t>
                  </w:r>
                </w:p>
              </w:tc>
              <w:tc>
                <w:tcPr>
                  <w:tcW w:w="2355" w:type="dxa"/>
                  <w:vAlign w:val="center"/>
                </w:tcPr>
                <w:p w14:paraId="44F4DEE8">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年平均质量浓度</w:t>
                  </w:r>
                </w:p>
              </w:tc>
              <w:tc>
                <w:tcPr>
                  <w:tcW w:w="900" w:type="dxa"/>
                  <w:vAlign w:val="center"/>
                </w:tcPr>
                <w:p w14:paraId="01184B2B">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41</w:t>
                  </w:r>
                </w:p>
              </w:tc>
              <w:tc>
                <w:tcPr>
                  <w:tcW w:w="772" w:type="dxa"/>
                  <w:vAlign w:val="center"/>
                </w:tcPr>
                <w:p w14:paraId="1C085EC8">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35</w:t>
                  </w:r>
                </w:p>
              </w:tc>
              <w:tc>
                <w:tcPr>
                  <w:tcW w:w="1125" w:type="dxa"/>
                  <w:vAlign w:val="center"/>
                </w:tcPr>
                <w:p w14:paraId="0828CDF1">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117.1%</w:t>
                  </w:r>
                </w:p>
              </w:tc>
              <w:tc>
                <w:tcPr>
                  <w:tcW w:w="1086" w:type="dxa"/>
                  <w:vAlign w:val="center"/>
                </w:tcPr>
                <w:p w14:paraId="207146C5">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不达标</w:t>
                  </w:r>
                </w:p>
              </w:tc>
            </w:tr>
            <w:tr w14:paraId="6A41D0C4">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876" w:type="dxa"/>
                  <w:vAlign w:val="center"/>
                </w:tcPr>
                <w:p w14:paraId="13B0D921">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shd w:val="clear" w:color="auto" w:fill="FFFFFF"/>
                    </w:rPr>
                    <w:t>CO</w:t>
                  </w:r>
                </w:p>
              </w:tc>
              <w:tc>
                <w:tcPr>
                  <w:tcW w:w="840" w:type="dxa"/>
                  <w:vAlign w:val="center"/>
                </w:tcPr>
                <w:p w14:paraId="028684EC">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mg/m</w:t>
                  </w:r>
                  <w:r>
                    <w:rPr>
                      <w:rFonts w:hint="default" w:ascii="Times New Roman" w:hAnsi="Times New Roman" w:eastAsia="宋体" w:cs="Times New Roman"/>
                      <w:color w:val="auto"/>
                      <w:sz w:val="21"/>
                      <w:szCs w:val="21"/>
                      <w:vertAlign w:val="superscript"/>
                    </w:rPr>
                    <w:t>3</w:t>
                  </w:r>
                </w:p>
              </w:tc>
              <w:tc>
                <w:tcPr>
                  <w:tcW w:w="2355" w:type="dxa"/>
                  <w:vAlign w:val="center"/>
                </w:tcPr>
                <w:p w14:paraId="7DA5F6DC">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95%保证率日平均浓度</w:t>
                  </w:r>
                </w:p>
              </w:tc>
              <w:tc>
                <w:tcPr>
                  <w:tcW w:w="900" w:type="dxa"/>
                  <w:vAlign w:val="center"/>
                </w:tcPr>
                <w:p w14:paraId="62FC430E">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1.1</w:t>
                  </w:r>
                </w:p>
              </w:tc>
              <w:tc>
                <w:tcPr>
                  <w:tcW w:w="772" w:type="dxa"/>
                  <w:vAlign w:val="center"/>
                </w:tcPr>
                <w:p w14:paraId="02A56341">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w:t>
                  </w:r>
                </w:p>
              </w:tc>
              <w:tc>
                <w:tcPr>
                  <w:tcW w:w="1125" w:type="dxa"/>
                  <w:vAlign w:val="center"/>
                </w:tcPr>
                <w:p w14:paraId="1DDD6F0F">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27.5%</w:t>
                  </w:r>
                </w:p>
              </w:tc>
              <w:tc>
                <w:tcPr>
                  <w:tcW w:w="1086" w:type="dxa"/>
                  <w:vAlign w:val="center"/>
                </w:tcPr>
                <w:p w14:paraId="52FA6000">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达标</w:t>
                  </w:r>
                </w:p>
              </w:tc>
            </w:tr>
            <w:tr w14:paraId="4C4B2541">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876" w:type="dxa"/>
                  <w:vAlign w:val="center"/>
                </w:tcPr>
                <w:p w14:paraId="79F2D733">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shd w:val="clear" w:color="auto" w:fill="FFFFFF"/>
                    </w:rPr>
                    <w:t>O</w:t>
                  </w:r>
                  <w:r>
                    <w:rPr>
                      <w:rFonts w:hint="default" w:ascii="Times New Roman" w:hAnsi="Times New Roman" w:eastAsia="宋体" w:cs="Times New Roman"/>
                      <w:color w:val="auto"/>
                      <w:sz w:val="21"/>
                      <w:szCs w:val="21"/>
                      <w:shd w:val="clear" w:color="auto" w:fill="FFFFFF"/>
                      <w:vertAlign w:val="subscript"/>
                    </w:rPr>
                    <w:t>3</w:t>
                  </w:r>
                </w:p>
              </w:tc>
              <w:tc>
                <w:tcPr>
                  <w:tcW w:w="840" w:type="dxa"/>
                  <w:vAlign w:val="center"/>
                </w:tcPr>
                <w:p w14:paraId="7436C439">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μg/m</w:t>
                  </w:r>
                  <w:r>
                    <w:rPr>
                      <w:rFonts w:hint="default" w:ascii="Times New Roman" w:hAnsi="Times New Roman" w:eastAsia="宋体" w:cs="Times New Roman"/>
                      <w:color w:val="auto"/>
                      <w:sz w:val="21"/>
                      <w:szCs w:val="21"/>
                      <w:vertAlign w:val="superscript"/>
                    </w:rPr>
                    <w:t>3</w:t>
                  </w:r>
                </w:p>
              </w:tc>
              <w:tc>
                <w:tcPr>
                  <w:tcW w:w="2355" w:type="dxa"/>
                  <w:vAlign w:val="center"/>
                </w:tcPr>
                <w:p w14:paraId="7412B2EB">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90%保证率日最大8h滑动平均浓度</w:t>
                  </w:r>
                </w:p>
              </w:tc>
              <w:tc>
                <w:tcPr>
                  <w:tcW w:w="900" w:type="dxa"/>
                  <w:vAlign w:val="center"/>
                </w:tcPr>
                <w:p w14:paraId="0C66D716">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198</w:t>
                  </w:r>
                </w:p>
              </w:tc>
              <w:tc>
                <w:tcPr>
                  <w:tcW w:w="772" w:type="dxa"/>
                  <w:vAlign w:val="center"/>
                </w:tcPr>
                <w:p w14:paraId="60562841">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160</w:t>
                  </w:r>
                </w:p>
              </w:tc>
              <w:tc>
                <w:tcPr>
                  <w:tcW w:w="1125" w:type="dxa"/>
                  <w:vAlign w:val="center"/>
                </w:tcPr>
                <w:p w14:paraId="64532778">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123.8%</w:t>
                  </w:r>
                </w:p>
              </w:tc>
              <w:tc>
                <w:tcPr>
                  <w:tcW w:w="1086" w:type="dxa"/>
                  <w:vAlign w:val="center"/>
                </w:tcPr>
                <w:p w14:paraId="651E08F9">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不达标</w:t>
                  </w:r>
                </w:p>
              </w:tc>
            </w:tr>
          </w:tbl>
          <w:p w14:paraId="79E0FE8F">
            <w:pPr>
              <w:snapToGrid w:val="0"/>
              <w:spacing w:line="360" w:lineRule="auto"/>
              <w:ind w:firstLine="420" w:firstLineChars="20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区域大气环境质量标准执行《环境空气质量标准》（GB3095-2012）及其修改单中的二级标准，由公开发布的环境质量数据可知，区域PM</w:t>
            </w:r>
            <w:r>
              <w:rPr>
                <w:rFonts w:hint="default" w:ascii="Times New Roman" w:hAnsi="Times New Roman" w:eastAsia="宋体" w:cs="Times New Roman"/>
                <w:color w:val="auto"/>
                <w:sz w:val="21"/>
                <w:szCs w:val="21"/>
                <w:vertAlign w:val="subscript"/>
              </w:rPr>
              <w:t>2.5</w:t>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kern w:val="0"/>
                <w:sz w:val="21"/>
                <w:szCs w:val="21"/>
              </w:rPr>
              <w:t>PM</w:t>
            </w:r>
            <w:r>
              <w:rPr>
                <w:rFonts w:hint="default" w:ascii="Times New Roman" w:hAnsi="Times New Roman" w:eastAsia="宋体" w:cs="Times New Roman"/>
                <w:color w:val="auto"/>
                <w:kern w:val="0"/>
                <w:sz w:val="21"/>
                <w:szCs w:val="21"/>
                <w:vertAlign w:val="subscript"/>
              </w:rPr>
              <w:t>10</w:t>
            </w:r>
            <w:r>
              <w:rPr>
                <w:rFonts w:hint="default" w:ascii="Times New Roman" w:hAnsi="Times New Roman" w:eastAsia="宋体" w:cs="Times New Roman"/>
                <w:color w:val="auto"/>
                <w:kern w:val="0"/>
                <w:sz w:val="21"/>
                <w:szCs w:val="21"/>
              </w:rPr>
              <w:t>、O</w:t>
            </w:r>
            <w:r>
              <w:rPr>
                <w:rFonts w:hint="default" w:ascii="Times New Roman" w:hAnsi="Times New Roman" w:eastAsia="宋体" w:cs="Times New Roman"/>
                <w:color w:val="auto"/>
                <w:kern w:val="0"/>
                <w:sz w:val="21"/>
                <w:szCs w:val="21"/>
                <w:vertAlign w:val="subscript"/>
              </w:rPr>
              <w:t>3</w:t>
            </w:r>
            <w:r>
              <w:rPr>
                <w:rFonts w:hint="default" w:ascii="Times New Roman" w:hAnsi="Times New Roman" w:eastAsia="宋体" w:cs="Times New Roman"/>
                <w:color w:val="auto"/>
                <w:sz w:val="21"/>
                <w:szCs w:val="21"/>
              </w:rPr>
              <w:t>不满足空气质量标准要求，大气环境质量现状不达标。为了不断改善区域大气环境质量，淄博市出台了《全市工业企业大气污染治理36质提升实施方案》（淄环委办〔2022〕10号）、《2022年度淄博市挥发性有机物治理和臭氧污染管控方案》《淄博市2022年工业企业扬尘污染深度治理方案》等一系列措施，全面落实</w:t>
            </w:r>
            <w:r>
              <w:rPr>
                <w:rFonts w:hint="default" w:ascii="Times New Roman" w:hAnsi="Times New Roman" w:eastAsia="宋体" w:cs="Times New Roman"/>
                <w:color w:val="auto"/>
                <w:sz w:val="21"/>
                <w:szCs w:val="21"/>
                <w:lang w:eastAsia="zh-CN"/>
              </w:rPr>
              <w:t>市委、市政府</w:t>
            </w:r>
            <w:r>
              <w:rPr>
                <w:rFonts w:hint="default" w:ascii="Times New Roman" w:hAnsi="Times New Roman" w:eastAsia="宋体" w:cs="Times New Roman"/>
                <w:color w:val="auto"/>
                <w:sz w:val="21"/>
                <w:szCs w:val="21"/>
              </w:rPr>
              <w:t>品质提升年工作要求，突出精准治污、科学治污、依法治污，从提升氮氧化物、二氧化硫、颗粒物、挥发性有机物治理水平，提升精细化管理水平、全面淘汰落后处理工艺等方面提出了相应的措施，以上措施可以有效降低夏秋季污染天气，提高区域环境空气质量。</w:t>
            </w:r>
          </w:p>
          <w:p w14:paraId="4792ACE2">
            <w:pPr>
              <w:snapToGrid w:val="0"/>
              <w:spacing w:line="360" w:lineRule="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2、地表水环境质量现状</w:t>
            </w:r>
          </w:p>
          <w:p w14:paraId="60FF3A88">
            <w:pPr>
              <w:snapToGrid w:val="0"/>
              <w:spacing w:line="360" w:lineRule="auto"/>
              <w:ind w:firstLine="420" w:firstLineChars="20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zh-CN"/>
              </w:rPr>
              <w:t>本项目距离最近的地表水体为范阳河（孝妇河支流），根据淄博市生态环境局202</w:t>
            </w:r>
            <w:r>
              <w:rPr>
                <w:rFonts w:hint="default" w:ascii="Times New Roman" w:hAnsi="Times New Roman" w:eastAsia="宋体" w:cs="Times New Roman"/>
                <w:color w:val="auto"/>
                <w:sz w:val="21"/>
                <w:szCs w:val="21"/>
                <w:lang w:val="en-US" w:eastAsia="zh-CN"/>
              </w:rPr>
              <w:t>4</w:t>
            </w:r>
            <w:r>
              <w:rPr>
                <w:rFonts w:hint="default" w:ascii="Times New Roman" w:hAnsi="Times New Roman" w:eastAsia="宋体" w:cs="Times New Roman"/>
                <w:color w:val="auto"/>
                <w:sz w:val="21"/>
                <w:szCs w:val="21"/>
                <w:lang w:val="zh-CN"/>
              </w:rPr>
              <w:t>年12月2</w:t>
            </w:r>
            <w:r>
              <w:rPr>
                <w:rFonts w:hint="default" w:ascii="Times New Roman" w:hAnsi="Times New Roman" w:eastAsia="宋体" w:cs="Times New Roman"/>
                <w:color w:val="auto"/>
                <w:sz w:val="21"/>
                <w:szCs w:val="21"/>
                <w:lang w:val="en-US" w:eastAsia="zh-CN"/>
              </w:rPr>
              <w:t>6</w:t>
            </w:r>
            <w:r>
              <w:rPr>
                <w:rFonts w:hint="default" w:ascii="Times New Roman" w:hAnsi="Times New Roman" w:eastAsia="宋体" w:cs="Times New Roman"/>
                <w:color w:val="auto"/>
                <w:sz w:val="21"/>
                <w:szCs w:val="21"/>
                <w:lang w:val="zh-CN"/>
              </w:rPr>
              <w:t>日公布的《2024年1—11月全市地表水环境质量状况》，202</w:t>
            </w:r>
            <w:r>
              <w:rPr>
                <w:rFonts w:hint="default" w:ascii="Times New Roman" w:hAnsi="Times New Roman" w:eastAsia="宋体" w:cs="Times New Roman"/>
                <w:color w:val="auto"/>
                <w:sz w:val="21"/>
                <w:szCs w:val="21"/>
                <w:lang w:val="en-US" w:eastAsia="zh-CN"/>
              </w:rPr>
              <w:t>4</w:t>
            </w:r>
            <w:r>
              <w:rPr>
                <w:rFonts w:hint="default" w:ascii="Times New Roman" w:hAnsi="Times New Roman" w:eastAsia="宋体" w:cs="Times New Roman"/>
                <w:color w:val="auto"/>
                <w:sz w:val="21"/>
                <w:szCs w:val="21"/>
                <w:lang w:val="zh-CN"/>
              </w:rPr>
              <w:t>年</w:t>
            </w:r>
            <w:r>
              <w:rPr>
                <w:rFonts w:hint="default" w:ascii="Times New Roman" w:hAnsi="Times New Roman" w:eastAsia="宋体" w:cs="Times New Roman"/>
                <w:color w:val="auto"/>
                <w:kern w:val="0"/>
                <w:sz w:val="21"/>
                <w:szCs w:val="21"/>
                <w:lang w:val="zh-CN"/>
              </w:rPr>
              <w:t>1</w:t>
            </w:r>
            <w:r>
              <w:rPr>
                <w:rFonts w:hint="default" w:ascii="Times New Roman" w:hAnsi="Times New Roman" w:eastAsia="宋体" w:cs="Times New Roman"/>
                <w:color w:val="auto"/>
                <w:kern w:val="0"/>
                <w:sz w:val="21"/>
                <w:szCs w:val="21"/>
                <w:lang w:val="en-US" w:eastAsia="zh-CN"/>
              </w:rPr>
              <w:t>—</w:t>
            </w:r>
            <w:r>
              <w:rPr>
                <w:rFonts w:hint="default" w:ascii="Times New Roman" w:hAnsi="Times New Roman" w:eastAsia="宋体" w:cs="Times New Roman"/>
                <w:color w:val="auto"/>
                <w:kern w:val="0"/>
                <w:sz w:val="21"/>
                <w:szCs w:val="21"/>
                <w:lang w:val="zh-CN"/>
              </w:rPr>
              <w:t>11月，离项目最近的范阳河（孝妇河支流）满足《地表水环境质量标准》（GB3838-2002）</w:t>
            </w:r>
            <w:r>
              <w:rPr>
                <w:rFonts w:hint="default" w:ascii="Times New Roman" w:hAnsi="Times New Roman" w:eastAsia="宋体" w:cs="Times New Roman"/>
                <w:color w:val="auto"/>
                <w:kern w:val="0"/>
                <w:sz w:val="21"/>
                <w:szCs w:val="21"/>
              </w:rPr>
              <w:t>Ⅲ</w:t>
            </w:r>
            <w:r>
              <w:rPr>
                <w:rFonts w:hint="default" w:ascii="Times New Roman" w:hAnsi="Times New Roman" w:eastAsia="宋体" w:cs="Times New Roman"/>
                <w:color w:val="auto"/>
                <w:kern w:val="0"/>
                <w:sz w:val="21"/>
                <w:szCs w:val="21"/>
                <w:lang w:val="zh-CN"/>
              </w:rPr>
              <w:t>类标准，项目所在地地表水水质较好。</w:t>
            </w:r>
          </w:p>
          <w:p w14:paraId="3A756AD8">
            <w:pPr>
              <w:pStyle w:val="10"/>
              <w:snapToGrid w:val="0"/>
              <w:spacing w:line="360" w:lineRule="auto"/>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3、声环境质量现状</w:t>
            </w:r>
          </w:p>
          <w:p w14:paraId="4590A87A">
            <w:pPr>
              <w:snapToGrid w:val="0"/>
              <w:spacing w:line="360" w:lineRule="auto"/>
              <w:ind w:firstLine="420" w:firstLineChars="20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根据例行监测数据显示，全市所有区县各类功能区昼、夜噪声监测结果均不超标，该项目位于淄博市文昌湖区，区域昼间噪声与夜间噪声均符合《声环境质量标准》（GB3096-2008）2类区标准的要求，声环境质量良好。</w:t>
            </w:r>
          </w:p>
          <w:p w14:paraId="599C1926">
            <w:pPr>
              <w:snapToGrid w:val="0"/>
              <w:spacing w:line="360" w:lineRule="auto"/>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4、地下水、土壤环境</w:t>
            </w:r>
          </w:p>
          <w:p w14:paraId="75B906E2">
            <w:pPr>
              <w:snapToGrid w:val="0"/>
              <w:spacing w:line="360" w:lineRule="auto"/>
              <w:ind w:firstLine="420" w:firstLineChars="20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本项目位于</w:t>
            </w:r>
            <w:r>
              <w:rPr>
                <w:rFonts w:hint="default" w:ascii="Times New Roman" w:hAnsi="Times New Roman" w:eastAsia="宋体" w:cs="Times New Roman"/>
                <w:bCs/>
                <w:color w:val="auto"/>
                <w:sz w:val="21"/>
                <w:szCs w:val="21"/>
              </w:rPr>
              <w:t>山东省淄博市文昌湖区萌水镇萌三村（村委南1000米）</w:t>
            </w:r>
            <w:r>
              <w:rPr>
                <w:rFonts w:hint="default" w:ascii="Times New Roman" w:hAnsi="Times New Roman" w:eastAsia="宋体" w:cs="Times New Roman"/>
                <w:color w:val="auto"/>
                <w:sz w:val="21"/>
                <w:szCs w:val="21"/>
              </w:rPr>
              <w:t>，</w:t>
            </w:r>
            <w:r>
              <w:rPr>
                <w:rFonts w:hint="default" w:ascii="Times New Roman" w:hAnsi="Times New Roman" w:eastAsia="宋体" w:cs="Times New Roman"/>
                <w:bCs/>
                <w:color w:val="auto"/>
                <w:sz w:val="21"/>
                <w:szCs w:val="21"/>
                <w:lang w:val="en-US" w:eastAsia="zh-CN"/>
              </w:rPr>
              <w:t>将原有生产车间改造成为仓库，利用厂区现有闲置区域建设新厂房</w:t>
            </w:r>
            <w:r>
              <w:rPr>
                <w:rFonts w:hint="default" w:ascii="Times New Roman" w:hAnsi="Times New Roman" w:eastAsia="宋体" w:cs="Times New Roman"/>
                <w:color w:val="auto"/>
                <w:sz w:val="21"/>
                <w:szCs w:val="21"/>
              </w:rPr>
              <w:t>，不新增占地面积，</w:t>
            </w:r>
            <w:r>
              <w:rPr>
                <w:rFonts w:hint="default" w:ascii="Times New Roman" w:hAnsi="Times New Roman" w:eastAsia="宋体" w:cs="Times New Roman"/>
                <w:color w:val="auto"/>
                <w:kern w:val="0"/>
                <w:sz w:val="21"/>
                <w:szCs w:val="21"/>
              </w:rPr>
              <w:t>不取用地下水，生活污水经化粪池处理后</w:t>
            </w:r>
            <w:r>
              <w:rPr>
                <w:rFonts w:hint="default" w:ascii="Times New Roman" w:hAnsi="Times New Roman" w:eastAsia="宋体" w:cs="Times New Roman"/>
                <w:color w:val="auto"/>
                <w:kern w:val="0"/>
                <w:sz w:val="21"/>
                <w:szCs w:val="21"/>
                <w:lang w:val="en-US" w:eastAsia="zh-CN"/>
              </w:rPr>
              <w:t>由</w:t>
            </w:r>
            <w:r>
              <w:rPr>
                <w:rFonts w:hint="default" w:ascii="Times New Roman" w:hAnsi="Times New Roman" w:eastAsia="宋体" w:cs="Times New Roman"/>
                <w:color w:val="auto"/>
                <w:kern w:val="0"/>
                <w:sz w:val="21"/>
                <w:szCs w:val="21"/>
              </w:rPr>
              <w:t>环卫部门定期清运，抑尘用水全部蒸发损耗，不外排</w:t>
            </w:r>
            <w:r>
              <w:rPr>
                <w:rFonts w:hint="default" w:ascii="Times New Roman" w:hAnsi="Times New Roman" w:eastAsia="宋体" w:cs="Times New Roman"/>
                <w:color w:val="auto"/>
                <w:kern w:val="0"/>
                <w:sz w:val="21"/>
                <w:szCs w:val="21"/>
                <w:lang w:eastAsia="zh-CN"/>
              </w:rPr>
              <w:t>；</w:t>
            </w:r>
            <w:r>
              <w:rPr>
                <w:rFonts w:hint="default" w:ascii="Times New Roman" w:hAnsi="Times New Roman" w:eastAsia="宋体" w:cs="Times New Roman"/>
                <w:color w:val="auto"/>
                <w:kern w:val="0"/>
                <w:sz w:val="21"/>
                <w:szCs w:val="21"/>
              </w:rPr>
              <w:t>固废的产生、暂存等环节均采取防渗措施，</w:t>
            </w:r>
            <w:r>
              <w:rPr>
                <w:rFonts w:hint="default" w:ascii="Times New Roman" w:hAnsi="Times New Roman" w:eastAsia="宋体" w:cs="Times New Roman"/>
                <w:color w:val="auto"/>
                <w:kern w:val="0"/>
                <w:sz w:val="21"/>
                <w:szCs w:val="21"/>
                <w:lang w:val="en-US" w:eastAsia="zh-CN"/>
              </w:rPr>
              <w:t>无危险废物产生，不设置危废暂存间</w:t>
            </w:r>
            <w:r>
              <w:rPr>
                <w:rFonts w:hint="default" w:ascii="Times New Roman" w:hAnsi="Times New Roman" w:eastAsia="宋体" w:cs="Times New Roman"/>
                <w:color w:val="auto"/>
                <w:kern w:val="0"/>
                <w:sz w:val="21"/>
                <w:szCs w:val="21"/>
              </w:rPr>
              <w:t>；根据《环境影响评价技术导则 地下水环境》(HJ610-2016)附录A地下水环境影响评价行业分类表，项目类别属于Ⅳ类，无需开展地下水环境影响评价。根据《环境影响评价技术导则 地下水环境》（HJ610-2016）中的附录A表、地下水环境影响评价行业分类表，本项目“J非金属矿采选及制品制造”中的“69，石墨及其他非金属矿物制品”，因此，本项目地下水环境影响评价项目类别为Ⅳ类，Ⅳ类建设项目不开展地下水环境影响评价。根据《环境影响评价技术导则 土壤环境(试行)》(HJ964-2018)附录A，项目类别为Ⅲ类；建设项目所在地周边的土壤环境敏感程度分为不敏感，占地面积小于5hm</w:t>
            </w:r>
            <w:r>
              <w:rPr>
                <w:rFonts w:hint="default" w:ascii="Times New Roman" w:hAnsi="Times New Roman" w:eastAsia="宋体" w:cs="Times New Roman"/>
                <w:color w:val="auto"/>
                <w:kern w:val="0"/>
                <w:sz w:val="21"/>
                <w:szCs w:val="21"/>
                <w:vertAlign w:val="superscript"/>
              </w:rPr>
              <w:t>2</w:t>
            </w:r>
            <w:r>
              <w:rPr>
                <w:rFonts w:hint="default" w:ascii="Times New Roman" w:hAnsi="Times New Roman" w:eastAsia="宋体" w:cs="Times New Roman"/>
                <w:color w:val="auto"/>
                <w:kern w:val="0"/>
                <w:sz w:val="21"/>
                <w:szCs w:val="21"/>
              </w:rPr>
              <w:t>，属于小型；根据《环境影响评价技术导则 土壤环境(试行)》(HJ964-2018)表4污染影响型评价工作等级划分表，项目不需开展土壤环境影响评价。本项目用地为工业用地，在严格落实分区防控措施的前提下，对土壤环境影响较小。</w:t>
            </w:r>
          </w:p>
          <w:p w14:paraId="5649F85F">
            <w:pPr>
              <w:snapToGrid w:val="0"/>
              <w:spacing w:line="360" w:lineRule="auto"/>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5、生态环境现状</w:t>
            </w:r>
          </w:p>
          <w:p w14:paraId="6ECA407B">
            <w:pPr>
              <w:snapToGrid w:val="0"/>
              <w:spacing w:line="360" w:lineRule="auto"/>
              <w:ind w:firstLine="420" w:firstLineChars="20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本项目位于</w:t>
            </w:r>
            <w:r>
              <w:rPr>
                <w:rFonts w:hint="default" w:ascii="Times New Roman" w:hAnsi="Times New Roman" w:eastAsia="宋体" w:cs="Times New Roman"/>
                <w:bCs/>
                <w:color w:val="auto"/>
                <w:sz w:val="21"/>
                <w:szCs w:val="21"/>
              </w:rPr>
              <w:t>山东省淄博市文昌湖区萌水镇萌三村（村委南1000米）</w:t>
            </w:r>
            <w:r>
              <w:rPr>
                <w:rFonts w:hint="default" w:ascii="Times New Roman" w:hAnsi="Times New Roman" w:eastAsia="宋体" w:cs="Times New Roman"/>
                <w:color w:val="auto"/>
                <w:sz w:val="21"/>
                <w:szCs w:val="21"/>
              </w:rPr>
              <w:t>，</w:t>
            </w:r>
            <w:r>
              <w:rPr>
                <w:rFonts w:hint="default" w:ascii="Times New Roman" w:hAnsi="Times New Roman" w:eastAsia="宋体" w:cs="Times New Roman"/>
                <w:bCs/>
                <w:color w:val="auto"/>
                <w:sz w:val="21"/>
                <w:szCs w:val="21"/>
                <w:lang w:val="en-US" w:eastAsia="zh-CN"/>
              </w:rPr>
              <w:t>将原有生产车间改造成为仓库，利用厂区现有闲置区域建设新厂房</w:t>
            </w:r>
            <w:r>
              <w:rPr>
                <w:rFonts w:hint="default" w:ascii="Times New Roman" w:hAnsi="Times New Roman" w:eastAsia="宋体" w:cs="Times New Roman"/>
                <w:color w:val="auto"/>
                <w:sz w:val="21"/>
                <w:szCs w:val="21"/>
              </w:rPr>
              <w:t>，项目用地范围内无生态环境敏感目标，根据《建设项目环境影响报告表编制技术指南（污染影响类）（试行）》要求，本项目无需进行生态现状调查。</w:t>
            </w:r>
          </w:p>
          <w:p w14:paraId="6018A512">
            <w:pPr>
              <w:snapToGrid w:val="0"/>
              <w:spacing w:line="360" w:lineRule="auto"/>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6、电磁辐射</w:t>
            </w:r>
          </w:p>
          <w:p w14:paraId="6F3BC51A">
            <w:pPr>
              <w:keepNext w:val="0"/>
              <w:keepLines w:val="0"/>
              <w:pageBreakBefore w:val="0"/>
              <w:widowControl w:val="0"/>
              <w:numPr>
                <w:ilvl w:val="0"/>
                <w:numId w:val="0"/>
              </w:numPr>
              <w:kinsoku/>
              <w:wordWrap/>
              <w:overflowPunct/>
              <w:topLinePunct w:val="0"/>
              <w:autoSpaceDE/>
              <w:autoSpaceDN/>
              <w:bidi w:val="0"/>
              <w:adjustRightInd/>
              <w:snapToGrid/>
              <w:ind w:right="0" w:rightChars="0" w:firstLine="420" w:firstLineChars="200"/>
              <w:jc w:val="both"/>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本项目不涉及电磁辐射，不需对项目电磁辐射现状开展监测与评价。</w:t>
            </w:r>
          </w:p>
          <w:p w14:paraId="7A95D85E">
            <w:pPr>
              <w:keepNext w:val="0"/>
              <w:keepLines w:val="0"/>
              <w:pageBreakBefore w:val="0"/>
              <w:widowControl w:val="0"/>
              <w:numPr>
                <w:ilvl w:val="0"/>
                <w:numId w:val="0"/>
              </w:numPr>
              <w:kinsoku/>
              <w:wordWrap/>
              <w:overflowPunct/>
              <w:topLinePunct w:val="0"/>
              <w:bidi w:val="0"/>
              <w:ind w:right="0" w:rightChars="0"/>
              <w:jc w:val="both"/>
              <w:rPr>
                <w:rFonts w:hint="default" w:ascii="Times New Roman" w:hAnsi="Times New Roman" w:eastAsia="宋体" w:cs="Times New Roman"/>
                <w:color w:val="auto"/>
                <w:sz w:val="21"/>
                <w:szCs w:val="21"/>
              </w:rPr>
            </w:pPr>
          </w:p>
        </w:tc>
      </w:tr>
      <w:tr w14:paraId="31F2F1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80" w:hRule="atLeast"/>
        </w:trPr>
        <w:tc>
          <w:tcPr>
            <w:tcW w:w="699" w:type="dxa"/>
            <w:vAlign w:val="center"/>
          </w:tcPr>
          <w:p w14:paraId="40B1636D">
            <w:pPr>
              <w:keepNext w:val="0"/>
              <w:keepLines w:val="0"/>
              <w:pageBreakBefore w:val="0"/>
              <w:widowControl w:val="0"/>
              <w:numPr>
                <w:ilvl w:val="0"/>
                <w:numId w:val="0"/>
              </w:numPr>
              <w:kinsoku/>
              <w:wordWrap/>
              <w:overflowPunct/>
              <w:topLinePunct w:val="0"/>
              <w:bidi w:val="0"/>
              <w:ind w:left="0" w:leftChars="0" w:right="0" w:rightChars="0" w:firstLine="0" w:firstLineChars="0"/>
              <w:jc w:val="center"/>
              <w:rPr>
                <w:rFonts w:hint="default" w:ascii="Times New Roman" w:hAnsi="Times New Roman" w:eastAsia="宋体" w:cs="Times New Roman"/>
                <w:snapToGrid w:val="0"/>
                <w:color w:val="auto"/>
                <w:sz w:val="21"/>
                <w:szCs w:val="21"/>
                <w:vertAlign w:val="baseline"/>
              </w:rPr>
            </w:pPr>
            <w:r>
              <w:rPr>
                <w:rFonts w:hint="default" w:ascii="Times New Roman" w:hAnsi="Times New Roman" w:eastAsia="宋体" w:cs="Times New Roman"/>
                <w:snapToGrid w:val="0"/>
                <w:color w:val="auto"/>
                <w:sz w:val="21"/>
                <w:szCs w:val="21"/>
                <w:vertAlign w:val="baseline"/>
              </w:rPr>
              <w:t>环境</w:t>
            </w:r>
          </w:p>
          <w:p w14:paraId="7CFB0F16">
            <w:pPr>
              <w:keepNext w:val="0"/>
              <w:keepLines w:val="0"/>
              <w:pageBreakBefore w:val="0"/>
              <w:widowControl w:val="0"/>
              <w:numPr>
                <w:ilvl w:val="0"/>
                <w:numId w:val="0"/>
              </w:numPr>
              <w:kinsoku/>
              <w:wordWrap/>
              <w:overflowPunct/>
              <w:topLinePunct w:val="0"/>
              <w:bidi w:val="0"/>
              <w:ind w:left="0" w:leftChars="0" w:right="0" w:rightChars="0" w:firstLine="0" w:firstLineChars="0"/>
              <w:jc w:val="center"/>
              <w:rPr>
                <w:rFonts w:hint="default" w:ascii="Times New Roman" w:hAnsi="Times New Roman" w:eastAsia="宋体" w:cs="Times New Roman"/>
                <w:snapToGrid w:val="0"/>
                <w:color w:val="auto"/>
                <w:sz w:val="21"/>
                <w:szCs w:val="21"/>
                <w:vertAlign w:val="baseline"/>
              </w:rPr>
            </w:pPr>
            <w:r>
              <w:rPr>
                <w:rFonts w:hint="default" w:ascii="Times New Roman" w:hAnsi="Times New Roman" w:eastAsia="宋体" w:cs="Times New Roman"/>
                <w:snapToGrid w:val="0"/>
                <w:color w:val="auto"/>
                <w:sz w:val="21"/>
                <w:szCs w:val="21"/>
                <w:vertAlign w:val="baseline"/>
              </w:rPr>
              <w:t>保护</w:t>
            </w:r>
          </w:p>
          <w:p w14:paraId="2EE41A69">
            <w:pPr>
              <w:keepNext w:val="0"/>
              <w:keepLines w:val="0"/>
              <w:pageBreakBefore w:val="0"/>
              <w:widowControl w:val="0"/>
              <w:numPr>
                <w:ilvl w:val="0"/>
                <w:numId w:val="0"/>
              </w:numPr>
              <w:kinsoku/>
              <w:wordWrap/>
              <w:overflowPunct/>
              <w:topLinePunct w:val="0"/>
              <w:bidi w:val="0"/>
              <w:ind w:left="0" w:leftChars="0" w:right="0" w:rightChars="0" w:firstLine="0" w:firstLineChars="0"/>
              <w:jc w:val="center"/>
              <w:rPr>
                <w:rFonts w:hint="default" w:ascii="Times New Roman" w:hAnsi="Times New Roman" w:eastAsia="宋体" w:cs="Times New Roman"/>
                <w:snapToGrid w:val="0"/>
                <w:color w:val="auto"/>
                <w:sz w:val="21"/>
                <w:szCs w:val="21"/>
                <w:vertAlign w:val="baseline"/>
              </w:rPr>
            </w:pPr>
            <w:r>
              <w:rPr>
                <w:rFonts w:hint="default" w:ascii="Times New Roman" w:hAnsi="Times New Roman" w:eastAsia="宋体" w:cs="Times New Roman"/>
                <w:snapToGrid w:val="0"/>
                <w:color w:val="auto"/>
                <w:sz w:val="21"/>
                <w:szCs w:val="21"/>
                <w:vertAlign w:val="baseline"/>
              </w:rPr>
              <w:t>目标</w:t>
            </w:r>
          </w:p>
        </w:tc>
        <w:tc>
          <w:tcPr>
            <w:tcW w:w="7823" w:type="dxa"/>
          </w:tcPr>
          <w:p w14:paraId="1FA47FA3">
            <w:pPr>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right="0" w:rightChars="0" w:firstLine="420" w:firstLineChars="200"/>
              <w:jc w:val="both"/>
              <w:textAlignment w:val="baseline"/>
              <w:rPr>
                <w:rFonts w:hint="default" w:ascii="Times New Roman" w:hAnsi="Times New Roman" w:eastAsia="宋体" w:cs="Times New Roman"/>
                <w:color w:val="auto"/>
                <w:sz w:val="21"/>
                <w:szCs w:val="21"/>
                <w:vertAlign w:val="baseline"/>
                <w:lang w:eastAsia="zh-CN"/>
              </w:rPr>
            </w:pPr>
            <w:r>
              <w:rPr>
                <w:rFonts w:hint="default" w:ascii="Times New Roman" w:hAnsi="Times New Roman" w:eastAsia="宋体" w:cs="Times New Roman"/>
                <w:color w:val="auto"/>
                <w:sz w:val="21"/>
                <w:szCs w:val="21"/>
                <w:vertAlign w:val="baseline"/>
                <w:lang w:eastAsia="zh-CN"/>
              </w:rPr>
              <w:t>本次环评依据《建设项目环境影响报告表编制技术指南》中相关范围要求，对周边环境保护目标进行调查，主要环境保护目标及其保护级别见下表。</w:t>
            </w:r>
          </w:p>
          <w:p w14:paraId="73017D38">
            <w:pPr>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left="0" w:leftChars="0" w:right="0" w:rightChars="0" w:firstLine="0" w:firstLineChars="0"/>
              <w:jc w:val="center"/>
              <w:textAlignment w:val="baseline"/>
              <w:rPr>
                <w:rFonts w:hint="default" w:ascii="Times New Roman" w:hAnsi="Times New Roman" w:eastAsia="宋体" w:cs="Times New Roman"/>
                <w:b/>
                <w:bCs/>
                <w:color w:val="auto"/>
                <w:sz w:val="21"/>
                <w:szCs w:val="21"/>
                <w:vertAlign w:val="baseline"/>
                <w:lang w:eastAsia="zh-CN"/>
              </w:rPr>
            </w:pPr>
            <w:r>
              <w:rPr>
                <w:rFonts w:hint="default" w:ascii="Times New Roman" w:hAnsi="Times New Roman" w:eastAsia="宋体" w:cs="Times New Roman"/>
                <w:b/>
                <w:bCs/>
                <w:color w:val="auto"/>
                <w:sz w:val="21"/>
                <w:szCs w:val="21"/>
                <w:vertAlign w:val="baseline"/>
                <w:lang w:eastAsia="zh-CN"/>
              </w:rPr>
              <w:t>表3-2 主要环境保护目标</w:t>
            </w:r>
          </w:p>
          <w:tbl>
            <w:tblPr>
              <w:tblStyle w:val="1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70"/>
              <w:gridCol w:w="1386"/>
              <w:gridCol w:w="2"/>
              <w:gridCol w:w="1368"/>
              <w:gridCol w:w="1408"/>
              <w:gridCol w:w="1838"/>
            </w:tblGrid>
            <w:tr w14:paraId="48C93D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370" w:type="dxa"/>
                  <w:vAlign w:val="center"/>
                </w:tcPr>
                <w:p w14:paraId="759B722E">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类别</w:t>
                  </w:r>
                </w:p>
              </w:tc>
              <w:tc>
                <w:tcPr>
                  <w:tcW w:w="1386" w:type="dxa"/>
                  <w:vAlign w:val="center"/>
                </w:tcPr>
                <w:p w14:paraId="4316C471">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敏感目标</w:t>
                  </w:r>
                </w:p>
              </w:tc>
              <w:tc>
                <w:tcPr>
                  <w:tcW w:w="1370" w:type="dxa"/>
                  <w:gridSpan w:val="2"/>
                  <w:vAlign w:val="center"/>
                </w:tcPr>
                <w:p w14:paraId="6C8FA82E">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相对厂址方位</w:t>
                  </w:r>
                </w:p>
              </w:tc>
              <w:tc>
                <w:tcPr>
                  <w:tcW w:w="1408" w:type="dxa"/>
                  <w:vAlign w:val="center"/>
                </w:tcPr>
                <w:p w14:paraId="46123724">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距离（m）</w:t>
                  </w:r>
                </w:p>
              </w:tc>
              <w:tc>
                <w:tcPr>
                  <w:tcW w:w="1838" w:type="dxa"/>
                  <w:vAlign w:val="center"/>
                </w:tcPr>
                <w:p w14:paraId="01A53247">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保护级别</w:t>
                  </w:r>
                </w:p>
              </w:tc>
            </w:tr>
            <w:tr w14:paraId="34AE02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1370" w:type="dxa"/>
                  <w:vMerge w:val="restart"/>
                  <w:vAlign w:val="center"/>
                </w:tcPr>
                <w:p w14:paraId="181EA52D">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环境空气</w:t>
                  </w:r>
                </w:p>
              </w:tc>
              <w:tc>
                <w:tcPr>
                  <w:tcW w:w="1388" w:type="dxa"/>
                  <w:gridSpan w:val="2"/>
                  <w:vAlign w:val="center"/>
                </w:tcPr>
                <w:p w14:paraId="4C4FBDFF">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萌三村</w:t>
                  </w:r>
                </w:p>
              </w:tc>
              <w:tc>
                <w:tcPr>
                  <w:tcW w:w="1368" w:type="dxa"/>
                  <w:vAlign w:val="center"/>
                </w:tcPr>
                <w:p w14:paraId="27C47580">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NW</w:t>
                  </w:r>
                </w:p>
              </w:tc>
              <w:tc>
                <w:tcPr>
                  <w:tcW w:w="1408" w:type="dxa"/>
                  <w:vAlign w:val="center"/>
                </w:tcPr>
                <w:p w14:paraId="771449CD">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140</w:t>
                  </w:r>
                </w:p>
              </w:tc>
              <w:tc>
                <w:tcPr>
                  <w:tcW w:w="1838" w:type="dxa"/>
                  <w:vMerge w:val="restart"/>
                  <w:vAlign w:val="center"/>
                </w:tcPr>
                <w:p w14:paraId="79CD8921">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vertAlign w:val="baseline"/>
                      <w:lang w:eastAsia="zh-CN"/>
                    </w:rPr>
                  </w:pPr>
                  <w:r>
                    <w:rPr>
                      <w:rFonts w:hint="default" w:ascii="Times New Roman" w:hAnsi="Times New Roman" w:eastAsia="宋体" w:cs="Times New Roman"/>
                      <w:color w:val="auto"/>
                      <w:sz w:val="21"/>
                      <w:szCs w:val="21"/>
                      <w:vertAlign w:val="baseline"/>
                      <w:lang w:eastAsia="zh-CN"/>
                    </w:rPr>
                    <w:t>《环境空气质量标准》（GB3095-2012）及其修改单中的二级标准</w:t>
                  </w:r>
                </w:p>
              </w:tc>
            </w:tr>
            <w:tr w14:paraId="079E5E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1370" w:type="dxa"/>
                  <w:vMerge w:val="continue"/>
                  <w:vAlign w:val="center"/>
                </w:tcPr>
                <w:p w14:paraId="6A2F3C50">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rPr>
                  </w:pPr>
                </w:p>
              </w:tc>
              <w:tc>
                <w:tcPr>
                  <w:tcW w:w="1388" w:type="dxa"/>
                  <w:gridSpan w:val="2"/>
                  <w:vAlign w:val="center"/>
                </w:tcPr>
                <w:p w14:paraId="781F372B">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萌二村</w:t>
                  </w:r>
                </w:p>
              </w:tc>
              <w:tc>
                <w:tcPr>
                  <w:tcW w:w="1368" w:type="dxa"/>
                  <w:vAlign w:val="center"/>
                </w:tcPr>
                <w:p w14:paraId="189B5967">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NE</w:t>
                  </w:r>
                </w:p>
              </w:tc>
              <w:tc>
                <w:tcPr>
                  <w:tcW w:w="1408" w:type="dxa"/>
                  <w:vAlign w:val="center"/>
                </w:tcPr>
                <w:p w14:paraId="0E032C4C">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170</w:t>
                  </w:r>
                </w:p>
              </w:tc>
              <w:tc>
                <w:tcPr>
                  <w:tcW w:w="1838" w:type="dxa"/>
                  <w:vMerge w:val="continue"/>
                  <w:vAlign w:val="center"/>
                </w:tcPr>
                <w:p w14:paraId="3E638D61">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vertAlign w:val="baseline"/>
                      <w:lang w:eastAsia="zh-CN"/>
                    </w:rPr>
                  </w:pPr>
                </w:p>
              </w:tc>
            </w:tr>
            <w:tr w14:paraId="7D61AA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1370" w:type="dxa"/>
                  <w:vMerge w:val="continue"/>
                  <w:vAlign w:val="center"/>
                </w:tcPr>
                <w:p w14:paraId="67B6579C">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vertAlign w:val="baseline"/>
                      <w:lang w:eastAsia="zh-CN"/>
                    </w:rPr>
                  </w:pPr>
                </w:p>
              </w:tc>
              <w:tc>
                <w:tcPr>
                  <w:tcW w:w="1388" w:type="dxa"/>
                  <w:gridSpan w:val="2"/>
                  <w:vAlign w:val="center"/>
                </w:tcPr>
                <w:p w14:paraId="00842B81">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萌水镇中心小学</w:t>
                  </w:r>
                </w:p>
              </w:tc>
              <w:tc>
                <w:tcPr>
                  <w:tcW w:w="1368" w:type="dxa"/>
                  <w:vAlign w:val="center"/>
                </w:tcPr>
                <w:p w14:paraId="7647EB00">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SE</w:t>
                  </w:r>
                </w:p>
              </w:tc>
              <w:tc>
                <w:tcPr>
                  <w:tcW w:w="1408" w:type="dxa"/>
                  <w:vAlign w:val="center"/>
                </w:tcPr>
                <w:p w14:paraId="6476F82D">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320</w:t>
                  </w:r>
                </w:p>
              </w:tc>
              <w:tc>
                <w:tcPr>
                  <w:tcW w:w="1838" w:type="dxa"/>
                  <w:vMerge w:val="continue"/>
                  <w:vAlign w:val="center"/>
                </w:tcPr>
                <w:p w14:paraId="76CF6FA9">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vertAlign w:val="baseline"/>
                      <w:lang w:eastAsia="zh-CN"/>
                    </w:rPr>
                  </w:pPr>
                </w:p>
              </w:tc>
            </w:tr>
            <w:tr w14:paraId="7348AC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70" w:type="dxa"/>
                  <w:vAlign w:val="center"/>
                </w:tcPr>
                <w:p w14:paraId="0C543698">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声环境</w:t>
                  </w:r>
                </w:p>
              </w:tc>
              <w:tc>
                <w:tcPr>
                  <w:tcW w:w="4164" w:type="dxa"/>
                  <w:gridSpan w:val="4"/>
                  <w:vAlign w:val="center"/>
                </w:tcPr>
                <w:p w14:paraId="5A11B832">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vertAlign w:val="baseline"/>
                      <w:lang w:eastAsia="zh-CN"/>
                    </w:rPr>
                  </w:pPr>
                  <w:r>
                    <w:rPr>
                      <w:rFonts w:hint="default" w:ascii="Times New Roman" w:hAnsi="Times New Roman" w:eastAsia="宋体" w:cs="Times New Roman"/>
                      <w:color w:val="auto"/>
                      <w:sz w:val="21"/>
                      <w:szCs w:val="21"/>
                      <w:vertAlign w:val="baseline"/>
                      <w:lang w:eastAsia="zh-CN"/>
                    </w:rPr>
                    <w:t>厂界外50m范围内无声环境保护目标</w:t>
                  </w:r>
                </w:p>
              </w:tc>
              <w:tc>
                <w:tcPr>
                  <w:tcW w:w="1838" w:type="dxa"/>
                  <w:vAlign w:val="center"/>
                </w:tcPr>
                <w:p w14:paraId="1914B479">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vertAlign w:val="baseline"/>
                      <w:lang w:eastAsia="zh-CN"/>
                    </w:rPr>
                  </w:pPr>
                  <w:r>
                    <w:rPr>
                      <w:rFonts w:hint="default" w:ascii="Times New Roman" w:hAnsi="Times New Roman" w:eastAsia="宋体" w:cs="Times New Roman"/>
                      <w:color w:val="auto"/>
                      <w:sz w:val="21"/>
                      <w:szCs w:val="21"/>
                      <w:vertAlign w:val="baseline"/>
                      <w:lang w:eastAsia="zh-CN"/>
                    </w:rPr>
                    <w:t>《声环境质量标准》（GB3096-2008）</w:t>
                  </w:r>
                  <w:r>
                    <w:rPr>
                      <w:rFonts w:hint="default" w:ascii="Times New Roman" w:hAnsi="Times New Roman" w:eastAsia="宋体" w:cs="Times New Roman"/>
                      <w:color w:val="auto"/>
                      <w:sz w:val="21"/>
                      <w:szCs w:val="21"/>
                      <w:vertAlign w:val="baseline"/>
                      <w:lang w:val="en-US" w:eastAsia="zh-CN"/>
                    </w:rPr>
                    <w:t>中</w:t>
                  </w:r>
                  <w:r>
                    <w:rPr>
                      <w:rFonts w:hint="default" w:ascii="Times New Roman" w:hAnsi="Times New Roman" w:eastAsia="宋体" w:cs="Times New Roman"/>
                      <w:color w:val="auto"/>
                      <w:sz w:val="21"/>
                      <w:szCs w:val="21"/>
                      <w:vertAlign w:val="baseline"/>
                      <w:lang w:eastAsia="zh-CN"/>
                    </w:rPr>
                    <w:t>的2类区标准</w:t>
                  </w:r>
                </w:p>
              </w:tc>
            </w:tr>
            <w:tr w14:paraId="728D06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70" w:type="dxa"/>
                  <w:vAlign w:val="center"/>
                </w:tcPr>
                <w:p w14:paraId="584D9E7D">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地表水</w:t>
                  </w:r>
                </w:p>
              </w:tc>
              <w:tc>
                <w:tcPr>
                  <w:tcW w:w="1386" w:type="dxa"/>
                  <w:vAlign w:val="center"/>
                </w:tcPr>
                <w:p w14:paraId="4A36E294">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范阳河</w:t>
                  </w:r>
                </w:p>
              </w:tc>
              <w:tc>
                <w:tcPr>
                  <w:tcW w:w="1370" w:type="dxa"/>
                  <w:gridSpan w:val="2"/>
                  <w:vAlign w:val="center"/>
                </w:tcPr>
                <w:p w14:paraId="0E9D18C7">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W</w:t>
                  </w:r>
                </w:p>
              </w:tc>
              <w:tc>
                <w:tcPr>
                  <w:tcW w:w="1408" w:type="dxa"/>
                  <w:vAlign w:val="center"/>
                </w:tcPr>
                <w:p w14:paraId="1A58DD84">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540</w:t>
                  </w:r>
                </w:p>
              </w:tc>
              <w:tc>
                <w:tcPr>
                  <w:tcW w:w="1838" w:type="dxa"/>
                  <w:vAlign w:val="center"/>
                </w:tcPr>
                <w:p w14:paraId="10D5245C">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vertAlign w:val="baseline"/>
                      <w:lang w:eastAsia="zh-CN"/>
                    </w:rPr>
                  </w:pPr>
                  <w:r>
                    <w:rPr>
                      <w:rFonts w:hint="default" w:ascii="Times New Roman" w:hAnsi="Times New Roman" w:eastAsia="宋体" w:cs="Times New Roman"/>
                      <w:color w:val="FF0000"/>
                      <w:sz w:val="21"/>
                      <w:szCs w:val="21"/>
                      <w:vertAlign w:val="baseline"/>
                      <w:lang w:eastAsia="zh-CN"/>
                    </w:rPr>
                    <w:t>《地表水环境质量标准》（GB3838-2002）中Ⅳ类标准</w:t>
                  </w:r>
                </w:p>
              </w:tc>
            </w:tr>
            <w:tr w14:paraId="2996D7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70" w:type="dxa"/>
                  <w:vAlign w:val="center"/>
                </w:tcPr>
                <w:p w14:paraId="24357405">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vertAlign w:val="baseline"/>
                      <w:lang w:eastAsia="zh-CN"/>
                    </w:rPr>
                  </w:pPr>
                  <w:r>
                    <w:rPr>
                      <w:rFonts w:hint="default" w:ascii="Times New Roman" w:hAnsi="Times New Roman" w:eastAsia="宋体" w:cs="Times New Roman"/>
                      <w:color w:val="auto"/>
                      <w:sz w:val="21"/>
                      <w:szCs w:val="21"/>
                      <w:vertAlign w:val="baseline"/>
                      <w:lang w:eastAsia="zh-CN"/>
                    </w:rPr>
                    <w:t>地下水</w:t>
                  </w:r>
                </w:p>
              </w:tc>
              <w:tc>
                <w:tcPr>
                  <w:tcW w:w="6002" w:type="dxa"/>
                  <w:gridSpan w:val="5"/>
                  <w:vAlign w:val="center"/>
                </w:tcPr>
                <w:p w14:paraId="2C262A2C">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vertAlign w:val="baseline"/>
                      <w:lang w:eastAsia="zh-CN"/>
                    </w:rPr>
                  </w:pPr>
                  <w:r>
                    <w:rPr>
                      <w:rFonts w:hint="default" w:ascii="Times New Roman" w:hAnsi="Times New Roman" w:eastAsia="宋体" w:cs="Times New Roman"/>
                      <w:color w:val="auto"/>
                      <w:sz w:val="21"/>
                      <w:szCs w:val="21"/>
                      <w:vertAlign w:val="baseline"/>
                      <w:lang w:eastAsia="zh-CN"/>
                    </w:rPr>
                    <w:t>本项目厂界500米范围内无特殊地下水资源</w:t>
                  </w:r>
                </w:p>
              </w:tc>
            </w:tr>
            <w:tr w14:paraId="00AC8F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70" w:type="dxa"/>
                  <w:vAlign w:val="center"/>
                </w:tcPr>
                <w:p w14:paraId="20AF75BC">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生态环境</w:t>
                  </w:r>
                </w:p>
              </w:tc>
              <w:tc>
                <w:tcPr>
                  <w:tcW w:w="6002" w:type="dxa"/>
                  <w:gridSpan w:val="5"/>
                  <w:vAlign w:val="center"/>
                </w:tcPr>
                <w:p w14:paraId="440B4A9A">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vertAlign w:val="baseline"/>
                      <w:lang w:eastAsia="zh-CN"/>
                    </w:rPr>
                  </w:pPr>
                  <w:r>
                    <w:rPr>
                      <w:rFonts w:hint="default" w:ascii="Times New Roman" w:hAnsi="Times New Roman" w:eastAsia="宋体" w:cs="Times New Roman"/>
                      <w:color w:val="auto"/>
                      <w:sz w:val="21"/>
                      <w:szCs w:val="21"/>
                      <w:vertAlign w:val="baseline"/>
                      <w:lang w:val="en-US" w:eastAsia="zh-CN"/>
                    </w:rPr>
                    <w:t>无</w:t>
                  </w:r>
                </w:p>
              </w:tc>
            </w:tr>
          </w:tbl>
          <w:p w14:paraId="6505ABF0">
            <w:pPr>
              <w:keepNext w:val="0"/>
              <w:keepLines w:val="0"/>
              <w:pageBreakBefore w:val="0"/>
              <w:widowControl w:val="0"/>
              <w:numPr>
                <w:ilvl w:val="0"/>
                <w:numId w:val="0"/>
              </w:numPr>
              <w:kinsoku/>
              <w:wordWrap/>
              <w:overflowPunct/>
              <w:topLinePunct w:val="0"/>
              <w:bidi w:val="0"/>
              <w:ind w:right="0" w:rightChars="0"/>
              <w:jc w:val="both"/>
              <w:rPr>
                <w:rFonts w:hint="default" w:ascii="Times New Roman" w:hAnsi="Times New Roman" w:eastAsia="宋体" w:cs="Times New Roman"/>
                <w:snapToGrid w:val="0"/>
                <w:color w:val="auto"/>
                <w:sz w:val="21"/>
                <w:szCs w:val="21"/>
                <w:vertAlign w:val="baseline"/>
              </w:rPr>
            </w:pPr>
          </w:p>
        </w:tc>
      </w:tr>
      <w:tr w14:paraId="2C2497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9" w:type="dxa"/>
            <w:vAlign w:val="center"/>
          </w:tcPr>
          <w:p w14:paraId="15196085">
            <w:pPr>
              <w:keepNext w:val="0"/>
              <w:keepLines w:val="0"/>
              <w:pageBreakBefore w:val="0"/>
              <w:widowControl w:val="0"/>
              <w:numPr>
                <w:ilvl w:val="0"/>
                <w:numId w:val="0"/>
              </w:numPr>
              <w:kinsoku/>
              <w:wordWrap/>
              <w:overflowPunct/>
              <w:topLinePunct w:val="0"/>
              <w:bidi w:val="0"/>
              <w:ind w:left="0" w:leftChars="0" w:right="0" w:rightChars="0" w:firstLine="0" w:firstLineChars="0"/>
              <w:jc w:val="center"/>
              <w:rPr>
                <w:rFonts w:hint="default" w:ascii="Times New Roman" w:hAnsi="Times New Roman" w:eastAsia="宋体" w:cs="Times New Roman"/>
                <w:snapToGrid w:val="0"/>
                <w:color w:val="auto"/>
                <w:sz w:val="21"/>
                <w:szCs w:val="21"/>
                <w:vertAlign w:val="baseline"/>
              </w:rPr>
            </w:pPr>
            <w:r>
              <w:rPr>
                <w:rFonts w:hint="default" w:ascii="Times New Roman" w:hAnsi="Times New Roman" w:eastAsia="宋体" w:cs="Times New Roman"/>
                <w:snapToGrid w:val="0"/>
                <w:color w:val="auto"/>
                <w:sz w:val="21"/>
                <w:szCs w:val="21"/>
                <w:vertAlign w:val="baseline"/>
              </w:rPr>
              <w:t>污染物排</w:t>
            </w:r>
          </w:p>
          <w:p w14:paraId="2CD84C0E">
            <w:pPr>
              <w:keepNext w:val="0"/>
              <w:keepLines w:val="0"/>
              <w:pageBreakBefore w:val="0"/>
              <w:widowControl w:val="0"/>
              <w:numPr>
                <w:ilvl w:val="0"/>
                <w:numId w:val="0"/>
              </w:numPr>
              <w:kinsoku/>
              <w:wordWrap/>
              <w:overflowPunct/>
              <w:topLinePunct w:val="0"/>
              <w:bidi w:val="0"/>
              <w:ind w:left="0" w:leftChars="0" w:right="0" w:rightChars="0" w:firstLine="0" w:firstLineChars="0"/>
              <w:jc w:val="center"/>
              <w:rPr>
                <w:rFonts w:hint="default" w:ascii="Times New Roman" w:hAnsi="Times New Roman" w:eastAsia="宋体" w:cs="Times New Roman"/>
                <w:snapToGrid w:val="0"/>
                <w:color w:val="auto"/>
                <w:sz w:val="21"/>
                <w:szCs w:val="21"/>
                <w:vertAlign w:val="baseline"/>
              </w:rPr>
            </w:pPr>
            <w:r>
              <w:rPr>
                <w:rFonts w:hint="default" w:ascii="Times New Roman" w:hAnsi="Times New Roman" w:eastAsia="宋体" w:cs="Times New Roman"/>
                <w:snapToGrid w:val="0"/>
                <w:color w:val="auto"/>
                <w:sz w:val="21"/>
                <w:szCs w:val="21"/>
                <w:vertAlign w:val="baseline"/>
              </w:rPr>
              <w:t>放控</w:t>
            </w:r>
          </w:p>
          <w:p w14:paraId="00A05977">
            <w:pPr>
              <w:keepNext w:val="0"/>
              <w:keepLines w:val="0"/>
              <w:pageBreakBefore w:val="0"/>
              <w:widowControl w:val="0"/>
              <w:numPr>
                <w:ilvl w:val="0"/>
                <w:numId w:val="0"/>
              </w:numPr>
              <w:kinsoku/>
              <w:wordWrap/>
              <w:overflowPunct/>
              <w:topLinePunct w:val="0"/>
              <w:bidi w:val="0"/>
              <w:ind w:left="0" w:leftChars="0" w:right="0" w:rightChars="0" w:firstLine="0" w:firstLineChars="0"/>
              <w:jc w:val="center"/>
              <w:rPr>
                <w:rFonts w:hint="default" w:ascii="Times New Roman" w:hAnsi="Times New Roman" w:eastAsia="宋体" w:cs="Times New Roman"/>
                <w:snapToGrid w:val="0"/>
                <w:color w:val="auto"/>
                <w:sz w:val="21"/>
                <w:szCs w:val="21"/>
                <w:vertAlign w:val="baseline"/>
              </w:rPr>
            </w:pPr>
            <w:r>
              <w:rPr>
                <w:rFonts w:hint="default" w:ascii="Times New Roman" w:hAnsi="Times New Roman" w:eastAsia="宋体" w:cs="Times New Roman"/>
                <w:snapToGrid w:val="0"/>
                <w:color w:val="auto"/>
                <w:sz w:val="21"/>
                <w:szCs w:val="21"/>
                <w:vertAlign w:val="baseline"/>
              </w:rPr>
              <w:t>制标准</w:t>
            </w:r>
          </w:p>
        </w:tc>
        <w:tc>
          <w:tcPr>
            <w:tcW w:w="7823" w:type="dxa"/>
          </w:tcPr>
          <w:p w14:paraId="422937BB">
            <w:pPr>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right="0" w:rightChars="0" w:firstLine="420" w:firstLineChars="200"/>
              <w:jc w:val="both"/>
              <w:textAlignment w:val="baseline"/>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1、废气</w:t>
            </w:r>
          </w:p>
          <w:p w14:paraId="328004A9">
            <w:pPr>
              <w:keepNext w:val="0"/>
              <w:keepLines w:val="0"/>
              <w:pageBreakBefore w:val="0"/>
              <w:widowControl w:val="0"/>
              <w:numPr>
                <w:ilvl w:val="0"/>
                <w:numId w:val="0"/>
              </w:numPr>
              <w:kinsoku/>
              <w:wordWrap/>
              <w:overflowPunct/>
              <w:topLinePunct w:val="0"/>
              <w:bidi w:val="0"/>
              <w:spacing w:line="360" w:lineRule="auto"/>
              <w:ind w:right="0" w:rightChars="0" w:firstLine="420" w:firstLineChars="200"/>
              <w:jc w:val="both"/>
              <w:rPr>
                <w:rFonts w:hint="default" w:ascii="Times New Roman" w:hAnsi="Times New Roman" w:eastAsia="宋体" w:cs="Times New Roman"/>
                <w:color w:val="auto"/>
                <w:sz w:val="21"/>
                <w:szCs w:val="21"/>
                <w:vertAlign w:val="baseline"/>
                <w:lang w:eastAsia="zh-CN"/>
              </w:rPr>
            </w:pPr>
            <w:r>
              <w:rPr>
                <w:rFonts w:hint="default" w:ascii="Times New Roman" w:hAnsi="Times New Roman" w:eastAsia="宋体" w:cs="Times New Roman"/>
                <w:color w:val="auto"/>
                <w:sz w:val="21"/>
                <w:szCs w:val="21"/>
                <w:vertAlign w:val="baseline"/>
                <w:lang w:eastAsia="zh-CN"/>
              </w:rPr>
              <w:t>运营期颗粒物有组织排放浓度执行</w:t>
            </w:r>
            <w:r>
              <w:rPr>
                <w:rFonts w:hint="default" w:ascii="Times New Roman" w:hAnsi="Times New Roman" w:eastAsia="宋体" w:cs="Times New Roman"/>
                <w:color w:val="auto"/>
                <w:sz w:val="21"/>
                <w:szCs w:val="21"/>
                <w:vertAlign w:val="baseline"/>
                <w:lang w:val="en-US" w:eastAsia="zh-CN"/>
              </w:rPr>
              <w:t>山东省</w:t>
            </w:r>
            <w:r>
              <w:rPr>
                <w:rFonts w:hint="default" w:ascii="Times New Roman" w:hAnsi="Times New Roman" w:eastAsia="宋体" w:cs="Times New Roman"/>
                <w:color w:val="auto"/>
                <w:sz w:val="21"/>
                <w:szCs w:val="21"/>
                <w:vertAlign w:val="baseline"/>
                <w:lang w:eastAsia="zh-CN"/>
              </w:rPr>
              <w:t>《区域性大气污染物综合排放标准》（DB37/2376-2019）中表1重点控制区大气污染物排放浓度限值（</w:t>
            </w:r>
            <w:r>
              <w:rPr>
                <w:rFonts w:hint="default" w:ascii="Times New Roman" w:hAnsi="Times New Roman" w:eastAsia="宋体" w:cs="Times New Roman"/>
                <w:color w:val="auto"/>
                <w:sz w:val="21"/>
                <w:szCs w:val="21"/>
                <w:vertAlign w:val="baseline"/>
                <w:lang w:val="en-US" w:eastAsia="zh-CN"/>
              </w:rPr>
              <w:t>10</w:t>
            </w:r>
            <w:r>
              <w:rPr>
                <w:rFonts w:hint="default" w:ascii="Times New Roman" w:hAnsi="Times New Roman" w:eastAsia="宋体" w:cs="Times New Roman"/>
                <w:color w:val="auto"/>
                <w:sz w:val="21"/>
                <w:szCs w:val="21"/>
              </w:rPr>
              <w:t>mg/m</w:t>
            </w:r>
            <w:r>
              <w:rPr>
                <w:rFonts w:hint="default"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sz w:val="21"/>
                <w:szCs w:val="21"/>
                <w:vertAlign w:val="baseline"/>
                <w:lang w:eastAsia="zh-CN"/>
              </w:rPr>
              <w:t>），颗粒物有组织排放速率执行《大气污染物综合排放标准》（GB16297-1996）中表2新污染源大气污染物排放标准（</w:t>
            </w:r>
            <w:r>
              <w:rPr>
                <w:rFonts w:hint="default" w:ascii="Times New Roman" w:hAnsi="Times New Roman" w:eastAsia="宋体" w:cs="Times New Roman"/>
                <w:color w:val="auto"/>
                <w:sz w:val="21"/>
                <w:szCs w:val="21"/>
                <w:vertAlign w:val="baseline"/>
                <w:lang w:val="en-US" w:eastAsia="zh-CN"/>
              </w:rPr>
              <w:t>3.5</w:t>
            </w:r>
            <w:r>
              <w:rPr>
                <w:rFonts w:hint="default" w:ascii="Times New Roman" w:hAnsi="Times New Roman" w:eastAsia="宋体" w:cs="Times New Roman"/>
                <w:color w:val="auto"/>
                <w:sz w:val="21"/>
                <w:szCs w:val="21"/>
                <w:lang w:val="en-US" w:eastAsia="zh-CN"/>
              </w:rPr>
              <w:t>kg/h</w:t>
            </w:r>
            <w:r>
              <w:rPr>
                <w:rFonts w:hint="default" w:ascii="Times New Roman" w:hAnsi="Times New Roman" w:eastAsia="宋体" w:cs="Times New Roman"/>
                <w:color w:val="auto"/>
                <w:sz w:val="21"/>
                <w:szCs w:val="21"/>
                <w:vertAlign w:val="baseline"/>
                <w:lang w:eastAsia="zh-CN"/>
              </w:rPr>
              <w:t>），颗粒物无组织排放浓度执行《大气污染物综合排放标准》（GB16297-1996）中表2新污染源大气污染物排放标准（</w:t>
            </w:r>
            <w:r>
              <w:rPr>
                <w:rFonts w:hint="default" w:ascii="Times New Roman" w:hAnsi="Times New Roman" w:eastAsia="宋体" w:cs="Times New Roman"/>
                <w:color w:val="auto"/>
                <w:sz w:val="21"/>
                <w:szCs w:val="21"/>
                <w:vertAlign w:val="baseline"/>
                <w:lang w:val="en-US" w:eastAsia="zh-CN"/>
              </w:rPr>
              <w:t>1.0</w:t>
            </w:r>
            <w:r>
              <w:rPr>
                <w:rFonts w:hint="default" w:ascii="Times New Roman" w:hAnsi="Times New Roman" w:eastAsia="宋体" w:cs="Times New Roman"/>
                <w:color w:val="auto"/>
                <w:sz w:val="21"/>
                <w:szCs w:val="21"/>
              </w:rPr>
              <w:t>mg/m</w:t>
            </w:r>
            <w:r>
              <w:rPr>
                <w:rFonts w:hint="default"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sz w:val="21"/>
                <w:szCs w:val="21"/>
                <w:vertAlign w:val="baseline"/>
                <w:lang w:eastAsia="zh-CN"/>
              </w:rPr>
              <w:t>）。</w:t>
            </w:r>
          </w:p>
          <w:p w14:paraId="5CDA481D">
            <w:pPr>
              <w:pStyle w:val="4"/>
              <w:keepNext w:val="0"/>
              <w:keepLines w:val="0"/>
              <w:pageBreakBefore w:val="0"/>
              <w:widowControl w:val="0"/>
              <w:kinsoku/>
              <w:wordWrap/>
              <w:overflowPunct/>
              <w:topLinePunct w:val="0"/>
              <w:bidi w:val="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rPr>
              <w:t>表</w:t>
            </w:r>
            <w:r>
              <w:rPr>
                <w:rFonts w:hint="default" w:ascii="Times New Roman" w:hAnsi="Times New Roman" w:eastAsia="宋体" w:cs="Times New Roman"/>
                <w:b/>
                <w:bCs/>
                <w:color w:val="auto"/>
                <w:sz w:val="21"/>
                <w:szCs w:val="21"/>
                <w:lang w:val="en-US" w:eastAsia="zh-CN"/>
              </w:rPr>
              <w:t>3-3</w:t>
            </w:r>
            <w:r>
              <w:rPr>
                <w:rFonts w:hint="default" w:ascii="Times New Roman" w:hAnsi="Times New Roman" w:eastAsia="宋体" w:cs="Times New Roman"/>
                <w:b/>
                <w:bCs/>
                <w:color w:val="auto"/>
                <w:sz w:val="21"/>
                <w:szCs w:val="21"/>
              </w:rPr>
              <w:t xml:space="preserve"> </w:t>
            </w:r>
            <w:r>
              <w:rPr>
                <w:rFonts w:hint="default" w:ascii="Times New Roman" w:hAnsi="Times New Roman" w:eastAsia="宋体" w:cs="Times New Roman"/>
                <w:b/>
                <w:bCs/>
                <w:color w:val="auto"/>
                <w:sz w:val="21"/>
                <w:szCs w:val="21"/>
                <w:lang w:val="en-US" w:eastAsia="zh-CN"/>
              </w:rPr>
              <w:t>污染物排放标准</w:t>
            </w:r>
          </w:p>
          <w:tbl>
            <w:tblPr>
              <w:tblStyle w:val="15"/>
              <w:tblW w:w="4996"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1278"/>
              <w:gridCol w:w="1280"/>
              <w:gridCol w:w="1280"/>
              <w:gridCol w:w="1280"/>
              <w:gridCol w:w="2478"/>
            </w:tblGrid>
            <w:tr w14:paraId="675B3E7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91" w:hRule="atLeast"/>
                <w:jc w:val="center"/>
              </w:trPr>
              <w:tc>
                <w:tcPr>
                  <w:tcW w:w="841" w:type="pct"/>
                  <w:tcBorders>
                    <w:tl2br w:val="nil"/>
                    <w:tr2bl w:val="nil"/>
                  </w:tcBorders>
                  <w:vAlign w:val="center"/>
                </w:tcPr>
                <w:p w14:paraId="51551F10">
                  <w:pPr>
                    <w:pStyle w:val="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vertAlign w:val="baseline"/>
                      <w:lang w:eastAsia="zh-CN"/>
                    </w:rPr>
                  </w:pPr>
                  <w:r>
                    <w:rPr>
                      <w:rFonts w:hint="default" w:ascii="Times New Roman" w:hAnsi="Times New Roman" w:eastAsia="宋体" w:cs="Times New Roman"/>
                      <w:b/>
                      <w:bCs/>
                      <w:color w:val="auto"/>
                      <w:sz w:val="21"/>
                      <w:szCs w:val="21"/>
                      <w:vertAlign w:val="baseline"/>
                      <w:lang w:eastAsia="zh-CN"/>
                    </w:rPr>
                    <w:t>污染物名称</w:t>
                  </w:r>
                </w:p>
              </w:tc>
              <w:tc>
                <w:tcPr>
                  <w:tcW w:w="842" w:type="pct"/>
                  <w:tcBorders>
                    <w:tl2br w:val="nil"/>
                    <w:tr2bl w:val="nil"/>
                  </w:tcBorders>
                  <w:vAlign w:val="center"/>
                </w:tcPr>
                <w:p w14:paraId="38ACCF8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vertAlign w:val="baseline"/>
                      <w:lang w:eastAsia="zh-CN"/>
                    </w:rPr>
                  </w:pPr>
                  <w:r>
                    <w:rPr>
                      <w:rFonts w:hint="default" w:ascii="Times New Roman" w:hAnsi="Times New Roman" w:eastAsia="宋体" w:cs="Times New Roman"/>
                      <w:b/>
                      <w:bCs/>
                      <w:color w:val="auto"/>
                      <w:sz w:val="21"/>
                      <w:szCs w:val="21"/>
                      <w:vertAlign w:val="baseline"/>
                      <w:lang w:eastAsia="zh-CN"/>
                    </w:rPr>
                    <w:t>有组织排放浓度限值（</w:t>
                  </w:r>
                  <w:r>
                    <w:rPr>
                      <w:rFonts w:hint="default" w:ascii="Times New Roman" w:hAnsi="Times New Roman" w:eastAsia="宋体" w:cs="Times New Roman"/>
                      <w:b/>
                      <w:bCs/>
                      <w:color w:val="auto"/>
                      <w:sz w:val="21"/>
                      <w:szCs w:val="21"/>
                    </w:rPr>
                    <w:t>mg/m</w:t>
                  </w:r>
                  <w:r>
                    <w:rPr>
                      <w:rFonts w:hint="default" w:ascii="Times New Roman" w:hAnsi="Times New Roman" w:eastAsia="宋体" w:cs="Times New Roman"/>
                      <w:b/>
                      <w:bCs/>
                      <w:color w:val="auto"/>
                      <w:sz w:val="21"/>
                      <w:szCs w:val="21"/>
                      <w:vertAlign w:val="superscript"/>
                    </w:rPr>
                    <w:t>3</w:t>
                  </w:r>
                  <w:r>
                    <w:rPr>
                      <w:rFonts w:hint="default" w:ascii="Times New Roman" w:hAnsi="Times New Roman" w:eastAsia="宋体" w:cs="Times New Roman"/>
                      <w:b/>
                      <w:bCs/>
                      <w:color w:val="auto"/>
                      <w:sz w:val="21"/>
                      <w:szCs w:val="21"/>
                      <w:vertAlign w:val="baseline"/>
                      <w:lang w:eastAsia="zh-CN"/>
                    </w:rPr>
                    <w:t>）</w:t>
                  </w:r>
                </w:p>
              </w:tc>
              <w:tc>
                <w:tcPr>
                  <w:tcW w:w="842" w:type="pct"/>
                  <w:tcBorders>
                    <w:tl2br w:val="nil"/>
                    <w:tr2bl w:val="nil"/>
                  </w:tcBorders>
                  <w:vAlign w:val="center"/>
                </w:tcPr>
                <w:p w14:paraId="4A8EA50B">
                  <w:pPr>
                    <w:pStyle w:val="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vertAlign w:val="baseline"/>
                      <w:lang w:eastAsia="zh-CN"/>
                    </w:rPr>
                  </w:pPr>
                  <w:r>
                    <w:rPr>
                      <w:rFonts w:hint="default" w:ascii="Times New Roman" w:hAnsi="Times New Roman" w:eastAsia="宋体" w:cs="Times New Roman"/>
                      <w:b/>
                      <w:bCs/>
                      <w:color w:val="auto"/>
                      <w:sz w:val="21"/>
                      <w:szCs w:val="21"/>
                      <w:vertAlign w:val="baseline"/>
                      <w:lang w:eastAsia="zh-CN"/>
                    </w:rPr>
                    <w:t>排放速率（</w:t>
                  </w:r>
                  <w:r>
                    <w:rPr>
                      <w:rFonts w:hint="default" w:ascii="Times New Roman" w:hAnsi="Times New Roman" w:eastAsia="宋体" w:cs="Times New Roman"/>
                      <w:b/>
                      <w:bCs/>
                      <w:color w:val="auto"/>
                      <w:sz w:val="21"/>
                      <w:szCs w:val="21"/>
                      <w:lang w:val="en-US" w:eastAsia="zh-CN"/>
                    </w:rPr>
                    <w:t>kg/h</w:t>
                  </w:r>
                  <w:r>
                    <w:rPr>
                      <w:rFonts w:hint="default" w:ascii="Times New Roman" w:hAnsi="Times New Roman" w:eastAsia="宋体" w:cs="Times New Roman"/>
                      <w:b/>
                      <w:bCs/>
                      <w:color w:val="auto"/>
                      <w:sz w:val="21"/>
                      <w:szCs w:val="21"/>
                      <w:vertAlign w:val="baseline"/>
                      <w:lang w:eastAsia="zh-CN"/>
                    </w:rPr>
                    <w:t>）</w:t>
                  </w:r>
                </w:p>
              </w:tc>
              <w:tc>
                <w:tcPr>
                  <w:tcW w:w="842" w:type="pct"/>
                  <w:tcBorders>
                    <w:tl2br w:val="nil"/>
                    <w:tr2bl w:val="nil"/>
                  </w:tcBorders>
                  <w:vAlign w:val="center"/>
                </w:tcPr>
                <w:p w14:paraId="62CCE1A7">
                  <w:pPr>
                    <w:pStyle w:val="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vertAlign w:val="baseline"/>
                      <w:lang w:eastAsia="zh-CN"/>
                    </w:rPr>
                  </w:pPr>
                  <w:r>
                    <w:rPr>
                      <w:rFonts w:hint="default" w:ascii="Times New Roman" w:hAnsi="Times New Roman" w:eastAsia="宋体" w:cs="Times New Roman"/>
                      <w:b/>
                      <w:bCs/>
                      <w:color w:val="auto"/>
                      <w:sz w:val="21"/>
                      <w:szCs w:val="21"/>
                      <w:vertAlign w:val="baseline"/>
                      <w:lang w:eastAsia="zh-CN"/>
                    </w:rPr>
                    <w:t>无组织排放监控浓度限值（</w:t>
                  </w:r>
                  <w:r>
                    <w:rPr>
                      <w:rFonts w:hint="default" w:ascii="Times New Roman" w:hAnsi="Times New Roman" w:eastAsia="宋体" w:cs="Times New Roman"/>
                      <w:b/>
                      <w:bCs/>
                      <w:color w:val="auto"/>
                      <w:sz w:val="21"/>
                      <w:szCs w:val="21"/>
                    </w:rPr>
                    <w:t>mg/m</w:t>
                  </w:r>
                  <w:r>
                    <w:rPr>
                      <w:rFonts w:hint="default" w:ascii="Times New Roman" w:hAnsi="Times New Roman" w:eastAsia="宋体" w:cs="Times New Roman"/>
                      <w:b/>
                      <w:bCs/>
                      <w:color w:val="auto"/>
                      <w:sz w:val="21"/>
                      <w:szCs w:val="21"/>
                      <w:vertAlign w:val="superscript"/>
                    </w:rPr>
                    <w:t>3</w:t>
                  </w:r>
                  <w:r>
                    <w:rPr>
                      <w:rFonts w:hint="default" w:ascii="Times New Roman" w:hAnsi="Times New Roman" w:eastAsia="宋体" w:cs="Times New Roman"/>
                      <w:b/>
                      <w:bCs/>
                      <w:color w:val="auto"/>
                      <w:sz w:val="21"/>
                      <w:szCs w:val="21"/>
                      <w:vertAlign w:val="baseline"/>
                      <w:lang w:eastAsia="zh-CN"/>
                    </w:rPr>
                    <w:t>）</w:t>
                  </w:r>
                </w:p>
              </w:tc>
              <w:tc>
                <w:tcPr>
                  <w:tcW w:w="1630" w:type="pct"/>
                  <w:tcBorders>
                    <w:tl2br w:val="nil"/>
                    <w:tr2bl w:val="nil"/>
                  </w:tcBorders>
                  <w:vAlign w:val="center"/>
                </w:tcPr>
                <w:p w14:paraId="50FF6D5F">
                  <w:pPr>
                    <w:pStyle w:val="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z w:val="21"/>
                      <w:szCs w:val="21"/>
                      <w:vertAlign w:val="baseline"/>
                      <w:lang w:eastAsia="zh-CN"/>
                    </w:rPr>
                  </w:pPr>
                  <w:r>
                    <w:rPr>
                      <w:rFonts w:hint="default" w:ascii="Times New Roman" w:hAnsi="Times New Roman" w:eastAsia="宋体" w:cs="Times New Roman"/>
                      <w:b/>
                      <w:bCs/>
                      <w:color w:val="auto"/>
                      <w:sz w:val="21"/>
                      <w:szCs w:val="21"/>
                      <w:vertAlign w:val="baseline"/>
                      <w:lang w:eastAsia="zh-CN"/>
                    </w:rPr>
                    <w:t>采用标准</w:t>
                  </w:r>
                </w:p>
              </w:tc>
            </w:tr>
            <w:tr w14:paraId="6A22C8E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90" w:hRule="atLeast"/>
                <w:jc w:val="center"/>
              </w:trPr>
              <w:tc>
                <w:tcPr>
                  <w:tcW w:w="841" w:type="pct"/>
                  <w:tcBorders>
                    <w:tl2br w:val="nil"/>
                    <w:tr2bl w:val="nil"/>
                  </w:tcBorders>
                  <w:vAlign w:val="center"/>
                </w:tcPr>
                <w:p w14:paraId="6721301A">
                  <w:pPr>
                    <w:pStyle w:val="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eastAsia="zh-CN"/>
                    </w:rPr>
                  </w:pPr>
                  <w:r>
                    <w:rPr>
                      <w:rFonts w:hint="default" w:ascii="Times New Roman" w:hAnsi="Times New Roman" w:eastAsia="宋体" w:cs="Times New Roman"/>
                      <w:color w:val="auto"/>
                      <w:sz w:val="21"/>
                      <w:szCs w:val="21"/>
                      <w:vertAlign w:val="baseline"/>
                      <w:lang w:eastAsia="zh-CN"/>
                    </w:rPr>
                    <w:t>颗粒物</w:t>
                  </w:r>
                </w:p>
              </w:tc>
              <w:tc>
                <w:tcPr>
                  <w:tcW w:w="842" w:type="pct"/>
                  <w:tcBorders>
                    <w:tl2br w:val="nil"/>
                    <w:tr2bl w:val="nil"/>
                  </w:tcBorders>
                  <w:vAlign w:val="center"/>
                </w:tcPr>
                <w:p w14:paraId="645DB848">
                  <w:pPr>
                    <w:pStyle w:val="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10</w:t>
                  </w:r>
                </w:p>
              </w:tc>
              <w:tc>
                <w:tcPr>
                  <w:tcW w:w="842" w:type="pct"/>
                  <w:tcBorders>
                    <w:tl2br w:val="nil"/>
                    <w:tr2bl w:val="nil"/>
                  </w:tcBorders>
                  <w:vAlign w:val="center"/>
                </w:tcPr>
                <w:p w14:paraId="039C6F42">
                  <w:pPr>
                    <w:pStyle w:val="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w:t>
                  </w:r>
                </w:p>
              </w:tc>
              <w:tc>
                <w:tcPr>
                  <w:tcW w:w="842" w:type="pct"/>
                  <w:tcBorders>
                    <w:tl2br w:val="nil"/>
                    <w:tr2bl w:val="nil"/>
                  </w:tcBorders>
                  <w:vAlign w:val="center"/>
                </w:tcPr>
                <w:p w14:paraId="419A7D4D">
                  <w:pPr>
                    <w:pStyle w:val="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w:t>
                  </w:r>
                </w:p>
              </w:tc>
              <w:tc>
                <w:tcPr>
                  <w:tcW w:w="1630" w:type="pct"/>
                  <w:tcBorders>
                    <w:tl2br w:val="nil"/>
                    <w:tr2bl w:val="nil"/>
                  </w:tcBorders>
                  <w:vAlign w:val="center"/>
                </w:tcPr>
                <w:p w14:paraId="6A153237">
                  <w:pPr>
                    <w:pStyle w:val="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val="en-US" w:eastAsia="zh-CN"/>
                    </w:rPr>
                    <w:t>区域性大气污染物综合排放标准</w:t>
                  </w:r>
                  <w:r>
                    <w:rPr>
                      <w:rFonts w:hint="default" w:ascii="Times New Roman" w:hAnsi="Times New Roman" w:eastAsia="宋体" w:cs="Times New Roman"/>
                      <w:color w:val="auto"/>
                      <w:sz w:val="21"/>
                      <w:szCs w:val="21"/>
                    </w:rPr>
                    <w:t>》（DB37/2376</w:t>
                  </w:r>
                  <w:r>
                    <w:rPr>
                      <w:rFonts w:hint="default" w:ascii="Times New Roman" w:hAnsi="Times New Roman" w:eastAsia="宋体" w:cs="Times New Roman"/>
                      <w:color w:val="auto"/>
                      <w:sz w:val="21"/>
                      <w:szCs w:val="21"/>
                      <w:lang w:val="en-US" w:eastAsia="zh-CN"/>
                    </w:rPr>
                    <w:t>-</w:t>
                  </w:r>
                  <w:r>
                    <w:rPr>
                      <w:rFonts w:hint="default" w:ascii="Times New Roman" w:hAnsi="Times New Roman" w:eastAsia="宋体" w:cs="Times New Roman"/>
                      <w:color w:val="auto"/>
                      <w:sz w:val="21"/>
                      <w:szCs w:val="21"/>
                    </w:rPr>
                    <w:t>2019）</w:t>
                  </w:r>
                </w:p>
              </w:tc>
            </w:tr>
            <w:tr w14:paraId="5B7AFD5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841" w:type="pct"/>
                  <w:tcBorders>
                    <w:tl2br w:val="nil"/>
                    <w:tr2bl w:val="nil"/>
                  </w:tcBorders>
                  <w:vAlign w:val="center"/>
                </w:tcPr>
                <w:p w14:paraId="75B103A6">
                  <w:pPr>
                    <w:pStyle w:val="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eastAsia="zh-CN"/>
                    </w:rPr>
                  </w:pPr>
                  <w:r>
                    <w:rPr>
                      <w:rFonts w:hint="default" w:ascii="Times New Roman" w:hAnsi="Times New Roman" w:eastAsia="宋体" w:cs="Times New Roman"/>
                      <w:color w:val="auto"/>
                      <w:sz w:val="21"/>
                      <w:szCs w:val="21"/>
                      <w:vertAlign w:val="baseline"/>
                      <w:lang w:eastAsia="zh-CN"/>
                    </w:rPr>
                    <w:t>颗粒物</w:t>
                  </w:r>
                </w:p>
              </w:tc>
              <w:tc>
                <w:tcPr>
                  <w:tcW w:w="842" w:type="pct"/>
                  <w:tcBorders>
                    <w:tl2br w:val="nil"/>
                    <w:tr2bl w:val="nil"/>
                  </w:tcBorders>
                  <w:vAlign w:val="center"/>
                </w:tcPr>
                <w:p w14:paraId="18B0B09B">
                  <w:pPr>
                    <w:pStyle w:val="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w:t>
                  </w:r>
                </w:p>
              </w:tc>
              <w:tc>
                <w:tcPr>
                  <w:tcW w:w="842" w:type="pct"/>
                  <w:tcBorders>
                    <w:tl2br w:val="nil"/>
                    <w:tr2bl w:val="nil"/>
                  </w:tcBorders>
                  <w:vAlign w:val="center"/>
                </w:tcPr>
                <w:p w14:paraId="059D7FAD">
                  <w:pPr>
                    <w:pStyle w:val="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3.5</w:t>
                  </w:r>
                </w:p>
              </w:tc>
              <w:tc>
                <w:tcPr>
                  <w:tcW w:w="842" w:type="pct"/>
                  <w:tcBorders>
                    <w:tl2br w:val="nil"/>
                    <w:tr2bl w:val="nil"/>
                  </w:tcBorders>
                  <w:vAlign w:val="center"/>
                </w:tcPr>
                <w:p w14:paraId="23D58F6E">
                  <w:pPr>
                    <w:pStyle w:val="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1.0</w:t>
                  </w:r>
                </w:p>
              </w:tc>
              <w:tc>
                <w:tcPr>
                  <w:tcW w:w="1630" w:type="pct"/>
                  <w:tcBorders>
                    <w:tl2br w:val="nil"/>
                    <w:tr2bl w:val="nil"/>
                  </w:tcBorders>
                  <w:vAlign w:val="center"/>
                </w:tcPr>
                <w:p w14:paraId="4995344D">
                  <w:pPr>
                    <w:pStyle w:val="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vertAlign w:val="baseline"/>
                    </w:rPr>
                  </w:pPr>
                  <w:r>
                    <w:rPr>
                      <w:rFonts w:hint="default" w:ascii="Times New Roman" w:hAnsi="Times New Roman" w:eastAsia="宋体" w:cs="Times New Roman"/>
                      <w:color w:val="auto"/>
                      <w:sz w:val="21"/>
                      <w:szCs w:val="21"/>
                    </w:rPr>
                    <w:t>《大气污染物综合排放标准》（GB16297-1996）</w:t>
                  </w:r>
                </w:p>
              </w:tc>
            </w:tr>
          </w:tbl>
          <w:p w14:paraId="70432399">
            <w:pPr>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right="0" w:rightChars="0" w:firstLine="420" w:firstLineChars="200"/>
              <w:jc w:val="both"/>
              <w:textAlignment w:val="baseline"/>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2、废水</w:t>
            </w:r>
          </w:p>
          <w:p w14:paraId="3987DAF7">
            <w:pPr>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right="0" w:rightChars="0" w:firstLine="420" w:firstLineChars="200"/>
              <w:jc w:val="both"/>
              <w:textAlignment w:val="baseline"/>
              <w:rPr>
                <w:rFonts w:hint="default" w:ascii="Times New Roman" w:hAnsi="Times New Roman" w:eastAsia="宋体" w:cs="Times New Roman"/>
                <w:color w:val="auto"/>
                <w:sz w:val="21"/>
                <w:szCs w:val="21"/>
                <w:vertAlign w:val="baseline"/>
                <w:lang w:eastAsia="zh-CN"/>
              </w:rPr>
            </w:pPr>
            <w:r>
              <w:rPr>
                <w:rFonts w:hint="default" w:ascii="Times New Roman" w:hAnsi="Times New Roman" w:eastAsia="宋体" w:cs="Times New Roman"/>
                <w:color w:val="auto"/>
                <w:sz w:val="21"/>
                <w:szCs w:val="21"/>
                <w:vertAlign w:val="baseline"/>
                <w:lang w:val="en-US" w:eastAsia="zh-CN"/>
              </w:rPr>
              <w:t>运营期本</w:t>
            </w:r>
            <w:r>
              <w:rPr>
                <w:rFonts w:hint="default" w:ascii="Times New Roman" w:hAnsi="Times New Roman" w:eastAsia="宋体" w:cs="Times New Roman"/>
                <w:color w:val="auto"/>
                <w:sz w:val="21"/>
                <w:szCs w:val="21"/>
                <w:vertAlign w:val="baseline"/>
                <w:lang w:eastAsia="zh-CN"/>
              </w:rPr>
              <w:t>项目废水主要为职工生活污水，生活污水经化粪池处理后</w:t>
            </w:r>
            <w:r>
              <w:rPr>
                <w:rFonts w:hint="default" w:ascii="Times New Roman" w:hAnsi="Times New Roman" w:eastAsia="宋体" w:cs="Times New Roman"/>
                <w:color w:val="auto"/>
                <w:sz w:val="21"/>
                <w:szCs w:val="21"/>
                <w:vertAlign w:val="baseline"/>
                <w:lang w:val="en-US" w:eastAsia="zh-CN"/>
              </w:rPr>
              <w:t>由</w:t>
            </w:r>
            <w:r>
              <w:rPr>
                <w:rFonts w:hint="default" w:ascii="Times New Roman" w:hAnsi="Times New Roman" w:eastAsia="宋体" w:cs="Times New Roman"/>
                <w:color w:val="auto"/>
                <w:sz w:val="21"/>
                <w:szCs w:val="21"/>
                <w:vertAlign w:val="baseline"/>
                <w:lang w:eastAsia="zh-CN"/>
              </w:rPr>
              <w:t>环卫部门定期清运；抑尘用水全部蒸发损耗，不外排。</w:t>
            </w:r>
          </w:p>
          <w:p w14:paraId="2FC293BB">
            <w:pPr>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right="0" w:rightChars="0" w:firstLine="420" w:firstLineChars="200"/>
              <w:jc w:val="both"/>
              <w:textAlignment w:val="baseline"/>
              <w:rPr>
                <w:rFonts w:hint="default" w:ascii="Times New Roman" w:hAnsi="Times New Roman" w:eastAsia="宋体" w:cs="Times New Roman"/>
                <w:color w:val="auto"/>
                <w:sz w:val="21"/>
                <w:szCs w:val="21"/>
                <w:vertAlign w:val="baseline"/>
                <w:lang w:eastAsia="zh-CN"/>
              </w:rPr>
            </w:pPr>
            <w:r>
              <w:rPr>
                <w:rFonts w:hint="default" w:ascii="Times New Roman" w:hAnsi="Times New Roman" w:eastAsia="宋体" w:cs="Times New Roman"/>
                <w:color w:val="auto"/>
                <w:sz w:val="21"/>
                <w:szCs w:val="21"/>
                <w:vertAlign w:val="baseline"/>
                <w:lang w:val="en-US" w:eastAsia="zh-CN"/>
              </w:rPr>
              <w:t>3</w:t>
            </w:r>
            <w:r>
              <w:rPr>
                <w:rFonts w:hint="default" w:ascii="Times New Roman" w:hAnsi="Times New Roman" w:eastAsia="宋体" w:cs="Times New Roman"/>
                <w:color w:val="auto"/>
                <w:sz w:val="21"/>
                <w:szCs w:val="21"/>
                <w:vertAlign w:val="baseline"/>
                <w:lang w:eastAsia="zh-CN"/>
              </w:rPr>
              <w:t>、噪声</w:t>
            </w:r>
          </w:p>
          <w:p w14:paraId="7AA73916">
            <w:pPr>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right="0" w:rightChars="0" w:firstLine="420" w:firstLineChars="200"/>
              <w:jc w:val="both"/>
              <w:textAlignment w:val="baseline"/>
              <w:rPr>
                <w:rFonts w:hint="default" w:ascii="Times New Roman" w:hAnsi="Times New Roman" w:eastAsia="宋体" w:cs="Times New Roman"/>
                <w:color w:val="auto"/>
                <w:sz w:val="21"/>
                <w:szCs w:val="21"/>
                <w:vertAlign w:val="baseline"/>
                <w:lang w:eastAsia="zh-CN"/>
              </w:rPr>
            </w:pPr>
            <w:r>
              <w:rPr>
                <w:rFonts w:hint="default" w:ascii="Times New Roman" w:hAnsi="Times New Roman" w:eastAsia="宋体" w:cs="Times New Roman"/>
                <w:color w:val="auto"/>
                <w:sz w:val="21"/>
                <w:szCs w:val="21"/>
                <w:vertAlign w:val="baseline"/>
                <w:lang w:val="en-US" w:eastAsia="zh-CN"/>
              </w:rPr>
              <w:t>运营</w:t>
            </w:r>
            <w:r>
              <w:rPr>
                <w:rFonts w:hint="default" w:ascii="Times New Roman" w:hAnsi="Times New Roman" w:eastAsia="宋体" w:cs="Times New Roman"/>
                <w:color w:val="auto"/>
                <w:sz w:val="21"/>
                <w:szCs w:val="21"/>
                <w:vertAlign w:val="baseline"/>
                <w:lang w:eastAsia="zh-CN"/>
              </w:rPr>
              <w:t>期厂界噪声执行《工业企业厂界环境噪声排放标准》（GB12348-2008）中2类标准。</w:t>
            </w:r>
          </w:p>
          <w:p w14:paraId="4B006298">
            <w:pPr>
              <w:pStyle w:val="24"/>
              <w:keepNext w:val="0"/>
              <w:keepLines w:val="0"/>
              <w:pageBreakBefore w:val="0"/>
              <w:widowControl w:val="0"/>
              <w:kinsoku/>
              <w:wordWrap/>
              <w:overflowPunct/>
              <w:topLinePunct w:val="0"/>
              <w:bidi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表</w:t>
            </w:r>
            <w:r>
              <w:rPr>
                <w:rFonts w:hint="default" w:ascii="Times New Roman" w:hAnsi="Times New Roman" w:eastAsia="宋体" w:cs="Times New Roman"/>
                <w:color w:val="auto"/>
                <w:sz w:val="21"/>
                <w:szCs w:val="21"/>
                <w:lang w:val="en-US" w:eastAsia="zh-CN"/>
              </w:rPr>
              <w:t>3-6</w:t>
            </w:r>
            <w:r>
              <w:rPr>
                <w:rFonts w:hint="default" w:ascii="Times New Roman" w:hAnsi="Times New Roman" w:eastAsia="宋体" w:cs="Times New Roman"/>
                <w:color w:val="auto"/>
                <w:sz w:val="21"/>
                <w:szCs w:val="21"/>
              </w:rPr>
              <w:t xml:space="preserve"> 噪声排放标准一览表</w:t>
            </w:r>
          </w:p>
          <w:tbl>
            <w:tblPr>
              <w:tblStyle w:val="14"/>
              <w:tblW w:w="4998"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1493"/>
              <w:gridCol w:w="2121"/>
              <w:gridCol w:w="1429"/>
              <w:gridCol w:w="2556"/>
            </w:tblGrid>
            <w:tr w14:paraId="6E5F170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90" w:hRule="atLeast"/>
                <w:jc w:val="center"/>
              </w:trPr>
              <w:tc>
                <w:tcPr>
                  <w:tcW w:w="982" w:type="pct"/>
                  <w:tcBorders>
                    <w:tl2br w:val="nil"/>
                    <w:tr2bl w:val="nil"/>
                  </w:tcBorders>
                  <w:vAlign w:val="center"/>
                </w:tcPr>
                <w:p w14:paraId="0217C865">
                  <w:pPr>
                    <w:pStyle w:val="30"/>
                    <w:keepNext w:val="0"/>
                    <w:keepLines w:val="0"/>
                    <w:pageBreakBefore w:val="0"/>
                    <w:widowControl w:val="0"/>
                    <w:kinsoku/>
                    <w:wordWrap/>
                    <w:overflowPunct/>
                    <w:topLinePunct w:val="0"/>
                    <w:autoSpaceDE/>
                    <w:autoSpaceDN/>
                    <w:bidi w:val="0"/>
                    <w:adjustRightInd/>
                    <w:snapToGrid/>
                    <w:spacing w:before="0"/>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噪声类别</w:t>
                  </w:r>
                </w:p>
              </w:tc>
              <w:tc>
                <w:tcPr>
                  <w:tcW w:w="1395" w:type="pct"/>
                  <w:tcBorders>
                    <w:tl2br w:val="nil"/>
                    <w:tr2bl w:val="nil"/>
                  </w:tcBorders>
                  <w:vAlign w:val="center"/>
                </w:tcPr>
                <w:p w14:paraId="62623294">
                  <w:pPr>
                    <w:pStyle w:val="30"/>
                    <w:keepNext w:val="0"/>
                    <w:keepLines w:val="0"/>
                    <w:pageBreakBefore w:val="0"/>
                    <w:widowControl w:val="0"/>
                    <w:kinsoku/>
                    <w:wordWrap/>
                    <w:overflowPunct/>
                    <w:topLinePunct w:val="0"/>
                    <w:autoSpaceDE/>
                    <w:autoSpaceDN/>
                    <w:bidi w:val="0"/>
                    <w:adjustRightInd/>
                    <w:snapToGrid/>
                    <w:spacing w:before="0"/>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声环境功能区类别</w:t>
                  </w:r>
                </w:p>
              </w:tc>
              <w:tc>
                <w:tcPr>
                  <w:tcW w:w="940" w:type="pct"/>
                  <w:tcBorders>
                    <w:tl2br w:val="nil"/>
                    <w:tr2bl w:val="nil"/>
                  </w:tcBorders>
                  <w:vAlign w:val="center"/>
                </w:tcPr>
                <w:p w14:paraId="69202E12">
                  <w:pPr>
                    <w:pStyle w:val="30"/>
                    <w:keepNext w:val="0"/>
                    <w:keepLines w:val="0"/>
                    <w:pageBreakBefore w:val="0"/>
                    <w:widowControl w:val="0"/>
                    <w:kinsoku/>
                    <w:wordWrap/>
                    <w:overflowPunct/>
                    <w:topLinePunct w:val="0"/>
                    <w:autoSpaceDE/>
                    <w:autoSpaceDN/>
                    <w:bidi w:val="0"/>
                    <w:adjustRightInd/>
                    <w:snapToGrid/>
                    <w:spacing w:before="0"/>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单位</w:t>
                  </w:r>
                </w:p>
              </w:tc>
              <w:tc>
                <w:tcPr>
                  <w:tcW w:w="1681" w:type="pct"/>
                  <w:tcBorders>
                    <w:tl2br w:val="nil"/>
                    <w:tr2bl w:val="nil"/>
                  </w:tcBorders>
                  <w:vAlign w:val="center"/>
                </w:tcPr>
                <w:p w14:paraId="7C14EA8E">
                  <w:pPr>
                    <w:pStyle w:val="30"/>
                    <w:keepNext w:val="0"/>
                    <w:keepLines w:val="0"/>
                    <w:pageBreakBefore w:val="0"/>
                    <w:widowControl w:val="0"/>
                    <w:kinsoku/>
                    <w:wordWrap/>
                    <w:overflowPunct/>
                    <w:topLinePunct w:val="0"/>
                    <w:autoSpaceDE/>
                    <w:autoSpaceDN/>
                    <w:bidi w:val="0"/>
                    <w:adjustRightInd/>
                    <w:snapToGrid/>
                    <w:spacing w:before="0"/>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标准限值</w:t>
                  </w:r>
                </w:p>
              </w:tc>
            </w:tr>
            <w:tr w14:paraId="69370D4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90" w:hRule="atLeast"/>
                <w:jc w:val="center"/>
              </w:trPr>
              <w:tc>
                <w:tcPr>
                  <w:tcW w:w="982" w:type="pct"/>
                  <w:tcBorders>
                    <w:tl2br w:val="nil"/>
                    <w:tr2bl w:val="nil"/>
                  </w:tcBorders>
                  <w:vAlign w:val="center"/>
                </w:tcPr>
                <w:p w14:paraId="3CEB6122">
                  <w:pPr>
                    <w:pStyle w:val="30"/>
                    <w:keepNext w:val="0"/>
                    <w:keepLines w:val="0"/>
                    <w:pageBreakBefore w:val="0"/>
                    <w:widowControl w:val="0"/>
                    <w:kinsoku/>
                    <w:wordWrap/>
                    <w:overflowPunct/>
                    <w:topLinePunct w:val="0"/>
                    <w:autoSpaceDE/>
                    <w:autoSpaceDN/>
                    <w:bidi w:val="0"/>
                    <w:adjustRightInd/>
                    <w:snapToGrid/>
                    <w:spacing w:before="0"/>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运营期</w:t>
                  </w:r>
                </w:p>
              </w:tc>
              <w:tc>
                <w:tcPr>
                  <w:tcW w:w="1395" w:type="pct"/>
                  <w:tcBorders>
                    <w:tl2br w:val="nil"/>
                    <w:tr2bl w:val="nil"/>
                  </w:tcBorders>
                  <w:vAlign w:val="center"/>
                </w:tcPr>
                <w:p w14:paraId="2143D6A9">
                  <w:pPr>
                    <w:pStyle w:val="30"/>
                    <w:keepNext w:val="0"/>
                    <w:keepLines w:val="0"/>
                    <w:pageBreakBefore w:val="0"/>
                    <w:widowControl w:val="0"/>
                    <w:kinsoku/>
                    <w:wordWrap/>
                    <w:overflowPunct/>
                    <w:topLinePunct w:val="0"/>
                    <w:autoSpaceDE/>
                    <w:autoSpaceDN/>
                    <w:bidi w:val="0"/>
                    <w:adjustRightInd/>
                    <w:snapToGrid/>
                    <w:spacing w:before="0"/>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2类</w:t>
                  </w:r>
                </w:p>
              </w:tc>
              <w:tc>
                <w:tcPr>
                  <w:tcW w:w="940" w:type="pct"/>
                  <w:tcBorders>
                    <w:tl2br w:val="nil"/>
                    <w:tr2bl w:val="nil"/>
                  </w:tcBorders>
                  <w:vAlign w:val="center"/>
                </w:tcPr>
                <w:p w14:paraId="1B388072">
                  <w:pPr>
                    <w:pStyle w:val="30"/>
                    <w:keepNext w:val="0"/>
                    <w:keepLines w:val="0"/>
                    <w:pageBreakBefore w:val="0"/>
                    <w:widowControl w:val="0"/>
                    <w:kinsoku/>
                    <w:wordWrap/>
                    <w:overflowPunct/>
                    <w:topLinePunct w:val="0"/>
                    <w:autoSpaceDE/>
                    <w:autoSpaceDN/>
                    <w:bidi w:val="0"/>
                    <w:adjustRightInd/>
                    <w:snapToGrid/>
                    <w:spacing w:before="0"/>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dB(A)</w:t>
                  </w:r>
                </w:p>
              </w:tc>
              <w:tc>
                <w:tcPr>
                  <w:tcW w:w="1681" w:type="pct"/>
                  <w:tcBorders>
                    <w:tl2br w:val="nil"/>
                    <w:tr2bl w:val="nil"/>
                  </w:tcBorders>
                  <w:vAlign w:val="center"/>
                </w:tcPr>
                <w:p w14:paraId="55BFFB85">
                  <w:pPr>
                    <w:pStyle w:val="30"/>
                    <w:keepNext w:val="0"/>
                    <w:keepLines w:val="0"/>
                    <w:pageBreakBefore w:val="0"/>
                    <w:widowControl w:val="0"/>
                    <w:kinsoku/>
                    <w:wordWrap/>
                    <w:overflowPunct/>
                    <w:topLinePunct w:val="0"/>
                    <w:autoSpaceDE/>
                    <w:autoSpaceDN/>
                    <w:bidi w:val="0"/>
                    <w:adjustRightInd/>
                    <w:snapToGrid/>
                    <w:spacing w:before="0"/>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昼间60、夜间50</w:t>
                  </w:r>
                </w:p>
              </w:tc>
            </w:tr>
          </w:tbl>
          <w:p w14:paraId="264EF1E0">
            <w:pPr>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right="0" w:rightChars="0" w:firstLine="420" w:firstLineChars="200"/>
              <w:jc w:val="both"/>
              <w:textAlignment w:val="baseline"/>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4、固体废物</w:t>
            </w:r>
          </w:p>
          <w:p w14:paraId="77867D98">
            <w:pPr>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right="0" w:rightChars="0" w:firstLine="420" w:firstLineChars="200"/>
              <w:jc w:val="both"/>
              <w:textAlignment w:val="baseline"/>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一般固体废物厂内暂存应符合《中华人民共和国固体废物污染环境防治法》相关要求，采取防扬散、防流失、防渗漏或者其他防止污染环境的措施，不得擅自倾倒、堆放、丢弃、遗撒；一般工业固体废物管理过程中还应满足《一般工业固体废物管理台账制定指南(试行)》（公告2021年第82号）要求。</w:t>
            </w:r>
          </w:p>
          <w:p w14:paraId="7EF9C65C">
            <w:pPr>
              <w:keepNext w:val="0"/>
              <w:keepLines w:val="0"/>
              <w:pageBreakBefore w:val="0"/>
              <w:widowControl w:val="0"/>
              <w:numPr>
                <w:ilvl w:val="0"/>
                <w:numId w:val="0"/>
              </w:numPr>
              <w:kinsoku/>
              <w:wordWrap/>
              <w:overflowPunct/>
              <w:topLinePunct w:val="0"/>
              <w:bidi w:val="0"/>
              <w:spacing w:line="360" w:lineRule="auto"/>
              <w:ind w:right="0" w:rightChars="0" w:firstLine="420" w:firstLineChars="200"/>
              <w:jc w:val="both"/>
              <w:rPr>
                <w:rFonts w:hint="default" w:ascii="Times New Roman" w:hAnsi="Times New Roman" w:eastAsia="宋体" w:cs="Times New Roman"/>
                <w:color w:val="auto"/>
                <w:sz w:val="21"/>
                <w:szCs w:val="21"/>
                <w:vertAlign w:val="baseline"/>
                <w:lang w:eastAsia="zh-CN"/>
              </w:rPr>
            </w:pPr>
          </w:p>
        </w:tc>
      </w:tr>
      <w:tr w14:paraId="43627A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9" w:type="dxa"/>
          </w:tcPr>
          <w:p w14:paraId="610721E9">
            <w:pPr>
              <w:keepNext w:val="0"/>
              <w:keepLines w:val="0"/>
              <w:pageBreakBefore w:val="0"/>
              <w:widowControl w:val="0"/>
              <w:numPr>
                <w:ilvl w:val="0"/>
                <w:numId w:val="0"/>
              </w:numPr>
              <w:kinsoku/>
              <w:wordWrap/>
              <w:overflowPunct/>
              <w:topLinePunct w:val="0"/>
              <w:bidi w:val="0"/>
              <w:ind w:right="0" w:rightChars="0"/>
              <w:jc w:val="both"/>
              <w:rPr>
                <w:rFonts w:hint="default" w:ascii="Times New Roman" w:hAnsi="Times New Roman" w:eastAsia="宋体" w:cs="Times New Roman"/>
                <w:snapToGrid w:val="0"/>
                <w:color w:val="auto"/>
                <w:sz w:val="21"/>
                <w:szCs w:val="21"/>
                <w:vertAlign w:val="baseline"/>
              </w:rPr>
            </w:pPr>
            <w:r>
              <w:rPr>
                <w:rFonts w:hint="default" w:ascii="Times New Roman" w:hAnsi="Times New Roman" w:eastAsia="宋体" w:cs="Times New Roman"/>
                <w:snapToGrid w:val="0"/>
                <w:color w:val="auto"/>
                <w:sz w:val="21"/>
                <w:szCs w:val="21"/>
                <w:vertAlign w:val="baseline"/>
              </w:rPr>
              <w:t>总量控制指标</w:t>
            </w:r>
          </w:p>
        </w:tc>
        <w:tc>
          <w:tcPr>
            <w:tcW w:w="7823" w:type="dxa"/>
          </w:tcPr>
          <w:p w14:paraId="0FD567F4">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baseline"/>
              <w:rPr>
                <w:rFonts w:hint="default" w:ascii="Times New Roman" w:hAnsi="Times New Roman" w:eastAsia="宋体" w:cs="Times New Roman"/>
                <w:color w:val="auto"/>
                <w:sz w:val="21"/>
                <w:szCs w:val="21"/>
                <w:vertAlign w:val="baseline"/>
                <w:lang w:eastAsia="zh-CN"/>
              </w:rPr>
            </w:pPr>
            <w:r>
              <w:rPr>
                <w:rFonts w:hint="default" w:ascii="Times New Roman" w:hAnsi="Times New Roman" w:eastAsia="宋体" w:cs="Times New Roman"/>
                <w:color w:val="auto"/>
                <w:sz w:val="21"/>
                <w:szCs w:val="21"/>
                <w:highlight w:val="none"/>
              </w:rPr>
              <w:t>根据《山东省建设项目主要大气污染物排放总量替代指标核算及管理办法》（鲁环发</w:t>
            </w:r>
            <w:r>
              <w:rPr>
                <w:rFonts w:hint="default" w:ascii="Times New Roman" w:hAnsi="Times New Roman" w:eastAsia="宋体" w:cs="Times New Roman"/>
                <w:color w:val="auto"/>
                <w:sz w:val="21"/>
                <w:szCs w:val="21"/>
                <w:highlight w:val="none"/>
                <w:lang w:eastAsia="zh-CN"/>
              </w:rPr>
              <w:t>〔2019〕132号</w:t>
            </w:r>
            <w:r>
              <w:rPr>
                <w:rFonts w:hint="default" w:ascii="Times New Roman" w:hAnsi="Times New Roman" w:eastAsia="宋体" w:cs="Times New Roman"/>
                <w:color w:val="auto"/>
                <w:sz w:val="21"/>
                <w:szCs w:val="21"/>
                <w:highlight w:val="none"/>
              </w:rPr>
              <w:t>）和《关于统筹使用“十四五”建设项目主要大气污染物总量指标的通知》（淄环函</w:t>
            </w:r>
            <w:r>
              <w:rPr>
                <w:rFonts w:hint="default" w:ascii="Times New Roman" w:hAnsi="Times New Roman" w:eastAsia="宋体" w:cs="Times New Roman"/>
                <w:color w:val="auto"/>
                <w:sz w:val="21"/>
                <w:szCs w:val="21"/>
                <w:highlight w:val="none"/>
                <w:lang w:eastAsia="zh-CN"/>
              </w:rPr>
              <w:t>〔2021〕55号</w:t>
            </w:r>
            <w:r>
              <w:rPr>
                <w:rFonts w:hint="default" w:ascii="Times New Roman" w:hAnsi="Times New Roman" w:eastAsia="宋体" w:cs="Times New Roman"/>
                <w:color w:val="auto"/>
                <w:sz w:val="21"/>
                <w:szCs w:val="21"/>
                <w:highlight w:val="none"/>
              </w:rPr>
              <w:t>）文件要求进行替代，</w:t>
            </w:r>
            <w:r>
              <w:rPr>
                <w:rFonts w:hint="default" w:ascii="Times New Roman" w:hAnsi="Times New Roman" w:eastAsia="宋体" w:cs="Times New Roman"/>
                <w:color w:val="auto"/>
                <w:sz w:val="21"/>
                <w:szCs w:val="21"/>
                <w:highlight w:val="none"/>
                <w:lang w:val="en-US" w:eastAsia="zh-CN"/>
              </w:rPr>
              <w:t>颗粒物</w:t>
            </w:r>
            <w:r>
              <w:rPr>
                <w:rFonts w:hint="default" w:ascii="Times New Roman" w:hAnsi="Times New Roman" w:eastAsia="宋体" w:cs="Times New Roman"/>
                <w:color w:val="auto"/>
                <w:sz w:val="21"/>
                <w:szCs w:val="21"/>
                <w:highlight w:val="none"/>
              </w:rPr>
              <w:t>需2倍削减替代</w:t>
            </w:r>
            <w:r>
              <w:rPr>
                <w:rFonts w:hint="default" w:ascii="Times New Roman" w:hAnsi="Times New Roman" w:eastAsia="宋体" w:cs="Times New Roman"/>
                <w:color w:val="auto"/>
                <w:sz w:val="21"/>
                <w:szCs w:val="21"/>
                <w:vertAlign w:val="baseline"/>
                <w:lang w:eastAsia="zh-CN"/>
              </w:rPr>
              <w:t>。</w:t>
            </w:r>
          </w:p>
          <w:p w14:paraId="357D40F6">
            <w:pPr>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right="0" w:rightChars="0" w:firstLine="420" w:firstLineChars="200"/>
              <w:jc w:val="both"/>
              <w:textAlignment w:val="baseline"/>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本</w:t>
            </w:r>
            <w:r>
              <w:rPr>
                <w:rFonts w:hint="default" w:ascii="Times New Roman" w:hAnsi="Times New Roman" w:eastAsia="宋体" w:cs="Times New Roman"/>
                <w:color w:val="auto"/>
                <w:sz w:val="21"/>
                <w:szCs w:val="21"/>
                <w:vertAlign w:val="baseline"/>
              </w:rPr>
              <w:t>项目</w:t>
            </w:r>
            <w:r>
              <w:rPr>
                <w:rFonts w:hint="default" w:ascii="Times New Roman" w:hAnsi="Times New Roman" w:eastAsia="宋体" w:cs="Times New Roman"/>
                <w:color w:val="auto"/>
                <w:sz w:val="21"/>
                <w:szCs w:val="21"/>
                <w:vertAlign w:val="baseline"/>
                <w:lang w:val="en-US" w:eastAsia="zh-CN"/>
              </w:rPr>
              <w:t>扩建后</w:t>
            </w:r>
            <w:r>
              <w:rPr>
                <w:rFonts w:hint="default" w:ascii="Times New Roman" w:hAnsi="Times New Roman" w:eastAsia="宋体" w:cs="Times New Roman"/>
                <w:color w:val="auto"/>
                <w:sz w:val="21"/>
                <w:szCs w:val="21"/>
                <w:vertAlign w:val="baseline"/>
              </w:rPr>
              <w:t>废水主要为职工生活污水，生活污水经化粪池处理后</w:t>
            </w:r>
            <w:r>
              <w:rPr>
                <w:rFonts w:hint="default" w:ascii="Times New Roman" w:hAnsi="Times New Roman" w:eastAsia="宋体" w:cs="Times New Roman"/>
                <w:color w:val="auto"/>
                <w:sz w:val="21"/>
                <w:szCs w:val="21"/>
                <w:vertAlign w:val="baseline"/>
                <w:lang w:eastAsia="zh-CN"/>
              </w:rPr>
              <w:t>由</w:t>
            </w:r>
            <w:r>
              <w:rPr>
                <w:rFonts w:hint="default" w:ascii="Times New Roman" w:hAnsi="Times New Roman" w:eastAsia="宋体" w:cs="Times New Roman"/>
                <w:color w:val="auto"/>
                <w:sz w:val="21"/>
                <w:szCs w:val="21"/>
                <w:vertAlign w:val="baseline"/>
              </w:rPr>
              <w:t>环卫部门定期清运</w:t>
            </w:r>
            <w:r>
              <w:rPr>
                <w:rFonts w:hint="default" w:ascii="Times New Roman" w:hAnsi="Times New Roman" w:eastAsia="宋体" w:cs="Times New Roman"/>
                <w:color w:val="auto"/>
                <w:sz w:val="21"/>
                <w:szCs w:val="21"/>
                <w:vertAlign w:val="baseline"/>
                <w:lang w:eastAsia="zh-CN"/>
              </w:rPr>
              <w:t>；</w:t>
            </w:r>
            <w:r>
              <w:rPr>
                <w:rFonts w:hint="default" w:ascii="Times New Roman" w:hAnsi="Times New Roman" w:eastAsia="宋体" w:cs="Times New Roman"/>
                <w:color w:val="auto"/>
                <w:sz w:val="21"/>
                <w:szCs w:val="21"/>
                <w:vertAlign w:val="baseline"/>
              </w:rPr>
              <w:t>抑尘用水全部蒸发损耗，不外排</w:t>
            </w:r>
            <w:r>
              <w:rPr>
                <w:rFonts w:hint="default" w:ascii="Times New Roman" w:hAnsi="Times New Roman" w:eastAsia="宋体" w:cs="Times New Roman"/>
                <w:color w:val="auto"/>
                <w:sz w:val="21"/>
                <w:szCs w:val="21"/>
                <w:vertAlign w:val="baseline"/>
                <w:lang w:eastAsia="zh-CN"/>
              </w:rPr>
              <w:t>，</w:t>
            </w:r>
            <w:r>
              <w:rPr>
                <w:rFonts w:hint="default" w:ascii="Times New Roman" w:hAnsi="Times New Roman" w:eastAsia="宋体" w:cs="Times New Roman"/>
                <w:color w:val="auto"/>
                <w:sz w:val="21"/>
                <w:szCs w:val="21"/>
                <w:vertAlign w:val="baseline"/>
                <w:lang w:val="en-US" w:eastAsia="zh-CN"/>
              </w:rPr>
              <w:t>不涉及总量申请。</w:t>
            </w:r>
          </w:p>
          <w:p w14:paraId="318EC4A4">
            <w:pPr>
              <w:keepNext w:val="0"/>
              <w:keepLines w:val="0"/>
              <w:pageBreakBefore w:val="0"/>
              <w:widowControl w:val="0"/>
              <w:numPr>
                <w:ilvl w:val="0"/>
                <w:numId w:val="0"/>
              </w:numPr>
              <w:kinsoku/>
              <w:wordWrap/>
              <w:overflowPunct/>
              <w:topLinePunct w:val="0"/>
              <w:bidi w:val="0"/>
              <w:spacing w:line="360" w:lineRule="auto"/>
              <w:ind w:right="0" w:rightChars="0" w:firstLine="420" w:firstLineChars="200"/>
              <w:jc w:val="both"/>
              <w:rPr>
                <w:rFonts w:hint="default" w:ascii="Times New Roman" w:hAnsi="Times New Roman" w:eastAsia="宋体" w:cs="Times New Roman"/>
                <w:snapToGrid w:val="0"/>
                <w:color w:val="auto"/>
                <w:sz w:val="21"/>
                <w:szCs w:val="21"/>
                <w:vertAlign w:val="baseline"/>
              </w:rPr>
            </w:pPr>
            <w:r>
              <w:rPr>
                <w:rFonts w:hint="default" w:ascii="Times New Roman" w:hAnsi="Times New Roman" w:eastAsia="宋体" w:cs="Times New Roman"/>
                <w:color w:val="auto"/>
                <w:sz w:val="21"/>
                <w:szCs w:val="21"/>
                <w:vertAlign w:val="baseline"/>
                <w:lang w:eastAsia="zh-CN"/>
              </w:rPr>
              <w:t>本项目</w:t>
            </w:r>
            <w:r>
              <w:rPr>
                <w:rFonts w:hint="default" w:ascii="Times New Roman" w:hAnsi="Times New Roman" w:eastAsia="宋体" w:cs="Times New Roman"/>
                <w:color w:val="auto"/>
                <w:sz w:val="21"/>
                <w:szCs w:val="21"/>
                <w:vertAlign w:val="baseline"/>
                <w:lang w:val="en-US" w:eastAsia="zh-CN"/>
              </w:rPr>
              <w:t>扩建部分</w:t>
            </w:r>
            <w:r>
              <w:rPr>
                <w:rFonts w:hint="default" w:ascii="Times New Roman" w:hAnsi="Times New Roman" w:eastAsia="宋体" w:cs="Times New Roman"/>
                <w:color w:val="auto"/>
                <w:sz w:val="21"/>
                <w:szCs w:val="21"/>
                <w:vertAlign w:val="baseline"/>
                <w:lang w:eastAsia="zh-CN"/>
              </w:rPr>
              <w:t>大气污染物排放</w:t>
            </w:r>
            <w:r>
              <w:rPr>
                <w:rFonts w:hint="default" w:ascii="Times New Roman" w:hAnsi="Times New Roman" w:eastAsia="宋体" w:cs="Times New Roman"/>
                <w:color w:val="auto"/>
                <w:sz w:val="21"/>
                <w:szCs w:val="21"/>
                <w:vertAlign w:val="baseline"/>
                <w:lang w:val="en-US" w:eastAsia="zh-CN"/>
              </w:rPr>
              <w:t>总</w:t>
            </w:r>
            <w:r>
              <w:rPr>
                <w:rFonts w:hint="default" w:ascii="Times New Roman" w:hAnsi="Times New Roman" w:eastAsia="宋体" w:cs="Times New Roman"/>
                <w:color w:val="auto"/>
                <w:sz w:val="21"/>
                <w:szCs w:val="21"/>
                <w:vertAlign w:val="baseline"/>
                <w:lang w:eastAsia="zh-CN"/>
              </w:rPr>
              <w:t>量为颗粒物</w:t>
            </w:r>
            <w:r>
              <w:rPr>
                <w:rFonts w:hint="default" w:ascii="Times New Roman" w:hAnsi="Times New Roman" w:eastAsia="宋体" w:cs="Times New Roman"/>
                <w:color w:val="auto"/>
                <w:sz w:val="21"/>
                <w:szCs w:val="21"/>
                <w:vertAlign w:val="baseline"/>
                <w:lang w:val="en-US" w:eastAsia="zh-CN"/>
              </w:rPr>
              <w:t>0.4465</w:t>
            </w:r>
            <w:r>
              <w:rPr>
                <w:rFonts w:hint="default" w:ascii="Times New Roman" w:hAnsi="Times New Roman" w:eastAsia="宋体" w:cs="Times New Roman"/>
                <w:color w:val="auto"/>
                <w:sz w:val="21"/>
                <w:szCs w:val="21"/>
                <w:vertAlign w:val="baseline"/>
                <w:lang w:eastAsia="zh-CN"/>
              </w:rPr>
              <w:t>t/a。现有项目</w:t>
            </w:r>
            <w:r>
              <w:rPr>
                <w:rFonts w:hint="default" w:ascii="Times New Roman" w:hAnsi="Times New Roman" w:eastAsia="宋体" w:cs="Times New Roman"/>
                <w:color w:val="auto"/>
                <w:sz w:val="21"/>
                <w:szCs w:val="21"/>
                <w:vertAlign w:val="baseline"/>
                <w:lang w:val="en-US" w:eastAsia="zh-CN"/>
              </w:rPr>
              <w:t>已</w:t>
            </w:r>
            <w:r>
              <w:rPr>
                <w:rFonts w:hint="default" w:ascii="Times New Roman" w:hAnsi="Times New Roman" w:eastAsia="宋体" w:cs="Times New Roman"/>
                <w:color w:val="auto"/>
                <w:sz w:val="21"/>
                <w:szCs w:val="21"/>
                <w:vertAlign w:val="baseline"/>
                <w:lang w:eastAsia="zh-CN"/>
              </w:rPr>
              <w:t>申请污染物排放总量指标</w:t>
            </w:r>
            <w:r>
              <w:rPr>
                <w:rFonts w:hint="default" w:ascii="Times New Roman" w:hAnsi="Times New Roman" w:eastAsia="宋体" w:cs="Times New Roman"/>
                <w:color w:val="auto"/>
                <w:sz w:val="21"/>
                <w:szCs w:val="21"/>
                <w:vertAlign w:val="baseline"/>
                <w:lang w:val="en-US" w:eastAsia="zh-CN"/>
              </w:rPr>
              <w:t>属于</w:t>
            </w:r>
            <w:r>
              <w:rPr>
                <w:rFonts w:hint="default" w:ascii="Times New Roman" w:hAnsi="Times New Roman" w:eastAsia="宋体" w:cs="Times New Roman"/>
                <w:bCs/>
                <w:color w:val="auto"/>
                <w:sz w:val="21"/>
                <w:szCs w:val="21"/>
                <w:lang w:val="en-US" w:eastAsia="zh-CN"/>
              </w:rPr>
              <w:t>周村鲁萌磨料磨具有限公司（2021年整体转让给淄博恒业研磨材料有限公司）</w:t>
            </w:r>
            <w:r>
              <w:rPr>
                <w:rFonts w:hint="default" w:ascii="Times New Roman" w:hAnsi="Times New Roman" w:eastAsia="宋体" w:cs="Times New Roman"/>
                <w:color w:val="auto"/>
                <w:sz w:val="21"/>
                <w:szCs w:val="21"/>
                <w:vertAlign w:val="baseline"/>
                <w:lang w:eastAsia="zh-CN"/>
              </w:rPr>
              <w:t>：</w:t>
            </w:r>
            <w:r>
              <w:rPr>
                <w:rFonts w:hint="default" w:ascii="Times New Roman" w:hAnsi="Times New Roman" w:eastAsia="宋体" w:cs="Times New Roman"/>
                <w:color w:val="auto"/>
                <w:sz w:val="21"/>
                <w:szCs w:val="21"/>
                <w:vertAlign w:val="baseline"/>
                <w:lang w:val="en-US" w:eastAsia="zh-CN"/>
              </w:rPr>
              <w:t>颗粒物0.2980</w:t>
            </w:r>
            <w:r>
              <w:rPr>
                <w:rFonts w:hint="default" w:ascii="Times New Roman" w:hAnsi="Times New Roman" w:eastAsia="宋体" w:cs="Times New Roman"/>
                <w:color w:val="auto"/>
                <w:sz w:val="21"/>
                <w:szCs w:val="21"/>
                <w:vertAlign w:val="baseline"/>
                <w:lang w:eastAsia="zh-CN"/>
              </w:rPr>
              <w:t>t/a（</w:t>
            </w:r>
            <w:r>
              <w:rPr>
                <w:rFonts w:hint="default" w:ascii="Times New Roman" w:hAnsi="Times New Roman" w:eastAsia="宋体" w:cs="Times New Roman"/>
                <w:color w:val="auto"/>
                <w:sz w:val="21"/>
                <w:szCs w:val="21"/>
                <w:vertAlign w:val="baseline"/>
                <w:lang w:val="en-US" w:eastAsia="zh-CN"/>
              </w:rPr>
              <w:t>其中</w:t>
            </w:r>
            <w:r>
              <w:rPr>
                <w:rFonts w:hint="default" w:ascii="Times New Roman" w:hAnsi="Times New Roman" w:eastAsia="宋体" w:cs="Times New Roman"/>
                <w:bCs/>
                <w:color w:val="auto"/>
                <w:sz w:val="21"/>
                <w:szCs w:val="21"/>
                <w:lang w:val="en-US" w:eastAsia="zh-CN"/>
              </w:rPr>
              <w:t>年产5000吨超硬复合新材料项目</w:t>
            </w:r>
            <w:r>
              <w:rPr>
                <w:rFonts w:hint="default" w:ascii="Times New Roman" w:hAnsi="Times New Roman" w:eastAsia="宋体" w:cs="Times New Roman"/>
                <w:color w:val="auto"/>
                <w:sz w:val="21"/>
                <w:szCs w:val="21"/>
                <w:lang w:val="en-US" w:eastAsia="zh-CN"/>
              </w:rPr>
              <w:t>颗粒物</w:t>
            </w:r>
            <w:r>
              <w:rPr>
                <w:rFonts w:hint="default" w:ascii="Times New Roman" w:hAnsi="Times New Roman" w:eastAsia="宋体" w:cs="Times New Roman"/>
                <w:color w:val="auto"/>
                <w:sz w:val="21"/>
                <w:szCs w:val="21"/>
              </w:rPr>
              <w:t>许可排放量为</w:t>
            </w:r>
            <w:r>
              <w:rPr>
                <w:rFonts w:hint="default" w:ascii="Times New Roman" w:hAnsi="Times New Roman" w:eastAsia="宋体" w:cs="Times New Roman"/>
                <w:color w:val="auto"/>
                <w:sz w:val="21"/>
                <w:szCs w:val="21"/>
                <w:lang w:val="en-US" w:eastAsia="zh-CN"/>
              </w:rPr>
              <w:t>0.1500</w:t>
            </w:r>
            <w:r>
              <w:rPr>
                <w:rFonts w:hint="default" w:ascii="Times New Roman" w:hAnsi="Times New Roman" w:eastAsia="宋体" w:cs="Times New Roman"/>
                <w:color w:val="auto"/>
                <w:sz w:val="21"/>
                <w:szCs w:val="21"/>
              </w:rPr>
              <w:t>t/a</w:t>
            </w:r>
            <w:r>
              <w:rPr>
                <w:rFonts w:hint="default" w:ascii="Times New Roman" w:hAnsi="Times New Roman" w:eastAsia="宋体" w:cs="Times New Roman"/>
                <w:color w:val="auto"/>
                <w:sz w:val="21"/>
                <w:szCs w:val="21"/>
                <w:vertAlign w:val="baseline"/>
                <w:lang w:eastAsia="zh-CN"/>
              </w:rPr>
              <w:t>），</w:t>
            </w:r>
            <w:r>
              <w:rPr>
                <w:rFonts w:hint="default" w:ascii="Times New Roman" w:hAnsi="Times New Roman" w:eastAsia="宋体" w:cs="Times New Roman"/>
                <w:color w:val="auto"/>
                <w:sz w:val="21"/>
                <w:szCs w:val="21"/>
                <w:vertAlign w:val="baseline"/>
                <w:lang w:val="en-US" w:eastAsia="zh-CN"/>
              </w:rPr>
              <w:t>因此本扩建项目还需申请的废气污染物总量为</w:t>
            </w:r>
            <w:r>
              <w:rPr>
                <w:rFonts w:hint="default" w:ascii="Times New Roman" w:hAnsi="Times New Roman" w:eastAsia="宋体" w:cs="Times New Roman"/>
                <w:color w:val="auto"/>
                <w:sz w:val="21"/>
                <w:szCs w:val="21"/>
                <w:vertAlign w:val="baseline"/>
                <w:lang w:eastAsia="zh-CN"/>
              </w:rPr>
              <w:t>颗粒物</w:t>
            </w:r>
            <w:r>
              <w:rPr>
                <w:rFonts w:hint="default" w:ascii="Times New Roman" w:hAnsi="Times New Roman" w:eastAsia="宋体" w:cs="Times New Roman"/>
                <w:color w:val="auto"/>
                <w:sz w:val="21"/>
                <w:szCs w:val="21"/>
                <w:vertAlign w:val="baseline"/>
                <w:lang w:val="en-US" w:eastAsia="zh-CN"/>
              </w:rPr>
              <w:t>0.4465</w:t>
            </w:r>
            <w:r>
              <w:rPr>
                <w:rFonts w:hint="default" w:ascii="Times New Roman" w:hAnsi="Times New Roman" w:eastAsia="宋体" w:cs="Times New Roman"/>
                <w:color w:val="auto"/>
                <w:sz w:val="21"/>
                <w:szCs w:val="21"/>
                <w:vertAlign w:val="baseline"/>
                <w:lang w:eastAsia="zh-CN"/>
              </w:rPr>
              <w:t>t/a，</w:t>
            </w:r>
            <w:r>
              <w:rPr>
                <w:rFonts w:hint="default" w:ascii="Times New Roman" w:hAnsi="Times New Roman" w:eastAsia="宋体" w:cs="Times New Roman"/>
                <w:color w:val="auto"/>
                <w:sz w:val="21"/>
                <w:szCs w:val="21"/>
                <w:highlight w:val="none"/>
                <w:lang w:val="en-US" w:eastAsia="zh-CN"/>
              </w:rPr>
              <w:t>颗粒物</w:t>
            </w:r>
            <w:r>
              <w:rPr>
                <w:rFonts w:hint="default" w:ascii="Times New Roman" w:hAnsi="Times New Roman" w:eastAsia="宋体" w:cs="Times New Roman"/>
                <w:color w:val="auto"/>
                <w:sz w:val="21"/>
                <w:szCs w:val="21"/>
                <w:highlight w:val="none"/>
              </w:rPr>
              <w:t>2倍削减替代</w:t>
            </w:r>
            <w:r>
              <w:rPr>
                <w:rFonts w:hint="default" w:ascii="Times New Roman" w:hAnsi="Times New Roman" w:eastAsia="宋体" w:cs="Times New Roman"/>
                <w:color w:val="auto"/>
                <w:sz w:val="21"/>
                <w:szCs w:val="21"/>
                <w:highlight w:val="none"/>
                <w:lang w:val="en-US" w:eastAsia="zh-CN"/>
              </w:rPr>
              <w:t>量为0.8930</w:t>
            </w:r>
            <w:r>
              <w:rPr>
                <w:rFonts w:hint="default" w:ascii="Times New Roman" w:hAnsi="Times New Roman" w:eastAsia="宋体" w:cs="Times New Roman"/>
                <w:color w:val="auto"/>
                <w:sz w:val="21"/>
                <w:szCs w:val="21"/>
                <w:vertAlign w:val="baseline"/>
                <w:lang w:eastAsia="zh-CN"/>
              </w:rPr>
              <w:t>t/a。</w:t>
            </w:r>
          </w:p>
        </w:tc>
      </w:tr>
    </w:tbl>
    <w:p w14:paraId="2B3A265A">
      <w:pPr>
        <w:rPr>
          <w:rFonts w:hint="default" w:ascii="Times New Roman" w:hAnsi="Times New Roman" w:eastAsia="宋体" w:cs="Times New Roman"/>
          <w:snapToGrid w:val="0"/>
          <w:color w:val="auto"/>
          <w:sz w:val="30"/>
          <w:szCs w:val="30"/>
        </w:rPr>
      </w:pPr>
      <w:r>
        <w:rPr>
          <w:rFonts w:hint="default" w:ascii="Times New Roman" w:hAnsi="Times New Roman" w:eastAsia="宋体" w:cs="Times New Roman"/>
          <w:snapToGrid w:val="0"/>
          <w:color w:val="auto"/>
          <w:sz w:val="30"/>
          <w:szCs w:val="30"/>
        </w:rPr>
        <w:br w:type="page"/>
      </w:r>
    </w:p>
    <w:p w14:paraId="70E6DD0E">
      <w:pPr>
        <w:keepNext w:val="0"/>
        <w:keepLines w:val="0"/>
        <w:pageBreakBefore w:val="0"/>
        <w:widowControl w:val="0"/>
        <w:numPr>
          <w:ilvl w:val="0"/>
          <w:numId w:val="1"/>
        </w:numPr>
        <w:kinsoku/>
        <w:wordWrap/>
        <w:overflowPunct/>
        <w:topLinePunct w:val="0"/>
        <w:autoSpaceDE/>
        <w:autoSpaceDN/>
        <w:bidi w:val="0"/>
        <w:adjustRightInd/>
        <w:snapToGrid/>
        <w:spacing w:after="313" w:afterLines="100"/>
        <w:ind w:left="0" w:leftChars="0" w:right="0" w:rightChars="0" w:firstLine="0" w:firstLineChars="0"/>
        <w:jc w:val="center"/>
        <w:textAlignment w:val="auto"/>
        <w:rPr>
          <w:rFonts w:hint="default" w:ascii="Times New Roman" w:hAnsi="Times New Roman" w:eastAsia="宋体" w:cs="Times New Roman"/>
          <w:snapToGrid w:val="0"/>
          <w:color w:val="auto"/>
          <w:sz w:val="30"/>
          <w:szCs w:val="30"/>
        </w:rPr>
      </w:pPr>
      <w:r>
        <w:rPr>
          <w:rFonts w:hint="default" w:ascii="Times New Roman" w:hAnsi="Times New Roman" w:eastAsia="宋体" w:cs="Times New Roman"/>
          <w:snapToGrid w:val="0"/>
          <w:color w:val="auto"/>
          <w:sz w:val="30"/>
          <w:szCs w:val="30"/>
        </w:rPr>
        <w:t>主要环境影响和保护措施</w:t>
      </w:r>
    </w:p>
    <w:tbl>
      <w:tblPr>
        <w:tblStyle w:val="1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09"/>
        <w:gridCol w:w="7913"/>
      </w:tblGrid>
      <w:tr w14:paraId="5D0AEC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9" w:type="dxa"/>
            <w:vAlign w:val="center"/>
          </w:tcPr>
          <w:p w14:paraId="2A1E5AFB">
            <w:pPr>
              <w:keepNext w:val="0"/>
              <w:keepLines w:val="0"/>
              <w:pageBreakBefore w:val="0"/>
              <w:widowControl w:val="0"/>
              <w:numPr>
                <w:ilvl w:val="0"/>
                <w:numId w:val="0"/>
              </w:numPr>
              <w:kinsoku/>
              <w:wordWrap/>
              <w:overflowPunct/>
              <w:topLinePunct w:val="0"/>
              <w:bidi w:val="0"/>
              <w:ind w:left="0" w:leftChars="0" w:right="0" w:rightChars="0" w:firstLine="0" w:firstLineChars="0"/>
              <w:jc w:val="center"/>
              <w:rPr>
                <w:rFonts w:hint="default" w:ascii="Times New Roman" w:hAnsi="Times New Roman" w:eastAsia="宋体" w:cs="Times New Roman"/>
                <w:snapToGrid w:val="0"/>
                <w:color w:val="auto"/>
                <w:sz w:val="21"/>
                <w:szCs w:val="21"/>
                <w:vertAlign w:val="baseline"/>
              </w:rPr>
            </w:pPr>
            <w:r>
              <w:rPr>
                <w:rFonts w:hint="default" w:ascii="Times New Roman" w:hAnsi="Times New Roman" w:eastAsia="宋体" w:cs="Times New Roman"/>
                <w:snapToGrid w:val="0"/>
                <w:color w:val="auto"/>
                <w:sz w:val="21"/>
                <w:szCs w:val="21"/>
                <w:vertAlign w:val="baseline"/>
              </w:rPr>
              <w:t>施工期环境保护措施</w:t>
            </w:r>
          </w:p>
        </w:tc>
        <w:tc>
          <w:tcPr>
            <w:tcW w:w="7913" w:type="dxa"/>
          </w:tcPr>
          <w:p w14:paraId="7DC4574F">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22" w:firstLineChars="200"/>
              <w:textAlignment w:val="auto"/>
              <w:rPr>
                <w:rFonts w:hint="default" w:ascii="Times New Roman" w:hAnsi="Times New Roman" w:eastAsia="宋体" w:cs="Times New Roman"/>
                <w:b/>
                <w:bCs/>
                <w:snapToGrid w:val="0"/>
                <w:color w:val="auto"/>
                <w:kern w:val="0"/>
                <w:sz w:val="21"/>
                <w:szCs w:val="21"/>
              </w:rPr>
            </w:pPr>
            <w:r>
              <w:rPr>
                <w:rFonts w:hint="default" w:ascii="Times New Roman" w:hAnsi="Times New Roman" w:eastAsia="宋体" w:cs="Times New Roman"/>
                <w:b/>
                <w:bCs/>
                <w:snapToGrid w:val="0"/>
                <w:color w:val="auto"/>
                <w:kern w:val="0"/>
                <w:sz w:val="21"/>
                <w:szCs w:val="21"/>
                <w:lang w:val="en-US" w:eastAsia="zh-CN" w:bidi="ar-SA"/>
              </w:rPr>
              <w:t>一、</w:t>
            </w:r>
            <w:r>
              <w:rPr>
                <w:rFonts w:hint="default" w:ascii="Times New Roman" w:hAnsi="Times New Roman" w:eastAsia="宋体" w:cs="Times New Roman"/>
                <w:b/>
                <w:bCs/>
                <w:snapToGrid w:val="0"/>
                <w:color w:val="auto"/>
                <w:kern w:val="0"/>
                <w:sz w:val="21"/>
                <w:szCs w:val="21"/>
                <w:lang w:val="en-US" w:eastAsia="zh-CN"/>
              </w:rPr>
              <w:t>施工期</w:t>
            </w:r>
          </w:p>
          <w:p w14:paraId="64DF5EAA">
            <w:pPr>
              <w:keepNext w:val="0"/>
              <w:keepLines w:val="0"/>
              <w:pageBreakBefore w:val="0"/>
              <w:widowControl/>
              <w:kinsoku/>
              <w:wordWrap/>
              <w:overflowPunct/>
              <w:topLinePunct w:val="0"/>
              <w:autoSpaceDE w:val="0"/>
              <w:autoSpaceDN w:val="0"/>
              <w:bidi w:val="0"/>
              <w:adjustRightInd w:val="0"/>
              <w:snapToGrid w:val="0"/>
              <w:spacing w:line="360" w:lineRule="auto"/>
              <w:ind w:firstLine="420" w:firstLineChars="200"/>
              <w:textAlignment w:val="baseline"/>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本工程施工期主要为生产车间建设及设备安装，施工期的工艺流程及产污情况图示如下：</w:t>
            </w:r>
          </w:p>
          <w:p w14:paraId="55033405">
            <w:pPr>
              <w:pStyle w:val="8"/>
              <w:pageBreakBefore w:val="0"/>
              <w:widowControl w:val="0"/>
              <w:kinsoku/>
              <w:wordWrap/>
              <w:overflowPunct/>
              <w:bidi w:val="0"/>
              <w:spacing w:line="360" w:lineRule="auto"/>
              <w:ind w:left="0" w:leftChars="0" w:firstLine="0" w:firstLineChars="0"/>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mc:AlternateContent>
                <mc:Choice Requires="wps">
                  <w:drawing>
                    <wp:anchor distT="0" distB="0" distL="114300" distR="114300" simplePos="0" relativeHeight="251660288" behindDoc="0" locked="0" layoutInCell="1" allowOverlap="1">
                      <wp:simplePos x="0" y="0"/>
                      <wp:positionH relativeFrom="column">
                        <wp:posOffset>3188970</wp:posOffset>
                      </wp:positionH>
                      <wp:positionV relativeFrom="paragraph">
                        <wp:posOffset>290195</wp:posOffset>
                      </wp:positionV>
                      <wp:extent cx="1132840" cy="304800"/>
                      <wp:effectExtent l="4445" t="4445" r="5715" b="14605"/>
                      <wp:wrapNone/>
                      <wp:docPr id="4" name="文本框 4"/>
                      <wp:cNvGraphicFramePr/>
                      <a:graphic xmlns:a="http://schemas.openxmlformats.org/drawingml/2006/main">
                        <a:graphicData uri="http://schemas.microsoft.com/office/word/2010/wordprocessingShape">
                          <wps:wsp>
                            <wps:cNvSpPr txBox="1"/>
                            <wps:spPr>
                              <a:xfrm>
                                <a:off x="4661535" y="1258570"/>
                                <a:ext cx="1132840" cy="304800"/>
                              </a:xfrm>
                              <a:prstGeom prst="rect">
                                <a:avLst/>
                              </a:prstGeom>
                              <a:solidFill>
                                <a:schemeClr val="lt1"/>
                              </a:solidFill>
                              <a:ln w="6350">
                                <a:solidFill>
                                  <a:prstClr val="black"/>
                                </a:solidFill>
                                <a:prstDash val="lgDash"/>
                              </a:ln>
                            </wps:spPr>
                            <wps:style>
                              <a:lnRef idx="0">
                                <a:schemeClr val="accent1"/>
                              </a:lnRef>
                              <a:fillRef idx="0">
                                <a:schemeClr val="accent1"/>
                              </a:fillRef>
                              <a:effectRef idx="0">
                                <a:schemeClr val="accent1"/>
                              </a:effectRef>
                              <a:fontRef idx="minor">
                                <a:schemeClr val="dk1"/>
                              </a:fontRef>
                            </wps:style>
                            <wps:txbx>
                              <w:txbxContent>
                                <w:p w14:paraId="290CA888">
                                  <w:pPr>
                                    <w:ind w:left="0" w:leftChars="0" w:right="0" w:rightChars="0" w:firstLine="0" w:firstLineChars="0"/>
                                    <w:jc w:val="center"/>
                                    <w:rPr>
                                      <w:sz w:val="16"/>
                                      <w:szCs w:val="20"/>
                                    </w:rPr>
                                  </w:pPr>
                                  <w:r>
                                    <w:rPr>
                                      <w:rFonts w:hint="eastAsia"/>
                                      <w:sz w:val="16"/>
                                      <w:szCs w:val="20"/>
                                    </w:rPr>
                                    <w:t>环卫部门定期清运</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1.1pt;margin-top:22.85pt;height:24pt;width:89.2pt;z-index:251660288;mso-width-relative:page;mso-height-relative:page;" fillcolor="#FFFFFF [3201]" filled="t" stroked="t" coordsize="21600,21600" o:gfxdata="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DHMthU1wAAAAkBAAAPAAAAAAAAAAEAIAAAACIAAABkcnMvZG93bnJl&#10;di54bWxQSwECFAAUAAAACACHTuJAYmdg/XACAADdBAAADgAAAAAAAAABACAAAAAmAQAAZHJzL2Uy&#10;b0RvYy54bWxQSwUGAAAAAAYABgBZAQAACAYAAAAA&#10;">
                      <v:fill on="t" focussize="0,0"/>
                      <v:stroke weight="0.5pt" color="#000000 [3204]" joinstyle="round" dashstyle="longDash"/>
                      <v:imagedata o:title=""/>
                      <o:lock v:ext="edit" aspectratio="f"/>
                      <v:textbox>
                        <w:txbxContent>
                          <w:p w14:paraId="290CA888">
                            <w:pPr>
                              <w:ind w:left="0" w:leftChars="0" w:right="0" w:rightChars="0" w:firstLine="0" w:firstLineChars="0"/>
                              <w:jc w:val="center"/>
                              <w:rPr>
                                <w:sz w:val="16"/>
                                <w:szCs w:val="20"/>
                              </w:rPr>
                            </w:pPr>
                            <w:r>
                              <w:rPr>
                                <w:rFonts w:hint="eastAsia"/>
                                <w:sz w:val="16"/>
                                <w:szCs w:val="20"/>
                              </w:rPr>
                              <w:t>环卫部门定期清运</w:t>
                            </w:r>
                          </w:p>
                        </w:txbxContent>
                      </v:textbox>
                    </v:shape>
                  </w:pict>
                </mc:Fallback>
              </mc:AlternateContent>
            </w:r>
            <w:r>
              <w:rPr>
                <w:rFonts w:hint="default" w:ascii="Times New Roman" w:hAnsi="Times New Roman" w:eastAsia="宋体" w:cs="Times New Roman"/>
                <w:color w:val="auto"/>
                <w:sz w:val="21"/>
                <w:szCs w:val="21"/>
                <w:lang w:eastAsia="zh-CN"/>
              </w:rPr>
              <w:drawing>
                <wp:inline distT="0" distB="0" distL="114300" distR="114300">
                  <wp:extent cx="4819650" cy="3648075"/>
                  <wp:effectExtent l="0" t="0" r="0" b="9525"/>
                  <wp:docPr id="5" name="图片 5" descr="16605529822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1660552982200(1)"/>
                          <pic:cNvPicPr>
                            <a:picLocks noChangeAspect="1"/>
                          </pic:cNvPicPr>
                        </pic:nvPicPr>
                        <pic:blipFill>
                          <a:blip r:embed="rId16"/>
                          <a:stretch>
                            <a:fillRect/>
                          </a:stretch>
                        </pic:blipFill>
                        <pic:spPr>
                          <a:xfrm>
                            <a:off x="0" y="0"/>
                            <a:ext cx="4819650" cy="3648075"/>
                          </a:xfrm>
                          <a:prstGeom prst="rect">
                            <a:avLst/>
                          </a:prstGeom>
                        </pic:spPr>
                      </pic:pic>
                    </a:graphicData>
                  </a:graphic>
                </wp:inline>
              </w:drawing>
            </w:r>
          </w:p>
          <w:p w14:paraId="1ABF81C8">
            <w:pPr>
              <w:keepNext w:val="0"/>
              <w:keepLines w:val="0"/>
              <w:pageBreakBefore w:val="0"/>
              <w:widowControl/>
              <w:kinsoku/>
              <w:wordWrap/>
              <w:overflowPunct/>
              <w:topLinePunct w:val="0"/>
              <w:autoSpaceDE w:val="0"/>
              <w:autoSpaceDN w:val="0"/>
              <w:bidi w:val="0"/>
              <w:adjustRightInd w:val="0"/>
              <w:snapToGrid w:val="0"/>
              <w:spacing w:line="360" w:lineRule="auto"/>
              <w:ind w:firstLine="422" w:firstLineChars="200"/>
              <w:jc w:val="center"/>
              <w:textAlignment w:val="baseline"/>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kern w:val="2"/>
                <w:sz w:val="21"/>
                <w:szCs w:val="21"/>
                <w:lang w:val="en-US" w:eastAsia="zh-CN" w:bidi="ar-SA"/>
              </w:rPr>
              <w:t>图4-1 施工期的工艺流程及产污情况图</w:t>
            </w:r>
          </w:p>
          <w:p w14:paraId="486BF726">
            <w:pPr>
              <w:keepNext w:val="0"/>
              <w:keepLines w:val="0"/>
              <w:pageBreakBefore w:val="0"/>
              <w:widowControl w:val="0"/>
              <w:kinsoku/>
              <w:wordWrap/>
              <w:overflowPunct/>
              <w:topLinePunct w:val="0"/>
              <w:autoSpaceDE w:val="0"/>
              <w:autoSpaceDN w:val="0"/>
              <w:bidi w:val="0"/>
              <w:adjustRightInd w:val="0"/>
              <w:snapToGrid w:val="0"/>
              <w:spacing w:line="360" w:lineRule="auto"/>
              <w:ind w:firstLine="420" w:firstLineChars="200"/>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施工期产污情况：</w:t>
            </w:r>
          </w:p>
          <w:p w14:paraId="2ECD1429">
            <w:pPr>
              <w:keepNext w:val="0"/>
              <w:keepLines w:val="0"/>
              <w:pageBreakBefore w:val="0"/>
              <w:widowControl w:val="0"/>
              <w:kinsoku/>
              <w:wordWrap/>
              <w:overflowPunct/>
              <w:topLinePunct w:val="0"/>
              <w:autoSpaceDE w:val="0"/>
              <w:autoSpaceDN w:val="0"/>
              <w:bidi w:val="0"/>
              <w:adjustRightInd w:val="0"/>
              <w:snapToGrid w:val="0"/>
              <w:spacing w:line="360" w:lineRule="auto"/>
              <w:ind w:left="0" w:leftChars="0" w:firstLine="420" w:firstLineChars="200"/>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1、扬尘</w:t>
            </w:r>
          </w:p>
          <w:p w14:paraId="6391D9E4">
            <w:pPr>
              <w:keepNext w:val="0"/>
              <w:keepLines w:val="0"/>
              <w:pageBreakBefore w:val="0"/>
              <w:widowControl w:val="0"/>
              <w:kinsoku/>
              <w:wordWrap/>
              <w:overflowPunct/>
              <w:topLinePunct w:val="0"/>
              <w:autoSpaceDE w:val="0"/>
              <w:autoSpaceDN w:val="0"/>
              <w:bidi w:val="0"/>
              <w:adjustRightInd w:val="0"/>
              <w:snapToGrid w:val="0"/>
              <w:spacing w:line="360" w:lineRule="auto"/>
              <w:ind w:left="0" w:leftChars="0" w:firstLine="420" w:firstLineChars="200"/>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项目施工期废气主要为</w:t>
            </w:r>
            <w:r>
              <w:rPr>
                <w:rFonts w:hint="default" w:ascii="Times New Roman" w:hAnsi="Times New Roman" w:eastAsia="宋体" w:cs="Times New Roman"/>
                <w:color w:val="auto"/>
                <w:sz w:val="21"/>
                <w:szCs w:val="21"/>
                <w:lang w:val="en-US" w:eastAsia="zh-CN"/>
              </w:rPr>
              <w:t>土方工程和</w:t>
            </w:r>
            <w:r>
              <w:rPr>
                <w:rFonts w:hint="default" w:ascii="Times New Roman" w:hAnsi="Times New Roman" w:eastAsia="宋体" w:cs="Times New Roman"/>
                <w:color w:val="auto"/>
                <w:sz w:val="21"/>
                <w:szCs w:val="21"/>
              </w:rPr>
              <w:t>设备安装时产生的扬尘，产生的途径主要为车辆运输、管沟开挖、土方清运、车辆装卸堆放等</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扬尘产生量较少，通过施工时对施工区域进行定期洒水，降低扬尘产生量。</w:t>
            </w:r>
          </w:p>
          <w:p w14:paraId="396C3DB5">
            <w:pPr>
              <w:keepNext w:val="0"/>
              <w:keepLines w:val="0"/>
              <w:pageBreakBefore w:val="0"/>
              <w:widowControl w:val="0"/>
              <w:kinsoku/>
              <w:wordWrap/>
              <w:overflowPunct/>
              <w:topLinePunct w:val="0"/>
              <w:autoSpaceDE w:val="0"/>
              <w:autoSpaceDN w:val="0"/>
              <w:bidi w:val="0"/>
              <w:adjustRightInd w:val="0"/>
              <w:snapToGrid w:val="0"/>
              <w:spacing w:line="360" w:lineRule="auto"/>
              <w:ind w:left="0" w:leftChars="0" w:firstLine="420" w:firstLineChars="200"/>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2、废水</w:t>
            </w:r>
          </w:p>
          <w:p w14:paraId="14696100">
            <w:pPr>
              <w:keepNext w:val="0"/>
              <w:keepLines w:val="0"/>
              <w:pageBreakBefore w:val="0"/>
              <w:widowControl w:val="0"/>
              <w:kinsoku/>
              <w:wordWrap/>
              <w:overflowPunct/>
              <w:topLinePunct w:val="0"/>
              <w:autoSpaceDE w:val="0"/>
              <w:autoSpaceDN w:val="0"/>
              <w:bidi w:val="0"/>
              <w:adjustRightInd w:val="0"/>
              <w:snapToGrid w:val="0"/>
              <w:spacing w:line="360" w:lineRule="auto"/>
              <w:ind w:left="0" w:leftChars="0" w:firstLine="420" w:firstLineChars="200"/>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项目施工期废水主要为施工人员生活废水</w:t>
            </w:r>
            <w:r>
              <w:rPr>
                <w:rFonts w:hint="default" w:ascii="Times New Roman" w:hAnsi="Times New Roman" w:eastAsia="宋体" w:cs="Times New Roman"/>
                <w:color w:val="auto"/>
                <w:sz w:val="21"/>
                <w:szCs w:val="21"/>
                <w:lang w:val="en-US" w:eastAsia="zh-CN"/>
              </w:rPr>
              <w:t>，经化粪池暂存后由环卫部门定期清运</w:t>
            </w:r>
            <w:r>
              <w:rPr>
                <w:rFonts w:hint="default" w:ascii="Times New Roman" w:hAnsi="Times New Roman" w:eastAsia="宋体" w:cs="Times New Roman"/>
                <w:color w:val="auto"/>
                <w:sz w:val="21"/>
                <w:szCs w:val="21"/>
              </w:rPr>
              <w:t>。</w:t>
            </w:r>
          </w:p>
          <w:p w14:paraId="67687671">
            <w:pPr>
              <w:keepNext w:val="0"/>
              <w:keepLines w:val="0"/>
              <w:pageBreakBefore w:val="0"/>
              <w:widowControl w:val="0"/>
              <w:kinsoku/>
              <w:wordWrap/>
              <w:overflowPunct/>
              <w:topLinePunct w:val="0"/>
              <w:autoSpaceDE w:val="0"/>
              <w:autoSpaceDN w:val="0"/>
              <w:bidi w:val="0"/>
              <w:adjustRightInd w:val="0"/>
              <w:snapToGrid w:val="0"/>
              <w:spacing w:line="360" w:lineRule="auto"/>
              <w:ind w:left="0" w:leftChars="0" w:firstLine="420" w:firstLineChars="200"/>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3、噪声</w:t>
            </w:r>
          </w:p>
          <w:p w14:paraId="74692EC9">
            <w:pPr>
              <w:keepNext w:val="0"/>
              <w:keepLines w:val="0"/>
              <w:pageBreakBefore w:val="0"/>
              <w:widowControl w:val="0"/>
              <w:kinsoku/>
              <w:wordWrap/>
              <w:overflowPunct/>
              <w:topLinePunct w:val="0"/>
              <w:autoSpaceDE w:val="0"/>
              <w:autoSpaceDN w:val="0"/>
              <w:bidi w:val="0"/>
              <w:adjustRightInd w:val="0"/>
              <w:snapToGrid w:val="0"/>
              <w:spacing w:line="360" w:lineRule="auto"/>
              <w:ind w:left="0" w:leftChars="0" w:firstLine="420" w:firstLineChars="200"/>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项目施工期噪声主要为</w:t>
            </w:r>
            <w:r>
              <w:rPr>
                <w:rFonts w:hint="default" w:ascii="Times New Roman" w:hAnsi="Times New Roman" w:eastAsia="宋体" w:cs="Times New Roman"/>
                <w:color w:val="auto"/>
                <w:sz w:val="21"/>
                <w:szCs w:val="21"/>
                <w:lang w:val="en-US" w:eastAsia="zh-CN"/>
              </w:rPr>
              <w:t>施工设备施工和</w:t>
            </w:r>
            <w:r>
              <w:rPr>
                <w:rFonts w:hint="default" w:ascii="Times New Roman" w:hAnsi="Times New Roman" w:eastAsia="宋体" w:cs="Times New Roman"/>
                <w:color w:val="auto"/>
                <w:sz w:val="21"/>
                <w:szCs w:val="21"/>
              </w:rPr>
              <w:t>设备安装时产生的噪声。施工期</w:t>
            </w:r>
            <w:r>
              <w:rPr>
                <w:rFonts w:hint="default" w:ascii="Times New Roman" w:hAnsi="Times New Roman" w:eastAsia="宋体" w:cs="Times New Roman"/>
                <w:color w:val="auto"/>
                <w:sz w:val="21"/>
                <w:szCs w:val="21"/>
                <w:lang w:val="en-US" w:eastAsia="zh-CN"/>
              </w:rPr>
              <w:t>土建工程</w:t>
            </w:r>
            <w:r>
              <w:rPr>
                <w:rFonts w:hint="default" w:ascii="Times New Roman" w:hAnsi="Times New Roman" w:eastAsia="宋体" w:cs="Times New Roman"/>
                <w:color w:val="auto"/>
                <w:sz w:val="21"/>
                <w:szCs w:val="21"/>
              </w:rPr>
              <w:t>主要噪声源为挖掘机、推土机等施工机械运转产生的设备噪声和车辆运输产</w:t>
            </w:r>
            <w:r>
              <w:rPr>
                <w:rFonts w:hint="default" w:ascii="Times New Roman" w:hAnsi="Times New Roman" w:eastAsia="宋体" w:cs="Times New Roman"/>
                <w:color w:val="auto"/>
                <w:sz w:val="21"/>
                <w:szCs w:val="21"/>
                <w:lang w:eastAsia="zh-CN"/>
              </w:rPr>
              <w:t>生的</w:t>
            </w:r>
            <w:r>
              <w:rPr>
                <w:rFonts w:hint="default" w:ascii="Times New Roman" w:hAnsi="Times New Roman" w:eastAsia="宋体" w:cs="Times New Roman"/>
                <w:color w:val="auto"/>
                <w:sz w:val="21"/>
                <w:szCs w:val="21"/>
              </w:rPr>
              <w:t>交通噪声等</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val="en-US" w:eastAsia="zh-CN"/>
              </w:rPr>
              <w:t>安装工程</w:t>
            </w:r>
            <w:r>
              <w:rPr>
                <w:rFonts w:hint="default" w:ascii="Times New Roman" w:hAnsi="Times New Roman" w:eastAsia="宋体" w:cs="Times New Roman"/>
                <w:color w:val="auto"/>
                <w:sz w:val="21"/>
                <w:szCs w:val="21"/>
              </w:rPr>
              <w:t>仅昼间对设备进行安装，安装时关闭车间门窗，通过车间隔声减振并通过距离衰减降低噪声，施工期厂界噪声能够满足《</w:t>
            </w:r>
            <w:r>
              <w:rPr>
                <w:rFonts w:hint="default" w:ascii="Times New Roman" w:hAnsi="Times New Roman" w:eastAsia="宋体" w:cs="Times New Roman"/>
                <w:color w:val="auto"/>
                <w:sz w:val="21"/>
                <w:szCs w:val="21"/>
                <w:lang w:val="en-US" w:eastAsia="zh-CN"/>
              </w:rPr>
              <w:t>建筑施工场界</w:t>
            </w:r>
            <w:r>
              <w:rPr>
                <w:rFonts w:hint="default" w:ascii="Times New Roman" w:hAnsi="Times New Roman" w:eastAsia="宋体" w:cs="Times New Roman"/>
                <w:color w:val="auto"/>
                <w:sz w:val="21"/>
                <w:szCs w:val="21"/>
              </w:rPr>
              <w:t>环境噪声排放标准》（GB12523－2011）昼间70dB(A)。</w:t>
            </w:r>
          </w:p>
          <w:p w14:paraId="7A0F478A">
            <w:pPr>
              <w:keepNext w:val="0"/>
              <w:keepLines w:val="0"/>
              <w:pageBreakBefore w:val="0"/>
              <w:widowControl w:val="0"/>
              <w:kinsoku/>
              <w:wordWrap/>
              <w:overflowPunct/>
              <w:topLinePunct w:val="0"/>
              <w:autoSpaceDE w:val="0"/>
              <w:autoSpaceDN w:val="0"/>
              <w:bidi w:val="0"/>
              <w:adjustRightInd w:val="0"/>
              <w:snapToGrid w:val="0"/>
              <w:spacing w:line="360" w:lineRule="auto"/>
              <w:ind w:left="0" w:leftChars="0" w:firstLine="420" w:firstLineChars="200"/>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4、固废</w:t>
            </w:r>
          </w:p>
          <w:p w14:paraId="7A08780A">
            <w:pPr>
              <w:keepNext w:val="0"/>
              <w:keepLines w:val="0"/>
              <w:pageBreakBefore w:val="0"/>
              <w:widowControl w:val="0"/>
              <w:numPr>
                <w:ilvl w:val="0"/>
                <w:numId w:val="0"/>
              </w:numPr>
              <w:kinsoku/>
              <w:wordWrap/>
              <w:overflowPunct/>
              <w:topLinePunct w:val="0"/>
              <w:bidi w:val="0"/>
              <w:spacing w:line="360" w:lineRule="auto"/>
              <w:ind w:right="0" w:rightChars="0" w:firstLine="420" w:firstLineChars="200"/>
              <w:jc w:val="both"/>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项目施工期固废主要为施工人员生活垃圾和设备安装产生的废包装物。产生的生活垃圾和设备安装产生的废包装物经收集，由环卫部门定期清运</w:t>
            </w:r>
            <w:r>
              <w:rPr>
                <w:rFonts w:hint="default" w:ascii="Times New Roman" w:hAnsi="Times New Roman" w:eastAsia="宋体" w:cs="Times New Roman"/>
                <w:color w:val="auto"/>
                <w:sz w:val="21"/>
                <w:szCs w:val="21"/>
                <w:lang w:eastAsia="zh-CN"/>
              </w:rPr>
              <w:t>。</w:t>
            </w:r>
          </w:p>
          <w:p w14:paraId="2D1BF8DC">
            <w:pPr>
              <w:keepNext w:val="0"/>
              <w:keepLines w:val="0"/>
              <w:pageBreakBefore w:val="0"/>
              <w:widowControl w:val="0"/>
              <w:numPr>
                <w:ilvl w:val="0"/>
                <w:numId w:val="0"/>
              </w:numPr>
              <w:kinsoku/>
              <w:wordWrap/>
              <w:overflowPunct/>
              <w:topLinePunct w:val="0"/>
              <w:bidi w:val="0"/>
              <w:ind w:right="0" w:rightChars="0"/>
              <w:jc w:val="both"/>
              <w:rPr>
                <w:rFonts w:hint="default" w:ascii="Times New Roman" w:hAnsi="Times New Roman" w:eastAsia="宋体" w:cs="Times New Roman"/>
                <w:color w:val="auto"/>
                <w:sz w:val="21"/>
                <w:szCs w:val="21"/>
                <w:lang w:eastAsia="zh-CN"/>
              </w:rPr>
            </w:pPr>
          </w:p>
        </w:tc>
      </w:tr>
      <w:tr w14:paraId="766112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9" w:type="dxa"/>
            <w:vAlign w:val="center"/>
          </w:tcPr>
          <w:p w14:paraId="7CC4B696">
            <w:pPr>
              <w:keepNext w:val="0"/>
              <w:keepLines w:val="0"/>
              <w:pageBreakBefore w:val="0"/>
              <w:widowControl w:val="0"/>
              <w:numPr>
                <w:ilvl w:val="0"/>
                <w:numId w:val="0"/>
              </w:numPr>
              <w:kinsoku/>
              <w:wordWrap/>
              <w:overflowPunct/>
              <w:topLinePunct w:val="0"/>
              <w:bidi w:val="0"/>
              <w:ind w:left="0" w:leftChars="0" w:right="0" w:rightChars="0" w:firstLine="0" w:firstLineChars="0"/>
              <w:jc w:val="center"/>
              <w:rPr>
                <w:rFonts w:hint="default" w:ascii="Times New Roman" w:hAnsi="Times New Roman" w:eastAsia="宋体" w:cs="Times New Roman"/>
                <w:snapToGrid w:val="0"/>
                <w:color w:val="auto"/>
                <w:sz w:val="21"/>
                <w:szCs w:val="21"/>
                <w:vertAlign w:val="baseline"/>
              </w:rPr>
            </w:pPr>
            <w:r>
              <w:rPr>
                <w:rFonts w:hint="default" w:ascii="Times New Roman" w:hAnsi="Times New Roman" w:eastAsia="宋体" w:cs="Times New Roman"/>
                <w:snapToGrid w:val="0"/>
                <w:color w:val="auto"/>
                <w:sz w:val="21"/>
                <w:szCs w:val="21"/>
                <w:vertAlign w:val="baseline"/>
              </w:rPr>
              <w:t>运营期生态环境影响分析</w:t>
            </w:r>
          </w:p>
        </w:tc>
        <w:tc>
          <w:tcPr>
            <w:tcW w:w="7913" w:type="dxa"/>
          </w:tcPr>
          <w:p w14:paraId="7C7107BE">
            <w:pPr>
              <w:keepNext w:val="0"/>
              <w:keepLines w:val="0"/>
              <w:pageBreakBefore w:val="0"/>
              <w:widowControl w:val="0"/>
              <w:numPr>
                <w:ilvl w:val="0"/>
                <w:numId w:val="2"/>
              </w:numPr>
              <w:kinsoku/>
              <w:wordWrap/>
              <w:overflowPunct/>
              <w:topLinePunct w:val="0"/>
              <w:autoSpaceDE w:val="0"/>
              <w:autoSpaceDN w:val="0"/>
              <w:bidi w:val="0"/>
              <w:adjustRightInd w:val="0"/>
              <w:snapToGrid w:val="0"/>
              <w:spacing w:line="360" w:lineRule="auto"/>
              <w:ind w:left="0" w:leftChars="0" w:firstLine="420" w:firstLineChars="200"/>
              <w:textAlignment w:val="baseline"/>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废气</w:t>
            </w:r>
          </w:p>
          <w:p w14:paraId="1C68BCDC">
            <w:pPr>
              <w:pStyle w:val="8"/>
              <w:keepNext w:val="0"/>
              <w:keepLines w:val="0"/>
              <w:pageBreakBefore w:val="0"/>
              <w:widowControl w:val="0"/>
              <w:numPr>
                <w:ilvl w:val="0"/>
                <w:numId w:val="0"/>
              </w:numPr>
              <w:kinsoku/>
              <w:wordWrap/>
              <w:overflowPunct/>
              <w:topLinePunct w:val="0"/>
              <w:autoSpaceDE w:val="0"/>
              <w:autoSpaceDN w:val="0"/>
              <w:bidi w:val="0"/>
              <w:adjustRightInd w:val="0"/>
              <w:snapToGrid w:val="0"/>
              <w:spacing w:after="0" w:line="360" w:lineRule="auto"/>
              <w:ind w:left="0" w:leftChars="0" w:firstLine="420" w:firstLineChars="200"/>
              <w:jc w:val="left"/>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1、废气产生、排放情况简述</w:t>
            </w:r>
          </w:p>
          <w:p w14:paraId="4F53135C">
            <w:pPr>
              <w:pStyle w:val="8"/>
              <w:keepNext w:val="0"/>
              <w:keepLines w:val="0"/>
              <w:pageBreakBefore w:val="0"/>
              <w:widowControl w:val="0"/>
              <w:kinsoku/>
              <w:wordWrap/>
              <w:overflowPunct/>
              <w:topLinePunct w:val="0"/>
              <w:autoSpaceDE w:val="0"/>
              <w:autoSpaceDN w:val="0"/>
              <w:bidi w:val="0"/>
              <w:adjustRightInd w:val="0"/>
              <w:snapToGrid w:val="0"/>
              <w:spacing w:after="0" w:line="360" w:lineRule="auto"/>
              <w:ind w:left="0" w:leftChars="0" w:firstLine="420" w:firstLineChars="200"/>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FF0000"/>
                <w:sz w:val="21"/>
                <w:szCs w:val="21"/>
                <w:vertAlign w:val="baseline"/>
                <w:lang w:val="en-US" w:eastAsia="zh-CN"/>
              </w:rPr>
              <w:t>本项目为扩建项目，设备及工艺方面均无重大变动，且现有年产5000吨超硬复合新材料项目颗粒物已出具总量确认书，因此</w:t>
            </w:r>
            <w:r>
              <w:rPr>
                <w:rFonts w:hint="default" w:ascii="Times New Roman" w:hAnsi="Times New Roman" w:eastAsia="宋体" w:cs="Times New Roman"/>
                <w:color w:val="FF0000"/>
                <w:sz w:val="21"/>
                <w:szCs w:val="21"/>
                <w:vertAlign w:val="baseline"/>
                <w:lang w:eastAsia="zh-CN"/>
              </w:rPr>
              <w:t>本环评废气计算部分按照</w:t>
            </w:r>
            <w:r>
              <w:rPr>
                <w:rFonts w:hint="default" w:ascii="Times New Roman" w:hAnsi="Times New Roman" w:eastAsia="宋体" w:cs="Times New Roman"/>
                <w:color w:val="FF0000"/>
                <w:sz w:val="21"/>
                <w:szCs w:val="21"/>
                <w:vertAlign w:val="baseline"/>
                <w:lang w:val="en-US" w:eastAsia="zh-CN"/>
              </w:rPr>
              <w:t>新增5000吨超硬复合新材料产生的</w:t>
            </w:r>
            <w:r>
              <w:rPr>
                <w:rFonts w:hint="default" w:ascii="Times New Roman" w:hAnsi="Times New Roman" w:eastAsia="宋体" w:cs="Times New Roman"/>
                <w:color w:val="FF0000"/>
                <w:sz w:val="21"/>
                <w:szCs w:val="21"/>
                <w:vertAlign w:val="baseline"/>
                <w:lang w:eastAsia="zh-CN"/>
              </w:rPr>
              <w:t>废气来进行计算。</w:t>
            </w:r>
            <w:r>
              <w:rPr>
                <w:rFonts w:hint="default" w:ascii="Times New Roman" w:hAnsi="Times New Roman" w:eastAsia="宋体" w:cs="Times New Roman"/>
                <w:color w:val="auto"/>
                <w:sz w:val="21"/>
                <w:szCs w:val="21"/>
                <w:vertAlign w:val="baseline"/>
                <w:lang w:eastAsia="zh-CN"/>
              </w:rPr>
              <w:t>本项目废气主要为</w:t>
            </w:r>
            <w:r>
              <w:rPr>
                <w:rFonts w:hint="default" w:ascii="Times New Roman" w:hAnsi="Times New Roman" w:eastAsia="宋体" w:cs="Times New Roman"/>
                <w:color w:val="auto"/>
                <w:sz w:val="21"/>
                <w:szCs w:val="21"/>
                <w:vertAlign w:val="baseline"/>
                <w:lang w:val="en-US" w:eastAsia="zh-CN"/>
              </w:rPr>
              <w:t>破碎、对辊破碎、粗筛分、整形粉磨、细筛分工序产生的颗粒物，</w:t>
            </w:r>
            <w:r>
              <w:rPr>
                <w:rFonts w:hint="default" w:ascii="Times New Roman" w:hAnsi="Times New Roman" w:eastAsia="宋体" w:cs="Times New Roman"/>
                <w:color w:val="auto"/>
                <w:sz w:val="21"/>
                <w:szCs w:val="21"/>
                <w:lang w:val="en-US" w:eastAsia="zh-CN"/>
              </w:rPr>
              <w:t>各工序产生的颗粒物经集气罩收集后经</w:t>
            </w:r>
            <w:r>
              <w:rPr>
                <w:rFonts w:hint="default" w:ascii="Times New Roman" w:hAnsi="Times New Roman" w:eastAsia="宋体" w:cs="Times New Roman"/>
                <w:color w:val="auto"/>
                <w:sz w:val="21"/>
                <w:szCs w:val="21"/>
              </w:rPr>
              <w:t>脉冲式布袋除尘器处理后通过</w:t>
            </w:r>
            <w:r>
              <w:rPr>
                <w:rFonts w:hint="default" w:ascii="Times New Roman" w:hAnsi="Times New Roman" w:eastAsia="宋体" w:cs="Times New Roman"/>
                <w:color w:val="auto"/>
                <w:sz w:val="21"/>
                <w:szCs w:val="21"/>
                <w:lang w:val="en-US" w:eastAsia="zh-CN"/>
              </w:rPr>
              <w:t>1</w:t>
            </w:r>
            <w:r>
              <w:rPr>
                <w:rFonts w:hint="default" w:ascii="Times New Roman" w:hAnsi="Times New Roman" w:eastAsia="宋体" w:cs="Times New Roman"/>
                <w:color w:val="auto"/>
                <w:sz w:val="21"/>
                <w:szCs w:val="21"/>
              </w:rPr>
              <w:t>5米高排气筒</w:t>
            </w:r>
            <w:r>
              <w:rPr>
                <w:rFonts w:hint="default" w:ascii="Times New Roman" w:hAnsi="Times New Roman" w:eastAsia="宋体" w:cs="Times New Roman"/>
                <w:color w:val="auto"/>
                <w:sz w:val="21"/>
                <w:szCs w:val="21"/>
                <w:lang w:val="en-US" w:eastAsia="zh-CN"/>
              </w:rPr>
              <w:t>DA001</w:t>
            </w:r>
            <w:r>
              <w:rPr>
                <w:rFonts w:hint="default" w:ascii="Times New Roman" w:hAnsi="Times New Roman" w:eastAsia="宋体" w:cs="Times New Roman"/>
                <w:color w:val="auto"/>
                <w:sz w:val="21"/>
                <w:szCs w:val="21"/>
              </w:rPr>
              <w:t>有组织排放</w:t>
            </w:r>
            <w:r>
              <w:rPr>
                <w:rFonts w:hint="default" w:ascii="Times New Roman" w:hAnsi="Times New Roman" w:eastAsia="宋体" w:cs="Times New Roman"/>
                <w:color w:val="auto"/>
                <w:szCs w:val="21"/>
                <w:lang w:eastAsia="zh-CN"/>
              </w:rPr>
              <w:t>，</w:t>
            </w:r>
            <w:r>
              <w:rPr>
                <w:rFonts w:hint="default" w:ascii="Times New Roman" w:hAnsi="Times New Roman" w:eastAsia="宋体" w:cs="Times New Roman"/>
                <w:color w:val="auto"/>
                <w:szCs w:val="21"/>
                <w:lang w:val="en-US" w:eastAsia="zh-CN"/>
              </w:rPr>
              <w:t>未被集气罩收集的废气无组织排放</w:t>
            </w:r>
            <w:r>
              <w:rPr>
                <w:rFonts w:hint="default" w:ascii="Times New Roman" w:hAnsi="Times New Roman" w:eastAsia="宋体" w:cs="Times New Roman"/>
                <w:color w:val="auto"/>
                <w:sz w:val="21"/>
                <w:szCs w:val="21"/>
                <w:vertAlign w:val="baseline"/>
                <w:lang w:val="en-US" w:eastAsia="zh-CN"/>
              </w:rPr>
              <w:t>。</w:t>
            </w:r>
          </w:p>
          <w:p w14:paraId="6FD0D5CD">
            <w:pPr>
              <w:adjustRightInd w:val="0"/>
              <w:snapToGrid w:val="0"/>
              <w:spacing w:line="360" w:lineRule="auto"/>
              <w:ind w:firstLine="420" w:firstLineChars="200"/>
              <w:jc w:val="left"/>
              <w:textAlignment w:val="baseline"/>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lang w:eastAsia="zh-CN"/>
              </w:rPr>
              <w:t>（</w:t>
            </w:r>
            <w:r>
              <w:rPr>
                <w:rFonts w:hint="default" w:ascii="Times New Roman" w:hAnsi="Times New Roman" w:eastAsia="宋体" w:cs="Times New Roman"/>
                <w:color w:val="auto"/>
                <w:szCs w:val="21"/>
                <w:lang w:val="en-US" w:eastAsia="zh-CN"/>
              </w:rPr>
              <w:t>1</w:t>
            </w:r>
            <w:r>
              <w:rPr>
                <w:rFonts w:hint="default" w:ascii="Times New Roman" w:hAnsi="Times New Roman" w:eastAsia="宋体" w:cs="Times New Roman"/>
                <w:color w:val="auto"/>
                <w:szCs w:val="21"/>
                <w:lang w:eastAsia="zh-CN"/>
              </w:rPr>
              <w:t>）</w:t>
            </w:r>
            <w:r>
              <w:rPr>
                <w:rFonts w:hint="default" w:ascii="Times New Roman" w:hAnsi="Times New Roman" w:eastAsia="宋体" w:cs="Times New Roman"/>
                <w:color w:val="auto"/>
                <w:szCs w:val="21"/>
              </w:rPr>
              <w:t>有组织废气</w:t>
            </w:r>
          </w:p>
          <w:p w14:paraId="3F15DB3F">
            <w:pPr>
              <w:widowControl/>
              <w:spacing w:line="360" w:lineRule="auto"/>
              <w:ind w:firstLine="42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 xml:space="preserve">表4-1 </w:t>
            </w:r>
            <w:r>
              <w:rPr>
                <w:rFonts w:hint="default" w:ascii="Times New Roman" w:hAnsi="Times New Roman" w:eastAsia="宋体" w:cs="Times New Roman"/>
                <w:b/>
                <w:bCs/>
                <w:i w:val="0"/>
                <w:iCs w:val="0"/>
                <w:color w:val="auto"/>
                <w:spacing w:val="0"/>
                <w:sz w:val="21"/>
                <w:szCs w:val="21"/>
              </w:rPr>
              <w:t>废气产生源强计算依据</w:t>
            </w:r>
          </w:p>
          <w:tbl>
            <w:tblPr>
              <w:tblStyle w:val="14"/>
              <w:tblW w:w="499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731"/>
              <w:gridCol w:w="915"/>
              <w:gridCol w:w="1369"/>
              <w:gridCol w:w="3669"/>
            </w:tblGrid>
            <w:tr w14:paraId="4C9AA65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1126" w:type="pct"/>
                  <w:vAlign w:val="center"/>
                </w:tcPr>
                <w:p w14:paraId="1C5E33BD">
                  <w:pPr>
                    <w:pStyle w:val="22"/>
                    <w:adjustRightInd w:val="0"/>
                    <w:snapToGrid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废气</w:t>
                  </w:r>
                </w:p>
              </w:tc>
              <w:tc>
                <w:tcPr>
                  <w:tcW w:w="595" w:type="pct"/>
                  <w:vAlign w:val="center"/>
                </w:tcPr>
                <w:p w14:paraId="2486A734">
                  <w:pPr>
                    <w:pStyle w:val="22"/>
                    <w:adjustRightInd w:val="0"/>
                    <w:snapToGrid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源强</w:t>
                  </w:r>
                </w:p>
              </w:tc>
              <w:tc>
                <w:tcPr>
                  <w:tcW w:w="890" w:type="pct"/>
                  <w:vAlign w:val="center"/>
                </w:tcPr>
                <w:p w14:paraId="09B6D3A0">
                  <w:pPr>
                    <w:pStyle w:val="22"/>
                    <w:adjustRightInd w:val="0"/>
                    <w:snapToGrid w:val="0"/>
                    <w:jc w:val="center"/>
                    <w:rPr>
                      <w:rFonts w:hint="default" w:ascii="Times New Roman" w:hAnsi="Times New Roman" w:eastAsia="宋体" w:cs="Times New Roman"/>
                      <w:b/>
                      <w:bCs/>
                      <w:color w:val="auto"/>
                      <w:sz w:val="21"/>
                      <w:szCs w:val="21"/>
                      <w:lang w:eastAsia="zh-CN"/>
                    </w:rPr>
                  </w:pPr>
                  <w:r>
                    <w:rPr>
                      <w:rFonts w:hint="default" w:ascii="Times New Roman" w:hAnsi="Times New Roman" w:eastAsia="宋体" w:cs="Times New Roman"/>
                      <w:b/>
                      <w:bCs/>
                      <w:color w:val="auto"/>
                      <w:sz w:val="21"/>
                      <w:szCs w:val="21"/>
                      <w:lang w:eastAsia="zh-CN"/>
                    </w:rPr>
                    <w:t>单位</w:t>
                  </w:r>
                </w:p>
              </w:tc>
              <w:tc>
                <w:tcPr>
                  <w:tcW w:w="2387" w:type="pct"/>
                  <w:vAlign w:val="center"/>
                </w:tcPr>
                <w:p w14:paraId="5181696A">
                  <w:pPr>
                    <w:pStyle w:val="22"/>
                    <w:adjustRightInd w:val="0"/>
                    <w:snapToGrid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来源</w:t>
                  </w:r>
                </w:p>
              </w:tc>
            </w:tr>
            <w:tr w14:paraId="17582D5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1126" w:type="pct"/>
                  <w:vAlign w:val="center"/>
                </w:tcPr>
                <w:p w14:paraId="4B62DE0F">
                  <w:pPr>
                    <w:pStyle w:val="22"/>
                    <w:adjustRightInd w:val="0"/>
                    <w:snapToGrid w:val="0"/>
                    <w:ind w:left="0" w:leftChars="0" w:right="0" w:right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highlight w:val="none"/>
                      <w:lang w:val="en-US" w:eastAsia="zh-CN"/>
                    </w:rPr>
                    <w:t>破碎颗粒物</w:t>
                  </w:r>
                </w:p>
              </w:tc>
              <w:tc>
                <w:tcPr>
                  <w:tcW w:w="595" w:type="pct"/>
                  <w:vAlign w:val="center"/>
                </w:tcPr>
                <w:p w14:paraId="2434677D">
                  <w:pPr>
                    <w:pStyle w:val="22"/>
                    <w:adjustRightInd w:val="0"/>
                    <w:snapToGrid w:val="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1.13</w:t>
                  </w:r>
                </w:p>
              </w:tc>
              <w:tc>
                <w:tcPr>
                  <w:tcW w:w="890" w:type="pct"/>
                  <w:vAlign w:val="center"/>
                </w:tcPr>
                <w:p w14:paraId="6DC1D74A">
                  <w:pPr>
                    <w:pStyle w:val="22"/>
                    <w:adjustRightInd w:val="0"/>
                    <w:snapToGrid w:val="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sz w:val="21"/>
                      <w:szCs w:val="21"/>
                    </w:rPr>
                    <w:t>千克/吨-产品</w:t>
                  </w:r>
                </w:p>
              </w:tc>
              <w:tc>
                <w:tcPr>
                  <w:tcW w:w="2387" w:type="pct"/>
                  <w:vAlign w:val="center"/>
                </w:tcPr>
                <w:p w14:paraId="7A0A8064">
                  <w:pPr>
                    <w:pStyle w:val="22"/>
                    <w:adjustRightInd w:val="0"/>
                    <w:snapToGrid w:val="0"/>
                    <w:jc w:val="center"/>
                    <w:rPr>
                      <w:rFonts w:hint="default" w:ascii="Times New Roman" w:hAnsi="Times New Roman" w:eastAsia="宋体" w:cs="Times New Roman"/>
                      <w:color w:val="auto"/>
                      <w:kern w:val="0"/>
                      <w:sz w:val="21"/>
                      <w:szCs w:val="21"/>
                      <w:lang w:eastAsia="zh-CN"/>
                    </w:rPr>
                  </w:pPr>
                  <w:r>
                    <w:rPr>
                      <w:rFonts w:hint="default" w:ascii="Times New Roman" w:hAnsi="Times New Roman" w:eastAsia="宋体" w:cs="Times New Roman"/>
                      <w:color w:val="auto"/>
                      <w:kern w:val="0"/>
                      <w:sz w:val="21"/>
                      <w:szCs w:val="21"/>
                      <w:lang w:eastAsia="zh-CN"/>
                    </w:rPr>
                    <w:t>《排放源统计调查产排污核算方法和系数手册》3099 其他非金属矿物制品制造行业系数表</w:t>
                  </w:r>
                </w:p>
              </w:tc>
            </w:tr>
            <w:tr w14:paraId="24F0AE1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1126" w:type="pct"/>
                  <w:vAlign w:val="center"/>
                </w:tcPr>
                <w:p w14:paraId="5EB80258">
                  <w:pPr>
                    <w:pStyle w:val="22"/>
                    <w:adjustRightInd w:val="0"/>
                    <w:snapToGrid w:val="0"/>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对辊破碎颗粒物</w:t>
                  </w:r>
                </w:p>
              </w:tc>
              <w:tc>
                <w:tcPr>
                  <w:tcW w:w="595" w:type="pct"/>
                  <w:shd w:val="clear" w:color="auto" w:fill="auto"/>
                  <w:vAlign w:val="center"/>
                </w:tcPr>
                <w:p w14:paraId="72B52C45">
                  <w:pPr>
                    <w:pStyle w:val="22"/>
                    <w:adjustRightInd w:val="0"/>
                    <w:snapToGrid w:val="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rPr>
                    <w:t>1.13</w:t>
                  </w:r>
                </w:p>
              </w:tc>
              <w:tc>
                <w:tcPr>
                  <w:tcW w:w="890" w:type="pct"/>
                  <w:shd w:val="clear" w:color="auto" w:fill="auto"/>
                  <w:vAlign w:val="center"/>
                </w:tcPr>
                <w:p w14:paraId="35A0B19D">
                  <w:pPr>
                    <w:pStyle w:val="22"/>
                    <w:adjustRightInd w:val="0"/>
                    <w:snapToGrid w:val="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rPr>
                    <w:t>千克/吨-产品</w:t>
                  </w:r>
                </w:p>
              </w:tc>
              <w:tc>
                <w:tcPr>
                  <w:tcW w:w="2387" w:type="pct"/>
                  <w:shd w:val="clear" w:color="auto" w:fill="auto"/>
                  <w:vAlign w:val="center"/>
                </w:tcPr>
                <w:p w14:paraId="6602E29B">
                  <w:pPr>
                    <w:pStyle w:val="22"/>
                    <w:adjustRightInd w:val="0"/>
                    <w:snapToGrid w:val="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eastAsia="zh-CN"/>
                    </w:rPr>
                    <w:t>《排放源统计调查产排污核算方法和系数手册》3099 其他非金属矿物制品制造行业系数表</w:t>
                  </w:r>
                </w:p>
              </w:tc>
            </w:tr>
            <w:tr w14:paraId="416BB05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1126" w:type="pct"/>
                  <w:vAlign w:val="center"/>
                </w:tcPr>
                <w:p w14:paraId="7CFB76B4">
                  <w:pPr>
                    <w:pStyle w:val="22"/>
                    <w:adjustRightInd w:val="0"/>
                    <w:snapToGrid w:val="0"/>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筛分颗粒物</w:t>
                  </w:r>
                </w:p>
              </w:tc>
              <w:tc>
                <w:tcPr>
                  <w:tcW w:w="595" w:type="pct"/>
                  <w:vAlign w:val="center"/>
                </w:tcPr>
                <w:p w14:paraId="4C37454D">
                  <w:pPr>
                    <w:pStyle w:val="22"/>
                    <w:adjustRightInd w:val="0"/>
                    <w:snapToGrid w:val="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1.13</w:t>
                  </w:r>
                </w:p>
              </w:tc>
              <w:tc>
                <w:tcPr>
                  <w:tcW w:w="890" w:type="pct"/>
                  <w:shd w:val="clear" w:color="auto" w:fill="auto"/>
                  <w:vAlign w:val="center"/>
                </w:tcPr>
                <w:p w14:paraId="64526F68">
                  <w:pPr>
                    <w:pStyle w:val="22"/>
                    <w:adjustRightInd w:val="0"/>
                    <w:snapToGrid w:val="0"/>
                    <w:ind w:left="0" w:leftChars="0" w:right="0" w:rightChars="0"/>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千克/吨-产品</w:t>
                  </w:r>
                </w:p>
              </w:tc>
              <w:tc>
                <w:tcPr>
                  <w:tcW w:w="2387" w:type="pct"/>
                  <w:vAlign w:val="center"/>
                </w:tcPr>
                <w:p w14:paraId="0C81DD8A">
                  <w:pPr>
                    <w:pStyle w:val="22"/>
                    <w:adjustRightInd w:val="0"/>
                    <w:snapToGrid w:val="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eastAsia="zh-CN"/>
                    </w:rPr>
                    <w:t>《排放源统计调查产排污核算方法和系数手册》3099 其他非金属矿物制品制造行业系数表</w:t>
                  </w:r>
                </w:p>
              </w:tc>
            </w:tr>
            <w:tr w14:paraId="081EC09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1126" w:type="pct"/>
                  <w:vAlign w:val="center"/>
                </w:tcPr>
                <w:p w14:paraId="4F9C0C1D">
                  <w:pPr>
                    <w:pStyle w:val="22"/>
                    <w:adjustRightInd w:val="0"/>
                    <w:snapToGrid w:val="0"/>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整形粉磨颗粒物</w:t>
                  </w:r>
                </w:p>
              </w:tc>
              <w:tc>
                <w:tcPr>
                  <w:tcW w:w="595" w:type="pct"/>
                  <w:shd w:val="clear" w:color="auto" w:fill="auto"/>
                  <w:vAlign w:val="center"/>
                </w:tcPr>
                <w:p w14:paraId="46CE0B02">
                  <w:pPr>
                    <w:pStyle w:val="22"/>
                    <w:adjustRightInd w:val="0"/>
                    <w:snapToGrid w:val="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rPr>
                    <w:t>1.19</w:t>
                  </w:r>
                </w:p>
              </w:tc>
              <w:tc>
                <w:tcPr>
                  <w:tcW w:w="890" w:type="pct"/>
                  <w:shd w:val="clear" w:color="auto" w:fill="auto"/>
                  <w:vAlign w:val="center"/>
                </w:tcPr>
                <w:p w14:paraId="2E5B482F">
                  <w:pPr>
                    <w:pStyle w:val="22"/>
                    <w:adjustRightInd w:val="0"/>
                    <w:snapToGrid w:val="0"/>
                    <w:ind w:left="0" w:leftChars="0" w:right="0" w:rightChars="0"/>
                    <w:jc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sz w:val="21"/>
                      <w:szCs w:val="21"/>
                    </w:rPr>
                    <w:t>千克/吨-产品</w:t>
                  </w:r>
                </w:p>
              </w:tc>
              <w:tc>
                <w:tcPr>
                  <w:tcW w:w="2387" w:type="pct"/>
                  <w:vAlign w:val="center"/>
                </w:tcPr>
                <w:p w14:paraId="5DBA678A">
                  <w:pPr>
                    <w:pStyle w:val="22"/>
                    <w:adjustRightInd w:val="0"/>
                    <w:snapToGrid w:val="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eastAsia="zh-CN"/>
                    </w:rPr>
                    <w:t>《排放源统计调查产排污核算方法和系数手册》3099 其他非金属矿物制品制造行业系数表</w:t>
                  </w:r>
                </w:p>
              </w:tc>
            </w:tr>
          </w:tbl>
          <w:p w14:paraId="273E6F7D">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firstLine="420" w:firstLineChars="200"/>
              <w:jc w:val="both"/>
              <w:textAlignment w:val="auto"/>
              <w:rPr>
                <w:rFonts w:hint="default" w:ascii="Times New Roman" w:hAnsi="Times New Roman" w:eastAsia="宋体" w:cs="Times New Roman"/>
                <w:snapToGrid w:val="0"/>
                <w:color w:val="auto"/>
                <w:sz w:val="21"/>
                <w:szCs w:val="21"/>
                <w:vertAlign w:val="baseline"/>
                <w:lang w:val="en-US" w:eastAsia="zh-CN"/>
              </w:rPr>
            </w:pPr>
            <w:r>
              <w:rPr>
                <w:rFonts w:hint="default" w:ascii="Times New Roman" w:hAnsi="Times New Roman" w:eastAsia="宋体" w:cs="Times New Roman"/>
                <w:snapToGrid w:val="0"/>
                <w:color w:val="auto"/>
                <w:sz w:val="21"/>
                <w:szCs w:val="21"/>
                <w:vertAlign w:val="baseline"/>
                <w:lang w:val="en-US" w:eastAsia="zh-CN"/>
              </w:rPr>
              <w:t>根据《排放源统计调查产排污核算方法和系数手册》中3099其他非金属矿物制品制造行业系数表可知，破碎工序颗粒物产生系数为1.13千克/吨-产品，对辊破碎工序颗粒物产生系数为1.13千克/吨-产品，筛分工序颗粒物产生系数为1.13千克/吨-产品，整形粉磨工序颗粒物产生系数为1.19千克/吨-产品，</w:t>
            </w:r>
            <w:r>
              <w:rPr>
                <w:rFonts w:hint="default" w:ascii="Times New Roman" w:hAnsi="Times New Roman" w:eastAsia="宋体" w:cs="Times New Roman"/>
                <w:snapToGrid w:val="0"/>
                <w:color w:val="FF0000"/>
                <w:sz w:val="21"/>
                <w:szCs w:val="21"/>
                <w:vertAlign w:val="baseline"/>
                <w:lang w:val="en-US" w:eastAsia="zh-CN"/>
              </w:rPr>
              <w:t>本项目扩建部分的刚玉砂产量为5000t/a，则本项目扩建部分的颗粒物产生量为22.9000t/a，</w:t>
            </w:r>
            <w:r>
              <w:rPr>
                <w:rFonts w:hint="default" w:ascii="Times New Roman" w:hAnsi="Times New Roman" w:eastAsia="宋体" w:cs="Times New Roman"/>
                <w:color w:val="auto"/>
                <w:sz w:val="21"/>
                <w:szCs w:val="21"/>
                <w:vertAlign w:val="baseline"/>
                <w:lang w:val="en-US" w:eastAsia="zh-CN"/>
              </w:rPr>
              <w:t>破碎、对辊破碎、粗筛分、整形粉磨、细筛分工序</w:t>
            </w:r>
            <w:r>
              <w:rPr>
                <w:rFonts w:hint="default" w:ascii="Times New Roman" w:hAnsi="Times New Roman" w:eastAsia="宋体" w:cs="Times New Roman"/>
                <w:color w:val="auto"/>
                <w:sz w:val="21"/>
                <w:szCs w:val="21"/>
                <w:lang w:val="en-US" w:eastAsia="zh-CN"/>
              </w:rPr>
              <w:t>产生颗粒物经集气罩收集后经</w:t>
            </w:r>
            <w:r>
              <w:rPr>
                <w:rFonts w:hint="default" w:ascii="Times New Roman" w:hAnsi="Times New Roman" w:eastAsia="宋体" w:cs="Times New Roman"/>
                <w:color w:val="auto"/>
                <w:sz w:val="21"/>
                <w:szCs w:val="21"/>
              </w:rPr>
              <w:t>脉冲式布袋除尘器处理后通过</w:t>
            </w:r>
            <w:r>
              <w:rPr>
                <w:rFonts w:hint="default" w:ascii="Times New Roman" w:hAnsi="Times New Roman" w:eastAsia="宋体" w:cs="Times New Roman"/>
                <w:color w:val="auto"/>
                <w:sz w:val="21"/>
                <w:szCs w:val="21"/>
                <w:lang w:val="en-US" w:eastAsia="zh-CN"/>
              </w:rPr>
              <w:t>1</w:t>
            </w:r>
            <w:r>
              <w:rPr>
                <w:rFonts w:hint="default" w:ascii="Times New Roman" w:hAnsi="Times New Roman" w:eastAsia="宋体" w:cs="Times New Roman"/>
                <w:color w:val="auto"/>
                <w:sz w:val="21"/>
                <w:szCs w:val="21"/>
              </w:rPr>
              <w:t>5米高排气筒</w:t>
            </w:r>
            <w:r>
              <w:rPr>
                <w:rFonts w:hint="default" w:ascii="Times New Roman" w:hAnsi="Times New Roman" w:eastAsia="宋体" w:cs="Times New Roman"/>
                <w:color w:val="auto"/>
                <w:sz w:val="21"/>
                <w:szCs w:val="21"/>
                <w:lang w:val="en-US" w:eastAsia="zh-CN"/>
              </w:rPr>
              <w:t>DA001</w:t>
            </w:r>
            <w:r>
              <w:rPr>
                <w:rFonts w:hint="default" w:ascii="Times New Roman" w:hAnsi="Times New Roman" w:eastAsia="宋体" w:cs="Times New Roman"/>
                <w:color w:val="auto"/>
                <w:sz w:val="21"/>
                <w:szCs w:val="21"/>
              </w:rPr>
              <w:t>有组织排放</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val="en-US" w:eastAsia="zh-CN"/>
              </w:rPr>
              <w:t>项目集气罩收集效率按照95%计算，脉冲式布袋除尘器除尘效率按照99%计算，风机风量按照20000m</w:t>
            </w:r>
            <w:r>
              <w:rPr>
                <w:rFonts w:hint="default" w:ascii="Times New Roman" w:hAnsi="Times New Roman" w:eastAsia="宋体" w:cs="Times New Roman"/>
                <w:color w:val="auto"/>
                <w:sz w:val="21"/>
                <w:szCs w:val="21"/>
                <w:vertAlign w:val="superscript"/>
                <w:lang w:val="en-US" w:eastAsia="zh-CN"/>
              </w:rPr>
              <w:t>3</w:t>
            </w:r>
            <w:r>
              <w:rPr>
                <w:rFonts w:hint="default" w:ascii="Times New Roman" w:hAnsi="Times New Roman" w:eastAsia="宋体" w:cs="Times New Roman"/>
                <w:color w:val="auto"/>
                <w:sz w:val="21"/>
                <w:szCs w:val="21"/>
                <w:lang w:val="en-US" w:eastAsia="zh-CN"/>
              </w:rPr>
              <w:t>/h，</w:t>
            </w:r>
            <w:r>
              <w:rPr>
                <w:rFonts w:hint="default" w:ascii="Times New Roman" w:hAnsi="Times New Roman" w:eastAsia="宋体" w:cs="Times New Roman"/>
                <w:color w:val="auto"/>
                <w:szCs w:val="21"/>
                <w:lang w:val="en-US" w:eastAsia="zh-CN"/>
              </w:rPr>
              <w:t>年工作时间2400h，</w:t>
            </w:r>
            <w:r>
              <w:rPr>
                <w:rFonts w:hint="default" w:ascii="Times New Roman" w:hAnsi="Times New Roman" w:eastAsia="宋体" w:cs="Times New Roman"/>
                <w:color w:val="auto"/>
                <w:sz w:val="21"/>
                <w:szCs w:val="21"/>
                <w:lang w:val="en-US" w:eastAsia="zh-CN"/>
              </w:rPr>
              <w:t>则</w:t>
            </w:r>
            <w:r>
              <w:rPr>
                <w:rFonts w:hint="default" w:ascii="Times New Roman" w:hAnsi="Times New Roman" w:eastAsia="宋体" w:cs="Times New Roman"/>
                <w:snapToGrid w:val="0"/>
                <w:color w:val="auto"/>
                <w:sz w:val="21"/>
                <w:szCs w:val="21"/>
                <w:vertAlign w:val="baseline"/>
                <w:lang w:val="en-US" w:eastAsia="zh-CN"/>
              </w:rPr>
              <w:t>扩建部分的</w:t>
            </w:r>
            <w:r>
              <w:rPr>
                <w:rFonts w:hint="default" w:ascii="Times New Roman" w:hAnsi="Times New Roman" w:eastAsia="宋体" w:cs="Times New Roman"/>
                <w:color w:val="auto"/>
                <w:sz w:val="21"/>
                <w:szCs w:val="21"/>
                <w:lang w:val="en-US" w:eastAsia="zh-CN"/>
              </w:rPr>
              <w:t>颗粒物有组织产生量为21.7550</w:t>
            </w:r>
            <w:r>
              <w:rPr>
                <w:rFonts w:hint="default" w:ascii="Times New Roman" w:hAnsi="Times New Roman" w:eastAsia="宋体" w:cs="Times New Roman"/>
                <w:snapToGrid w:val="0"/>
                <w:color w:val="auto"/>
                <w:sz w:val="21"/>
                <w:szCs w:val="21"/>
                <w:vertAlign w:val="baseline"/>
                <w:lang w:val="en-US" w:eastAsia="zh-CN"/>
              </w:rPr>
              <w:t>t/a，有组织排放量为0.2175t/a，有组织排放浓度为4.5323mg/m</w:t>
            </w:r>
            <w:r>
              <w:rPr>
                <w:rFonts w:hint="default" w:ascii="Times New Roman" w:hAnsi="Times New Roman" w:eastAsia="宋体" w:cs="Times New Roman"/>
                <w:snapToGrid w:val="0"/>
                <w:color w:val="auto"/>
                <w:sz w:val="21"/>
                <w:szCs w:val="21"/>
                <w:vertAlign w:val="superscript"/>
                <w:lang w:val="en-US" w:eastAsia="zh-CN"/>
              </w:rPr>
              <w:t>3</w:t>
            </w:r>
            <w:r>
              <w:rPr>
                <w:rFonts w:hint="default" w:ascii="Times New Roman" w:hAnsi="Times New Roman" w:eastAsia="宋体" w:cs="Times New Roman"/>
                <w:snapToGrid w:val="0"/>
                <w:color w:val="auto"/>
                <w:sz w:val="21"/>
                <w:szCs w:val="21"/>
                <w:vertAlign w:val="baseline"/>
                <w:lang w:val="en-US" w:eastAsia="zh-CN"/>
              </w:rPr>
              <w:t>，有组织排放速率为0.0906kg/h。</w:t>
            </w:r>
          </w:p>
          <w:p w14:paraId="6D244CE3">
            <w:pPr>
              <w:adjustRightInd w:val="0"/>
              <w:snapToGrid w:val="0"/>
              <w:spacing w:line="360" w:lineRule="auto"/>
              <w:ind w:firstLine="420" w:firstLineChars="200"/>
              <w:jc w:val="left"/>
              <w:textAlignment w:val="baseline"/>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lang w:eastAsia="zh-CN"/>
              </w:rPr>
              <w:t>（</w:t>
            </w:r>
            <w:r>
              <w:rPr>
                <w:rFonts w:hint="default" w:ascii="Times New Roman" w:hAnsi="Times New Roman" w:eastAsia="宋体" w:cs="Times New Roman"/>
                <w:color w:val="auto"/>
                <w:szCs w:val="21"/>
                <w:lang w:val="en-US" w:eastAsia="zh-CN"/>
              </w:rPr>
              <w:t>2</w:t>
            </w:r>
            <w:r>
              <w:rPr>
                <w:rFonts w:hint="default" w:ascii="Times New Roman" w:hAnsi="Times New Roman" w:eastAsia="宋体" w:cs="Times New Roman"/>
                <w:color w:val="auto"/>
                <w:szCs w:val="21"/>
                <w:lang w:eastAsia="zh-CN"/>
              </w:rPr>
              <w:t>）</w:t>
            </w:r>
            <w:r>
              <w:rPr>
                <w:rFonts w:hint="default" w:ascii="Times New Roman" w:hAnsi="Times New Roman" w:eastAsia="宋体" w:cs="Times New Roman"/>
                <w:color w:val="auto"/>
                <w:szCs w:val="21"/>
                <w:lang w:val="en-US" w:eastAsia="zh-CN"/>
              </w:rPr>
              <w:t>无</w:t>
            </w:r>
            <w:r>
              <w:rPr>
                <w:rFonts w:hint="default" w:ascii="Times New Roman" w:hAnsi="Times New Roman" w:eastAsia="宋体" w:cs="Times New Roman"/>
                <w:color w:val="auto"/>
                <w:szCs w:val="21"/>
              </w:rPr>
              <w:t>组织废气</w:t>
            </w:r>
          </w:p>
          <w:p w14:paraId="01282A76">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firstLine="420" w:firstLineChars="200"/>
              <w:jc w:val="both"/>
              <w:textAlignment w:val="auto"/>
              <w:rPr>
                <w:rFonts w:hint="default" w:ascii="Times New Roman" w:hAnsi="Times New Roman" w:eastAsia="宋体" w:cs="Times New Roman"/>
                <w:color w:val="FF0000"/>
                <w:sz w:val="21"/>
                <w:szCs w:val="21"/>
                <w:vertAlign w:val="baseline"/>
                <w:lang w:val="en-US" w:eastAsia="zh-CN"/>
              </w:rPr>
            </w:pPr>
            <w:r>
              <w:rPr>
                <w:rFonts w:hint="default" w:ascii="Times New Roman" w:hAnsi="Times New Roman" w:eastAsia="宋体" w:cs="Times New Roman"/>
                <w:color w:val="FF0000"/>
                <w:sz w:val="21"/>
                <w:szCs w:val="21"/>
                <w:vertAlign w:val="baseline"/>
                <w:lang w:val="en-US" w:eastAsia="zh-CN"/>
              </w:rPr>
              <w:t>本项目生产厂房密闭，投料过程是将较大粒径的刚玉块投入破碎机，此过程产生的颗粒物较少，粒径较大，易沉降，因此本环评不进行定量计算；包装过程是在细筛分出料口直接收入吨包内，此过程产生的颗粒物连同细筛分工序产生的颗粒物一起经集气罩收集后经布袋除尘器处理后有组织排放，逸散量较少，粒径较大，易沉降，因此不进行定量计算。</w:t>
            </w:r>
          </w:p>
          <w:p w14:paraId="426B6EB4">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firstLine="420" w:firstLineChars="200"/>
              <w:jc w:val="both"/>
              <w:textAlignment w:val="auto"/>
              <w:rPr>
                <w:rFonts w:hint="default" w:ascii="Times New Roman" w:hAnsi="Times New Roman" w:eastAsia="宋体" w:cs="Times New Roman"/>
                <w:snapToGrid w:val="0"/>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破碎、对辊破碎、粗筛分、整形粉磨、细筛分工序</w:t>
            </w:r>
            <w:r>
              <w:rPr>
                <w:rFonts w:hint="default" w:ascii="Times New Roman" w:hAnsi="Times New Roman" w:eastAsia="宋体" w:cs="Times New Roman"/>
                <w:color w:val="auto"/>
                <w:sz w:val="21"/>
                <w:szCs w:val="21"/>
                <w:lang w:val="en-US" w:eastAsia="zh-CN"/>
              </w:rPr>
              <w:t>产生颗粒物未被收集的部分在车间内无组织排放，颗粒物产生量为1.1450</w:t>
            </w:r>
            <w:r>
              <w:rPr>
                <w:rFonts w:hint="default" w:ascii="Times New Roman" w:hAnsi="Times New Roman" w:eastAsia="宋体" w:cs="Times New Roman"/>
                <w:snapToGrid w:val="0"/>
                <w:color w:val="auto"/>
                <w:sz w:val="21"/>
                <w:szCs w:val="21"/>
                <w:vertAlign w:val="baseline"/>
                <w:lang w:val="en-US" w:eastAsia="zh-CN"/>
              </w:rPr>
              <w:t>t/a，因刚玉砂料粒径较大，根据《大气环境影响评价实用技术》（中国标准出版社）可知，有80%粉尘沉降于生产车间内，则无组织颗粒物实际产生量为0.2290t/a，颗粒物无组织排放速率为0.0954kg/h</w:t>
            </w:r>
            <w:r>
              <w:rPr>
                <w:rFonts w:hint="default" w:ascii="Times New Roman" w:hAnsi="Times New Roman" w:eastAsia="宋体" w:cs="Times New Roman"/>
                <w:color w:val="auto"/>
                <w:szCs w:val="21"/>
                <w:lang w:val="en-US" w:eastAsia="zh-CN"/>
              </w:rPr>
              <w:t>（年工作时间2400h）</w:t>
            </w:r>
            <w:r>
              <w:rPr>
                <w:rFonts w:hint="default" w:ascii="Times New Roman" w:hAnsi="Times New Roman" w:eastAsia="宋体" w:cs="Times New Roman"/>
                <w:snapToGrid w:val="0"/>
                <w:color w:val="auto"/>
                <w:sz w:val="21"/>
                <w:szCs w:val="21"/>
                <w:vertAlign w:val="baseline"/>
                <w:lang w:val="en-US" w:eastAsia="zh-CN"/>
              </w:rPr>
              <w:t>。</w:t>
            </w:r>
          </w:p>
          <w:p w14:paraId="03E1F712">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firstLine="420" w:firstLineChars="200"/>
              <w:jc w:val="both"/>
              <w:textAlignment w:val="auto"/>
              <w:rPr>
                <w:rFonts w:hint="default" w:ascii="Times New Roman" w:hAnsi="Times New Roman" w:eastAsia="宋体" w:cs="Times New Roman"/>
                <w:snapToGrid w:val="0"/>
                <w:color w:val="auto"/>
                <w:sz w:val="21"/>
                <w:szCs w:val="21"/>
                <w:vertAlign w:val="baseline"/>
                <w:lang w:val="en-US" w:eastAsia="zh-CN"/>
              </w:rPr>
            </w:pPr>
            <w:r>
              <w:rPr>
                <w:rFonts w:hint="default" w:ascii="Times New Roman" w:hAnsi="Times New Roman" w:eastAsia="宋体" w:cs="Times New Roman"/>
                <w:snapToGrid w:val="0"/>
                <w:color w:val="auto"/>
                <w:sz w:val="21"/>
                <w:szCs w:val="21"/>
                <w:vertAlign w:val="baseline"/>
                <w:lang w:val="en-US" w:eastAsia="zh-CN"/>
              </w:rPr>
              <w:t>综上，项目有组织颗粒物排放量为0.2175t/a，无组织颗粒物排放量为0.2290t/a。采取车间密闭、严格管控等措施后，经AERSCREEN估算模式预测计算，厂界无组织颗粒物排放浓度能够《大气污染物综合排放标准》（GB16297-1996）表2中浓度限值要求。</w:t>
            </w:r>
          </w:p>
          <w:p w14:paraId="003E57D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pacing w:val="0"/>
                <w:w w:val="100"/>
                <w:position w:val="0"/>
                <w:sz w:val="21"/>
                <w:szCs w:val="21"/>
                <w:highlight w:val="none"/>
                <w:lang w:val="en-US" w:eastAsia="zh-CN"/>
              </w:rPr>
            </w:pPr>
            <w:r>
              <w:rPr>
                <w:rFonts w:hint="default" w:ascii="Times New Roman" w:hAnsi="Times New Roman" w:eastAsia="宋体" w:cs="Times New Roman"/>
                <w:b/>
                <w:bCs/>
                <w:color w:val="auto"/>
                <w:spacing w:val="0"/>
                <w:w w:val="100"/>
                <w:position w:val="0"/>
                <w:sz w:val="21"/>
                <w:szCs w:val="21"/>
                <w:highlight w:val="none"/>
              </w:rPr>
              <w:t>表</w:t>
            </w:r>
            <w:r>
              <w:rPr>
                <w:rFonts w:hint="default" w:ascii="Times New Roman" w:hAnsi="Times New Roman" w:eastAsia="宋体" w:cs="Times New Roman"/>
                <w:b/>
                <w:bCs/>
                <w:color w:val="auto"/>
                <w:spacing w:val="0"/>
                <w:w w:val="100"/>
                <w:position w:val="0"/>
                <w:sz w:val="21"/>
                <w:szCs w:val="21"/>
                <w:highlight w:val="none"/>
                <w:lang w:val="en-US" w:eastAsia="zh-CN"/>
              </w:rPr>
              <w:t>4-2 本项目</w:t>
            </w:r>
            <w:r>
              <w:rPr>
                <w:rFonts w:hint="default" w:ascii="Times New Roman" w:hAnsi="Times New Roman" w:eastAsia="宋体" w:cs="Times New Roman"/>
                <w:b/>
                <w:bCs/>
                <w:color w:val="auto"/>
                <w:spacing w:val="0"/>
                <w:w w:val="100"/>
                <w:position w:val="0"/>
                <w:sz w:val="21"/>
                <w:szCs w:val="21"/>
                <w:highlight w:val="none"/>
              </w:rPr>
              <w:t>废气排放情况汇总</w:t>
            </w:r>
            <w:r>
              <w:rPr>
                <w:rFonts w:hint="default" w:ascii="Times New Roman" w:hAnsi="Times New Roman" w:eastAsia="宋体" w:cs="Times New Roman"/>
                <w:b/>
                <w:bCs/>
                <w:color w:val="auto"/>
                <w:spacing w:val="0"/>
                <w:w w:val="100"/>
                <w:position w:val="0"/>
                <w:sz w:val="21"/>
                <w:szCs w:val="21"/>
                <w:highlight w:val="none"/>
                <w:lang w:val="en-US" w:eastAsia="zh-CN"/>
              </w:rPr>
              <w:t xml:space="preserve"> </w:t>
            </w:r>
          </w:p>
          <w:tbl>
            <w:tblPr>
              <w:tblStyle w:val="14"/>
              <w:tblW w:w="5000"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817"/>
              <w:gridCol w:w="1875"/>
              <w:gridCol w:w="1968"/>
              <w:gridCol w:w="2032"/>
            </w:tblGrid>
            <w:tr w14:paraId="638E560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1864" w:type="dxa"/>
                  <w:tcBorders>
                    <w:tl2br w:val="nil"/>
                    <w:tr2bl w:val="nil"/>
                  </w:tcBorders>
                  <w:noWrap w:val="0"/>
                  <w:vAlign w:val="center"/>
                </w:tcPr>
                <w:p w14:paraId="15D80862">
                  <w:pPr>
                    <w:pStyle w:val="22"/>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宋体" w:cs="Times New Roman"/>
                      <w:b/>
                      <w:bCs/>
                      <w:color w:val="auto"/>
                      <w:spacing w:val="0"/>
                      <w:w w:val="100"/>
                      <w:position w:val="0"/>
                      <w:sz w:val="21"/>
                      <w:szCs w:val="21"/>
                      <w:highlight w:val="none"/>
                    </w:rPr>
                  </w:pPr>
                  <w:r>
                    <w:rPr>
                      <w:rFonts w:hint="default" w:ascii="Times New Roman" w:hAnsi="Times New Roman" w:eastAsia="宋体" w:cs="Times New Roman"/>
                      <w:b/>
                      <w:bCs/>
                      <w:color w:val="auto"/>
                      <w:spacing w:val="0"/>
                      <w:w w:val="100"/>
                      <w:position w:val="0"/>
                      <w:sz w:val="21"/>
                      <w:szCs w:val="21"/>
                      <w:highlight w:val="none"/>
                    </w:rPr>
                    <w:t>废气污染物</w:t>
                  </w:r>
                </w:p>
              </w:tc>
              <w:tc>
                <w:tcPr>
                  <w:tcW w:w="1924" w:type="dxa"/>
                  <w:tcBorders>
                    <w:tl2br w:val="nil"/>
                    <w:tr2bl w:val="nil"/>
                  </w:tcBorders>
                  <w:noWrap w:val="0"/>
                  <w:vAlign w:val="center"/>
                </w:tcPr>
                <w:p w14:paraId="30EA771D">
                  <w:pPr>
                    <w:pStyle w:val="22"/>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宋体" w:cs="Times New Roman"/>
                      <w:b/>
                      <w:bCs/>
                      <w:color w:val="auto"/>
                      <w:spacing w:val="0"/>
                      <w:w w:val="100"/>
                      <w:position w:val="0"/>
                      <w:sz w:val="21"/>
                      <w:szCs w:val="21"/>
                      <w:highlight w:val="none"/>
                    </w:rPr>
                  </w:pPr>
                  <w:r>
                    <w:rPr>
                      <w:rFonts w:hint="default" w:ascii="Times New Roman" w:hAnsi="Times New Roman" w:eastAsia="宋体" w:cs="Times New Roman"/>
                      <w:b/>
                      <w:bCs/>
                      <w:color w:val="auto"/>
                      <w:spacing w:val="0"/>
                      <w:w w:val="100"/>
                      <w:position w:val="0"/>
                      <w:sz w:val="21"/>
                      <w:szCs w:val="21"/>
                      <w:highlight w:val="none"/>
                    </w:rPr>
                    <w:t>有组织</w:t>
                  </w:r>
                  <w:r>
                    <w:rPr>
                      <w:rFonts w:hint="default" w:ascii="Times New Roman" w:hAnsi="Times New Roman" w:eastAsia="宋体" w:cs="Times New Roman"/>
                      <w:b/>
                      <w:bCs/>
                      <w:color w:val="auto"/>
                      <w:spacing w:val="0"/>
                      <w:w w:val="100"/>
                      <w:position w:val="0"/>
                      <w:sz w:val="21"/>
                      <w:szCs w:val="21"/>
                      <w:highlight w:val="none"/>
                      <w:lang w:val="en-US" w:eastAsia="zh-CN"/>
                    </w:rPr>
                    <w:t>（t/a）</w:t>
                  </w:r>
                </w:p>
              </w:tc>
              <w:tc>
                <w:tcPr>
                  <w:tcW w:w="2019" w:type="dxa"/>
                  <w:tcBorders>
                    <w:tl2br w:val="nil"/>
                    <w:tr2bl w:val="nil"/>
                  </w:tcBorders>
                  <w:noWrap w:val="0"/>
                  <w:vAlign w:val="center"/>
                </w:tcPr>
                <w:p w14:paraId="20587B97">
                  <w:pPr>
                    <w:pStyle w:val="22"/>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宋体" w:cs="Times New Roman"/>
                      <w:b/>
                      <w:bCs/>
                      <w:color w:val="auto"/>
                      <w:spacing w:val="0"/>
                      <w:w w:val="100"/>
                      <w:position w:val="0"/>
                      <w:sz w:val="21"/>
                      <w:szCs w:val="21"/>
                      <w:highlight w:val="none"/>
                    </w:rPr>
                  </w:pPr>
                  <w:r>
                    <w:rPr>
                      <w:rFonts w:hint="default" w:ascii="Times New Roman" w:hAnsi="Times New Roman" w:eastAsia="宋体" w:cs="Times New Roman"/>
                      <w:b/>
                      <w:bCs/>
                      <w:color w:val="auto"/>
                      <w:spacing w:val="0"/>
                      <w:w w:val="100"/>
                      <w:position w:val="0"/>
                      <w:sz w:val="21"/>
                      <w:szCs w:val="21"/>
                      <w:highlight w:val="none"/>
                    </w:rPr>
                    <w:t>无组织</w:t>
                  </w:r>
                  <w:r>
                    <w:rPr>
                      <w:rFonts w:hint="default" w:ascii="Times New Roman" w:hAnsi="Times New Roman" w:eastAsia="宋体" w:cs="Times New Roman"/>
                      <w:b/>
                      <w:bCs/>
                      <w:color w:val="auto"/>
                      <w:spacing w:val="0"/>
                      <w:w w:val="100"/>
                      <w:position w:val="0"/>
                      <w:sz w:val="21"/>
                      <w:szCs w:val="21"/>
                      <w:highlight w:val="none"/>
                      <w:lang w:val="en-US" w:eastAsia="zh-CN"/>
                    </w:rPr>
                    <w:t>（t/a）</w:t>
                  </w:r>
                </w:p>
              </w:tc>
              <w:tc>
                <w:tcPr>
                  <w:tcW w:w="2084" w:type="dxa"/>
                  <w:tcBorders>
                    <w:tl2br w:val="nil"/>
                    <w:tr2bl w:val="nil"/>
                  </w:tcBorders>
                  <w:noWrap w:val="0"/>
                  <w:vAlign w:val="center"/>
                </w:tcPr>
                <w:p w14:paraId="59493084">
                  <w:pPr>
                    <w:pStyle w:val="22"/>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宋体" w:cs="Times New Roman"/>
                      <w:b/>
                      <w:bCs/>
                      <w:color w:val="auto"/>
                      <w:spacing w:val="0"/>
                      <w:w w:val="100"/>
                      <w:position w:val="0"/>
                      <w:sz w:val="21"/>
                      <w:szCs w:val="21"/>
                      <w:highlight w:val="none"/>
                      <w:lang w:eastAsia="zh-CN"/>
                    </w:rPr>
                  </w:pPr>
                  <w:r>
                    <w:rPr>
                      <w:rFonts w:hint="default" w:ascii="Times New Roman" w:hAnsi="Times New Roman" w:eastAsia="宋体" w:cs="Times New Roman"/>
                      <w:b/>
                      <w:bCs/>
                      <w:color w:val="auto"/>
                      <w:spacing w:val="0"/>
                      <w:w w:val="100"/>
                      <w:position w:val="0"/>
                      <w:sz w:val="21"/>
                      <w:szCs w:val="21"/>
                      <w:highlight w:val="none"/>
                      <w:lang w:eastAsia="zh-CN"/>
                    </w:rPr>
                    <w:t>合计</w:t>
                  </w:r>
                  <w:r>
                    <w:rPr>
                      <w:rFonts w:hint="default" w:ascii="Times New Roman" w:hAnsi="Times New Roman" w:eastAsia="宋体" w:cs="Times New Roman"/>
                      <w:b/>
                      <w:bCs/>
                      <w:color w:val="auto"/>
                      <w:spacing w:val="0"/>
                      <w:w w:val="100"/>
                      <w:position w:val="0"/>
                      <w:sz w:val="21"/>
                      <w:szCs w:val="21"/>
                      <w:highlight w:val="none"/>
                      <w:lang w:val="en-US" w:eastAsia="zh-CN"/>
                    </w:rPr>
                    <w:t>（t/a）</w:t>
                  </w:r>
                </w:p>
              </w:tc>
            </w:tr>
            <w:tr w14:paraId="65A83BB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1864" w:type="dxa"/>
                  <w:tcBorders>
                    <w:tl2br w:val="nil"/>
                    <w:tr2bl w:val="nil"/>
                  </w:tcBorders>
                  <w:shd w:val="clear" w:color="auto" w:fill="auto"/>
                  <w:noWrap w:val="0"/>
                  <w:vAlign w:val="center"/>
                </w:tcPr>
                <w:p w14:paraId="7B737C6A">
                  <w:pPr>
                    <w:pStyle w:val="22"/>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color w:val="auto"/>
                      <w:spacing w:val="0"/>
                      <w:w w:val="100"/>
                      <w:kern w:val="2"/>
                      <w:position w:val="0"/>
                      <w:sz w:val="21"/>
                      <w:szCs w:val="21"/>
                      <w:highlight w:val="none"/>
                      <w:lang w:val="en-US" w:eastAsia="zh-CN" w:bidi="zh-CN"/>
                    </w:rPr>
                  </w:pPr>
                  <w:r>
                    <w:rPr>
                      <w:rFonts w:hint="default" w:ascii="Times New Roman" w:hAnsi="Times New Roman" w:eastAsia="宋体" w:cs="Times New Roman"/>
                      <w:color w:val="auto"/>
                      <w:kern w:val="2"/>
                      <w:sz w:val="21"/>
                      <w:szCs w:val="24"/>
                      <w:highlight w:val="none"/>
                      <w:lang w:val="en-US" w:eastAsia="zh-CN" w:bidi="ar-SA"/>
                    </w:rPr>
                    <w:t>颗粒物</w:t>
                  </w:r>
                </w:p>
              </w:tc>
              <w:tc>
                <w:tcPr>
                  <w:tcW w:w="1924" w:type="dxa"/>
                  <w:tcBorders>
                    <w:tl2br w:val="nil"/>
                    <w:tr2bl w:val="nil"/>
                  </w:tcBorders>
                  <w:shd w:val="clear" w:color="auto" w:fill="auto"/>
                  <w:noWrap w:val="0"/>
                  <w:vAlign w:val="center"/>
                </w:tcPr>
                <w:p w14:paraId="79DE0205">
                  <w:pPr>
                    <w:keepNext w:val="0"/>
                    <w:keepLines w:val="0"/>
                    <w:widowControl/>
                    <w:suppressLineNumbers w:val="0"/>
                    <w:jc w:val="center"/>
                    <w:textAlignment w:val="center"/>
                    <w:rPr>
                      <w:rFonts w:hint="default" w:ascii="Times New Roman" w:hAnsi="Times New Roman" w:eastAsia="宋体" w:cs="Times New Roman"/>
                      <w:color w:val="auto"/>
                      <w:spacing w:val="0"/>
                      <w:w w:val="100"/>
                      <w:kern w:val="2"/>
                      <w:position w:val="0"/>
                      <w:sz w:val="21"/>
                      <w:szCs w:val="21"/>
                      <w:highlight w:val="none"/>
                      <w:lang w:val="en-US" w:eastAsia="zh-CN" w:bidi="zh-CN"/>
                    </w:rPr>
                  </w:pPr>
                  <w:r>
                    <w:rPr>
                      <w:rFonts w:hint="default" w:ascii="Times New Roman" w:hAnsi="Times New Roman" w:eastAsia="宋体" w:cs="Times New Roman"/>
                      <w:color w:val="auto"/>
                      <w:spacing w:val="0"/>
                      <w:w w:val="100"/>
                      <w:kern w:val="2"/>
                      <w:position w:val="0"/>
                      <w:sz w:val="21"/>
                      <w:szCs w:val="21"/>
                      <w:highlight w:val="none"/>
                      <w:lang w:val="en-US" w:eastAsia="zh-CN" w:bidi="zh-CN"/>
                    </w:rPr>
                    <w:t>0.2175</w:t>
                  </w:r>
                </w:p>
              </w:tc>
              <w:tc>
                <w:tcPr>
                  <w:tcW w:w="2019" w:type="dxa"/>
                  <w:tcBorders>
                    <w:tl2br w:val="nil"/>
                    <w:tr2bl w:val="nil"/>
                  </w:tcBorders>
                  <w:shd w:val="clear" w:color="auto" w:fill="auto"/>
                  <w:noWrap w:val="0"/>
                  <w:vAlign w:val="center"/>
                </w:tcPr>
                <w:p w14:paraId="2E42E795">
                  <w:pPr>
                    <w:keepNext w:val="0"/>
                    <w:keepLines w:val="0"/>
                    <w:widowControl/>
                    <w:suppressLineNumbers w:val="0"/>
                    <w:jc w:val="center"/>
                    <w:textAlignment w:val="center"/>
                    <w:rPr>
                      <w:rFonts w:hint="default" w:ascii="Times New Roman" w:hAnsi="Times New Roman" w:eastAsia="宋体" w:cs="Times New Roman"/>
                      <w:color w:val="auto"/>
                      <w:spacing w:val="0"/>
                      <w:w w:val="100"/>
                      <w:kern w:val="2"/>
                      <w:position w:val="0"/>
                      <w:sz w:val="21"/>
                      <w:szCs w:val="21"/>
                      <w:highlight w:val="none"/>
                      <w:lang w:val="en-US" w:eastAsia="zh-CN" w:bidi="zh-CN"/>
                    </w:rPr>
                  </w:pPr>
                  <w:r>
                    <w:rPr>
                      <w:rFonts w:hint="default" w:ascii="Times New Roman" w:hAnsi="Times New Roman" w:eastAsia="宋体" w:cs="Times New Roman"/>
                      <w:snapToGrid w:val="0"/>
                      <w:color w:val="auto"/>
                      <w:sz w:val="21"/>
                      <w:szCs w:val="21"/>
                      <w:vertAlign w:val="baseline"/>
                      <w:lang w:val="en-US" w:eastAsia="zh-CN"/>
                    </w:rPr>
                    <w:t>0.2290</w:t>
                  </w:r>
                </w:p>
              </w:tc>
              <w:tc>
                <w:tcPr>
                  <w:tcW w:w="2084" w:type="dxa"/>
                  <w:tcBorders>
                    <w:tl2br w:val="nil"/>
                    <w:tr2bl w:val="nil"/>
                  </w:tcBorders>
                  <w:shd w:val="clear" w:color="auto" w:fill="auto"/>
                  <w:noWrap w:val="0"/>
                  <w:vAlign w:val="center"/>
                </w:tcPr>
                <w:p w14:paraId="1C9FFBD5">
                  <w:pPr>
                    <w:keepNext w:val="0"/>
                    <w:keepLines w:val="0"/>
                    <w:widowControl/>
                    <w:suppressLineNumbers w:val="0"/>
                    <w:jc w:val="center"/>
                    <w:textAlignment w:val="center"/>
                    <w:rPr>
                      <w:rFonts w:hint="default" w:ascii="Times New Roman" w:hAnsi="Times New Roman" w:eastAsia="宋体" w:cs="Times New Roman"/>
                      <w:color w:val="auto"/>
                      <w:spacing w:val="0"/>
                      <w:w w:val="100"/>
                      <w:kern w:val="2"/>
                      <w:position w:val="0"/>
                      <w:sz w:val="21"/>
                      <w:szCs w:val="21"/>
                      <w:highlight w:val="none"/>
                      <w:lang w:val="en-US" w:eastAsia="zh-CN" w:bidi="zh-CN"/>
                    </w:rPr>
                  </w:pPr>
                  <w:r>
                    <w:rPr>
                      <w:rFonts w:hint="default" w:ascii="Times New Roman" w:hAnsi="Times New Roman" w:eastAsia="宋体" w:cs="Times New Roman"/>
                      <w:color w:val="auto"/>
                      <w:spacing w:val="0"/>
                      <w:w w:val="100"/>
                      <w:kern w:val="2"/>
                      <w:position w:val="0"/>
                      <w:sz w:val="21"/>
                      <w:szCs w:val="21"/>
                      <w:highlight w:val="none"/>
                      <w:lang w:val="en-US" w:eastAsia="zh-CN" w:bidi="zh-CN"/>
                    </w:rPr>
                    <w:t>0.4465</w:t>
                  </w:r>
                </w:p>
              </w:tc>
            </w:tr>
          </w:tbl>
          <w:p w14:paraId="5EDB13A9">
            <w:pPr>
              <w:autoSpaceDE w:val="0"/>
              <w:autoSpaceDN w:val="0"/>
              <w:adjustRightInd w:val="0"/>
              <w:spacing w:line="360" w:lineRule="auto"/>
              <w:ind w:firstLine="480"/>
              <w:rPr>
                <w:rFonts w:hint="default" w:ascii="Times New Roman" w:hAnsi="Times New Roman" w:eastAsia="宋体" w:cs="Times New Roman"/>
                <w:color w:val="auto"/>
                <w:lang w:val="zh-CN"/>
              </w:rPr>
            </w:pPr>
            <w:r>
              <w:rPr>
                <w:rFonts w:hint="default" w:ascii="Times New Roman" w:hAnsi="Times New Roman" w:eastAsia="宋体" w:cs="Times New Roman"/>
                <w:color w:val="auto"/>
                <w:lang w:val="zh-CN"/>
              </w:rPr>
              <w:t>废气产排污节点、污染物及污染治理设施见下表。</w:t>
            </w:r>
          </w:p>
          <w:p w14:paraId="2E542EF1">
            <w:pPr>
              <w:keepNext w:val="0"/>
              <w:keepLines w:val="0"/>
              <w:pageBreakBefore w:val="0"/>
              <w:widowControl w:val="0"/>
              <w:numPr>
                <w:ilvl w:val="0"/>
                <w:numId w:val="0"/>
              </w:numPr>
              <w:kinsoku/>
              <w:wordWrap/>
              <w:overflowPunct/>
              <w:topLinePunct w:val="0"/>
              <w:autoSpaceDE/>
              <w:autoSpaceDN/>
              <w:bidi w:val="0"/>
              <w:adjustRightInd/>
              <w:snapToGrid/>
              <w:ind w:leftChars="0"/>
              <w:jc w:val="center"/>
              <w:textAlignment w:val="auto"/>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lang w:val="en-US" w:eastAsia="zh-CN"/>
              </w:rPr>
              <w:t xml:space="preserve">表4-3 </w:t>
            </w:r>
            <w:r>
              <w:rPr>
                <w:rFonts w:hint="default" w:ascii="Times New Roman" w:hAnsi="Times New Roman" w:eastAsia="宋体" w:cs="Times New Roman"/>
                <w:b/>
                <w:bCs/>
                <w:color w:val="auto"/>
                <w:szCs w:val="21"/>
              </w:rPr>
              <w:t>废气产</w:t>
            </w:r>
            <w:r>
              <w:rPr>
                <w:rFonts w:hint="default" w:ascii="Times New Roman" w:hAnsi="Times New Roman" w:eastAsia="宋体" w:cs="Times New Roman"/>
                <w:b/>
                <w:color w:val="auto"/>
                <w:szCs w:val="21"/>
              </w:rPr>
              <w:t>排污</w:t>
            </w:r>
            <w:r>
              <w:rPr>
                <w:rFonts w:hint="default" w:ascii="Times New Roman" w:hAnsi="Times New Roman" w:eastAsia="宋体" w:cs="Times New Roman"/>
                <w:b/>
                <w:bCs/>
                <w:color w:val="auto"/>
                <w:szCs w:val="21"/>
              </w:rPr>
              <w:t>节点、污染物及污染治理设施信息表</w:t>
            </w:r>
          </w:p>
          <w:tbl>
            <w:tblPr>
              <w:tblStyle w:val="14"/>
              <w:tblW w:w="5000"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
            <w:tblGrid>
              <w:gridCol w:w="449"/>
              <w:gridCol w:w="532"/>
              <w:gridCol w:w="598"/>
              <w:gridCol w:w="584"/>
              <w:gridCol w:w="675"/>
              <w:gridCol w:w="539"/>
              <w:gridCol w:w="396"/>
              <w:gridCol w:w="441"/>
              <w:gridCol w:w="399"/>
              <w:gridCol w:w="240"/>
              <w:gridCol w:w="596"/>
              <w:gridCol w:w="578"/>
              <w:gridCol w:w="573"/>
              <w:gridCol w:w="446"/>
              <w:gridCol w:w="646"/>
            </w:tblGrid>
            <w:tr w14:paraId="2BF3C19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449" w:type="dxa"/>
                  <w:vMerge w:val="restart"/>
                  <w:tcBorders>
                    <w:tl2br w:val="nil"/>
                    <w:tr2bl w:val="nil"/>
                  </w:tcBorders>
                  <w:vAlign w:val="center"/>
                </w:tcPr>
                <w:p w14:paraId="4859C133">
                  <w:pPr>
                    <w:spacing w:line="240" w:lineRule="auto"/>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产污环节</w:t>
                  </w:r>
                </w:p>
              </w:tc>
              <w:tc>
                <w:tcPr>
                  <w:tcW w:w="532" w:type="dxa"/>
                  <w:vMerge w:val="restart"/>
                  <w:tcBorders>
                    <w:tl2br w:val="nil"/>
                    <w:tr2bl w:val="nil"/>
                  </w:tcBorders>
                  <w:vAlign w:val="center"/>
                </w:tcPr>
                <w:p w14:paraId="68C5592A">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w:t>
                  </w:r>
                </w:p>
                <w:p w14:paraId="489CB5B1">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种类</w:t>
                  </w:r>
                </w:p>
              </w:tc>
              <w:tc>
                <w:tcPr>
                  <w:tcW w:w="1857" w:type="dxa"/>
                  <w:gridSpan w:val="3"/>
                  <w:tcBorders>
                    <w:tl2br w:val="nil"/>
                    <w:tr2bl w:val="nil"/>
                  </w:tcBorders>
                  <w:vAlign w:val="center"/>
                </w:tcPr>
                <w:p w14:paraId="52D65A8E">
                  <w:pPr>
                    <w:spacing w:line="240" w:lineRule="auto"/>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污染物产生</w:t>
                  </w:r>
                </w:p>
              </w:tc>
              <w:tc>
                <w:tcPr>
                  <w:tcW w:w="2015" w:type="dxa"/>
                  <w:gridSpan w:val="5"/>
                  <w:tcBorders>
                    <w:tl2br w:val="nil"/>
                    <w:tr2bl w:val="nil"/>
                  </w:tcBorders>
                  <w:vAlign w:val="center"/>
                </w:tcPr>
                <w:p w14:paraId="06406E94">
                  <w:pPr>
                    <w:spacing w:line="240" w:lineRule="auto"/>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治理设施</w:t>
                  </w:r>
                </w:p>
              </w:tc>
              <w:tc>
                <w:tcPr>
                  <w:tcW w:w="2839" w:type="dxa"/>
                  <w:gridSpan w:val="5"/>
                  <w:tcBorders>
                    <w:tl2br w:val="nil"/>
                    <w:tr2bl w:val="nil"/>
                  </w:tcBorders>
                  <w:vAlign w:val="center"/>
                </w:tcPr>
                <w:p w14:paraId="10D8F2E8">
                  <w:pPr>
                    <w:spacing w:line="240" w:lineRule="auto"/>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rPr>
                    <w:t>污染物排放</w:t>
                  </w:r>
                </w:p>
              </w:tc>
            </w:tr>
            <w:tr w14:paraId="0A3D0AB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449" w:type="dxa"/>
                  <w:vMerge w:val="continue"/>
                  <w:tcBorders>
                    <w:tl2br w:val="nil"/>
                    <w:tr2bl w:val="nil"/>
                  </w:tcBorders>
                  <w:vAlign w:val="center"/>
                </w:tcPr>
                <w:p w14:paraId="3033C598">
                  <w:pPr>
                    <w:spacing w:line="240" w:lineRule="auto"/>
                    <w:jc w:val="center"/>
                    <w:rPr>
                      <w:rFonts w:hint="default" w:ascii="Times New Roman" w:hAnsi="Times New Roman" w:eastAsia="宋体" w:cs="Times New Roman"/>
                      <w:color w:val="auto"/>
                      <w:sz w:val="21"/>
                      <w:szCs w:val="21"/>
                    </w:rPr>
                  </w:pPr>
                </w:p>
              </w:tc>
              <w:tc>
                <w:tcPr>
                  <w:tcW w:w="532" w:type="dxa"/>
                  <w:vMerge w:val="continue"/>
                  <w:tcBorders>
                    <w:tl2br w:val="nil"/>
                    <w:tr2bl w:val="nil"/>
                  </w:tcBorders>
                  <w:vAlign w:val="center"/>
                </w:tcPr>
                <w:p w14:paraId="52858704">
                  <w:pPr>
                    <w:spacing w:line="240" w:lineRule="auto"/>
                    <w:jc w:val="center"/>
                    <w:rPr>
                      <w:rFonts w:hint="default" w:ascii="Times New Roman" w:hAnsi="Times New Roman" w:eastAsia="宋体" w:cs="Times New Roman"/>
                      <w:color w:val="auto"/>
                      <w:sz w:val="21"/>
                      <w:szCs w:val="21"/>
                    </w:rPr>
                  </w:pPr>
                </w:p>
              </w:tc>
              <w:tc>
                <w:tcPr>
                  <w:tcW w:w="598" w:type="dxa"/>
                  <w:tcBorders>
                    <w:tl2br w:val="nil"/>
                    <w:tr2bl w:val="nil"/>
                  </w:tcBorders>
                  <w:vAlign w:val="center"/>
                </w:tcPr>
                <w:p w14:paraId="1B5E4168">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有组织</w:t>
                  </w:r>
                  <w:r>
                    <w:rPr>
                      <w:rFonts w:hint="default" w:ascii="Times New Roman" w:hAnsi="Times New Roman" w:eastAsia="宋体" w:cs="Times New Roman"/>
                      <w:color w:val="auto"/>
                      <w:sz w:val="21"/>
                      <w:szCs w:val="21"/>
                    </w:rPr>
                    <w:t>产生量t/a</w:t>
                  </w:r>
                </w:p>
              </w:tc>
              <w:tc>
                <w:tcPr>
                  <w:tcW w:w="584" w:type="dxa"/>
                  <w:tcBorders>
                    <w:tl2br w:val="nil"/>
                    <w:tr2bl w:val="nil"/>
                  </w:tcBorders>
                  <w:vAlign w:val="center"/>
                </w:tcPr>
                <w:p w14:paraId="363B5D0F">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产生浓度mg/m</w:t>
                  </w:r>
                  <w:r>
                    <w:rPr>
                      <w:rFonts w:hint="default" w:ascii="Times New Roman" w:hAnsi="Times New Roman" w:eastAsia="宋体" w:cs="Times New Roman"/>
                      <w:color w:val="auto"/>
                      <w:sz w:val="21"/>
                      <w:szCs w:val="21"/>
                      <w:vertAlign w:val="superscript"/>
                    </w:rPr>
                    <w:t>3</w:t>
                  </w:r>
                </w:p>
              </w:tc>
              <w:tc>
                <w:tcPr>
                  <w:tcW w:w="675" w:type="dxa"/>
                  <w:tcBorders>
                    <w:tl2br w:val="nil"/>
                    <w:tr2bl w:val="nil"/>
                  </w:tcBorders>
                  <w:vAlign w:val="center"/>
                </w:tcPr>
                <w:p w14:paraId="30A3475C">
                  <w:pPr>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eastAsia="zh-CN"/>
                    </w:rPr>
                    <w:t>产生速率</w:t>
                  </w:r>
                  <w:r>
                    <w:rPr>
                      <w:rFonts w:hint="default" w:ascii="Times New Roman" w:hAnsi="Times New Roman" w:eastAsia="宋体" w:cs="Times New Roman"/>
                      <w:color w:val="auto"/>
                      <w:sz w:val="21"/>
                      <w:szCs w:val="21"/>
                      <w:lang w:val="en-US" w:eastAsia="zh-CN"/>
                    </w:rPr>
                    <w:t>kg/h</w:t>
                  </w:r>
                </w:p>
              </w:tc>
              <w:tc>
                <w:tcPr>
                  <w:tcW w:w="539" w:type="dxa"/>
                  <w:tcBorders>
                    <w:tl2br w:val="nil"/>
                    <w:tr2bl w:val="nil"/>
                  </w:tcBorders>
                  <w:vAlign w:val="center"/>
                </w:tcPr>
                <w:p w14:paraId="33519DF2">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处理能力m</w:t>
                  </w:r>
                  <w:r>
                    <w:rPr>
                      <w:rFonts w:hint="default"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sz w:val="21"/>
                      <w:szCs w:val="21"/>
                    </w:rPr>
                    <w:t>/h</w:t>
                  </w:r>
                </w:p>
              </w:tc>
              <w:tc>
                <w:tcPr>
                  <w:tcW w:w="396" w:type="dxa"/>
                  <w:tcBorders>
                    <w:tl2br w:val="nil"/>
                    <w:tr2bl w:val="nil"/>
                  </w:tcBorders>
                  <w:vAlign w:val="center"/>
                </w:tcPr>
                <w:p w14:paraId="21FEC26C">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收集率%</w:t>
                  </w:r>
                </w:p>
              </w:tc>
              <w:tc>
                <w:tcPr>
                  <w:tcW w:w="441" w:type="dxa"/>
                  <w:tcBorders>
                    <w:tl2br w:val="nil"/>
                    <w:tr2bl w:val="nil"/>
                  </w:tcBorders>
                  <w:vAlign w:val="center"/>
                </w:tcPr>
                <w:p w14:paraId="0F17B21E">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治理工艺</w:t>
                  </w:r>
                </w:p>
              </w:tc>
              <w:tc>
                <w:tcPr>
                  <w:tcW w:w="399" w:type="dxa"/>
                  <w:tcBorders>
                    <w:tl2br w:val="nil"/>
                    <w:tr2bl w:val="nil"/>
                  </w:tcBorders>
                  <w:vAlign w:val="center"/>
                </w:tcPr>
                <w:p w14:paraId="4678D4F6">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去除率%</w:t>
                  </w:r>
                </w:p>
              </w:tc>
              <w:tc>
                <w:tcPr>
                  <w:tcW w:w="240" w:type="dxa"/>
                  <w:tcBorders>
                    <w:tl2br w:val="nil"/>
                    <w:tr2bl w:val="nil"/>
                  </w:tcBorders>
                  <w:vAlign w:val="center"/>
                </w:tcPr>
                <w:p w14:paraId="51D2185E">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是否为可行技术</w:t>
                  </w:r>
                </w:p>
              </w:tc>
              <w:tc>
                <w:tcPr>
                  <w:tcW w:w="596" w:type="dxa"/>
                  <w:tcBorders>
                    <w:tl2br w:val="nil"/>
                    <w:tr2bl w:val="nil"/>
                  </w:tcBorders>
                  <w:vAlign w:val="center"/>
                </w:tcPr>
                <w:p w14:paraId="5EA1AC55">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排放量t/a</w:t>
                  </w:r>
                </w:p>
              </w:tc>
              <w:tc>
                <w:tcPr>
                  <w:tcW w:w="578" w:type="dxa"/>
                  <w:tcBorders>
                    <w:tl2br w:val="nil"/>
                    <w:tr2bl w:val="nil"/>
                  </w:tcBorders>
                  <w:vAlign w:val="center"/>
                </w:tcPr>
                <w:p w14:paraId="157EEC8C">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排放浓度mg/m</w:t>
                  </w:r>
                  <w:r>
                    <w:rPr>
                      <w:rFonts w:hint="default" w:ascii="Times New Roman" w:hAnsi="Times New Roman" w:eastAsia="宋体" w:cs="Times New Roman"/>
                      <w:color w:val="auto"/>
                      <w:sz w:val="21"/>
                      <w:szCs w:val="21"/>
                      <w:vertAlign w:val="superscript"/>
                    </w:rPr>
                    <w:t>3</w:t>
                  </w:r>
                </w:p>
              </w:tc>
              <w:tc>
                <w:tcPr>
                  <w:tcW w:w="573" w:type="dxa"/>
                  <w:tcBorders>
                    <w:tl2br w:val="nil"/>
                    <w:tr2bl w:val="nil"/>
                  </w:tcBorders>
                  <w:vAlign w:val="center"/>
                </w:tcPr>
                <w:p w14:paraId="473DB26A">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排放速率kg/h</w:t>
                  </w:r>
                </w:p>
              </w:tc>
              <w:tc>
                <w:tcPr>
                  <w:tcW w:w="446" w:type="dxa"/>
                  <w:tcBorders>
                    <w:tl2br w:val="nil"/>
                    <w:tr2bl w:val="nil"/>
                  </w:tcBorders>
                  <w:vAlign w:val="center"/>
                </w:tcPr>
                <w:p w14:paraId="68AB6729">
                  <w:pPr>
                    <w:spacing w:line="240" w:lineRule="auto"/>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持续时间</w:t>
                  </w:r>
                </w:p>
                <w:p w14:paraId="44AFBBAE">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h/a</w:t>
                  </w:r>
                </w:p>
              </w:tc>
              <w:tc>
                <w:tcPr>
                  <w:tcW w:w="646" w:type="dxa"/>
                  <w:tcBorders>
                    <w:tl2br w:val="nil"/>
                    <w:tr2bl w:val="nil"/>
                  </w:tcBorders>
                  <w:vAlign w:val="center"/>
                </w:tcPr>
                <w:p w14:paraId="7711B083">
                  <w:pPr>
                    <w:spacing w:line="240" w:lineRule="auto"/>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排放形</w:t>
                  </w:r>
                  <w:bookmarkStart w:id="3" w:name="_GoBack"/>
                  <w:bookmarkEnd w:id="3"/>
                  <w:r>
                    <w:rPr>
                      <w:rFonts w:hint="default" w:ascii="Times New Roman" w:hAnsi="Times New Roman" w:eastAsia="宋体" w:cs="Times New Roman"/>
                      <w:color w:val="auto"/>
                      <w:sz w:val="21"/>
                      <w:szCs w:val="21"/>
                      <w:lang w:eastAsia="zh-CN"/>
                    </w:rPr>
                    <w:t>式</w:t>
                  </w:r>
                </w:p>
              </w:tc>
            </w:tr>
            <w:tr w14:paraId="0B63DE1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449" w:type="dxa"/>
                  <w:tcBorders>
                    <w:tl2br w:val="nil"/>
                    <w:tr2bl w:val="nil"/>
                  </w:tcBorders>
                  <w:vAlign w:val="center"/>
                </w:tcPr>
                <w:p w14:paraId="3815B9FD">
                  <w:pPr>
                    <w:spacing w:line="240" w:lineRule="auto"/>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val="en-US" w:eastAsia="zh-CN"/>
                    </w:rPr>
                    <w:t>破碎、对辊破碎、粗筛分、整形粉磨、细筛分工序</w:t>
                  </w:r>
                </w:p>
              </w:tc>
              <w:tc>
                <w:tcPr>
                  <w:tcW w:w="532" w:type="dxa"/>
                  <w:tcBorders>
                    <w:tl2br w:val="nil"/>
                    <w:tr2bl w:val="nil"/>
                  </w:tcBorders>
                  <w:vAlign w:val="center"/>
                </w:tcPr>
                <w:p w14:paraId="00CA69AF">
                  <w:pPr>
                    <w:spacing w:line="240" w:lineRule="auto"/>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颗粒物</w:t>
                  </w:r>
                </w:p>
              </w:tc>
              <w:tc>
                <w:tcPr>
                  <w:tcW w:w="598" w:type="dxa"/>
                  <w:tcBorders>
                    <w:tl2br w:val="nil"/>
                    <w:tr2bl w:val="nil"/>
                  </w:tcBorders>
                  <w:vAlign w:val="center"/>
                </w:tcPr>
                <w:p w14:paraId="2DBBE8F2">
                  <w:pPr>
                    <w:keepNext w:val="0"/>
                    <w:keepLines w:val="0"/>
                    <w:widowControl/>
                    <w:suppressLineNumbers w:val="0"/>
                    <w:jc w:val="center"/>
                    <w:textAlignment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22.9000</w:t>
                  </w:r>
                </w:p>
              </w:tc>
              <w:tc>
                <w:tcPr>
                  <w:tcW w:w="584" w:type="dxa"/>
                  <w:tcBorders>
                    <w:tl2br w:val="nil"/>
                    <w:tr2bl w:val="nil"/>
                  </w:tcBorders>
                  <w:vAlign w:val="center"/>
                </w:tcPr>
                <w:p w14:paraId="0F53BE1F">
                  <w:pPr>
                    <w:keepNext w:val="0"/>
                    <w:keepLines w:val="0"/>
                    <w:widowControl/>
                    <w:suppressLineNumbers w:val="0"/>
                    <w:jc w:val="center"/>
                    <w:textAlignment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i w:val="0"/>
                      <w:iCs w:val="0"/>
                      <w:color w:val="FF0000"/>
                      <w:kern w:val="0"/>
                      <w:sz w:val="21"/>
                      <w:szCs w:val="21"/>
                      <w:u w:val="none"/>
                      <w:lang w:val="en-US" w:eastAsia="zh-CN" w:bidi="ar"/>
                    </w:rPr>
                    <w:t xml:space="preserve">477.08 </w:t>
                  </w:r>
                </w:p>
              </w:tc>
              <w:tc>
                <w:tcPr>
                  <w:tcW w:w="675" w:type="dxa"/>
                  <w:tcBorders>
                    <w:tl2br w:val="nil"/>
                    <w:tr2bl w:val="nil"/>
                  </w:tcBorders>
                  <w:vAlign w:val="center"/>
                </w:tcPr>
                <w:p w14:paraId="53950583">
                  <w:pPr>
                    <w:keepNext w:val="0"/>
                    <w:keepLines w:val="0"/>
                    <w:widowControl/>
                    <w:suppressLineNumbers w:val="0"/>
                    <w:jc w:val="center"/>
                    <w:textAlignment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i w:val="0"/>
                      <w:iCs w:val="0"/>
                      <w:color w:val="FF0000"/>
                      <w:kern w:val="0"/>
                      <w:sz w:val="21"/>
                      <w:szCs w:val="21"/>
                      <w:u w:val="none"/>
                      <w:lang w:val="en-US" w:eastAsia="zh-CN" w:bidi="ar"/>
                    </w:rPr>
                    <w:t>9.5417</w:t>
                  </w:r>
                </w:p>
              </w:tc>
              <w:tc>
                <w:tcPr>
                  <w:tcW w:w="539" w:type="dxa"/>
                  <w:tcBorders>
                    <w:tl2br w:val="nil"/>
                    <w:tr2bl w:val="nil"/>
                  </w:tcBorders>
                  <w:vAlign w:val="center"/>
                </w:tcPr>
                <w:p w14:paraId="21B4C26E">
                  <w:pPr>
                    <w:spacing w:line="240" w:lineRule="auto"/>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20000</w:t>
                  </w:r>
                </w:p>
              </w:tc>
              <w:tc>
                <w:tcPr>
                  <w:tcW w:w="396" w:type="dxa"/>
                  <w:tcBorders>
                    <w:tl2br w:val="nil"/>
                    <w:tr2bl w:val="nil"/>
                  </w:tcBorders>
                  <w:vAlign w:val="center"/>
                </w:tcPr>
                <w:p w14:paraId="1C74EC08">
                  <w:pPr>
                    <w:spacing w:line="240" w:lineRule="auto"/>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95</w:t>
                  </w:r>
                </w:p>
              </w:tc>
              <w:tc>
                <w:tcPr>
                  <w:tcW w:w="441" w:type="dxa"/>
                  <w:tcBorders>
                    <w:tl2br w:val="nil"/>
                    <w:tr2bl w:val="nil"/>
                  </w:tcBorders>
                  <w:vAlign w:val="center"/>
                </w:tcPr>
                <w:p w14:paraId="7FA24A53">
                  <w:pPr>
                    <w:spacing w:line="240" w:lineRule="auto"/>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集气罩+脉冲式布袋除尘器</w:t>
                  </w:r>
                </w:p>
              </w:tc>
              <w:tc>
                <w:tcPr>
                  <w:tcW w:w="399" w:type="dxa"/>
                  <w:tcBorders>
                    <w:tl2br w:val="nil"/>
                    <w:tr2bl w:val="nil"/>
                  </w:tcBorders>
                  <w:vAlign w:val="center"/>
                </w:tcPr>
                <w:p w14:paraId="7A9FA7AB">
                  <w:pPr>
                    <w:spacing w:line="240" w:lineRule="auto"/>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99</w:t>
                  </w:r>
                </w:p>
              </w:tc>
              <w:tc>
                <w:tcPr>
                  <w:tcW w:w="240" w:type="dxa"/>
                  <w:tcBorders>
                    <w:tl2br w:val="nil"/>
                    <w:tr2bl w:val="nil"/>
                  </w:tcBorders>
                  <w:vAlign w:val="center"/>
                </w:tcPr>
                <w:p w14:paraId="7C8A45CD">
                  <w:pPr>
                    <w:spacing w:line="240" w:lineRule="auto"/>
                    <w:jc w:val="center"/>
                    <w:rPr>
                      <w:rFonts w:hint="default" w:ascii="Times New Roman" w:hAnsi="Times New Roman" w:eastAsia="宋体" w:cs="Times New Roman"/>
                      <w:color w:val="FF0000"/>
                      <w:sz w:val="21"/>
                      <w:szCs w:val="21"/>
                      <w:lang w:eastAsia="zh-CN"/>
                    </w:rPr>
                  </w:pPr>
                  <w:r>
                    <w:rPr>
                      <w:rFonts w:hint="default" w:ascii="Times New Roman" w:hAnsi="Times New Roman" w:eastAsia="宋体" w:cs="Times New Roman"/>
                      <w:color w:val="FF0000"/>
                      <w:sz w:val="21"/>
                      <w:szCs w:val="21"/>
                      <w:lang w:eastAsia="zh-CN"/>
                    </w:rPr>
                    <w:t>是</w:t>
                  </w:r>
                </w:p>
              </w:tc>
              <w:tc>
                <w:tcPr>
                  <w:tcW w:w="596" w:type="dxa"/>
                  <w:tcBorders>
                    <w:tl2br w:val="nil"/>
                    <w:tr2bl w:val="nil"/>
                  </w:tcBorders>
                  <w:vAlign w:val="center"/>
                </w:tcPr>
                <w:p w14:paraId="5BC4F230">
                  <w:pPr>
                    <w:keepNext w:val="0"/>
                    <w:keepLines w:val="0"/>
                    <w:widowControl/>
                    <w:suppressLineNumbers w:val="0"/>
                    <w:jc w:val="center"/>
                    <w:textAlignment w:val="center"/>
                    <w:rPr>
                      <w:rFonts w:hint="default" w:ascii="Times New Roman" w:hAnsi="Times New Roman" w:eastAsia="宋体" w:cs="Times New Roman"/>
                      <w:color w:val="FF0000"/>
                      <w:kern w:val="0"/>
                      <w:sz w:val="21"/>
                      <w:szCs w:val="21"/>
                      <w:lang w:val="en-US" w:eastAsia="zh-CN"/>
                    </w:rPr>
                  </w:pPr>
                  <w:r>
                    <w:rPr>
                      <w:rFonts w:hint="default" w:ascii="Times New Roman" w:hAnsi="Times New Roman" w:eastAsia="宋体" w:cs="Times New Roman"/>
                      <w:i w:val="0"/>
                      <w:iCs w:val="0"/>
                      <w:color w:val="FF0000"/>
                      <w:kern w:val="0"/>
                      <w:sz w:val="21"/>
                      <w:szCs w:val="21"/>
                      <w:u w:val="none"/>
                      <w:lang w:val="en-US" w:eastAsia="zh-CN" w:bidi="ar"/>
                    </w:rPr>
                    <w:t>0.2175</w:t>
                  </w:r>
                </w:p>
              </w:tc>
              <w:tc>
                <w:tcPr>
                  <w:tcW w:w="578" w:type="dxa"/>
                  <w:tcBorders>
                    <w:tl2br w:val="nil"/>
                    <w:tr2bl w:val="nil"/>
                  </w:tcBorders>
                  <w:vAlign w:val="center"/>
                </w:tcPr>
                <w:p w14:paraId="6C6D8A8F">
                  <w:pPr>
                    <w:keepNext w:val="0"/>
                    <w:keepLines w:val="0"/>
                    <w:widowControl/>
                    <w:suppressLineNumbers w:val="0"/>
                    <w:jc w:val="center"/>
                    <w:textAlignment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i w:val="0"/>
                      <w:iCs w:val="0"/>
                      <w:color w:val="FF0000"/>
                      <w:kern w:val="0"/>
                      <w:sz w:val="21"/>
                      <w:szCs w:val="21"/>
                      <w:u w:val="none"/>
                      <w:lang w:val="en-US" w:eastAsia="zh-CN" w:bidi="ar"/>
                    </w:rPr>
                    <w:t>4.5323</w:t>
                  </w:r>
                </w:p>
              </w:tc>
              <w:tc>
                <w:tcPr>
                  <w:tcW w:w="573" w:type="dxa"/>
                  <w:tcBorders>
                    <w:tl2br w:val="nil"/>
                    <w:tr2bl w:val="nil"/>
                  </w:tcBorders>
                  <w:vAlign w:val="center"/>
                </w:tcPr>
                <w:p w14:paraId="71EBD689">
                  <w:pPr>
                    <w:keepNext w:val="0"/>
                    <w:keepLines w:val="0"/>
                    <w:widowControl/>
                    <w:suppressLineNumbers w:val="0"/>
                    <w:jc w:val="center"/>
                    <w:textAlignment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i w:val="0"/>
                      <w:iCs w:val="0"/>
                      <w:color w:val="FF0000"/>
                      <w:kern w:val="0"/>
                      <w:sz w:val="21"/>
                      <w:szCs w:val="21"/>
                      <w:u w:val="none"/>
                      <w:lang w:val="en-US" w:eastAsia="zh-CN" w:bidi="ar"/>
                    </w:rPr>
                    <w:t xml:space="preserve">0.0906 </w:t>
                  </w:r>
                </w:p>
              </w:tc>
              <w:tc>
                <w:tcPr>
                  <w:tcW w:w="446" w:type="dxa"/>
                  <w:tcBorders>
                    <w:tl2br w:val="nil"/>
                    <w:tr2bl w:val="nil"/>
                  </w:tcBorders>
                  <w:vAlign w:val="center"/>
                </w:tcPr>
                <w:p w14:paraId="50C9B575">
                  <w:pPr>
                    <w:spacing w:line="240" w:lineRule="auto"/>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2400</w:t>
                  </w:r>
                </w:p>
              </w:tc>
              <w:tc>
                <w:tcPr>
                  <w:tcW w:w="646" w:type="dxa"/>
                  <w:tcBorders>
                    <w:tl2br w:val="nil"/>
                    <w:tr2bl w:val="nil"/>
                  </w:tcBorders>
                  <w:vAlign w:val="center"/>
                </w:tcPr>
                <w:p w14:paraId="3655E908">
                  <w:pPr>
                    <w:spacing w:line="240" w:lineRule="auto"/>
                    <w:jc w:val="center"/>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FF0000"/>
                      <w:sz w:val="21"/>
                      <w:szCs w:val="21"/>
                      <w:lang w:val="en-US" w:eastAsia="zh-CN"/>
                    </w:rPr>
                    <w:t>排气筒DA001</w:t>
                  </w:r>
                </w:p>
              </w:tc>
            </w:tr>
            <w:tr w14:paraId="567F88E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449" w:type="dxa"/>
                  <w:tcBorders>
                    <w:tl2br w:val="nil"/>
                    <w:tr2bl w:val="nil"/>
                  </w:tcBorders>
                  <w:vAlign w:val="center"/>
                </w:tcPr>
                <w:p w14:paraId="557CF8A8">
                  <w:pPr>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无组织</w:t>
                  </w:r>
                </w:p>
              </w:tc>
              <w:tc>
                <w:tcPr>
                  <w:tcW w:w="532" w:type="dxa"/>
                  <w:tcBorders>
                    <w:tl2br w:val="nil"/>
                    <w:tr2bl w:val="nil"/>
                  </w:tcBorders>
                  <w:vAlign w:val="center"/>
                </w:tcPr>
                <w:p w14:paraId="0F22F914">
                  <w:pPr>
                    <w:spacing w:line="240" w:lineRule="auto"/>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颗粒物</w:t>
                  </w:r>
                </w:p>
              </w:tc>
              <w:tc>
                <w:tcPr>
                  <w:tcW w:w="598" w:type="dxa"/>
                  <w:tcBorders>
                    <w:tl2br w:val="nil"/>
                    <w:tr2bl w:val="nil"/>
                  </w:tcBorders>
                  <w:vAlign w:val="center"/>
                </w:tcPr>
                <w:p w14:paraId="25479AF8">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1.1450</w:t>
                  </w:r>
                </w:p>
              </w:tc>
              <w:tc>
                <w:tcPr>
                  <w:tcW w:w="584" w:type="dxa"/>
                  <w:tcBorders>
                    <w:tl2br w:val="nil"/>
                    <w:tr2bl w:val="nil"/>
                  </w:tcBorders>
                  <w:vAlign w:val="center"/>
                </w:tcPr>
                <w:p w14:paraId="26F1F4C1">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675" w:type="dxa"/>
                  <w:tcBorders>
                    <w:tl2br w:val="nil"/>
                    <w:tr2bl w:val="nil"/>
                  </w:tcBorders>
                  <w:vAlign w:val="center"/>
                </w:tcPr>
                <w:p w14:paraId="29F03A0D">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0.4771</w:t>
                  </w:r>
                </w:p>
              </w:tc>
              <w:tc>
                <w:tcPr>
                  <w:tcW w:w="539" w:type="dxa"/>
                  <w:tcBorders>
                    <w:tl2br w:val="nil"/>
                    <w:tr2bl w:val="nil"/>
                  </w:tcBorders>
                  <w:vAlign w:val="center"/>
                </w:tcPr>
                <w:p w14:paraId="0BDE7A3F">
                  <w:pPr>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396" w:type="dxa"/>
                  <w:tcBorders>
                    <w:tl2br w:val="nil"/>
                    <w:tr2bl w:val="nil"/>
                  </w:tcBorders>
                  <w:vAlign w:val="center"/>
                </w:tcPr>
                <w:p w14:paraId="28E93201">
                  <w:pPr>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441" w:type="dxa"/>
                  <w:tcBorders>
                    <w:tl2br w:val="nil"/>
                    <w:tr2bl w:val="nil"/>
                  </w:tcBorders>
                  <w:vAlign w:val="center"/>
                </w:tcPr>
                <w:p w14:paraId="6D2CBDC3">
                  <w:pPr>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车间密闭，沉降加强绿化</w:t>
                  </w:r>
                </w:p>
              </w:tc>
              <w:tc>
                <w:tcPr>
                  <w:tcW w:w="399" w:type="dxa"/>
                  <w:tcBorders>
                    <w:tl2br w:val="nil"/>
                    <w:tr2bl w:val="nil"/>
                  </w:tcBorders>
                  <w:vAlign w:val="center"/>
                </w:tcPr>
                <w:p w14:paraId="1B6E8D8F">
                  <w:pPr>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80</w:t>
                  </w:r>
                </w:p>
              </w:tc>
              <w:tc>
                <w:tcPr>
                  <w:tcW w:w="240" w:type="dxa"/>
                  <w:tcBorders>
                    <w:tl2br w:val="nil"/>
                    <w:tr2bl w:val="nil"/>
                  </w:tcBorders>
                  <w:vAlign w:val="center"/>
                </w:tcPr>
                <w:p w14:paraId="1872CBAC">
                  <w:pPr>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596" w:type="dxa"/>
                  <w:tcBorders>
                    <w:tl2br w:val="nil"/>
                    <w:tr2bl w:val="nil"/>
                  </w:tcBorders>
                  <w:shd w:val="clear" w:color="auto" w:fill="auto"/>
                  <w:vAlign w:val="center"/>
                </w:tcPr>
                <w:p w14:paraId="5AF6BD71">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0.2290</w:t>
                  </w:r>
                </w:p>
              </w:tc>
              <w:tc>
                <w:tcPr>
                  <w:tcW w:w="578" w:type="dxa"/>
                  <w:tcBorders>
                    <w:tl2br w:val="nil"/>
                    <w:tr2bl w:val="nil"/>
                  </w:tcBorders>
                  <w:shd w:val="clear" w:color="auto" w:fill="auto"/>
                  <w:vAlign w:val="center"/>
                </w:tcPr>
                <w:p w14:paraId="14FD7AF1">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573" w:type="dxa"/>
                  <w:tcBorders>
                    <w:tl2br w:val="nil"/>
                    <w:tr2bl w:val="nil"/>
                  </w:tcBorders>
                  <w:shd w:val="clear" w:color="auto" w:fill="auto"/>
                  <w:vAlign w:val="center"/>
                </w:tcPr>
                <w:p w14:paraId="29B57C51">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0.0954 </w:t>
                  </w:r>
                </w:p>
              </w:tc>
              <w:tc>
                <w:tcPr>
                  <w:tcW w:w="446" w:type="dxa"/>
                  <w:tcBorders>
                    <w:tl2br w:val="nil"/>
                    <w:tr2bl w:val="nil"/>
                  </w:tcBorders>
                  <w:vAlign w:val="center"/>
                </w:tcPr>
                <w:p w14:paraId="48A1B7DA">
                  <w:pPr>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2400</w:t>
                  </w:r>
                </w:p>
              </w:tc>
              <w:tc>
                <w:tcPr>
                  <w:tcW w:w="646" w:type="dxa"/>
                  <w:tcBorders>
                    <w:tl2br w:val="nil"/>
                    <w:tr2bl w:val="nil"/>
                  </w:tcBorders>
                  <w:vAlign w:val="center"/>
                </w:tcPr>
                <w:p w14:paraId="0AD03411">
                  <w:pPr>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无组织</w:t>
                  </w:r>
                </w:p>
              </w:tc>
            </w:tr>
          </w:tbl>
          <w:p w14:paraId="55EB6545">
            <w:pPr>
              <w:autoSpaceDE w:val="0"/>
              <w:autoSpaceDN w:val="0"/>
              <w:adjustRightInd w:val="0"/>
              <w:spacing w:before="120" w:beforeLines="50" w:line="360" w:lineRule="auto"/>
              <w:ind w:firstLine="482"/>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项目</w:t>
            </w:r>
            <w:r>
              <w:rPr>
                <w:rFonts w:hint="default" w:ascii="Times New Roman" w:hAnsi="Times New Roman" w:eastAsia="宋体" w:cs="Times New Roman"/>
                <w:color w:val="auto"/>
              </w:rPr>
              <w:t>排放口</w:t>
            </w:r>
            <w:r>
              <w:rPr>
                <w:rFonts w:hint="default" w:ascii="Times New Roman" w:hAnsi="Times New Roman" w:eastAsia="宋体" w:cs="Times New Roman"/>
                <w:color w:val="auto"/>
                <w:lang w:val="en-US" w:eastAsia="zh-CN"/>
              </w:rPr>
              <w:t>基本情况见下表。</w:t>
            </w:r>
          </w:p>
          <w:p w14:paraId="48D34A12">
            <w:pPr>
              <w:keepNext w:val="0"/>
              <w:keepLines w:val="0"/>
              <w:pageBreakBefore w:val="0"/>
              <w:widowControl w:val="0"/>
              <w:numPr>
                <w:ilvl w:val="0"/>
                <w:numId w:val="0"/>
              </w:numPr>
              <w:kinsoku/>
              <w:wordWrap/>
              <w:overflowPunct/>
              <w:topLinePunct w:val="0"/>
              <w:autoSpaceDE/>
              <w:autoSpaceDN/>
              <w:bidi w:val="0"/>
              <w:adjustRightInd/>
              <w:snapToGrid/>
              <w:ind w:leftChars="0"/>
              <w:jc w:val="center"/>
              <w:textAlignment w:val="auto"/>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lang w:val="en-US" w:eastAsia="zh-CN"/>
              </w:rPr>
              <w:t xml:space="preserve">表4-4 </w:t>
            </w:r>
            <w:r>
              <w:rPr>
                <w:rFonts w:hint="default" w:ascii="Times New Roman" w:hAnsi="Times New Roman" w:eastAsia="宋体" w:cs="Times New Roman"/>
                <w:b/>
                <w:bCs/>
                <w:color w:val="auto"/>
                <w:szCs w:val="21"/>
              </w:rPr>
              <w:t>大气</w:t>
            </w:r>
            <w:r>
              <w:rPr>
                <w:rFonts w:hint="default" w:ascii="Times New Roman" w:hAnsi="Times New Roman" w:eastAsia="宋体" w:cs="Times New Roman"/>
                <w:b/>
                <w:color w:val="auto"/>
                <w:szCs w:val="21"/>
              </w:rPr>
              <w:t>污染物</w:t>
            </w:r>
            <w:r>
              <w:rPr>
                <w:rFonts w:hint="default" w:ascii="Times New Roman" w:hAnsi="Times New Roman" w:eastAsia="宋体" w:cs="Times New Roman"/>
                <w:b/>
                <w:bCs/>
                <w:color w:val="auto"/>
                <w:szCs w:val="21"/>
              </w:rPr>
              <w:t>排放口基本情况表</w:t>
            </w:r>
          </w:p>
          <w:tbl>
            <w:tblPr>
              <w:tblStyle w:val="14"/>
              <w:tblW w:w="4999"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666"/>
              <w:gridCol w:w="667"/>
              <w:gridCol w:w="366"/>
              <w:gridCol w:w="1332"/>
              <w:gridCol w:w="442"/>
              <w:gridCol w:w="442"/>
              <w:gridCol w:w="483"/>
              <w:gridCol w:w="599"/>
              <w:gridCol w:w="1057"/>
              <w:gridCol w:w="1636"/>
            </w:tblGrid>
            <w:tr w14:paraId="65BCE46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32" w:type="pct"/>
                  <w:vMerge w:val="restart"/>
                  <w:tcBorders>
                    <w:tl2br w:val="nil"/>
                    <w:tr2bl w:val="nil"/>
                  </w:tcBorders>
                  <w:noWrap w:val="0"/>
                  <w:vAlign w:val="center"/>
                </w:tcPr>
                <w:p w14:paraId="4598F3B5">
                  <w:pPr>
                    <w:adjustRightInd w:val="0"/>
                    <w:snapToGrid w:val="0"/>
                    <w:ind w:left="0" w:leftChars="0" w:right="0" w:rightChars="0"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排放口编号</w:t>
                  </w:r>
                </w:p>
              </w:tc>
              <w:tc>
                <w:tcPr>
                  <w:tcW w:w="433" w:type="pct"/>
                  <w:vMerge w:val="restart"/>
                  <w:tcBorders>
                    <w:tl2br w:val="nil"/>
                    <w:tr2bl w:val="nil"/>
                  </w:tcBorders>
                  <w:noWrap w:val="0"/>
                  <w:vAlign w:val="center"/>
                </w:tcPr>
                <w:p w14:paraId="61CA8DCA">
                  <w:pPr>
                    <w:adjustRightInd w:val="0"/>
                    <w:snapToGrid w:val="0"/>
                    <w:ind w:left="0" w:leftChars="0" w:right="0" w:rightChars="0"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排放口名称</w:t>
                  </w:r>
                </w:p>
              </w:tc>
              <w:tc>
                <w:tcPr>
                  <w:tcW w:w="237" w:type="pct"/>
                  <w:vMerge w:val="restart"/>
                  <w:tcBorders>
                    <w:tl2br w:val="nil"/>
                    <w:tr2bl w:val="nil"/>
                  </w:tcBorders>
                  <w:noWrap w:val="0"/>
                  <w:vAlign w:val="center"/>
                </w:tcPr>
                <w:p w14:paraId="0D728584">
                  <w:pPr>
                    <w:adjustRightInd w:val="0"/>
                    <w:snapToGrid w:val="0"/>
                    <w:ind w:left="0" w:leftChars="0" w:right="0" w:rightChars="0"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排放口类型</w:t>
                  </w:r>
                </w:p>
              </w:tc>
              <w:tc>
                <w:tcPr>
                  <w:tcW w:w="866" w:type="pct"/>
                  <w:vMerge w:val="restart"/>
                  <w:tcBorders>
                    <w:tl2br w:val="nil"/>
                    <w:tr2bl w:val="nil"/>
                  </w:tcBorders>
                  <w:noWrap w:val="0"/>
                  <w:vAlign w:val="center"/>
                </w:tcPr>
                <w:p w14:paraId="1779C7E6">
                  <w:pPr>
                    <w:adjustRightInd w:val="0"/>
                    <w:snapToGrid w:val="0"/>
                    <w:ind w:left="0" w:leftChars="0" w:right="0" w:rightChars="0"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排放口地理坐标/经度/纬度</w:t>
                  </w:r>
                </w:p>
              </w:tc>
              <w:tc>
                <w:tcPr>
                  <w:tcW w:w="888" w:type="pct"/>
                  <w:gridSpan w:val="3"/>
                  <w:tcBorders>
                    <w:tl2br w:val="nil"/>
                    <w:tr2bl w:val="nil"/>
                  </w:tcBorders>
                  <w:noWrap w:val="0"/>
                  <w:vAlign w:val="center"/>
                </w:tcPr>
                <w:p w14:paraId="0A44733D">
                  <w:pPr>
                    <w:adjustRightInd w:val="0"/>
                    <w:snapToGrid w:val="0"/>
                    <w:ind w:left="0" w:leftChars="0" w:right="0" w:rightChars="0"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排气筒参数</w:t>
                  </w:r>
                </w:p>
              </w:tc>
              <w:tc>
                <w:tcPr>
                  <w:tcW w:w="389" w:type="pct"/>
                  <w:vMerge w:val="restart"/>
                  <w:tcBorders>
                    <w:tl2br w:val="nil"/>
                    <w:tr2bl w:val="nil"/>
                  </w:tcBorders>
                  <w:noWrap w:val="0"/>
                  <w:vAlign w:val="center"/>
                </w:tcPr>
                <w:p w14:paraId="3C0E7988">
                  <w:pPr>
                    <w:adjustRightInd w:val="0"/>
                    <w:snapToGrid w:val="0"/>
                    <w:ind w:left="0" w:leftChars="0" w:right="0" w:rightChars="0"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污染物种类</w:t>
                  </w:r>
                </w:p>
              </w:tc>
              <w:tc>
                <w:tcPr>
                  <w:tcW w:w="1751" w:type="pct"/>
                  <w:gridSpan w:val="2"/>
                  <w:tcBorders>
                    <w:tl2br w:val="nil"/>
                    <w:tr2bl w:val="nil"/>
                  </w:tcBorders>
                  <w:noWrap w:val="0"/>
                  <w:vAlign w:val="center"/>
                </w:tcPr>
                <w:p w14:paraId="03E6EBC8">
                  <w:pPr>
                    <w:adjustRightInd w:val="0"/>
                    <w:snapToGrid w:val="0"/>
                    <w:ind w:left="0" w:leftChars="0" w:right="0" w:rightChars="0"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排放标准</w:t>
                  </w:r>
                </w:p>
              </w:tc>
            </w:tr>
            <w:tr w14:paraId="6AF8879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32" w:type="pct"/>
                  <w:vMerge w:val="continue"/>
                  <w:tcBorders>
                    <w:tl2br w:val="nil"/>
                    <w:tr2bl w:val="nil"/>
                  </w:tcBorders>
                  <w:noWrap w:val="0"/>
                  <w:vAlign w:val="center"/>
                </w:tcPr>
                <w:p w14:paraId="328FD6EF">
                  <w:pPr>
                    <w:adjustRightInd w:val="0"/>
                    <w:snapToGrid w:val="0"/>
                    <w:ind w:left="0" w:leftChars="0" w:right="0" w:rightChars="0" w:firstLine="0" w:firstLineChars="0"/>
                    <w:jc w:val="center"/>
                    <w:rPr>
                      <w:rFonts w:hint="default" w:ascii="Times New Roman" w:hAnsi="Times New Roman" w:eastAsia="宋体" w:cs="Times New Roman"/>
                      <w:b/>
                      <w:bCs/>
                      <w:color w:val="auto"/>
                      <w:sz w:val="21"/>
                      <w:szCs w:val="21"/>
                    </w:rPr>
                  </w:pPr>
                </w:p>
              </w:tc>
              <w:tc>
                <w:tcPr>
                  <w:tcW w:w="433" w:type="pct"/>
                  <w:vMerge w:val="continue"/>
                  <w:tcBorders>
                    <w:tl2br w:val="nil"/>
                    <w:tr2bl w:val="nil"/>
                  </w:tcBorders>
                  <w:noWrap w:val="0"/>
                  <w:vAlign w:val="center"/>
                </w:tcPr>
                <w:p w14:paraId="06A08AD0">
                  <w:pPr>
                    <w:adjustRightInd w:val="0"/>
                    <w:snapToGrid w:val="0"/>
                    <w:ind w:left="0" w:leftChars="0" w:right="0" w:rightChars="0" w:firstLine="0" w:firstLineChars="0"/>
                    <w:jc w:val="center"/>
                    <w:rPr>
                      <w:rFonts w:hint="default" w:ascii="Times New Roman" w:hAnsi="Times New Roman" w:eastAsia="宋体" w:cs="Times New Roman"/>
                      <w:b/>
                      <w:bCs/>
                      <w:color w:val="auto"/>
                      <w:sz w:val="21"/>
                      <w:szCs w:val="21"/>
                    </w:rPr>
                  </w:pPr>
                </w:p>
              </w:tc>
              <w:tc>
                <w:tcPr>
                  <w:tcW w:w="237" w:type="pct"/>
                  <w:vMerge w:val="continue"/>
                  <w:tcBorders>
                    <w:tl2br w:val="nil"/>
                    <w:tr2bl w:val="nil"/>
                  </w:tcBorders>
                  <w:noWrap w:val="0"/>
                  <w:vAlign w:val="center"/>
                </w:tcPr>
                <w:p w14:paraId="48383F8D">
                  <w:pPr>
                    <w:adjustRightInd w:val="0"/>
                    <w:snapToGrid w:val="0"/>
                    <w:ind w:left="0" w:leftChars="0" w:right="0" w:rightChars="0" w:firstLine="0" w:firstLineChars="0"/>
                    <w:jc w:val="center"/>
                    <w:rPr>
                      <w:rFonts w:hint="default" w:ascii="Times New Roman" w:hAnsi="Times New Roman" w:eastAsia="宋体" w:cs="Times New Roman"/>
                      <w:b/>
                      <w:bCs/>
                      <w:color w:val="auto"/>
                      <w:sz w:val="21"/>
                      <w:szCs w:val="21"/>
                    </w:rPr>
                  </w:pPr>
                </w:p>
              </w:tc>
              <w:tc>
                <w:tcPr>
                  <w:tcW w:w="866" w:type="pct"/>
                  <w:vMerge w:val="continue"/>
                  <w:tcBorders>
                    <w:tl2br w:val="nil"/>
                    <w:tr2bl w:val="nil"/>
                  </w:tcBorders>
                  <w:noWrap w:val="0"/>
                  <w:vAlign w:val="center"/>
                </w:tcPr>
                <w:p w14:paraId="731384C7">
                  <w:pPr>
                    <w:adjustRightInd w:val="0"/>
                    <w:snapToGrid w:val="0"/>
                    <w:ind w:left="0" w:leftChars="0" w:right="0" w:rightChars="0" w:firstLine="0" w:firstLineChars="0"/>
                    <w:jc w:val="center"/>
                    <w:rPr>
                      <w:rFonts w:hint="default" w:ascii="Times New Roman" w:hAnsi="Times New Roman" w:eastAsia="宋体" w:cs="Times New Roman"/>
                      <w:b/>
                      <w:bCs/>
                      <w:color w:val="auto"/>
                      <w:sz w:val="21"/>
                      <w:szCs w:val="21"/>
                    </w:rPr>
                  </w:pPr>
                </w:p>
              </w:tc>
              <w:tc>
                <w:tcPr>
                  <w:tcW w:w="287" w:type="pct"/>
                  <w:tcBorders>
                    <w:tl2br w:val="nil"/>
                    <w:tr2bl w:val="nil"/>
                  </w:tcBorders>
                  <w:noWrap w:val="0"/>
                  <w:vAlign w:val="center"/>
                </w:tcPr>
                <w:p w14:paraId="52744D30">
                  <w:pPr>
                    <w:adjustRightInd w:val="0"/>
                    <w:snapToGrid w:val="0"/>
                    <w:ind w:left="0" w:leftChars="0" w:right="0" w:rightChars="0" w:firstLine="0" w:firstLineChars="0"/>
                    <w:jc w:val="center"/>
                    <w:rPr>
                      <w:rFonts w:hint="default" w:ascii="Times New Roman" w:hAnsi="Times New Roman" w:eastAsia="宋体" w:cs="Times New Roman"/>
                      <w:b/>
                      <w:bCs/>
                      <w:color w:val="auto"/>
                      <w:sz w:val="21"/>
                      <w:szCs w:val="21"/>
                      <w:lang w:eastAsia="zh-CN"/>
                    </w:rPr>
                  </w:pPr>
                  <w:r>
                    <w:rPr>
                      <w:rFonts w:hint="default" w:ascii="Times New Roman" w:hAnsi="Times New Roman" w:eastAsia="宋体" w:cs="Times New Roman"/>
                      <w:b/>
                      <w:bCs/>
                      <w:color w:val="auto"/>
                      <w:sz w:val="21"/>
                      <w:szCs w:val="21"/>
                    </w:rPr>
                    <w:t>高度</w:t>
                  </w:r>
                  <w:r>
                    <w:rPr>
                      <w:rFonts w:hint="default" w:ascii="Times New Roman" w:hAnsi="Times New Roman" w:eastAsia="宋体" w:cs="Times New Roman"/>
                      <w:b/>
                      <w:bCs/>
                      <w:color w:val="auto"/>
                      <w:sz w:val="21"/>
                      <w:szCs w:val="21"/>
                      <w:lang w:eastAsia="zh-CN"/>
                    </w:rPr>
                    <w:t>(</w:t>
                  </w:r>
                  <w:r>
                    <w:rPr>
                      <w:rFonts w:hint="default" w:ascii="Times New Roman" w:hAnsi="Times New Roman" w:eastAsia="宋体" w:cs="Times New Roman"/>
                      <w:b/>
                      <w:bCs/>
                      <w:color w:val="auto"/>
                      <w:sz w:val="21"/>
                      <w:szCs w:val="21"/>
                    </w:rPr>
                    <w:t>m</w:t>
                  </w:r>
                  <w:r>
                    <w:rPr>
                      <w:rFonts w:hint="default" w:ascii="Times New Roman" w:hAnsi="Times New Roman" w:eastAsia="宋体" w:cs="Times New Roman"/>
                      <w:b/>
                      <w:bCs/>
                      <w:color w:val="auto"/>
                      <w:sz w:val="21"/>
                      <w:szCs w:val="21"/>
                      <w:lang w:val="en-US" w:eastAsia="zh-CN"/>
                    </w:rPr>
                    <w:t>)</w:t>
                  </w:r>
                </w:p>
              </w:tc>
              <w:tc>
                <w:tcPr>
                  <w:tcW w:w="287" w:type="pct"/>
                  <w:tcBorders>
                    <w:tl2br w:val="nil"/>
                    <w:tr2bl w:val="nil"/>
                  </w:tcBorders>
                  <w:noWrap w:val="0"/>
                  <w:vAlign w:val="center"/>
                </w:tcPr>
                <w:p w14:paraId="5E4232DD">
                  <w:pPr>
                    <w:adjustRightInd w:val="0"/>
                    <w:snapToGrid w:val="0"/>
                    <w:ind w:left="0" w:leftChars="0" w:right="0" w:rightChars="0"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出口内径</w:t>
                  </w:r>
                  <w:r>
                    <w:rPr>
                      <w:rFonts w:hint="default" w:ascii="Times New Roman" w:hAnsi="Times New Roman" w:eastAsia="宋体" w:cs="Times New Roman"/>
                      <w:b/>
                      <w:bCs/>
                      <w:color w:val="auto"/>
                      <w:sz w:val="21"/>
                      <w:szCs w:val="21"/>
                      <w:lang w:eastAsia="zh-CN"/>
                    </w:rPr>
                    <w:t>(</w:t>
                  </w:r>
                  <w:r>
                    <w:rPr>
                      <w:rFonts w:hint="default" w:ascii="Times New Roman" w:hAnsi="Times New Roman" w:eastAsia="宋体" w:cs="Times New Roman"/>
                      <w:b/>
                      <w:bCs/>
                      <w:color w:val="auto"/>
                      <w:sz w:val="21"/>
                      <w:szCs w:val="21"/>
                    </w:rPr>
                    <w:t>m</w:t>
                  </w:r>
                  <w:r>
                    <w:rPr>
                      <w:rFonts w:hint="default" w:ascii="Times New Roman" w:hAnsi="Times New Roman" w:eastAsia="宋体" w:cs="Times New Roman"/>
                      <w:b/>
                      <w:bCs/>
                      <w:color w:val="auto"/>
                      <w:sz w:val="21"/>
                      <w:szCs w:val="21"/>
                      <w:lang w:val="en-US" w:eastAsia="zh-CN"/>
                    </w:rPr>
                    <w:t>)</w:t>
                  </w:r>
                </w:p>
              </w:tc>
              <w:tc>
                <w:tcPr>
                  <w:tcW w:w="313" w:type="pct"/>
                  <w:tcBorders>
                    <w:tl2br w:val="nil"/>
                    <w:tr2bl w:val="nil"/>
                  </w:tcBorders>
                  <w:noWrap w:val="0"/>
                  <w:vAlign w:val="center"/>
                </w:tcPr>
                <w:p w14:paraId="66E50A88">
                  <w:pPr>
                    <w:adjustRightInd w:val="0"/>
                    <w:snapToGrid w:val="0"/>
                    <w:ind w:left="0" w:leftChars="0" w:right="0" w:rightChars="0"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排气温度</w:t>
                  </w:r>
                  <w:r>
                    <w:rPr>
                      <w:rFonts w:hint="default" w:ascii="Times New Roman" w:hAnsi="Times New Roman" w:eastAsia="宋体" w:cs="Times New Roman"/>
                      <w:b/>
                      <w:bCs/>
                      <w:color w:val="auto"/>
                      <w:sz w:val="21"/>
                      <w:szCs w:val="21"/>
                      <w:lang w:eastAsia="zh-CN"/>
                    </w:rPr>
                    <w:t>(</w:t>
                  </w:r>
                  <w:r>
                    <w:rPr>
                      <w:rFonts w:hint="default" w:ascii="Times New Roman" w:hAnsi="Times New Roman" w:eastAsia="宋体" w:cs="Times New Roman"/>
                      <w:b/>
                      <w:bCs/>
                      <w:color w:val="auto"/>
                      <w:sz w:val="21"/>
                      <w:szCs w:val="21"/>
                    </w:rPr>
                    <w:t>℃</w:t>
                  </w:r>
                  <w:r>
                    <w:rPr>
                      <w:rFonts w:hint="default" w:ascii="Times New Roman" w:hAnsi="Times New Roman" w:eastAsia="宋体" w:cs="Times New Roman"/>
                      <w:b/>
                      <w:bCs/>
                      <w:color w:val="auto"/>
                      <w:sz w:val="21"/>
                      <w:szCs w:val="21"/>
                      <w:lang w:val="en-US" w:eastAsia="zh-CN"/>
                    </w:rPr>
                    <w:t>)</w:t>
                  </w:r>
                </w:p>
              </w:tc>
              <w:tc>
                <w:tcPr>
                  <w:tcW w:w="389" w:type="pct"/>
                  <w:vMerge w:val="continue"/>
                  <w:tcBorders>
                    <w:tl2br w:val="nil"/>
                    <w:tr2bl w:val="nil"/>
                  </w:tcBorders>
                  <w:noWrap w:val="0"/>
                  <w:vAlign w:val="center"/>
                </w:tcPr>
                <w:p w14:paraId="029CADD2">
                  <w:pPr>
                    <w:adjustRightInd w:val="0"/>
                    <w:snapToGrid w:val="0"/>
                    <w:ind w:left="0" w:leftChars="0" w:right="0" w:rightChars="0" w:firstLine="0" w:firstLineChars="0"/>
                    <w:jc w:val="center"/>
                    <w:rPr>
                      <w:rFonts w:hint="default" w:ascii="Times New Roman" w:hAnsi="Times New Roman" w:eastAsia="宋体" w:cs="Times New Roman"/>
                      <w:b/>
                      <w:bCs/>
                      <w:color w:val="auto"/>
                      <w:sz w:val="21"/>
                      <w:szCs w:val="21"/>
                    </w:rPr>
                  </w:pPr>
                </w:p>
              </w:tc>
              <w:tc>
                <w:tcPr>
                  <w:tcW w:w="687" w:type="pct"/>
                  <w:tcBorders>
                    <w:tl2br w:val="nil"/>
                    <w:tr2bl w:val="nil"/>
                  </w:tcBorders>
                  <w:noWrap w:val="0"/>
                  <w:vAlign w:val="center"/>
                </w:tcPr>
                <w:p w14:paraId="675E5A2C">
                  <w:pPr>
                    <w:adjustRightInd w:val="0"/>
                    <w:snapToGrid w:val="0"/>
                    <w:ind w:left="0" w:leftChars="0" w:right="0" w:rightChars="0"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限值</w:t>
                  </w:r>
                </w:p>
              </w:tc>
              <w:tc>
                <w:tcPr>
                  <w:tcW w:w="1064" w:type="pct"/>
                  <w:tcBorders>
                    <w:tl2br w:val="nil"/>
                    <w:tr2bl w:val="nil"/>
                  </w:tcBorders>
                  <w:noWrap w:val="0"/>
                  <w:vAlign w:val="center"/>
                </w:tcPr>
                <w:p w14:paraId="4BD14FF4">
                  <w:pPr>
                    <w:adjustRightInd w:val="0"/>
                    <w:snapToGrid w:val="0"/>
                    <w:ind w:left="0" w:leftChars="0" w:right="0" w:rightChars="0"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名称</w:t>
                  </w:r>
                </w:p>
              </w:tc>
            </w:tr>
            <w:tr w14:paraId="5A1F713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32" w:type="pct"/>
                  <w:tcBorders>
                    <w:tl2br w:val="nil"/>
                    <w:tr2bl w:val="nil"/>
                  </w:tcBorders>
                  <w:noWrap w:val="0"/>
                  <w:vAlign w:val="center"/>
                </w:tcPr>
                <w:p w14:paraId="6F647DCB">
                  <w:pPr>
                    <w:adjustRightInd w:val="0"/>
                    <w:snapToGrid w:val="0"/>
                    <w:ind w:left="0" w:leftChars="0" w:right="0" w:rightChars="0" w:firstLine="0" w:firstLineChars="0"/>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DA00</w:t>
                  </w:r>
                  <w:r>
                    <w:rPr>
                      <w:rFonts w:hint="default" w:ascii="Times New Roman" w:hAnsi="Times New Roman" w:eastAsia="宋体" w:cs="Times New Roman"/>
                      <w:color w:val="auto"/>
                      <w:sz w:val="21"/>
                      <w:szCs w:val="21"/>
                      <w:lang w:val="en-US" w:eastAsia="zh-CN"/>
                    </w:rPr>
                    <w:t>1</w:t>
                  </w:r>
                </w:p>
              </w:tc>
              <w:tc>
                <w:tcPr>
                  <w:tcW w:w="433" w:type="pct"/>
                  <w:tcBorders>
                    <w:tl2br w:val="nil"/>
                    <w:tr2bl w:val="nil"/>
                  </w:tcBorders>
                  <w:noWrap w:val="0"/>
                  <w:vAlign w:val="center"/>
                </w:tcPr>
                <w:p w14:paraId="6D609681">
                  <w:pPr>
                    <w:adjustRightInd w:val="0"/>
                    <w:snapToGrid w:val="0"/>
                    <w:ind w:left="0" w:leftChars="0" w:right="0" w:rightChars="0" w:firstLine="0" w:firstLineChars="0"/>
                    <w:jc w:val="center"/>
                    <w:rPr>
                      <w:rFonts w:hint="default" w:ascii="Times New Roman" w:hAnsi="Times New Roman" w:eastAsia="宋体" w:cs="Times New Roman"/>
                      <w:color w:val="auto"/>
                      <w:sz w:val="21"/>
                      <w:szCs w:val="21"/>
                      <w:highlight w:val="yellow"/>
                      <w:lang w:val="en-US"/>
                    </w:rPr>
                  </w:pPr>
                  <w:r>
                    <w:rPr>
                      <w:rFonts w:hint="default" w:ascii="Times New Roman" w:hAnsi="Times New Roman" w:eastAsia="宋体" w:cs="Times New Roman"/>
                      <w:color w:val="auto"/>
                      <w:sz w:val="21"/>
                      <w:szCs w:val="21"/>
                      <w:lang w:val="en-US" w:eastAsia="zh-CN"/>
                    </w:rPr>
                    <w:t>排气筒DA001</w:t>
                  </w:r>
                </w:p>
              </w:tc>
              <w:tc>
                <w:tcPr>
                  <w:tcW w:w="237" w:type="pct"/>
                  <w:tcBorders>
                    <w:tl2br w:val="nil"/>
                    <w:tr2bl w:val="nil"/>
                  </w:tcBorders>
                  <w:noWrap w:val="0"/>
                  <w:vAlign w:val="center"/>
                </w:tcPr>
                <w:p w14:paraId="3146E18D">
                  <w:pPr>
                    <w:adjustRightInd w:val="0"/>
                    <w:snapToGrid w:val="0"/>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一般排放口</w:t>
                  </w:r>
                </w:p>
              </w:tc>
              <w:tc>
                <w:tcPr>
                  <w:tcW w:w="866" w:type="pct"/>
                  <w:tcBorders>
                    <w:tl2br w:val="nil"/>
                    <w:tr2bl w:val="nil"/>
                  </w:tcBorders>
                  <w:noWrap w:val="0"/>
                  <w:vAlign w:val="center"/>
                </w:tcPr>
                <w:p w14:paraId="68902B75">
                  <w:pPr>
                    <w:adjustRightInd w:val="0"/>
                    <w:snapToGrid w:val="0"/>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117°54′36.507″</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36°43′20.815″</w:t>
                  </w:r>
                </w:p>
              </w:tc>
              <w:tc>
                <w:tcPr>
                  <w:tcW w:w="287" w:type="pct"/>
                  <w:tcBorders>
                    <w:tl2br w:val="nil"/>
                    <w:tr2bl w:val="nil"/>
                  </w:tcBorders>
                  <w:noWrap w:val="0"/>
                  <w:vAlign w:val="center"/>
                </w:tcPr>
                <w:p w14:paraId="17BEABBA">
                  <w:pPr>
                    <w:adjustRightInd w:val="0"/>
                    <w:snapToGrid w:val="0"/>
                    <w:ind w:left="0" w:leftChars="0" w:right="0" w:rightChars="0" w:firstLine="0" w:firstLineChars="0"/>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1</w:t>
                  </w:r>
                  <w:r>
                    <w:rPr>
                      <w:rFonts w:hint="default" w:ascii="Times New Roman" w:hAnsi="Times New Roman" w:eastAsia="宋体" w:cs="Times New Roman"/>
                      <w:color w:val="auto"/>
                      <w:sz w:val="21"/>
                      <w:szCs w:val="21"/>
                      <w:lang w:val="en-US" w:eastAsia="zh-CN"/>
                    </w:rPr>
                    <w:t>5</w:t>
                  </w:r>
                </w:p>
              </w:tc>
              <w:tc>
                <w:tcPr>
                  <w:tcW w:w="287" w:type="pct"/>
                  <w:tcBorders>
                    <w:tl2br w:val="nil"/>
                    <w:tr2bl w:val="nil"/>
                  </w:tcBorders>
                  <w:noWrap w:val="0"/>
                  <w:vAlign w:val="center"/>
                </w:tcPr>
                <w:p w14:paraId="486D1DDF">
                  <w:pPr>
                    <w:adjustRightInd w:val="0"/>
                    <w:snapToGrid w:val="0"/>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0.5</w:t>
                  </w:r>
                </w:p>
              </w:tc>
              <w:tc>
                <w:tcPr>
                  <w:tcW w:w="313" w:type="pct"/>
                  <w:tcBorders>
                    <w:tl2br w:val="nil"/>
                    <w:tr2bl w:val="nil"/>
                  </w:tcBorders>
                  <w:noWrap w:val="0"/>
                  <w:vAlign w:val="center"/>
                </w:tcPr>
                <w:p w14:paraId="5CE26354">
                  <w:pPr>
                    <w:adjustRightInd w:val="0"/>
                    <w:snapToGrid w:val="0"/>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常温</w:t>
                  </w:r>
                </w:p>
              </w:tc>
              <w:tc>
                <w:tcPr>
                  <w:tcW w:w="389" w:type="pct"/>
                  <w:tcBorders>
                    <w:tl2br w:val="nil"/>
                    <w:tr2bl w:val="nil"/>
                  </w:tcBorders>
                  <w:noWrap w:val="0"/>
                  <w:vAlign w:val="center"/>
                </w:tcPr>
                <w:p w14:paraId="4205E07B">
                  <w:pPr>
                    <w:ind w:left="0" w:leftChars="0" w:right="0" w:rightChars="0" w:firstLine="0" w:firstLineChars="0"/>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val="en-US" w:eastAsia="zh-CN"/>
                    </w:rPr>
                    <w:t>颗粒物</w:t>
                  </w:r>
                </w:p>
              </w:tc>
              <w:tc>
                <w:tcPr>
                  <w:tcW w:w="687" w:type="pct"/>
                  <w:tcBorders>
                    <w:tl2br w:val="nil"/>
                    <w:tr2bl w:val="nil"/>
                  </w:tcBorders>
                  <w:noWrap w:val="0"/>
                  <w:vAlign w:val="center"/>
                </w:tcPr>
                <w:p w14:paraId="53835C48">
                  <w:pPr>
                    <w:adjustRightInd w:val="0"/>
                    <w:snapToGrid w:val="0"/>
                    <w:ind w:left="0" w:leftChars="0" w:right="0" w:rightChars="0" w:firstLine="0" w:firstLineChars="0"/>
                    <w:jc w:val="center"/>
                    <w:rPr>
                      <w:rFonts w:hint="default" w:ascii="Times New Roman" w:hAnsi="Times New Roman" w:eastAsia="宋体" w:cs="Times New Roman"/>
                      <w:color w:val="auto"/>
                      <w:kern w:val="0"/>
                      <w:sz w:val="21"/>
                      <w:szCs w:val="21"/>
                      <w:lang w:val="en-US"/>
                    </w:rPr>
                  </w:pPr>
                  <w:r>
                    <w:rPr>
                      <w:rFonts w:hint="default" w:ascii="Times New Roman" w:hAnsi="Times New Roman" w:eastAsia="宋体" w:cs="Times New Roman"/>
                      <w:color w:val="auto"/>
                      <w:kern w:val="0"/>
                      <w:sz w:val="21"/>
                      <w:szCs w:val="21"/>
                    </w:rPr>
                    <w:t>10mg/m</w:t>
                  </w:r>
                  <w:r>
                    <w:rPr>
                      <w:rFonts w:hint="default" w:ascii="Times New Roman" w:hAnsi="Times New Roman" w:eastAsia="宋体" w:cs="Times New Roman"/>
                      <w:color w:val="auto"/>
                      <w:kern w:val="0"/>
                      <w:sz w:val="21"/>
                      <w:szCs w:val="21"/>
                      <w:vertAlign w:val="superscript"/>
                    </w:rPr>
                    <w:t>3</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val="en-US" w:eastAsia="zh-CN"/>
                    </w:rPr>
                    <w:t>3.5kg/h</w:t>
                  </w:r>
                </w:p>
              </w:tc>
              <w:tc>
                <w:tcPr>
                  <w:tcW w:w="1064" w:type="pct"/>
                  <w:tcBorders>
                    <w:tl2br w:val="nil"/>
                    <w:tr2bl w:val="nil"/>
                  </w:tcBorders>
                  <w:noWrap w:val="0"/>
                  <w:vAlign w:val="center"/>
                </w:tcPr>
                <w:p w14:paraId="6B221D6F">
                  <w:pPr>
                    <w:adjustRightInd w:val="0"/>
                    <w:snapToGrid w:val="0"/>
                    <w:ind w:left="0" w:leftChars="0" w:right="0" w:rightChars="0" w:firstLine="0" w:firstLineChars="0"/>
                    <w:jc w:val="center"/>
                    <w:rPr>
                      <w:rFonts w:hint="default" w:ascii="Times New Roman" w:hAnsi="Times New Roman" w:eastAsia="宋体" w:cs="Times New Roman"/>
                      <w:color w:val="auto"/>
                      <w:kern w:val="0"/>
                      <w:sz w:val="21"/>
                      <w:szCs w:val="21"/>
                      <w:lang w:eastAsia="zh-CN"/>
                    </w:rPr>
                  </w:pPr>
                  <w:r>
                    <w:rPr>
                      <w:rFonts w:hint="default" w:ascii="Times New Roman" w:hAnsi="Times New Roman" w:eastAsia="宋体" w:cs="Times New Roman"/>
                      <w:color w:val="auto"/>
                      <w:sz w:val="21"/>
                      <w:szCs w:val="21"/>
                    </w:rPr>
                    <w:t>《区域性大气污染物综合排放标准》（DB37/2376-2019）</w:t>
                  </w:r>
                  <w:r>
                    <w:rPr>
                      <w:rFonts w:hint="default" w:ascii="Times New Roman" w:hAnsi="Times New Roman" w:eastAsia="宋体" w:cs="Times New Roman"/>
                      <w:color w:val="auto"/>
                      <w:sz w:val="21"/>
                      <w:szCs w:val="21"/>
                      <w:lang w:eastAsia="zh-CN"/>
                    </w:rPr>
                    <w:t>，《大气污染物综合排放标准》（GB16297-1996）</w:t>
                  </w:r>
                </w:p>
              </w:tc>
            </w:tr>
            <w:tr w14:paraId="33940E5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32" w:type="pct"/>
                  <w:tcBorders>
                    <w:tl2br w:val="nil"/>
                    <w:tr2bl w:val="nil"/>
                  </w:tcBorders>
                  <w:noWrap w:val="0"/>
                  <w:vAlign w:val="center"/>
                </w:tcPr>
                <w:p w14:paraId="7BB417FA">
                  <w:pPr>
                    <w:adjustRightInd w:val="0"/>
                    <w:snapToGrid w:val="0"/>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厂界</w:t>
                  </w:r>
                </w:p>
              </w:tc>
              <w:tc>
                <w:tcPr>
                  <w:tcW w:w="433" w:type="pct"/>
                  <w:tcBorders>
                    <w:tl2br w:val="nil"/>
                    <w:tr2bl w:val="nil"/>
                  </w:tcBorders>
                  <w:noWrap w:val="0"/>
                  <w:vAlign w:val="center"/>
                </w:tcPr>
                <w:p w14:paraId="5633E879">
                  <w:pPr>
                    <w:adjustRightInd w:val="0"/>
                    <w:snapToGrid w:val="0"/>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厂界无组织</w:t>
                  </w:r>
                </w:p>
              </w:tc>
              <w:tc>
                <w:tcPr>
                  <w:tcW w:w="237" w:type="pct"/>
                  <w:tcBorders>
                    <w:tl2br w:val="nil"/>
                    <w:tr2bl w:val="nil"/>
                  </w:tcBorders>
                  <w:noWrap w:val="0"/>
                  <w:vAlign w:val="center"/>
                </w:tcPr>
                <w:p w14:paraId="7E72D13B">
                  <w:pPr>
                    <w:widowControl/>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866" w:type="pct"/>
                  <w:tcBorders>
                    <w:tl2br w:val="nil"/>
                    <w:tr2bl w:val="nil"/>
                  </w:tcBorders>
                  <w:noWrap w:val="0"/>
                  <w:vAlign w:val="center"/>
                </w:tcPr>
                <w:p w14:paraId="74A59F36">
                  <w:pPr>
                    <w:adjustRightInd w:val="0"/>
                    <w:snapToGrid w:val="0"/>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287" w:type="pct"/>
                  <w:tcBorders>
                    <w:tl2br w:val="nil"/>
                    <w:tr2bl w:val="nil"/>
                  </w:tcBorders>
                  <w:noWrap w:val="0"/>
                  <w:vAlign w:val="center"/>
                </w:tcPr>
                <w:p w14:paraId="15A12EA9">
                  <w:pPr>
                    <w:adjustRightInd w:val="0"/>
                    <w:snapToGrid w:val="0"/>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287" w:type="pct"/>
                  <w:tcBorders>
                    <w:tl2br w:val="nil"/>
                    <w:tr2bl w:val="nil"/>
                  </w:tcBorders>
                  <w:noWrap w:val="0"/>
                  <w:vAlign w:val="center"/>
                </w:tcPr>
                <w:p w14:paraId="6DE861C3">
                  <w:pPr>
                    <w:adjustRightInd w:val="0"/>
                    <w:snapToGrid w:val="0"/>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313" w:type="pct"/>
                  <w:tcBorders>
                    <w:tl2br w:val="nil"/>
                    <w:tr2bl w:val="nil"/>
                  </w:tcBorders>
                  <w:noWrap w:val="0"/>
                  <w:vAlign w:val="center"/>
                </w:tcPr>
                <w:p w14:paraId="42780CD5">
                  <w:pPr>
                    <w:adjustRightInd w:val="0"/>
                    <w:snapToGrid w:val="0"/>
                    <w:ind w:left="0" w:leftChars="0"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389" w:type="pct"/>
                  <w:tcBorders>
                    <w:tl2br w:val="nil"/>
                    <w:tr2bl w:val="nil"/>
                  </w:tcBorders>
                  <w:shd w:val="clear" w:color="auto" w:fill="auto"/>
                  <w:noWrap w:val="0"/>
                  <w:vAlign w:val="center"/>
                </w:tcPr>
                <w:p w14:paraId="3560E286">
                  <w:pPr>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颗粒物</w:t>
                  </w:r>
                </w:p>
              </w:tc>
              <w:tc>
                <w:tcPr>
                  <w:tcW w:w="687" w:type="pct"/>
                  <w:tcBorders>
                    <w:tl2br w:val="nil"/>
                    <w:tr2bl w:val="nil"/>
                  </w:tcBorders>
                  <w:noWrap w:val="0"/>
                  <w:vAlign w:val="center"/>
                </w:tcPr>
                <w:p w14:paraId="20ECEF46">
                  <w:pPr>
                    <w:adjustRightInd w:val="0"/>
                    <w:snapToGrid w:val="0"/>
                    <w:ind w:left="0" w:leftChars="0" w:right="0" w:rightChars="0" w:firstLine="0" w:firstLineChars="0"/>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t>1.0</w:t>
                  </w:r>
                  <w:r>
                    <w:rPr>
                      <w:rFonts w:hint="default" w:ascii="Times New Roman" w:hAnsi="Times New Roman" w:eastAsia="宋体" w:cs="Times New Roman"/>
                      <w:color w:val="auto"/>
                      <w:kern w:val="0"/>
                      <w:sz w:val="21"/>
                      <w:szCs w:val="21"/>
                    </w:rPr>
                    <w:t>mg/m</w:t>
                  </w:r>
                  <w:r>
                    <w:rPr>
                      <w:rFonts w:hint="default" w:ascii="Times New Roman" w:hAnsi="Times New Roman" w:eastAsia="宋体" w:cs="Times New Roman"/>
                      <w:color w:val="auto"/>
                      <w:kern w:val="0"/>
                      <w:sz w:val="21"/>
                      <w:szCs w:val="21"/>
                      <w:vertAlign w:val="superscript"/>
                    </w:rPr>
                    <w:t>3</w:t>
                  </w:r>
                </w:p>
              </w:tc>
              <w:tc>
                <w:tcPr>
                  <w:tcW w:w="1064" w:type="pct"/>
                  <w:tcBorders>
                    <w:tl2br w:val="nil"/>
                    <w:tr2bl w:val="nil"/>
                  </w:tcBorders>
                  <w:noWrap w:val="0"/>
                  <w:vAlign w:val="center"/>
                </w:tcPr>
                <w:p w14:paraId="1E7833DA">
                  <w:pPr>
                    <w:adjustRightInd w:val="0"/>
                    <w:snapToGrid w:val="0"/>
                    <w:ind w:left="0" w:leftChars="0" w:right="0" w:rightChars="0" w:firstLine="0" w:firstLineChars="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sz w:val="21"/>
                      <w:szCs w:val="21"/>
                    </w:rPr>
                    <w:t>《大气污染物综合排放标准》（GB16297-1996）</w:t>
                  </w:r>
                </w:p>
              </w:tc>
            </w:tr>
          </w:tbl>
          <w:p w14:paraId="599D4413">
            <w:pPr>
              <w:autoSpaceDE w:val="0"/>
              <w:autoSpaceDN w:val="0"/>
              <w:adjustRightInd w:val="0"/>
              <w:spacing w:before="120" w:beforeLines="50" w:line="360" w:lineRule="auto"/>
              <w:ind w:firstLine="482"/>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（3）</w:t>
            </w:r>
            <w:r>
              <w:rPr>
                <w:rFonts w:hint="default" w:ascii="Times New Roman" w:hAnsi="Times New Roman" w:eastAsia="宋体" w:cs="Times New Roman"/>
                <w:color w:val="auto"/>
              </w:rPr>
              <w:t>非正常工况分析</w:t>
            </w:r>
          </w:p>
          <w:p w14:paraId="268A048E">
            <w:pPr>
              <w:autoSpaceDE w:val="0"/>
              <w:autoSpaceDN w:val="0"/>
              <w:adjustRightInd w:val="0"/>
              <w:spacing w:line="360" w:lineRule="auto"/>
              <w:ind w:firstLine="480"/>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1</w:t>
            </w:r>
            <w:r>
              <w:rPr>
                <w:rFonts w:hint="default" w:ascii="Times New Roman" w:hAnsi="Times New Roman" w:eastAsia="宋体" w:cs="Times New Roman"/>
                <w:color w:val="auto"/>
                <w:lang w:eastAsia="zh-CN"/>
              </w:rPr>
              <w:t>）</w:t>
            </w:r>
            <w:r>
              <w:rPr>
                <w:rFonts w:hint="default" w:ascii="Times New Roman" w:hAnsi="Times New Roman" w:eastAsia="宋体" w:cs="Times New Roman"/>
                <w:color w:val="auto"/>
              </w:rPr>
              <w:t>非正常工况污染物产排分析</w:t>
            </w:r>
          </w:p>
          <w:p w14:paraId="0A9BC759">
            <w:pPr>
              <w:autoSpaceDE w:val="0"/>
              <w:autoSpaceDN w:val="0"/>
              <w:adjustRightInd w:val="0"/>
              <w:spacing w:line="360" w:lineRule="auto"/>
              <w:ind w:firstLine="480"/>
              <w:rPr>
                <w:rFonts w:hint="default" w:ascii="Times New Roman" w:hAnsi="Times New Roman" w:eastAsia="宋体" w:cs="Times New Roman"/>
                <w:color w:val="auto"/>
                <w:lang w:val="zh-CN"/>
              </w:rPr>
            </w:pPr>
            <w:r>
              <w:rPr>
                <w:rFonts w:hint="default" w:ascii="Times New Roman" w:hAnsi="Times New Roman" w:eastAsia="宋体" w:cs="Times New Roman"/>
                <w:color w:val="auto"/>
                <w:lang w:val="zh-CN"/>
              </w:rPr>
              <w:t>非正常工况指生产设施非正常工况或污染防治（控制）设施非正常状况，其中生产设施非正常工况指开停炉（机）、设备检修、工艺设备运转异常等工况，污染防治（控制）设施非正常状况指达不到应有治理效率或同步运转率等情况。</w:t>
            </w:r>
          </w:p>
          <w:p w14:paraId="084881F6">
            <w:pPr>
              <w:autoSpaceDE w:val="0"/>
              <w:autoSpaceDN w:val="0"/>
              <w:adjustRightInd w:val="0"/>
              <w:spacing w:line="360" w:lineRule="auto"/>
              <w:ind w:firstLine="480"/>
              <w:rPr>
                <w:rFonts w:hint="default" w:ascii="Times New Roman" w:hAnsi="Times New Roman" w:eastAsia="宋体" w:cs="Times New Roman"/>
                <w:color w:val="auto"/>
              </w:rPr>
            </w:pPr>
            <w:r>
              <w:rPr>
                <w:rFonts w:hint="default" w:ascii="Times New Roman" w:hAnsi="Times New Roman" w:eastAsia="宋体" w:cs="Times New Roman"/>
                <w:color w:val="auto"/>
                <w:lang w:val="zh-CN"/>
              </w:rPr>
              <w:t>环保设施出现故障时，会使污染物处理效率下降或者根本得不到处理而排入环境中。本项目主要为废气治理措施出现故障而不能满足设计要求的情况，主要考虑尾气</w:t>
            </w:r>
            <w:r>
              <w:rPr>
                <w:rFonts w:hint="default" w:ascii="Times New Roman" w:hAnsi="Times New Roman" w:eastAsia="宋体" w:cs="Times New Roman"/>
                <w:color w:val="auto"/>
                <w:lang w:val="en-US" w:eastAsia="zh-CN"/>
              </w:rPr>
              <w:t>处理</w:t>
            </w:r>
            <w:r>
              <w:rPr>
                <w:rFonts w:hint="default" w:ascii="Times New Roman" w:hAnsi="Times New Roman" w:eastAsia="宋体" w:cs="Times New Roman"/>
                <w:color w:val="auto"/>
                <w:lang w:val="zh-CN"/>
              </w:rPr>
              <w:t>系统发生故障导致尾气不经处理直接排入外环境的情况。以最不利情况下废气处理系统净化效率为零考虑，源强最大的时段废气排放1h对周围环境的影响。项目废气治理设施出现故障状况下污染物排放情况见下表。</w:t>
            </w:r>
          </w:p>
          <w:p w14:paraId="145E86D8">
            <w:pPr>
              <w:keepNext w:val="0"/>
              <w:keepLines w:val="0"/>
              <w:pageBreakBefore w:val="0"/>
              <w:widowControl w:val="0"/>
              <w:numPr>
                <w:ilvl w:val="0"/>
                <w:numId w:val="0"/>
              </w:numPr>
              <w:kinsoku/>
              <w:wordWrap/>
              <w:overflowPunct/>
              <w:topLinePunct w:val="0"/>
              <w:autoSpaceDE/>
              <w:autoSpaceDN/>
              <w:bidi w:val="0"/>
              <w:adjustRightInd/>
              <w:snapToGrid/>
              <w:ind w:leftChars="0"/>
              <w:jc w:val="center"/>
              <w:textAlignment w:val="auto"/>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lang w:val="en-US" w:eastAsia="zh-CN"/>
              </w:rPr>
              <w:t xml:space="preserve">表4-5 </w:t>
            </w:r>
            <w:r>
              <w:rPr>
                <w:rFonts w:hint="default" w:ascii="Times New Roman" w:hAnsi="Times New Roman" w:eastAsia="宋体" w:cs="Times New Roman"/>
                <w:b/>
                <w:bCs/>
                <w:color w:val="auto"/>
                <w:szCs w:val="21"/>
              </w:rPr>
              <w:t>项目废气</w:t>
            </w:r>
            <w:r>
              <w:rPr>
                <w:rFonts w:hint="default" w:ascii="Times New Roman" w:hAnsi="Times New Roman" w:eastAsia="宋体" w:cs="Times New Roman"/>
                <w:b/>
                <w:color w:val="auto"/>
                <w:szCs w:val="21"/>
              </w:rPr>
              <w:t>治理</w:t>
            </w:r>
            <w:r>
              <w:rPr>
                <w:rFonts w:hint="default" w:ascii="Times New Roman" w:hAnsi="Times New Roman" w:eastAsia="宋体" w:cs="Times New Roman"/>
                <w:b/>
                <w:bCs/>
                <w:color w:val="auto"/>
                <w:szCs w:val="21"/>
              </w:rPr>
              <w:t>设施</w:t>
            </w:r>
            <w:r>
              <w:rPr>
                <w:rFonts w:hint="default" w:ascii="Times New Roman" w:hAnsi="Times New Roman" w:eastAsia="宋体" w:cs="Times New Roman"/>
                <w:b/>
                <w:color w:val="auto"/>
                <w:kern w:val="0"/>
                <w:szCs w:val="21"/>
              </w:rPr>
              <w:t>出现</w:t>
            </w:r>
            <w:r>
              <w:rPr>
                <w:rFonts w:hint="default" w:ascii="Times New Roman" w:hAnsi="Times New Roman" w:eastAsia="宋体" w:cs="Times New Roman"/>
                <w:b/>
                <w:bCs/>
                <w:color w:val="auto"/>
                <w:szCs w:val="21"/>
              </w:rPr>
              <w:t>故障状况下污染物排放情况</w:t>
            </w:r>
            <w:r>
              <w:rPr>
                <w:rFonts w:hint="default" w:ascii="Times New Roman" w:hAnsi="Times New Roman" w:eastAsia="宋体" w:cs="Times New Roman"/>
                <w:b/>
                <w:bCs/>
                <w:color w:val="auto"/>
                <w:szCs w:val="21"/>
                <w:lang w:val="en-US" w:eastAsia="zh-CN"/>
              </w:rPr>
              <w:t>一览</w:t>
            </w:r>
            <w:r>
              <w:rPr>
                <w:rFonts w:hint="default" w:ascii="Times New Roman" w:hAnsi="Times New Roman" w:eastAsia="宋体" w:cs="Times New Roman"/>
                <w:b/>
                <w:bCs/>
                <w:color w:val="auto"/>
                <w:szCs w:val="21"/>
              </w:rPr>
              <w:t>表</w:t>
            </w:r>
          </w:p>
          <w:tbl>
            <w:tblPr>
              <w:tblStyle w:val="14"/>
              <w:tblW w:w="4998"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814"/>
              <w:gridCol w:w="793"/>
              <w:gridCol w:w="756"/>
              <w:gridCol w:w="893"/>
              <w:gridCol w:w="822"/>
              <w:gridCol w:w="682"/>
              <w:gridCol w:w="951"/>
              <w:gridCol w:w="1269"/>
              <w:gridCol w:w="709"/>
            </w:tblGrid>
            <w:tr w14:paraId="35CE0A5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529" w:type="pct"/>
                  <w:tcBorders>
                    <w:tl2br w:val="nil"/>
                    <w:tr2bl w:val="nil"/>
                  </w:tcBorders>
                  <w:noWrap w:val="0"/>
                  <w:vAlign w:val="center"/>
                </w:tcPr>
                <w:p w14:paraId="7EA7A6B5">
                  <w:pPr>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szCs w:val="21"/>
                    </w:rPr>
                    <w:t>排气筒编号</w:t>
                  </w:r>
                </w:p>
              </w:tc>
              <w:tc>
                <w:tcPr>
                  <w:tcW w:w="515" w:type="pct"/>
                  <w:tcBorders>
                    <w:tl2br w:val="nil"/>
                    <w:tr2bl w:val="nil"/>
                  </w:tcBorders>
                  <w:noWrap w:val="0"/>
                  <w:vAlign w:val="center"/>
                </w:tcPr>
                <w:p w14:paraId="7CFBFB71">
                  <w:pPr>
                    <w:adjustRightInd w:val="0"/>
                    <w:snapToGrid w:val="0"/>
                    <w:jc w:val="center"/>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szCs w:val="21"/>
                    </w:rPr>
                    <w:t>污染物种类</w:t>
                  </w:r>
                </w:p>
              </w:tc>
              <w:tc>
                <w:tcPr>
                  <w:tcW w:w="491" w:type="pct"/>
                  <w:tcBorders>
                    <w:tl2br w:val="nil"/>
                    <w:tr2bl w:val="nil"/>
                  </w:tcBorders>
                  <w:noWrap w:val="0"/>
                  <w:vAlign w:val="center"/>
                </w:tcPr>
                <w:p w14:paraId="56A43F3F">
                  <w:pPr>
                    <w:adjustRightInd w:val="0"/>
                    <w:snapToGrid w:val="0"/>
                    <w:jc w:val="center"/>
                    <w:rPr>
                      <w:rFonts w:hint="default" w:ascii="Times New Roman" w:hAnsi="Times New Roman" w:eastAsia="宋体" w:cs="Times New Roman"/>
                      <w:b/>
                      <w:bCs/>
                      <w:color w:val="auto"/>
                      <w:szCs w:val="21"/>
                      <w:lang w:eastAsia="zh-CN"/>
                    </w:rPr>
                  </w:pPr>
                  <w:r>
                    <w:rPr>
                      <w:rFonts w:hint="default" w:ascii="Times New Roman" w:hAnsi="Times New Roman" w:eastAsia="宋体" w:cs="Times New Roman"/>
                      <w:b/>
                      <w:bCs/>
                      <w:color w:val="auto"/>
                      <w:szCs w:val="21"/>
                      <w:lang w:val="en-US" w:eastAsia="zh-CN"/>
                    </w:rPr>
                    <w:t>排放</w:t>
                  </w:r>
                  <w:r>
                    <w:rPr>
                      <w:rFonts w:hint="default" w:ascii="Times New Roman" w:hAnsi="Times New Roman" w:eastAsia="宋体" w:cs="Times New Roman"/>
                      <w:b/>
                      <w:bCs/>
                      <w:color w:val="auto"/>
                      <w:szCs w:val="21"/>
                    </w:rPr>
                    <w:t>速率</w:t>
                  </w:r>
                  <w:r>
                    <w:rPr>
                      <w:rFonts w:hint="default" w:ascii="Times New Roman" w:hAnsi="Times New Roman" w:eastAsia="宋体" w:cs="Times New Roman"/>
                      <w:b/>
                      <w:bCs/>
                      <w:color w:val="auto"/>
                      <w:szCs w:val="21"/>
                      <w:lang w:val="en-US" w:eastAsia="zh-CN"/>
                    </w:rPr>
                    <w:t>(</w:t>
                  </w:r>
                  <w:r>
                    <w:rPr>
                      <w:rFonts w:hint="default" w:ascii="Times New Roman" w:hAnsi="Times New Roman" w:eastAsia="宋体" w:cs="Times New Roman"/>
                      <w:b/>
                      <w:bCs/>
                      <w:color w:val="auto"/>
                      <w:szCs w:val="21"/>
                    </w:rPr>
                    <w:t>kg/h</w:t>
                  </w:r>
                  <w:r>
                    <w:rPr>
                      <w:rFonts w:hint="default" w:ascii="Times New Roman" w:hAnsi="Times New Roman" w:eastAsia="宋体" w:cs="Times New Roman"/>
                      <w:b/>
                      <w:bCs/>
                      <w:color w:val="auto"/>
                      <w:szCs w:val="21"/>
                      <w:lang w:val="en-US" w:eastAsia="zh-CN"/>
                    </w:rPr>
                    <w:t>)</w:t>
                  </w:r>
                </w:p>
              </w:tc>
              <w:tc>
                <w:tcPr>
                  <w:tcW w:w="580" w:type="pct"/>
                  <w:tcBorders>
                    <w:tl2br w:val="nil"/>
                    <w:tr2bl w:val="nil"/>
                  </w:tcBorders>
                  <w:noWrap w:val="0"/>
                  <w:vAlign w:val="center"/>
                </w:tcPr>
                <w:p w14:paraId="5D7E7E5A">
                  <w:pPr>
                    <w:adjustRightInd w:val="0"/>
                    <w:snapToGrid w:val="0"/>
                    <w:jc w:val="center"/>
                    <w:rPr>
                      <w:rFonts w:hint="default" w:ascii="Times New Roman" w:hAnsi="Times New Roman" w:eastAsia="宋体" w:cs="Times New Roman"/>
                      <w:b/>
                      <w:bCs/>
                      <w:color w:val="auto"/>
                      <w:szCs w:val="21"/>
                      <w:lang w:eastAsia="zh-CN"/>
                    </w:rPr>
                  </w:pPr>
                  <w:r>
                    <w:rPr>
                      <w:rFonts w:hint="default" w:ascii="Times New Roman" w:hAnsi="Times New Roman" w:eastAsia="宋体" w:cs="Times New Roman"/>
                      <w:b/>
                      <w:bCs/>
                      <w:color w:val="auto"/>
                      <w:szCs w:val="21"/>
                      <w:lang w:val="en-US" w:eastAsia="zh-CN"/>
                    </w:rPr>
                    <w:t>排放</w:t>
                  </w:r>
                  <w:r>
                    <w:rPr>
                      <w:rFonts w:hint="default" w:ascii="Times New Roman" w:hAnsi="Times New Roman" w:eastAsia="宋体" w:cs="Times New Roman"/>
                      <w:b/>
                      <w:bCs/>
                      <w:color w:val="auto"/>
                      <w:szCs w:val="21"/>
                    </w:rPr>
                    <w:t>浓度</w:t>
                  </w:r>
                  <w:r>
                    <w:rPr>
                      <w:rFonts w:hint="default" w:ascii="Times New Roman" w:hAnsi="Times New Roman" w:eastAsia="宋体" w:cs="Times New Roman"/>
                      <w:b/>
                      <w:bCs/>
                      <w:color w:val="auto"/>
                      <w:szCs w:val="21"/>
                      <w:lang w:val="en-US" w:eastAsia="zh-CN"/>
                    </w:rPr>
                    <w:t>(</w:t>
                  </w:r>
                  <w:r>
                    <w:rPr>
                      <w:rFonts w:hint="default" w:ascii="Times New Roman" w:hAnsi="Times New Roman" w:eastAsia="宋体" w:cs="Times New Roman"/>
                      <w:b/>
                      <w:bCs/>
                      <w:color w:val="auto"/>
                      <w:szCs w:val="21"/>
                    </w:rPr>
                    <w:t>mg/m</w:t>
                  </w:r>
                  <w:r>
                    <w:rPr>
                      <w:rFonts w:hint="default" w:ascii="Times New Roman" w:hAnsi="Times New Roman" w:eastAsia="宋体" w:cs="Times New Roman"/>
                      <w:b/>
                      <w:bCs/>
                      <w:color w:val="auto"/>
                      <w:szCs w:val="21"/>
                      <w:vertAlign w:val="superscript"/>
                    </w:rPr>
                    <w:t>3</w:t>
                  </w:r>
                  <w:r>
                    <w:rPr>
                      <w:rFonts w:hint="default" w:ascii="Times New Roman" w:hAnsi="Times New Roman" w:eastAsia="宋体" w:cs="Times New Roman"/>
                      <w:b/>
                      <w:bCs/>
                      <w:color w:val="auto"/>
                      <w:szCs w:val="21"/>
                      <w:lang w:val="en-US" w:eastAsia="zh-CN"/>
                    </w:rPr>
                    <w:t>)</w:t>
                  </w:r>
                </w:p>
              </w:tc>
              <w:tc>
                <w:tcPr>
                  <w:tcW w:w="534" w:type="pct"/>
                  <w:tcBorders>
                    <w:tl2br w:val="nil"/>
                    <w:tr2bl w:val="nil"/>
                  </w:tcBorders>
                  <w:noWrap w:val="0"/>
                  <w:vAlign w:val="center"/>
                </w:tcPr>
                <w:p w14:paraId="2447B0D2">
                  <w:pPr>
                    <w:adjustRightInd w:val="0"/>
                    <w:snapToGrid w:val="0"/>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单次</w:t>
                  </w:r>
                  <w:r>
                    <w:rPr>
                      <w:rFonts w:hint="default" w:ascii="Times New Roman" w:hAnsi="Times New Roman" w:eastAsia="宋体" w:cs="Times New Roman"/>
                      <w:b/>
                      <w:bCs/>
                      <w:color w:val="auto"/>
                      <w:szCs w:val="21"/>
                      <w:lang w:val="en-US" w:eastAsia="zh-CN"/>
                    </w:rPr>
                    <w:t>持续</w:t>
                  </w:r>
                  <w:r>
                    <w:rPr>
                      <w:rFonts w:hint="default" w:ascii="Times New Roman" w:hAnsi="Times New Roman" w:eastAsia="宋体" w:cs="Times New Roman"/>
                      <w:b/>
                      <w:bCs/>
                      <w:color w:val="auto"/>
                      <w:szCs w:val="21"/>
                    </w:rPr>
                    <w:t>时间（</w:t>
                  </w:r>
                  <w:r>
                    <w:rPr>
                      <w:rFonts w:hint="default" w:ascii="Times New Roman" w:hAnsi="Times New Roman" w:eastAsia="宋体" w:cs="Times New Roman"/>
                      <w:b/>
                      <w:bCs/>
                      <w:color w:val="auto"/>
                      <w:szCs w:val="21"/>
                      <w:lang w:val="en-US" w:eastAsia="zh-CN"/>
                    </w:rPr>
                    <w:t>h</w:t>
                  </w:r>
                  <w:r>
                    <w:rPr>
                      <w:rFonts w:hint="default" w:ascii="Times New Roman" w:hAnsi="Times New Roman" w:eastAsia="宋体" w:cs="Times New Roman"/>
                      <w:b/>
                      <w:bCs/>
                      <w:color w:val="auto"/>
                      <w:szCs w:val="21"/>
                    </w:rPr>
                    <w:t>）</w:t>
                  </w:r>
                </w:p>
              </w:tc>
              <w:tc>
                <w:tcPr>
                  <w:tcW w:w="443" w:type="pct"/>
                  <w:tcBorders>
                    <w:tl2br w:val="nil"/>
                    <w:tr2bl w:val="nil"/>
                  </w:tcBorders>
                  <w:noWrap w:val="0"/>
                  <w:vAlign w:val="center"/>
                </w:tcPr>
                <w:p w14:paraId="6AF3853D">
                  <w:pPr>
                    <w:adjustRightInd w:val="0"/>
                    <w:snapToGrid w:val="0"/>
                    <w:jc w:val="center"/>
                    <w:rPr>
                      <w:rFonts w:hint="default" w:ascii="Times New Roman" w:hAnsi="Times New Roman" w:eastAsia="宋体" w:cs="Times New Roman"/>
                      <w:b/>
                      <w:bCs/>
                      <w:color w:val="auto"/>
                      <w:szCs w:val="21"/>
                      <w:lang w:eastAsia="zh-CN"/>
                    </w:rPr>
                  </w:pPr>
                  <w:r>
                    <w:rPr>
                      <w:rFonts w:hint="default" w:ascii="Times New Roman" w:hAnsi="Times New Roman" w:eastAsia="宋体" w:cs="Times New Roman"/>
                      <w:b/>
                      <w:bCs/>
                      <w:color w:val="auto"/>
                      <w:szCs w:val="21"/>
                    </w:rPr>
                    <w:t>事故频次</w:t>
                  </w:r>
                  <w:r>
                    <w:rPr>
                      <w:rFonts w:hint="default" w:ascii="Times New Roman" w:hAnsi="Times New Roman" w:eastAsia="宋体" w:cs="Times New Roman"/>
                      <w:b/>
                      <w:bCs/>
                      <w:color w:val="auto"/>
                      <w:szCs w:val="21"/>
                      <w:lang w:val="en-US" w:eastAsia="zh-CN"/>
                    </w:rPr>
                    <w:t>(</w:t>
                  </w:r>
                  <w:r>
                    <w:rPr>
                      <w:rFonts w:hint="default" w:ascii="Times New Roman" w:hAnsi="Times New Roman" w:eastAsia="宋体" w:cs="Times New Roman"/>
                      <w:b/>
                      <w:bCs/>
                      <w:color w:val="auto"/>
                      <w:szCs w:val="21"/>
                    </w:rPr>
                    <w:t>次/a</w:t>
                  </w:r>
                  <w:r>
                    <w:rPr>
                      <w:rFonts w:hint="default" w:ascii="Times New Roman" w:hAnsi="Times New Roman" w:eastAsia="宋体" w:cs="Times New Roman"/>
                      <w:b/>
                      <w:bCs/>
                      <w:color w:val="auto"/>
                      <w:szCs w:val="21"/>
                      <w:lang w:val="en-US" w:eastAsia="zh-CN"/>
                    </w:rPr>
                    <w:t>)</w:t>
                  </w:r>
                </w:p>
              </w:tc>
              <w:tc>
                <w:tcPr>
                  <w:tcW w:w="618" w:type="pct"/>
                  <w:tcBorders>
                    <w:tl2br w:val="nil"/>
                    <w:tr2bl w:val="nil"/>
                  </w:tcBorders>
                  <w:noWrap w:val="0"/>
                  <w:vAlign w:val="center"/>
                </w:tcPr>
                <w:p w14:paraId="0491BABA">
                  <w:pPr>
                    <w:adjustRightInd w:val="0"/>
                    <w:snapToGrid w:val="0"/>
                    <w:jc w:val="center"/>
                    <w:rPr>
                      <w:rFonts w:hint="default" w:ascii="Times New Roman" w:hAnsi="Times New Roman" w:eastAsia="宋体" w:cs="Times New Roman"/>
                      <w:b/>
                      <w:bCs/>
                      <w:color w:val="auto"/>
                      <w:szCs w:val="21"/>
                      <w:lang w:eastAsia="zh-CN"/>
                    </w:rPr>
                  </w:pPr>
                  <w:r>
                    <w:rPr>
                      <w:rFonts w:hint="default" w:ascii="Times New Roman" w:hAnsi="Times New Roman" w:eastAsia="宋体" w:cs="Times New Roman"/>
                      <w:b/>
                      <w:bCs/>
                      <w:color w:val="auto"/>
                      <w:szCs w:val="21"/>
                    </w:rPr>
                    <w:t>排放量</w:t>
                  </w:r>
                  <w:r>
                    <w:rPr>
                      <w:rFonts w:hint="default" w:ascii="Times New Roman" w:hAnsi="Times New Roman" w:eastAsia="宋体" w:cs="Times New Roman"/>
                      <w:b/>
                      <w:bCs/>
                      <w:color w:val="auto"/>
                      <w:szCs w:val="21"/>
                      <w:lang w:val="en-US" w:eastAsia="zh-CN"/>
                    </w:rPr>
                    <w:t>(</w:t>
                  </w:r>
                  <w:r>
                    <w:rPr>
                      <w:rFonts w:hint="default" w:ascii="Times New Roman" w:hAnsi="Times New Roman" w:eastAsia="宋体" w:cs="Times New Roman"/>
                      <w:b/>
                      <w:bCs/>
                      <w:color w:val="auto"/>
                      <w:szCs w:val="21"/>
                    </w:rPr>
                    <w:t>kg/次</w:t>
                  </w:r>
                  <w:r>
                    <w:rPr>
                      <w:rFonts w:hint="default" w:ascii="Times New Roman" w:hAnsi="Times New Roman" w:eastAsia="宋体" w:cs="Times New Roman"/>
                      <w:b/>
                      <w:bCs/>
                      <w:color w:val="auto"/>
                      <w:szCs w:val="21"/>
                      <w:lang w:val="en-US" w:eastAsia="zh-CN"/>
                    </w:rPr>
                    <w:t>)</w:t>
                  </w:r>
                </w:p>
              </w:tc>
              <w:tc>
                <w:tcPr>
                  <w:tcW w:w="824" w:type="pct"/>
                  <w:tcBorders>
                    <w:tl2br w:val="nil"/>
                    <w:tr2bl w:val="nil"/>
                  </w:tcBorders>
                  <w:noWrap w:val="0"/>
                  <w:vAlign w:val="center"/>
                </w:tcPr>
                <w:p w14:paraId="1FDEE308">
                  <w:pPr>
                    <w:adjustRightInd w:val="0"/>
                    <w:snapToGrid w:val="0"/>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标准限值</w:t>
                  </w:r>
                </w:p>
              </w:tc>
              <w:tc>
                <w:tcPr>
                  <w:tcW w:w="460" w:type="pct"/>
                  <w:tcBorders>
                    <w:tl2br w:val="nil"/>
                    <w:tr2bl w:val="nil"/>
                  </w:tcBorders>
                  <w:noWrap w:val="0"/>
                  <w:vAlign w:val="center"/>
                </w:tcPr>
                <w:p w14:paraId="643346AD">
                  <w:pPr>
                    <w:adjustRightInd w:val="0"/>
                    <w:snapToGrid w:val="0"/>
                    <w:jc w:val="center"/>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达标情况</w:t>
                  </w:r>
                </w:p>
              </w:tc>
            </w:tr>
            <w:tr w14:paraId="1D71BB4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529" w:type="pct"/>
                  <w:tcBorders>
                    <w:tl2br w:val="nil"/>
                    <w:tr2bl w:val="nil"/>
                  </w:tcBorders>
                  <w:noWrap w:val="0"/>
                  <w:vAlign w:val="center"/>
                </w:tcPr>
                <w:p w14:paraId="6C59CF9A">
                  <w:pPr>
                    <w:adjustRightInd w:val="0"/>
                    <w:snapToGrid w:val="0"/>
                    <w:jc w:val="center"/>
                    <w:rPr>
                      <w:rFonts w:hint="default" w:ascii="Times New Roman" w:hAnsi="Times New Roman" w:eastAsia="宋体" w:cs="Times New Roman"/>
                      <w:color w:val="auto"/>
                      <w:szCs w:val="21"/>
                      <w:lang w:eastAsia="zh-CN"/>
                    </w:rPr>
                  </w:pPr>
                  <w:r>
                    <w:rPr>
                      <w:rFonts w:hint="default" w:ascii="Times New Roman" w:hAnsi="Times New Roman" w:eastAsia="宋体" w:cs="Times New Roman"/>
                      <w:color w:val="auto"/>
                      <w:szCs w:val="21"/>
                    </w:rPr>
                    <w:t>DA00</w:t>
                  </w:r>
                  <w:r>
                    <w:rPr>
                      <w:rFonts w:hint="default" w:ascii="Times New Roman" w:hAnsi="Times New Roman" w:eastAsia="宋体" w:cs="Times New Roman"/>
                      <w:color w:val="auto"/>
                      <w:szCs w:val="21"/>
                      <w:lang w:val="en-US" w:eastAsia="zh-CN"/>
                    </w:rPr>
                    <w:t>1</w:t>
                  </w:r>
                </w:p>
              </w:tc>
              <w:tc>
                <w:tcPr>
                  <w:tcW w:w="515" w:type="pct"/>
                  <w:tcBorders>
                    <w:tl2br w:val="nil"/>
                    <w:tr2bl w:val="nil"/>
                  </w:tcBorders>
                  <w:noWrap w:val="0"/>
                  <w:vAlign w:val="center"/>
                </w:tcPr>
                <w:p w14:paraId="737A7603">
                  <w:pPr>
                    <w:spacing w:line="240" w:lineRule="auto"/>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颗粒物</w:t>
                  </w:r>
                </w:p>
              </w:tc>
              <w:tc>
                <w:tcPr>
                  <w:tcW w:w="491" w:type="pct"/>
                  <w:tcBorders>
                    <w:tl2br w:val="nil"/>
                    <w:tr2bl w:val="nil"/>
                  </w:tcBorders>
                  <w:shd w:val="clear" w:color="auto" w:fill="auto"/>
                  <w:noWrap w:val="0"/>
                  <w:vAlign w:val="center"/>
                </w:tcPr>
                <w:p w14:paraId="060E6660">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9.5417</w:t>
                  </w:r>
                </w:p>
              </w:tc>
              <w:tc>
                <w:tcPr>
                  <w:tcW w:w="580" w:type="pct"/>
                  <w:tcBorders>
                    <w:tl2br w:val="nil"/>
                    <w:tr2bl w:val="nil"/>
                  </w:tcBorders>
                  <w:shd w:val="clear" w:color="auto" w:fill="auto"/>
                  <w:noWrap w:val="0"/>
                  <w:vAlign w:val="center"/>
                </w:tcPr>
                <w:p w14:paraId="18951279">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477.08</w:t>
                  </w:r>
                </w:p>
              </w:tc>
              <w:tc>
                <w:tcPr>
                  <w:tcW w:w="534" w:type="pct"/>
                  <w:tcBorders>
                    <w:tl2br w:val="nil"/>
                    <w:tr2bl w:val="nil"/>
                  </w:tcBorders>
                  <w:shd w:val="clear" w:color="auto" w:fill="auto"/>
                  <w:noWrap w:val="0"/>
                  <w:vAlign w:val="center"/>
                </w:tcPr>
                <w:p w14:paraId="3ED989F8">
                  <w:pPr>
                    <w:widowControl/>
                    <w:jc w:val="center"/>
                    <w:textAlignment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Cs w:val="21"/>
                      <w:lang w:bidi="ar"/>
                    </w:rPr>
                    <w:t>1</w:t>
                  </w:r>
                </w:p>
              </w:tc>
              <w:tc>
                <w:tcPr>
                  <w:tcW w:w="443" w:type="pct"/>
                  <w:tcBorders>
                    <w:tl2br w:val="nil"/>
                    <w:tr2bl w:val="nil"/>
                  </w:tcBorders>
                  <w:shd w:val="clear" w:color="auto" w:fill="auto"/>
                  <w:noWrap w:val="0"/>
                  <w:vAlign w:val="center"/>
                </w:tcPr>
                <w:p w14:paraId="76753CB7">
                  <w:pPr>
                    <w:widowControl/>
                    <w:jc w:val="center"/>
                    <w:textAlignment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Cs w:val="21"/>
                      <w:lang w:bidi="ar"/>
                    </w:rPr>
                    <w:t>1</w:t>
                  </w:r>
                </w:p>
              </w:tc>
              <w:tc>
                <w:tcPr>
                  <w:tcW w:w="618" w:type="pct"/>
                  <w:tcBorders>
                    <w:tl2br w:val="nil"/>
                    <w:tr2bl w:val="nil"/>
                  </w:tcBorders>
                  <w:shd w:val="clear" w:color="auto" w:fill="auto"/>
                  <w:noWrap w:val="0"/>
                  <w:vAlign w:val="center"/>
                </w:tcPr>
                <w:p w14:paraId="399BD803">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9.5417</w:t>
                  </w:r>
                </w:p>
              </w:tc>
              <w:tc>
                <w:tcPr>
                  <w:tcW w:w="824" w:type="pct"/>
                  <w:tcBorders>
                    <w:tl2br w:val="nil"/>
                    <w:tr2bl w:val="nil"/>
                  </w:tcBorders>
                  <w:noWrap w:val="0"/>
                  <w:vAlign w:val="center"/>
                </w:tcPr>
                <w:p w14:paraId="1C858C50">
                  <w:pPr>
                    <w:adjustRightInd w:val="0"/>
                    <w:snapToGrid w:val="0"/>
                    <w:jc w:val="center"/>
                    <w:rPr>
                      <w:rFonts w:hint="default" w:ascii="Times New Roman" w:hAnsi="Times New Roman" w:eastAsia="宋体" w:cs="Times New Roman"/>
                      <w:color w:val="auto"/>
                      <w:kern w:val="0"/>
                      <w:szCs w:val="21"/>
                    </w:rPr>
                  </w:pPr>
                  <w:r>
                    <w:rPr>
                      <w:rFonts w:hint="default" w:ascii="Times New Roman" w:hAnsi="Times New Roman" w:eastAsia="宋体" w:cs="Times New Roman"/>
                      <w:color w:val="auto"/>
                      <w:kern w:val="0"/>
                      <w:sz w:val="21"/>
                      <w:szCs w:val="21"/>
                    </w:rPr>
                    <w:t>10mg/m</w:t>
                  </w:r>
                  <w:r>
                    <w:rPr>
                      <w:rFonts w:hint="default" w:ascii="Times New Roman" w:hAnsi="Times New Roman" w:eastAsia="宋体" w:cs="Times New Roman"/>
                      <w:color w:val="auto"/>
                      <w:kern w:val="0"/>
                      <w:sz w:val="21"/>
                      <w:szCs w:val="21"/>
                      <w:vertAlign w:val="superscript"/>
                    </w:rPr>
                    <w:t>3</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val="en-US" w:eastAsia="zh-CN"/>
                    </w:rPr>
                    <w:t>3.5kg/h</w:t>
                  </w:r>
                </w:p>
              </w:tc>
              <w:tc>
                <w:tcPr>
                  <w:tcW w:w="460" w:type="pct"/>
                  <w:tcBorders>
                    <w:tl2br w:val="nil"/>
                    <w:tr2bl w:val="nil"/>
                  </w:tcBorders>
                  <w:noWrap w:val="0"/>
                  <w:vAlign w:val="center"/>
                </w:tcPr>
                <w:p w14:paraId="656DC829">
                  <w:pPr>
                    <w:adjustRightInd w:val="0"/>
                    <w:snapToGrid w:val="0"/>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lang w:val="en-US" w:eastAsia="zh-CN"/>
                    </w:rPr>
                    <w:t>不</w:t>
                  </w:r>
                  <w:r>
                    <w:rPr>
                      <w:rFonts w:hint="default" w:ascii="Times New Roman" w:hAnsi="Times New Roman" w:eastAsia="宋体" w:cs="Times New Roman"/>
                      <w:color w:val="auto"/>
                      <w:szCs w:val="21"/>
                    </w:rPr>
                    <w:t>达标</w:t>
                  </w:r>
                </w:p>
              </w:tc>
            </w:tr>
          </w:tbl>
          <w:p w14:paraId="5FBF7B41">
            <w:pPr>
              <w:adjustRightInd w:val="0"/>
              <w:snapToGrid w:val="0"/>
              <w:spacing w:before="120" w:beforeLines="50" w:line="360" w:lineRule="auto"/>
              <w:ind w:firstLine="420" w:firstLineChars="200"/>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2</w:t>
            </w:r>
            <w:r>
              <w:rPr>
                <w:rFonts w:hint="default" w:ascii="Times New Roman" w:hAnsi="Times New Roman" w:eastAsia="宋体" w:cs="Times New Roman"/>
                <w:color w:val="auto"/>
                <w:lang w:eastAsia="zh-CN"/>
              </w:rPr>
              <w:t>）</w:t>
            </w:r>
            <w:r>
              <w:rPr>
                <w:rFonts w:hint="default" w:ascii="Times New Roman" w:hAnsi="Times New Roman" w:eastAsia="宋体" w:cs="Times New Roman"/>
                <w:color w:val="auto"/>
              </w:rPr>
              <w:t>非正常工况环境影响分析及预防措施</w:t>
            </w:r>
          </w:p>
          <w:p w14:paraId="6100A788">
            <w:pPr>
              <w:autoSpaceDE w:val="0"/>
              <w:autoSpaceDN w:val="0"/>
              <w:adjustRightInd w:val="0"/>
              <w:spacing w:line="360" w:lineRule="auto"/>
              <w:ind w:firstLine="420" w:firstLineChars="200"/>
              <w:rPr>
                <w:rFonts w:hint="default" w:ascii="Times New Roman" w:hAnsi="Times New Roman" w:eastAsia="宋体" w:cs="Times New Roman"/>
                <w:color w:val="auto"/>
                <w:lang w:val="zh-CN"/>
              </w:rPr>
            </w:pPr>
            <w:r>
              <w:rPr>
                <w:rFonts w:hint="default" w:ascii="Times New Roman" w:hAnsi="Times New Roman" w:eastAsia="宋体" w:cs="Times New Roman"/>
                <w:color w:val="auto"/>
                <w:lang w:val="zh-CN"/>
              </w:rPr>
              <w:t>根据以上分析，当</w:t>
            </w:r>
            <w:r>
              <w:rPr>
                <w:rFonts w:hint="default" w:ascii="Times New Roman" w:hAnsi="Times New Roman" w:eastAsia="宋体" w:cs="Times New Roman"/>
                <w:snapToGrid w:val="0"/>
                <w:color w:val="auto"/>
                <w:kern w:val="0"/>
                <w:sz w:val="21"/>
                <w:szCs w:val="21"/>
                <w:highlight w:val="none"/>
                <w:lang w:val="en-US" w:eastAsia="zh-CN"/>
              </w:rPr>
              <w:t>脉冲式布袋除尘器</w:t>
            </w:r>
            <w:r>
              <w:rPr>
                <w:rFonts w:hint="default" w:ascii="Times New Roman" w:hAnsi="Times New Roman" w:eastAsia="宋体" w:cs="Times New Roman"/>
                <w:color w:val="auto"/>
                <w:lang w:val="zh-CN"/>
              </w:rPr>
              <w:t>发生故障，去除率降为0时，</w:t>
            </w:r>
            <w:r>
              <w:rPr>
                <w:rFonts w:hint="default" w:ascii="Times New Roman" w:hAnsi="Times New Roman" w:eastAsia="宋体" w:cs="Times New Roman"/>
                <w:color w:val="auto"/>
              </w:rPr>
              <w:t>排气筒DA00</w:t>
            </w:r>
            <w:r>
              <w:rPr>
                <w:rFonts w:hint="default" w:ascii="Times New Roman" w:hAnsi="Times New Roman" w:eastAsia="宋体" w:cs="Times New Roman"/>
                <w:color w:val="auto"/>
                <w:lang w:val="en-US" w:eastAsia="zh-CN"/>
              </w:rPr>
              <w:t>1</w:t>
            </w:r>
            <w:r>
              <w:rPr>
                <w:rFonts w:hint="default" w:ascii="Times New Roman" w:hAnsi="Times New Roman" w:eastAsia="宋体" w:cs="Times New Roman"/>
                <w:color w:val="auto"/>
                <w:lang w:val="zh-CN"/>
              </w:rPr>
              <w:t>排放的</w:t>
            </w:r>
            <w:r>
              <w:rPr>
                <w:rFonts w:hint="default" w:ascii="Times New Roman" w:hAnsi="Times New Roman" w:eastAsia="宋体" w:cs="Times New Roman"/>
                <w:color w:val="auto"/>
                <w:lang w:val="en-US" w:eastAsia="zh-CN"/>
              </w:rPr>
              <w:t>颗粒物不达标</w:t>
            </w:r>
            <w:r>
              <w:rPr>
                <w:rFonts w:hint="default" w:ascii="Times New Roman" w:hAnsi="Times New Roman" w:eastAsia="宋体" w:cs="Times New Roman"/>
                <w:color w:val="auto"/>
                <w:lang w:val="zh-CN"/>
              </w:rPr>
              <w:t>。由此可见，项目废气治理设施出现故障等非正常工况下，污染物排放对环境影响较大。</w:t>
            </w:r>
          </w:p>
          <w:p w14:paraId="5A94659E">
            <w:pPr>
              <w:pageBreakBefore w:val="0"/>
              <w:widowControl w:val="0"/>
              <w:kinsoku/>
              <w:wordWrap/>
              <w:overflowPunct/>
              <w:bidi w:val="0"/>
              <w:adjustRightInd w:val="0"/>
              <w:snapToGrid w:val="0"/>
              <w:spacing w:line="360" w:lineRule="auto"/>
              <w:ind w:firstLine="420" w:firstLineChars="200"/>
              <w:jc w:val="both"/>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sz w:val="21"/>
                <w:szCs w:val="21"/>
                <w:lang w:val="en-US" w:eastAsia="zh-CN"/>
              </w:rPr>
              <w:t>在非正常工况下，废气中污染物排放速率及排放浓度显著增加，排气筒排放的颗粒物超标。</w:t>
            </w:r>
            <w:r>
              <w:rPr>
                <w:rFonts w:hint="default" w:ascii="Times New Roman" w:hAnsi="Times New Roman" w:eastAsia="宋体" w:cs="Times New Roman"/>
                <w:color w:val="auto"/>
                <w:kern w:val="0"/>
                <w:sz w:val="21"/>
                <w:szCs w:val="21"/>
              </w:rPr>
              <w:t>针对上述情况，本环评建议项目方采取如下措施：</w:t>
            </w:r>
          </w:p>
          <w:p w14:paraId="764F1BA1">
            <w:pPr>
              <w:pageBreakBefore w:val="0"/>
              <w:widowControl w:val="0"/>
              <w:kinsoku/>
              <w:wordWrap/>
              <w:overflowPunct/>
              <w:bidi w:val="0"/>
              <w:adjustRightInd w:val="0"/>
              <w:snapToGrid w:val="0"/>
              <w:spacing w:line="360" w:lineRule="auto"/>
              <w:ind w:firstLine="420" w:firstLineChars="200"/>
              <w:jc w:val="both"/>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①</w:t>
            </w:r>
            <w:r>
              <w:rPr>
                <w:rFonts w:hint="default" w:ascii="Times New Roman" w:hAnsi="Times New Roman" w:eastAsia="宋体" w:cs="Times New Roman"/>
                <w:color w:val="auto"/>
                <w:kern w:val="0"/>
                <w:sz w:val="21"/>
                <w:szCs w:val="21"/>
                <w:lang w:val="zh-CN"/>
              </w:rPr>
              <w:t>发生停电时及时更换电力线路；</w:t>
            </w:r>
          </w:p>
          <w:p w14:paraId="159618B0">
            <w:pPr>
              <w:pageBreakBefore w:val="0"/>
              <w:widowControl w:val="0"/>
              <w:kinsoku/>
              <w:wordWrap/>
              <w:overflowPunct/>
              <w:bidi w:val="0"/>
              <w:adjustRightInd w:val="0"/>
              <w:snapToGrid w:val="0"/>
              <w:spacing w:line="360" w:lineRule="auto"/>
              <w:ind w:firstLine="420" w:firstLineChars="200"/>
              <w:jc w:val="both"/>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②对废气处理设施认真保养维护，定期进行检修，最大程度减少设备发生故障的可能性；</w:t>
            </w:r>
          </w:p>
          <w:p w14:paraId="6F812656">
            <w:pPr>
              <w:pageBreakBefore w:val="0"/>
              <w:widowControl w:val="0"/>
              <w:kinsoku/>
              <w:wordWrap/>
              <w:overflowPunct/>
              <w:bidi w:val="0"/>
              <w:adjustRightInd w:val="0"/>
              <w:snapToGrid w:val="0"/>
              <w:spacing w:line="360" w:lineRule="auto"/>
              <w:ind w:firstLine="420" w:firstLineChars="200"/>
              <w:jc w:val="both"/>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③开车前，废气处理设施运转正常再开车，同时逐渐扩大产能；停车时逐步降低产能，并直到全部停后再停环保设施。确保由于开停车产生的大气污染物得到有效治理，并满足相关标准要求。</w:t>
            </w:r>
          </w:p>
          <w:p w14:paraId="176BEC44">
            <w:pPr>
              <w:pageBreakBefore w:val="0"/>
              <w:widowControl w:val="0"/>
              <w:kinsoku/>
              <w:wordWrap/>
              <w:overflowPunct/>
              <w:bidi w:val="0"/>
              <w:adjustRightInd w:val="0"/>
              <w:snapToGrid w:val="0"/>
              <w:spacing w:line="360" w:lineRule="auto"/>
              <w:ind w:firstLine="420" w:firstLineChars="200"/>
              <w:jc w:val="both"/>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rPr>
              <w:t>④若环保设备出现故障，不能正常运行，则同时将生产设备停止运行，减少污染物排放</w:t>
            </w:r>
            <w:r>
              <w:rPr>
                <w:rFonts w:hint="default" w:ascii="Times New Roman" w:hAnsi="Times New Roman" w:eastAsia="宋体" w:cs="Times New Roman"/>
                <w:color w:val="auto"/>
                <w:kern w:val="0"/>
                <w:sz w:val="21"/>
                <w:szCs w:val="21"/>
                <w:lang w:eastAsia="zh-CN"/>
              </w:rPr>
              <w:t>。</w:t>
            </w:r>
          </w:p>
          <w:p w14:paraId="62C76698">
            <w:pPr>
              <w:adjustRightInd w:val="0"/>
              <w:snapToGrid w:val="0"/>
              <w:spacing w:line="360" w:lineRule="auto"/>
              <w:ind w:firstLine="420" w:firstLineChars="200"/>
              <w:rPr>
                <w:rFonts w:hint="default" w:ascii="Times New Roman" w:hAnsi="Times New Roman" w:eastAsia="宋体" w:cs="Times New Roman"/>
                <w:color w:val="auto"/>
                <w:lang w:val="zh-CN"/>
              </w:rPr>
            </w:pPr>
            <w:r>
              <w:rPr>
                <w:rFonts w:hint="default" w:ascii="Times New Roman" w:hAnsi="Times New Roman" w:eastAsia="宋体" w:cs="Times New Roman"/>
                <w:color w:val="auto"/>
                <w:kern w:val="0"/>
                <w:sz w:val="21"/>
                <w:szCs w:val="21"/>
              </w:rPr>
              <w:t>本项目非正常工况下，企业应及时停止生产，不会对周围大气环境造成长期影响。</w:t>
            </w:r>
          </w:p>
          <w:p w14:paraId="74269520">
            <w:pPr>
              <w:autoSpaceDE w:val="0"/>
              <w:autoSpaceDN w:val="0"/>
              <w:adjustRightInd w:val="0"/>
              <w:spacing w:line="360" w:lineRule="auto"/>
              <w:ind w:firstLine="48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（4）环境影响分析</w:t>
            </w:r>
          </w:p>
          <w:p w14:paraId="0D72B767">
            <w:pPr>
              <w:keepNext w:val="0"/>
              <w:keepLines w:val="0"/>
              <w:pageBreakBefore w:val="0"/>
              <w:widowControl w:val="0"/>
              <w:numPr>
                <w:ilvl w:val="0"/>
                <w:numId w:val="0"/>
              </w:numPr>
              <w:kinsoku/>
              <w:wordWrap/>
              <w:overflowPunct/>
              <w:topLinePunct w:val="0"/>
              <w:bidi w:val="0"/>
              <w:spacing w:line="360" w:lineRule="auto"/>
              <w:ind w:right="0" w:rightChars="0" w:firstLine="420" w:firstLineChars="200"/>
              <w:jc w:val="both"/>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szCs w:val="21"/>
                <w:lang w:val="en-US" w:eastAsia="zh-CN"/>
              </w:rPr>
              <w:t>建设项目所在区域环境质量为不达标区，大气环境质量中超标的因子主要是PM</w:t>
            </w:r>
            <w:r>
              <w:rPr>
                <w:rFonts w:hint="default" w:ascii="Times New Roman" w:hAnsi="Times New Roman" w:eastAsia="宋体" w:cs="Times New Roman"/>
                <w:color w:val="auto"/>
                <w:szCs w:val="21"/>
                <w:vertAlign w:val="subscript"/>
                <w:lang w:val="en-US" w:eastAsia="zh-CN"/>
              </w:rPr>
              <w:t>10</w:t>
            </w:r>
            <w:r>
              <w:rPr>
                <w:rFonts w:hint="default" w:ascii="Times New Roman" w:hAnsi="Times New Roman" w:eastAsia="宋体" w:cs="Times New Roman"/>
                <w:color w:val="auto"/>
                <w:szCs w:val="21"/>
                <w:lang w:val="en-US" w:eastAsia="zh-CN"/>
              </w:rPr>
              <w:t>、PM</w:t>
            </w:r>
            <w:r>
              <w:rPr>
                <w:rFonts w:hint="default" w:ascii="Times New Roman" w:hAnsi="Times New Roman" w:eastAsia="宋体" w:cs="Times New Roman"/>
                <w:color w:val="auto"/>
                <w:szCs w:val="21"/>
                <w:vertAlign w:val="subscript"/>
                <w:lang w:val="en-US" w:eastAsia="zh-CN"/>
              </w:rPr>
              <w:t>2.5</w:t>
            </w:r>
            <w:r>
              <w:rPr>
                <w:rFonts w:hint="default" w:ascii="Times New Roman" w:hAnsi="Times New Roman" w:eastAsia="宋体" w:cs="Times New Roman"/>
                <w:color w:val="auto"/>
                <w:szCs w:val="21"/>
                <w:lang w:val="en-US" w:eastAsia="zh-CN"/>
              </w:rPr>
              <w:t>和O</w:t>
            </w:r>
            <w:r>
              <w:rPr>
                <w:rFonts w:hint="default" w:ascii="Times New Roman" w:hAnsi="Times New Roman" w:eastAsia="宋体" w:cs="Times New Roman"/>
                <w:color w:val="auto"/>
                <w:szCs w:val="21"/>
                <w:vertAlign w:val="subscript"/>
                <w:lang w:val="en-US" w:eastAsia="zh-CN"/>
              </w:rPr>
              <w:t>3</w:t>
            </w:r>
            <w:r>
              <w:rPr>
                <w:rFonts w:hint="default" w:ascii="Times New Roman" w:hAnsi="Times New Roman" w:eastAsia="宋体" w:cs="Times New Roman"/>
                <w:color w:val="auto"/>
                <w:szCs w:val="21"/>
                <w:lang w:val="en-US" w:eastAsia="zh-CN"/>
              </w:rPr>
              <w:t>，项目污染物为颗粒物，污染物经过收集处理后达标排放，项目所采用的污染处理工艺均为可行技术，因此废气的排放可以为周边环境接受</w:t>
            </w:r>
            <w:r>
              <w:rPr>
                <w:rFonts w:hint="default" w:ascii="Times New Roman" w:hAnsi="Times New Roman" w:eastAsia="宋体" w:cs="Times New Roman"/>
                <w:color w:val="auto"/>
                <w:szCs w:val="21"/>
                <w:lang w:eastAsia="zh-CN"/>
              </w:rPr>
              <w:t>。</w:t>
            </w:r>
          </w:p>
          <w:p w14:paraId="291DADAB">
            <w:pPr>
              <w:autoSpaceDE w:val="0"/>
              <w:autoSpaceDN w:val="0"/>
              <w:adjustRightInd w:val="0"/>
              <w:spacing w:line="360" w:lineRule="auto"/>
              <w:ind w:firstLine="480"/>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（5）废气环保治理措施可行分析</w:t>
            </w:r>
          </w:p>
          <w:p w14:paraId="3114E038">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firstLine="420" w:firstLineChars="200"/>
              <w:jc w:val="both"/>
              <w:textAlignment w:val="auto"/>
              <w:rPr>
                <w:rFonts w:hint="default" w:ascii="Times New Roman" w:hAnsi="Times New Roman" w:eastAsia="宋体" w:cs="Times New Roman"/>
                <w:snapToGrid w:val="0"/>
                <w:color w:val="auto"/>
                <w:sz w:val="21"/>
                <w:szCs w:val="21"/>
                <w:vertAlign w:val="baseline"/>
              </w:rPr>
            </w:pPr>
            <w:r>
              <w:rPr>
                <w:rFonts w:hint="default" w:ascii="Times New Roman" w:hAnsi="Times New Roman" w:eastAsia="宋体" w:cs="Times New Roman"/>
                <w:color w:val="auto"/>
                <w:szCs w:val="21"/>
                <w:lang w:val="en-US" w:eastAsia="zh-CN"/>
              </w:rPr>
              <w:t>《排污许可证合法与技术规范 总则》（HJ942-2018）中废气产排污环节、污染物种类、排放形式及污染治理措施所描述的废气污染治理设施工艺包括除尘设施(袋式除尘器、电除尘器、电袋复合除尘器、其他)、其他废气收集处理设施(活性炭吸附、生物滤塔、洗涤、吸收、燃烧、氧化、过滤、其他)等，本项目产生的颗粒物经集气罩收集后经布袋除尘器除尘后由15m高排气筒DA001排放，本项目废气治理措施属于可行技术。</w:t>
            </w:r>
          </w:p>
          <w:p w14:paraId="24EC0D24">
            <w:pPr>
              <w:autoSpaceDE w:val="0"/>
              <w:autoSpaceDN w:val="0"/>
              <w:adjustRightInd w:val="0"/>
              <w:spacing w:line="360" w:lineRule="auto"/>
              <w:ind w:firstLine="480"/>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（6）监测计划</w:t>
            </w:r>
          </w:p>
          <w:p w14:paraId="0E2AE509">
            <w:pPr>
              <w:autoSpaceDE w:val="0"/>
              <w:autoSpaceDN w:val="0"/>
              <w:adjustRightInd w:val="0"/>
              <w:spacing w:line="360" w:lineRule="auto"/>
              <w:ind w:firstLine="480"/>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根据《排污许可证申请与核发技术规范总则》(HJ942-2019)、《排污单位自行监测技术指南 总则》（HJ819-2017）规定，对废气污染物进行监测。废气监测方案见下表。</w:t>
            </w:r>
          </w:p>
          <w:p w14:paraId="2A2008E9">
            <w:pPr>
              <w:keepNext w:val="0"/>
              <w:keepLines w:val="0"/>
              <w:pageBreakBefore w:val="0"/>
              <w:widowControl w:val="0"/>
              <w:numPr>
                <w:ilvl w:val="0"/>
                <w:numId w:val="0"/>
              </w:numPr>
              <w:kinsoku/>
              <w:wordWrap/>
              <w:overflowPunct/>
              <w:topLinePunct w:val="0"/>
              <w:autoSpaceDE/>
              <w:autoSpaceDN/>
              <w:bidi w:val="0"/>
              <w:adjustRightInd/>
              <w:snapToGrid/>
              <w:ind w:leftChars="0"/>
              <w:jc w:val="center"/>
              <w:textAlignment w:val="auto"/>
              <w:rPr>
                <w:rFonts w:hint="default" w:ascii="Times New Roman" w:hAnsi="Times New Roman" w:eastAsia="宋体" w:cs="Times New Roman"/>
                <w:b/>
                <w:color w:val="auto"/>
                <w:kern w:val="0"/>
                <w:szCs w:val="21"/>
                <w:lang w:val="en-US" w:eastAsia="zh-CN"/>
              </w:rPr>
            </w:pPr>
            <w:r>
              <w:rPr>
                <w:rFonts w:hint="default" w:ascii="Times New Roman" w:hAnsi="Times New Roman" w:eastAsia="宋体" w:cs="Times New Roman"/>
                <w:b/>
                <w:color w:val="auto"/>
                <w:kern w:val="0"/>
                <w:szCs w:val="21"/>
                <w:lang w:val="en-US" w:eastAsia="zh-CN"/>
              </w:rPr>
              <w:t>表4-6 项目废气监测方案</w:t>
            </w:r>
          </w:p>
          <w:tbl>
            <w:tblPr>
              <w:tblStyle w:val="15"/>
              <w:tblW w:w="4994"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1274"/>
              <w:gridCol w:w="1792"/>
              <w:gridCol w:w="3077"/>
              <w:gridCol w:w="1540"/>
            </w:tblGrid>
            <w:tr w14:paraId="5CCB38E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829" w:type="pct"/>
                  <w:tcBorders>
                    <w:tl2br w:val="nil"/>
                    <w:tr2bl w:val="nil"/>
                  </w:tcBorders>
                  <w:noWrap w:val="0"/>
                  <w:vAlign w:val="center"/>
                </w:tcPr>
                <w:p w14:paraId="639AABE7">
                  <w:pPr>
                    <w:keepNext w:val="0"/>
                    <w:keepLines w:val="0"/>
                    <w:widowControl/>
                    <w:suppressLineNumbers w:val="0"/>
                    <w:jc w:val="center"/>
                    <w:textAlignment w:val="center"/>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kern w:val="2"/>
                      <w:sz w:val="21"/>
                      <w:szCs w:val="21"/>
                      <w:lang w:val="en-US" w:eastAsia="zh-CN" w:bidi="ar-SA"/>
                    </w:rPr>
                    <w:t>环境要素</w:t>
                  </w:r>
                </w:p>
              </w:tc>
              <w:tc>
                <w:tcPr>
                  <w:tcW w:w="1166" w:type="pct"/>
                  <w:tcBorders>
                    <w:tl2br w:val="nil"/>
                    <w:tr2bl w:val="nil"/>
                  </w:tcBorders>
                  <w:noWrap w:val="0"/>
                  <w:vAlign w:val="center"/>
                </w:tcPr>
                <w:p w14:paraId="3D6755A6">
                  <w:pPr>
                    <w:keepNext w:val="0"/>
                    <w:keepLines w:val="0"/>
                    <w:widowControl/>
                    <w:suppressLineNumbers w:val="0"/>
                    <w:jc w:val="center"/>
                    <w:textAlignment w:val="center"/>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kern w:val="2"/>
                      <w:sz w:val="21"/>
                      <w:szCs w:val="21"/>
                      <w:lang w:val="en-US" w:eastAsia="zh-CN" w:bidi="ar-SA"/>
                    </w:rPr>
                    <w:t>监测位置</w:t>
                  </w:r>
                </w:p>
              </w:tc>
              <w:tc>
                <w:tcPr>
                  <w:tcW w:w="2002" w:type="pct"/>
                  <w:tcBorders>
                    <w:tl2br w:val="nil"/>
                    <w:tr2bl w:val="nil"/>
                  </w:tcBorders>
                  <w:noWrap w:val="0"/>
                  <w:vAlign w:val="center"/>
                </w:tcPr>
                <w:p w14:paraId="042E0FE0">
                  <w:pPr>
                    <w:keepNext w:val="0"/>
                    <w:keepLines w:val="0"/>
                    <w:widowControl/>
                    <w:suppressLineNumbers w:val="0"/>
                    <w:jc w:val="center"/>
                    <w:textAlignment w:val="center"/>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kern w:val="2"/>
                      <w:sz w:val="21"/>
                      <w:szCs w:val="21"/>
                      <w:lang w:val="en-US" w:eastAsia="zh-CN" w:bidi="ar-SA"/>
                    </w:rPr>
                    <w:t>监测项目</w:t>
                  </w:r>
                </w:p>
              </w:tc>
              <w:tc>
                <w:tcPr>
                  <w:tcW w:w="1001" w:type="pct"/>
                  <w:tcBorders>
                    <w:tl2br w:val="nil"/>
                    <w:tr2bl w:val="nil"/>
                  </w:tcBorders>
                  <w:noWrap w:val="0"/>
                  <w:vAlign w:val="center"/>
                </w:tcPr>
                <w:p w14:paraId="637D794D">
                  <w:pPr>
                    <w:keepNext w:val="0"/>
                    <w:keepLines w:val="0"/>
                    <w:widowControl/>
                    <w:suppressLineNumbers w:val="0"/>
                    <w:jc w:val="center"/>
                    <w:textAlignment w:val="center"/>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kern w:val="2"/>
                      <w:sz w:val="21"/>
                      <w:szCs w:val="21"/>
                      <w:lang w:val="en-US" w:eastAsia="zh-CN" w:bidi="ar-SA"/>
                    </w:rPr>
                    <w:t>监测频次</w:t>
                  </w:r>
                </w:p>
              </w:tc>
            </w:tr>
            <w:tr w14:paraId="5C61F54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829" w:type="pct"/>
                  <w:vMerge w:val="restart"/>
                  <w:tcBorders>
                    <w:tl2br w:val="nil"/>
                    <w:tr2bl w:val="nil"/>
                  </w:tcBorders>
                  <w:noWrap w:val="0"/>
                  <w:vAlign w:val="center"/>
                </w:tcPr>
                <w:p w14:paraId="567EE6D4">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废气</w:t>
                  </w:r>
                </w:p>
              </w:tc>
              <w:tc>
                <w:tcPr>
                  <w:tcW w:w="1166" w:type="pct"/>
                  <w:tcBorders>
                    <w:tl2br w:val="nil"/>
                    <w:tr2bl w:val="nil"/>
                  </w:tcBorders>
                  <w:noWrap w:val="0"/>
                  <w:vAlign w:val="center"/>
                </w:tcPr>
                <w:p w14:paraId="286FCA99">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排气筒DA001</w:t>
                  </w:r>
                </w:p>
              </w:tc>
              <w:tc>
                <w:tcPr>
                  <w:tcW w:w="2002" w:type="pct"/>
                  <w:tcBorders>
                    <w:tl2br w:val="nil"/>
                    <w:tr2bl w:val="nil"/>
                  </w:tcBorders>
                  <w:noWrap w:val="0"/>
                  <w:vAlign w:val="center"/>
                </w:tcPr>
                <w:p w14:paraId="76DE1BD6">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颗粒物</w:t>
                  </w:r>
                </w:p>
              </w:tc>
              <w:tc>
                <w:tcPr>
                  <w:tcW w:w="1001" w:type="pct"/>
                  <w:tcBorders>
                    <w:tl2br w:val="nil"/>
                    <w:tr2bl w:val="nil"/>
                  </w:tcBorders>
                  <w:noWrap w:val="0"/>
                  <w:vAlign w:val="center"/>
                </w:tcPr>
                <w:p w14:paraId="205DB2C1">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1次/年</w:t>
                  </w:r>
                </w:p>
              </w:tc>
            </w:tr>
            <w:tr w14:paraId="32E23EB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829" w:type="pct"/>
                  <w:vMerge w:val="continue"/>
                  <w:tcBorders>
                    <w:tl2br w:val="nil"/>
                    <w:tr2bl w:val="nil"/>
                  </w:tcBorders>
                  <w:noWrap w:val="0"/>
                  <w:vAlign w:val="center"/>
                </w:tcPr>
                <w:p w14:paraId="10EF8B6C">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p>
              </w:tc>
              <w:tc>
                <w:tcPr>
                  <w:tcW w:w="1166" w:type="pct"/>
                  <w:tcBorders>
                    <w:tl2br w:val="nil"/>
                    <w:tr2bl w:val="nil"/>
                  </w:tcBorders>
                  <w:noWrap w:val="0"/>
                  <w:vAlign w:val="center"/>
                </w:tcPr>
                <w:p w14:paraId="7871369D">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厂界</w:t>
                  </w:r>
                </w:p>
              </w:tc>
              <w:tc>
                <w:tcPr>
                  <w:tcW w:w="2002" w:type="pct"/>
                  <w:tcBorders>
                    <w:tl2br w:val="nil"/>
                    <w:tr2bl w:val="nil"/>
                  </w:tcBorders>
                  <w:noWrap w:val="0"/>
                  <w:vAlign w:val="center"/>
                </w:tcPr>
                <w:p w14:paraId="43135889">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颗粒物</w:t>
                  </w:r>
                </w:p>
              </w:tc>
              <w:tc>
                <w:tcPr>
                  <w:tcW w:w="1001" w:type="pct"/>
                  <w:tcBorders>
                    <w:tl2br w:val="nil"/>
                    <w:tr2bl w:val="nil"/>
                  </w:tcBorders>
                  <w:noWrap w:val="0"/>
                  <w:vAlign w:val="center"/>
                </w:tcPr>
                <w:p w14:paraId="7663CEE5">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1次/年</w:t>
                  </w:r>
                </w:p>
              </w:tc>
            </w:tr>
          </w:tbl>
          <w:p w14:paraId="26B234FF">
            <w:pPr>
              <w:keepNext w:val="0"/>
              <w:keepLines w:val="0"/>
              <w:pageBreakBefore w:val="0"/>
              <w:widowControl w:val="0"/>
              <w:numPr>
                <w:ilvl w:val="0"/>
                <w:numId w:val="2"/>
              </w:numPr>
              <w:kinsoku/>
              <w:wordWrap/>
              <w:overflowPunct/>
              <w:topLinePunct w:val="0"/>
              <w:autoSpaceDE w:val="0"/>
              <w:autoSpaceDN w:val="0"/>
              <w:bidi w:val="0"/>
              <w:adjustRightInd w:val="0"/>
              <w:snapToGrid w:val="0"/>
              <w:spacing w:line="360" w:lineRule="auto"/>
              <w:ind w:left="0" w:leftChars="0" w:firstLine="420" w:firstLineChars="200"/>
              <w:textAlignment w:val="baseline"/>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废水</w:t>
            </w:r>
          </w:p>
          <w:p w14:paraId="59946B4D">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firstLine="420" w:firstLineChars="200"/>
              <w:jc w:val="both"/>
              <w:textAlignment w:val="auto"/>
              <w:rPr>
                <w:rFonts w:hint="default" w:ascii="Times New Roman" w:hAnsi="Times New Roman" w:eastAsia="宋体" w:cs="Times New Roman"/>
                <w:snapToGrid w:val="0"/>
                <w:color w:val="auto"/>
                <w:sz w:val="21"/>
                <w:szCs w:val="21"/>
                <w:vertAlign w:val="baseline"/>
              </w:rPr>
            </w:pPr>
            <w:r>
              <w:rPr>
                <w:rFonts w:hint="default" w:ascii="Times New Roman" w:hAnsi="Times New Roman" w:eastAsia="宋体" w:cs="Times New Roman"/>
                <w:snapToGrid w:val="0"/>
                <w:color w:val="auto"/>
                <w:sz w:val="21"/>
                <w:szCs w:val="21"/>
                <w:vertAlign w:val="baseline"/>
              </w:rPr>
              <w:t>项目废水主要为职工生活污水，生活污水经化粪池处理后由环卫部门定期清运；抑尘用水全部蒸发损耗，不外排。</w:t>
            </w:r>
          </w:p>
          <w:p w14:paraId="6608BA68">
            <w:pPr>
              <w:keepNext w:val="0"/>
              <w:keepLines w:val="0"/>
              <w:pageBreakBefore w:val="0"/>
              <w:widowControl w:val="0"/>
              <w:numPr>
                <w:ilvl w:val="0"/>
                <w:numId w:val="2"/>
              </w:numPr>
              <w:kinsoku/>
              <w:wordWrap/>
              <w:overflowPunct/>
              <w:topLinePunct w:val="0"/>
              <w:autoSpaceDE w:val="0"/>
              <w:autoSpaceDN w:val="0"/>
              <w:bidi w:val="0"/>
              <w:adjustRightInd w:val="0"/>
              <w:snapToGrid w:val="0"/>
              <w:spacing w:line="360" w:lineRule="auto"/>
              <w:ind w:left="0" w:leftChars="0" w:firstLine="420" w:firstLineChars="200"/>
              <w:textAlignment w:val="baseline"/>
              <w:rPr>
                <w:rFonts w:hint="default" w:ascii="Times New Roman" w:hAnsi="Times New Roman" w:eastAsia="宋体" w:cs="Times New Roman"/>
                <w:snapToGrid w:val="0"/>
                <w:color w:val="auto"/>
                <w:sz w:val="21"/>
                <w:szCs w:val="21"/>
                <w:vertAlign w:val="baseline"/>
              </w:rPr>
            </w:pPr>
            <w:r>
              <w:rPr>
                <w:rFonts w:hint="default" w:ascii="Times New Roman" w:hAnsi="Times New Roman" w:eastAsia="宋体" w:cs="Times New Roman"/>
                <w:color w:val="auto"/>
                <w:sz w:val="21"/>
                <w:szCs w:val="21"/>
                <w:vertAlign w:val="baseline"/>
                <w:lang w:val="en-US" w:eastAsia="zh-CN"/>
              </w:rPr>
              <w:t>噪声</w:t>
            </w:r>
          </w:p>
          <w:p w14:paraId="14274D33">
            <w:pPr>
              <w:pStyle w:val="8"/>
              <w:keepNext w:val="0"/>
              <w:keepLines w:val="0"/>
              <w:pageBreakBefore w:val="0"/>
              <w:widowControl w:val="0"/>
              <w:kinsoku/>
              <w:wordWrap/>
              <w:overflowPunct/>
              <w:topLinePunct w:val="0"/>
              <w:autoSpaceDE/>
              <w:autoSpaceDN/>
              <w:bidi w:val="0"/>
              <w:adjustRightInd/>
              <w:snapToGrid/>
              <w:spacing w:after="0" w:line="360" w:lineRule="auto"/>
              <w:ind w:left="0" w:leftChars="0"/>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rPr>
              <w:t>1、噪声源</w:t>
            </w:r>
          </w:p>
          <w:p w14:paraId="7ED8B8E2">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420" w:firstLineChars="200"/>
              <w:jc w:val="both"/>
              <w:textAlignment w:val="auto"/>
              <w:rPr>
                <w:rFonts w:hint="default" w:ascii="Times New Roman" w:hAnsi="Times New Roman" w:eastAsia="宋体" w:cs="Times New Roman"/>
                <w:snapToGrid w:val="0"/>
                <w:color w:val="auto"/>
                <w:sz w:val="21"/>
                <w:szCs w:val="21"/>
                <w:vertAlign w:val="baseline"/>
              </w:rPr>
            </w:pPr>
            <w:r>
              <w:rPr>
                <w:rFonts w:hint="default" w:ascii="Times New Roman" w:hAnsi="Times New Roman" w:eastAsia="宋体" w:cs="Times New Roman"/>
                <w:snapToGrid w:val="0"/>
                <w:color w:val="auto"/>
                <w:sz w:val="21"/>
                <w:szCs w:val="21"/>
                <w:vertAlign w:val="baseline"/>
              </w:rPr>
              <w:t>依据《环境噪声与振动控制工程技术导则》（HJ 2034-2013），全厂产生的噪声主要为破碎机、对辊机、磁选机、振动筛、整形机、空压机和提升机等机械设备运转产生的噪声，噪声强度</w:t>
            </w:r>
            <w:r>
              <w:rPr>
                <w:rFonts w:hint="default" w:ascii="Times New Roman" w:hAnsi="Times New Roman" w:eastAsia="宋体" w:cs="Times New Roman"/>
                <w:snapToGrid w:val="0"/>
                <w:color w:val="auto"/>
                <w:sz w:val="21"/>
                <w:szCs w:val="21"/>
                <w:vertAlign w:val="baseline"/>
                <w:lang w:val="en-US" w:eastAsia="zh-CN"/>
              </w:rPr>
              <w:t>约</w:t>
            </w:r>
            <w:r>
              <w:rPr>
                <w:rFonts w:hint="default" w:ascii="Times New Roman" w:hAnsi="Times New Roman" w:eastAsia="宋体" w:cs="Times New Roman"/>
                <w:snapToGrid w:val="0"/>
                <w:color w:val="auto"/>
                <w:sz w:val="21"/>
                <w:szCs w:val="21"/>
                <w:vertAlign w:val="baseline"/>
              </w:rPr>
              <w:t>为</w:t>
            </w:r>
            <w:r>
              <w:rPr>
                <w:rFonts w:hint="default" w:ascii="Times New Roman" w:hAnsi="Times New Roman" w:eastAsia="宋体" w:cs="Times New Roman"/>
                <w:snapToGrid w:val="0"/>
                <w:color w:val="auto"/>
                <w:sz w:val="21"/>
                <w:szCs w:val="21"/>
                <w:vertAlign w:val="baseline"/>
                <w:lang w:val="en-US" w:eastAsia="zh-CN"/>
              </w:rPr>
              <w:t>7</w:t>
            </w:r>
            <w:r>
              <w:rPr>
                <w:rFonts w:hint="default" w:ascii="Times New Roman" w:hAnsi="Times New Roman" w:eastAsia="宋体" w:cs="Times New Roman"/>
                <w:snapToGrid w:val="0"/>
                <w:color w:val="auto"/>
                <w:sz w:val="21"/>
                <w:szCs w:val="21"/>
                <w:vertAlign w:val="baseline"/>
              </w:rPr>
              <w:t>0~</w:t>
            </w:r>
            <w:r>
              <w:rPr>
                <w:rFonts w:hint="default" w:ascii="Times New Roman" w:hAnsi="Times New Roman" w:eastAsia="宋体" w:cs="Times New Roman"/>
                <w:snapToGrid w:val="0"/>
                <w:color w:val="auto"/>
                <w:sz w:val="21"/>
                <w:szCs w:val="21"/>
                <w:vertAlign w:val="baseline"/>
                <w:lang w:val="en-US" w:eastAsia="zh-CN"/>
              </w:rPr>
              <w:t>90</w:t>
            </w:r>
            <w:r>
              <w:rPr>
                <w:rFonts w:hint="default" w:ascii="Times New Roman" w:hAnsi="Times New Roman" w:eastAsia="宋体" w:cs="Times New Roman"/>
                <w:snapToGrid w:val="0"/>
                <w:color w:val="auto"/>
                <w:sz w:val="21"/>
                <w:szCs w:val="21"/>
                <w:vertAlign w:val="baseline"/>
              </w:rPr>
              <w:t>dB（A）。</w:t>
            </w:r>
          </w:p>
          <w:p w14:paraId="7A9AAB34">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420" w:firstLineChars="200"/>
              <w:jc w:val="both"/>
              <w:textAlignment w:val="auto"/>
              <w:rPr>
                <w:rFonts w:hint="default" w:ascii="Times New Roman" w:hAnsi="Times New Roman" w:eastAsia="宋体" w:cs="Times New Roman"/>
                <w:snapToGrid w:val="0"/>
                <w:color w:val="auto"/>
                <w:sz w:val="21"/>
                <w:szCs w:val="21"/>
                <w:vertAlign w:val="baseline"/>
              </w:rPr>
            </w:pPr>
            <w:r>
              <w:rPr>
                <w:rFonts w:hint="default" w:ascii="Times New Roman" w:hAnsi="Times New Roman" w:eastAsia="宋体" w:cs="Times New Roman"/>
                <w:snapToGrid w:val="0"/>
                <w:color w:val="auto"/>
                <w:sz w:val="21"/>
                <w:szCs w:val="21"/>
                <w:vertAlign w:val="baseline"/>
              </w:rPr>
              <w:t>采取的噪音防治措施有：</w:t>
            </w:r>
          </w:p>
          <w:p w14:paraId="7B09F673">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420" w:firstLineChars="200"/>
              <w:jc w:val="both"/>
              <w:textAlignment w:val="auto"/>
              <w:rPr>
                <w:rFonts w:hint="default" w:ascii="Times New Roman" w:hAnsi="Times New Roman" w:eastAsia="宋体" w:cs="Times New Roman"/>
                <w:snapToGrid w:val="0"/>
                <w:color w:val="auto"/>
                <w:sz w:val="21"/>
                <w:szCs w:val="21"/>
                <w:vertAlign w:val="baseline"/>
              </w:rPr>
            </w:pPr>
            <w:r>
              <w:rPr>
                <w:rFonts w:hint="default" w:ascii="Times New Roman" w:hAnsi="Times New Roman" w:eastAsia="宋体" w:cs="Times New Roman"/>
                <w:snapToGrid w:val="0"/>
                <w:color w:val="auto"/>
                <w:sz w:val="21"/>
                <w:szCs w:val="21"/>
                <w:vertAlign w:val="baseline"/>
              </w:rPr>
              <w:t>①选用低噪声设备：在满足项目生产工艺的前提下，尽可能选择先进、噪声低的生产设备，从源头降低噪声。</w:t>
            </w:r>
          </w:p>
          <w:p w14:paraId="33DB80BA">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420" w:firstLineChars="200"/>
              <w:jc w:val="both"/>
              <w:textAlignment w:val="auto"/>
              <w:rPr>
                <w:rFonts w:hint="default" w:ascii="Times New Roman" w:hAnsi="Times New Roman" w:eastAsia="宋体" w:cs="Times New Roman"/>
                <w:snapToGrid w:val="0"/>
                <w:color w:val="auto"/>
                <w:sz w:val="21"/>
                <w:szCs w:val="21"/>
                <w:vertAlign w:val="baseline"/>
              </w:rPr>
            </w:pPr>
            <w:r>
              <w:rPr>
                <w:rFonts w:hint="default" w:ascii="Times New Roman" w:hAnsi="Times New Roman" w:eastAsia="宋体" w:cs="Times New Roman"/>
                <w:snapToGrid w:val="0"/>
                <w:color w:val="auto"/>
                <w:sz w:val="21"/>
                <w:szCs w:val="21"/>
                <w:vertAlign w:val="baseline"/>
              </w:rPr>
              <w:t>②车间内合理布局：将设备全部安置在车间内，在满足生产的前提下综合考虑，在车间设备布置时考虑地形、声源方向性和车间噪声强弱等因素，进行合理布局以求进一步降低厂界噪声，如将设备安置在车间中部或远离厂界的位置，充分利用厂内建筑物的隔声作用，以减轻各类声源对周围环境的影响。</w:t>
            </w:r>
          </w:p>
          <w:p w14:paraId="01BBDBB1">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420" w:firstLineChars="200"/>
              <w:jc w:val="both"/>
              <w:textAlignment w:val="auto"/>
              <w:rPr>
                <w:rFonts w:hint="default" w:ascii="Times New Roman" w:hAnsi="Times New Roman" w:eastAsia="宋体" w:cs="Times New Roman"/>
                <w:snapToGrid w:val="0"/>
                <w:color w:val="auto"/>
                <w:sz w:val="21"/>
                <w:szCs w:val="21"/>
                <w:vertAlign w:val="baseline"/>
              </w:rPr>
            </w:pPr>
            <w:r>
              <w:rPr>
                <w:rFonts w:hint="default" w:ascii="Times New Roman" w:hAnsi="Times New Roman" w:eastAsia="宋体" w:cs="Times New Roman"/>
                <w:snapToGrid w:val="0"/>
                <w:color w:val="auto"/>
                <w:sz w:val="21"/>
                <w:szCs w:val="21"/>
                <w:vertAlign w:val="baseline"/>
              </w:rPr>
              <w:t>③设备在安装时，根据设备的自重及振动特性采用合适的隔振垫，以减轻由于设备自身振动引起的结构传声对周围环境产生的影响。</w:t>
            </w:r>
          </w:p>
          <w:p w14:paraId="561F55C9">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420" w:firstLineChars="200"/>
              <w:jc w:val="both"/>
              <w:textAlignment w:val="auto"/>
              <w:rPr>
                <w:rFonts w:hint="default" w:ascii="Times New Roman" w:hAnsi="Times New Roman" w:eastAsia="宋体" w:cs="Times New Roman"/>
                <w:snapToGrid w:val="0"/>
                <w:color w:val="auto"/>
                <w:sz w:val="21"/>
                <w:szCs w:val="21"/>
                <w:vertAlign w:val="baseline"/>
              </w:rPr>
            </w:pPr>
            <w:r>
              <w:rPr>
                <w:rFonts w:hint="default" w:ascii="Times New Roman" w:hAnsi="Times New Roman" w:eastAsia="宋体" w:cs="Times New Roman"/>
                <w:snapToGrid w:val="0"/>
                <w:color w:val="auto"/>
                <w:sz w:val="21"/>
                <w:szCs w:val="21"/>
                <w:vertAlign w:val="baseline"/>
              </w:rPr>
              <w:t>④加强设备的维护，确保设备处于良好的运转状态，杜绝因设备不正常运转时产生的高噪声现象。</w:t>
            </w:r>
          </w:p>
          <w:p w14:paraId="70A0A095">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420" w:firstLineChars="200"/>
              <w:jc w:val="both"/>
              <w:textAlignment w:val="auto"/>
              <w:rPr>
                <w:rFonts w:hint="default" w:ascii="Times New Roman" w:hAnsi="Times New Roman" w:eastAsia="宋体" w:cs="Times New Roman"/>
                <w:snapToGrid w:val="0"/>
                <w:color w:val="auto"/>
                <w:sz w:val="21"/>
                <w:szCs w:val="21"/>
                <w:vertAlign w:val="baseline"/>
              </w:rPr>
            </w:pPr>
            <w:r>
              <w:rPr>
                <w:rFonts w:hint="default" w:ascii="Times New Roman" w:hAnsi="Times New Roman" w:eastAsia="宋体" w:cs="Times New Roman"/>
                <w:snapToGrid w:val="0"/>
                <w:color w:val="auto"/>
                <w:sz w:val="21"/>
                <w:szCs w:val="21"/>
                <w:vertAlign w:val="baseline"/>
              </w:rPr>
              <w:t>综上所述，所有设备均安置于车间内，采取上述降噪措施后，设计降噪量达20dB(A)</w:t>
            </w:r>
            <w:r>
              <w:rPr>
                <w:rFonts w:hint="default" w:ascii="Times New Roman" w:hAnsi="Times New Roman" w:eastAsia="宋体" w:cs="Times New Roman"/>
                <w:snapToGrid w:val="0"/>
                <w:color w:val="auto"/>
                <w:sz w:val="21"/>
                <w:szCs w:val="21"/>
                <w:vertAlign w:val="baseline"/>
                <w:lang w:eastAsia="zh-CN"/>
              </w:rPr>
              <w:t>，</w:t>
            </w:r>
            <w:r>
              <w:rPr>
                <w:rFonts w:hint="default" w:ascii="Times New Roman" w:hAnsi="Times New Roman" w:eastAsia="宋体" w:cs="Times New Roman"/>
                <w:snapToGrid w:val="0"/>
                <w:color w:val="auto"/>
                <w:sz w:val="21"/>
                <w:szCs w:val="21"/>
                <w:vertAlign w:val="baseline"/>
              </w:rPr>
              <w:t>噪声治理措施及效果如下</w:t>
            </w:r>
            <w:r>
              <w:rPr>
                <w:rFonts w:hint="default" w:ascii="Times New Roman" w:hAnsi="Times New Roman" w:eastAsia="宋体" w:cs="Times New Roman"/>
                <w:snapToGrid w:val="0"/>
                <w:color w:val="auto"/>
                <w:sz w:val="21"/>
                <w:szCs w:val="21"/>
                <w:vertAlign w:val="baseline"/>
                <w:lang w:val="en-US" w:eastAsia="zh-CN"/>
              </w:rPr>
              <w:t>表</w:t>
            </w:r>
            <w:r>
              <w:rPr>
                <w:rFonts w:hint="default" w:ascii="Times New Roman" w:hAnsi="Times New Roman" w:eastAsia="宋体" w:cs="Times New Roman"/>
                <w:snapToGrid w:val="0"/>
                <w:color w:val="auto"/>
                <w:sz w:val="21"/>
                <w:szCs w:val="21"/>
                <w:vertAlign w:val="baseline"/>
                <w:lang w:eastAsia="zh-CN"/>
              </w:rPr>
              <w:t>。</w:t>
            </w:r>
          </w:p>
        </w:tc>
      </w:tr>
    </w:tbl>
    <w:p w14:paraId="66FF2F21">
      <w:pPr>
        <w:rPr>
          <w:rFonts w:hint="default" w:ascii="Times New Roman" w:hAnsi="Times New Roman" w:eastAsia="宋体" w:cs="Times New Roman"/>
          <w:snapToGrid w:val="0"/>
          <w:color w:val="auto"/>
          <w:sz w:val="30"/>
          <w:szCs w:val="30"/>
        </w:rPr>
      </w:pPr>
      <w:r>
        <w:rPr>
          <w:rFonts w:hint="default" w:ascii="Times New Roman" w:hAnsi="Times New Roman" w:eastAsia="宋体" w:cs="Times New Roman"/>
          <w:snapToGrid w:val="0"/>
          <w:color w:val="auto"/>
          <w:sz w:val="30"/>
          <w:szCs w:val="30"/>
        </w:rPr>
        <w:br w:type="page"/>
      </w:r>
    </w:p>
    <w:p w14:paraId="152B73B0">
      <w:pPr>
        <w:keepNext w:val="0"/>
        <w:keepLines w:val="0"/>
        <w:pageBreakBefore w:val="0"/>
        <w:widowControl w:val="0"/>
        <w:kinsoku/>
        <w:wordWrap/>
        <w:overflowPunct/>
        <w:topLinePunct w:val="0"/>
        <w:bidi w:val="0"/>
        <w:ind w:right="0" w:rightChars="0"/>
        <w:jc w:val="both"/>
        <w:rPr>
          <w:rFonts w:hint="default" w:ascii="Times New Roman" w:hAnsi="Times New Roman" w:eastAsia="宋体" w:cs="Times New Roman"/>
          <w:snapToGrid w:val="0"/>
          <w:color w:val="auto"/>
          <w:sz w:val="21"/>
          <w:szCs w:val="21"/>
          <w:vertAlign w:val="baseline"/>
        </w:rPr>
        <w:sectPr>
          <w:footerReference r:id="rId5" w:type="default"/>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p>
    <w:tbl>
      <w:tblPr>
        <w:tblStyle w:val="1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55"/>
        <w:gridCol w:w="13619"/>
      </w:tblGrid>
      <w:tr w14:paraId="6A055A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55" w:hRule="atLeast"/>
        </w:trPr>
        <w:tc>
          <w:tcPr>
            <w:tcW w:w="555" w:type="dxa"/>
            <w:vAlign w:val="center"/>
          </w:tcPr>
          <w:p w14:paraId="7EBEDF11">
            <w:pPr>
              <w:keepNext w:val="0"/>
              <w:keepLines w:val="0"/>
              <w:pageBreakBefore w:val="0"/>
              <w:widowControl w:val="0"/>
              <w:numPr>
                <w:ilvl w:val="0"/>
                <w:numId w:val="0"/>
              </w:numPr>
              <w:kinsoku/>
              <w:wordWrap/>
              <w:overflowPunct/>
              <w:topLinePunct w:val="0"/>
              <w:bidi w:val="0"/>
              <w:ind w:left="0" w:leftChars="0" w:right="0" w:rightChars="0" w:firstLine="0" w:firstLineChars="0"/>
              <w:jc w:val="center"/>
              <w:rPr>
                <w:rFonts w:hint="default" w:ascii="Times New Roman" w:hAnsi="Times New Roman" w:eastAsia="宋体" w:cs="Times New Roman"/>
                <w:snapToGrid w:val="0"/>
                <w:color w:val="auto"/>
                <w:sz w:val="21"/>
                <w:szCs w:val="21"/>
                <w:vertAlign w:val="baseline"/>
              </w:rPr>
            </w:pPr>
            <w:r>
              <w:rPr>
                <w:rFonts w:hint="default" w:ascii="Times New Roman" w:hAnsi="Times New Roman" w:eastAsia="宋体" w:cs="Times New Roman"/>
                <w:snapToGrid w:val="0"/>
                <w:color w:val="auto"/>
                <w:sz w:val="21"/>
                <w:szCs w:val="21"/>
                <w:vertAlign w:val="baseline"/>
              </w:rPr>
              <w:t>运营期生态环境影响分析</w:t>
            </w:r>
          </w:p>
        </w:tc>
        <w:tc>
          <w:tcPr>
            <w:tcW w:w="13619" w:type="dxa"/>
          </w:tcPr>
          <w:p w14:paraId="57548F61">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0" w:firstLineChars="0"/>
              <w:jc w:val="center"/>
              <w:textAlignment w:val="auto"/>
              <w:rPr>
                <w:rFonts w:hint="default" w:ascii="Times New Roman" w:hAnsi="Times New Roman" w:eastAsia="宋体" w:cs="Times New Roman"/>
                <w:b/>
                <w:color w:val="auto"/>
                <w:kern w:val="0"/>
                <w:sz w:val="21"/>
                <w:szCs w:val="21"/>
                <w:lang w:val="en-US" w:eastAsia="zh-CN" w:bidi="ar"/>
              </w:rPr>
            </w:pPr>
            <w:r>
              <w:rPr>
                <w:rFonts w:hint="default" w:ascii="Times New Roman" w:hAnsi="Times New Roman" w:eastAsia="宋体" w:cs="Times New Roman"/>
                <w:b/>
                <w:color w:val="auto"/>
                <w:kern w:val="0"/>
                <w:sz w:val="21"/>
                <w:szCs w:val="21"/>
                <w:highlight w:val="none"/>
                <w:lang w:val="en-US" w:eastAsia="zh-CN"/>
              </w:rPr>
              <w:t xml:space="preserve">表4-7 </w:t>
            </w:r>
            <w:r>
              <w:rPr>
                <w:rFonts w:hint="default" w:ascii="Times New Roman" w:hAnsi="Times New Roman" w:eastAsia="宋体" w:cs="Times New Roman"/>
                <w:b/>
                <w:color w:val="auto"/>
                <w:kern w:val="0"/>
                <w:sz w:val="21"/>
                <w:szCs w:val="21"/>
                <w:lang w:val="en-US" w:eastAsia="zh-CN" w:bidi="ar"/>
              </w:rPr>
              <w:t>项目噪声源强调查清单</w:t>
            </w:r>
          </w:p>
          <w:tbl>
            <w:tblPr>
              <w:tblStyle w:val="14"/>
              <w:tblW w:w="4997"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487"/>
              <w:gridCol w:w="487"/>
              <w:gridCol w:w="677"/>
              <w:gridCol w:w="487"/>
              <w:gridCol w:w="487"/>
              <w:gridCol w:w="487"/>
              <w:gridCol w:w="487"/>
              <w:gridCol w:w="487"/>
              <w:gridCol w:w="489"/>
              <w:gridCol w:w="488"/>
              <w:gridCol w:w="488"/>
              <w:gridCol w:w="488"/>
              <w:gridCol w:w="493"/>
              <w:gridCol w:w="488"/>
              <w:gridCol w:w="488"/>
              <w:gridCol w:w="488"/>
              <w:gridCol w:w="493"/>
              <w:gridCol w:w="488"/>
              <w:gridCol w:w="488"/>
              <w:gridCol w:w="488"/>
              <w:gridCol w:w="488"/>
              <w:gridCol w:w="493"/>
              <w:gridCol w:w="488"/>
              <w:gridCol w:w="488"/>
              <w:gridCol w:w="488"/>
              <w:gridCol w:w="488"/>
              <w:gridCol w:w="509"/>
            </w:tblGrid>
            <w:tr w14:paraId="554C5E3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182"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C105918">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序号</w:t>
                  </w:r>
                </w:p>
              </w:tc>
              <w:tc>
                <w:tcPr>
                  <w:tcW w:w="182"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FA50144">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建筑物名称</w:t>
                  </w:r>
                </w:p>
              </w:tc>
              <w:tc>
                <w:tcPr>
                  <w:tcW w:w="253"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6D20027">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声源名称</w:t>
                  </w:r>
                </w:p>
              </w:tc>
              <w:tc>
                <w:tcPr>
                  <w:tcW w:w="182"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E0A8791">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声源源强声功率级</w:t>
                  </w:r>
                  <w:r>
                    <w:rPr>
                      <w:rStyle w:val="31"/>
                      <w:rFonts w:hint="default" w:ascii="Times New Roman" w:hAnsi="Times New Roman" w:eastAsia="宋体" w:cs="Times New Roman"/>
                      <w:color w:val="auto"/>
                      <w:sz w:val="21"/>
                      <w:szCs w:val="21"/>
                      <w:lang w:val="en-US" w:eastAsia="zh-CN" w:bidi="ar"/>
                    </w:rPr>
                    <w:t>/dB(A)</w:t>
                  </w:r>
                </w:p>
              </w:tc>
              <w:tc>
                <w:tcPr>
                  <w:tcW w:w="182"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8AE9D18">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设备数量</w:t>
                  </w:r>
                </w:p>
              </w:tc>
              <w:tc>
                <w:tcPr>
                  <w:tcW w:w="182"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7F0C8D3">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声源控制措施</w:t>
                  </w:r>
                </w:p>
              </w:tc>
              <w:tc>
                <w:tcPr>
                  <w:tcW w:w="547"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0F074E01">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空间相对位置</w:t>
                  </w:r>
                  <w:r>
                    <w:rPr>
                      <w:rStyle w:val="31"/>
                      <w:rFonts w:hint="default" w:ascii="Times New Roman" w:hAnsi="Times New Roman" w:eastAsia="宋体" w:cs="Times New Roman"/>
                      <w:color w:val="auto"/>
                      <w:sz w:val="21"/>
                      <w:szCs w:val="21"/>
                      <w:lang w:val="en-US" w:eastAsia="zh-CN" w:bidi="ar"/>
                    </w:rPr>
                    <w:t>/m</w:t>
                  </w:r>
                </w:p>
              </w:tc>
              <w:tc>
                <w:tcPr>
                  <w:tcW w:w="730" w:type="pct"/>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32740978">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距室内边界距离</w:t>
                  </w:r>
                  <w:r>
                    <w:rPr>
                      <w:rStyle w:val="31"/>
                      <w:rFonts w:hint="default" w:ascii="Times New Roman" w:hAnsi="Times New Roman" w:eastAsia="宋体" w:cs="Times New Roman"/>
                      <w:color w:val="auto"/>
                      <w:sz w:val="21"/>
                      <w:szCs w:val="21"/>
                      <w:lang w:val="en-US" w:eastAsia="zh-CN" w:bidi="ar"/>
                    </w:rPr>
                    <w:t>/m</w:t>
                  </w:r>
                </w:p>
              </w:tc>
              <w:tc>
                <w:tcPr>
                  <w:tcW w:w="730" w:type="pct"/>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65A3AD28">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室内边界声级</w:t>
                  </w:r>
                  <w:r>
                    <w:rPr>
                      <w:rStyle w:val="31"/>
                      <w:rFonts w:hint="default" w:ascii="Times New Roman" w:hAnsi="Times New Roman" w:eastAsia="宋体" w:cs="Times New Roman"/>
                      <w:color w:val="auto"/>
                      <w:sz w:val="21"/>
                      <w:szCs w:val="21"/>
                      <w:lang w:val="en-US" w:eastAsia="zh-CN" w:bidi="ar"/>
                    </w:rPr>
                    <w:t>/dB(A)</w:t>
                  </w:r>
                </w:p>
              </w:tc>
              <w:tc>
                <w:tcPr>
                  <w:tcW w:w="182"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10199CA">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运行时段</w:t>
                  </w:r>
                </w:p>
              </w:tc>
              <w:tc>
                <w:tcPr>
                  <w:tcW w:w="730" w:type="pct"/>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171751DC">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建筑物插入损失</w:t>
                  </w:r>
                  <w:r>
                    <w:rPr>
                      <w:rStyle w:val="31"/>
                      <w:rFonts w:hint="default" w:ascii="Times New Roman" w:hAnsi="Times New Roman" w:eastAsia="宋体" w:cs="Times New Roman"/>
                      <w:color w:val="auto"/>
                      <w:sz w:val="21"/>
                      <w:szCs w:val="21"/>
                      <w:lang w:val="en-US" w:eastAsia="zh-CN" w:bidi="ar"/>
                    </w:rPr>
                    <w:t xml:space="preserve"> / dB(A)</w:t>
                  </w:r>
                </w:p>
              </w:tc>
              <w:tc>
                <w:tcPr>
                  <w:tcW w:w="913" w:type="pct"/>
                  <w:gridSpan w:val="5"/>
                  <w:tcBorders>
                    <w:top w:val="single" w:color="000000" w:sz="4" w:space="0"/>
                    <w:left w:val="single" w:color="000000" w:sz="4" w:space="0"/>
                    <w:bottom w:val="single" w:color="000000" w:sz="4" w:space="0"/>
                    <w:right w:val="single" w:color="000000" w:sz="4" w:space="0"/>
                  </w:tcBorders>
                  <w:shd w:val="clear" w:color="auto" w:fill="auto"/>
                  <w:vAlign w:val="center"/>
                </w:tcPr>
                <w:p w14:paraId="6D96AFA5">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建筑物外噪声声压级</w:t>
                  </w:r>
                  <w:r>
                    <w:rPr>
                      <w:rStyle w:val="31"/>
                      <w:rFonts w:hint="default" w:ascii="Times New Roman" w:hAnsi="Times New Roman" w:eastAsia="宋体" w:cs="Times New Roman"/>
                      <w:color w:val="auto"/>
                      <w:sz w:val="21"/>
                      <w:szCs w:val="21"/>
                      <w:lang w:val="en-US" w:eastAsia="zh-CN" w:bidi="ar"/>
                    </w:rPr>
                    <w:t>/dB(A)</w:t>
                  </w:r>
                </w:p>
              </w:tc>
            </w:tr>
            <w:tr w14:paraId="4C052D7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0" w:hRule="atLeast"/>
                <w:jc w:val="center"/>
              </w:trPr>
              <w:tc>
                <w:tcPr>
                  <w:tcW w:w="18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195D7F1">
                  <w:pPr>
                    <w:jc w:val="center"/>
                    <w:rPr>
                      <w:rFonts w:hint="default" w:ascii="Times New Roman" w:hAnsi="Times New Roman" w:eastAsia="宋体" w:cs="Times New Roman"/>
                      <w:b/>
                      <w:bCs/>
                      <w:i w:val="0"/>
                      <w:iCs w:val="0"/>
                      <w:color w:val="auto"/>
                      <w:sz w:val="21"/>
                      <w:szCs w:val="21"/>
                      <w:u w:val="none"/>
                    </w:rPr>
                  </w:pPr>
                </w:p>
              </w:tc>
              <w:tc>
                <w:tcPr>
                  <w:tcW w:w="18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41B6CE7">
                  <w:pPr>
                    <w:jc w:val="center"/>
                    <w:rPr>
                      <w:rFonts w:hint="default" w:ascii="Times New Roman" w:hAnsi="Times New Roman" w:eastAsia="宋体" w:cs="Times New Roman"/>
                      <w:b/>
                      <w:bCs/>
                      <w:i w:val="0"/>
                      <w:iCs w:val="0"/>
                      <w:color w:val="auto"/>
                      <w:sz w:val="21"/>
                      <w:szCs w:val="21"/>
                      <w:u w:val="none"/>
                    </w:rPr>
                  </w:pPr>
                </w:p>
              </w:tc>
              <w:tc>
                <w:tcPr>
                  <w:tcW w:w="253"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BA6C471">
                  <w:pPr>
                    <w:jc w:val="center"/>
                    <w:rPr>
                      <w:rFonts w:hint="default" w:ascii="Times New Roman" w:hAnsi="Times New Roman" w:eastAsia="宋体" w:cs="Times New Roman"/>
                      <w:b/>
                      <w:bCs/>
                      <w:i w:val="0"/>
                      <w:iCs w:val="0"/>
                      <w:color w:val="auto"/>
                      <w:sz w:val="21"/>
                      <w:szCs w:val="21"/>
                      <w:u w:val="none"/>
                    </w:rPr>
                  </w:pPr>
                </w:p>
              </w:tc>
              <w:tc>
                <w:tcPr>
                  <w:tcW w:w="18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5A8962B">
                  <w:pPr>
                    <w:jc w:val="center"/>
                    <w:rPr>
                      <w:rFonts w:hint="default" w:ascii="Times New Roman" w:hAnsi="Times New Roman" w:eastAsia="宋体" w:cs="Times New Roman"/>
                      <w:b/>
                      <w:bCs/>
                      <w:i w:val="0"/>
                      <w:iCs w:val="0"/>
                      <w:color w:val="auto"/>
                      <w:sz w:val="21"/>
                      <w:szCs w:val="21"/>
                      <w:u w:val="none"/>
                    </w:rPr>
                  </w:pPr>
                </w:p>
              </w:tc>
              <w:tc>
                <w:tcPr>
                  <w:tcW w:w="18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903F218">
                  <w:pPr>
                    <w:jc w:val="center"/>
                    <w:rPr>
                      <w:rFonts w:hint="default" w:ascii="Times New Roman" w:hAnsi="Times New Roman" w:eastAsia="宋体" w:cs="Times New Roman"/>
                      <w:b/>
                      <w:bCs/>
                      <w:i w:val="0"/>
                      <w:iCs w:val="0"/>
                      <w:color w:val="auto"/>
                      <w:sz w:val="21"/>
                      <w:szCs w:val="21"/>
                      <w:u w:val="none"/>
                    </w:rPr>
                  </w:pPr>
                </w:p>
              </w:tc>
              <w:tc>
                <w:tcPr>
                  <w:tcW w:w="18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66E26BB">
                  <w:pPr>
                    <w:jc w:val="center"/>
                    <w:rPr>
                      <w:rFonts w:hint="default" w:ascii="Times New Roman" w:hAnsi="Times New Roman" w:eastAsia="宋体" w:cs="Times New Roman"/>
                      <w:b/>
                      <w:bCs/>
                      <w:i w:val="0"/>
                      <w:iCs w:val="0"/>
                      <w:color w:val="auto"/>
                      <w:sz w:val="21"/>
                      <w:szCs w:val="21"/>
                      <w:u w:val="none"/>
                    </w:rPr>
                  </w:pP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D498721">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X</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C736FD2">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Y</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55C1E7E">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Z</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418FFEB">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东</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0B67C24">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南</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A44572C">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西</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A00D7E9">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北</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D0C19B8">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东</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E59A627">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南</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CE39E14">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西</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935052C">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北</w:t>
                  </w:r>
                </w:p>
              </w:tc>
              <w:tc>
                <w:tcPr>
                  <w:tcW w:w="18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3A83983">
                  <w:pPr>
                    <w:jc w:val="center"/>
                    <w:rPr>
                      <w:rFonts w:hint="default" w:ascii="Times New Roman" w:hAnsi="Times New Roman" w:eastAsia="宋体" w:cs="Times New Roman"/>
                      <w:b/>
                      <w:bCs/>
                      <w:i w:val="0"/>
                      <w:iCs w:val="0"/>
                      <w:color w:val="auto"/>
                      <w:sz w:val="21"/>
                      <w:szCs w:val="21"/>
                      <w:u w:val="none"/>
                    </w:rPr>
                  </w:pP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578E391">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东</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25E8A14">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南</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F70CE11">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西</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5B69D92">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北</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CEDC9DF">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东</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D2B6E4B">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南</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373EF98">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西</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D65EEA6">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北</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0833819">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color w:val="auto"/>
                      <w:kern w:val="0"/>
                      <w:sz w:val="21"/>
                      <w:szCs w:val="21"/>
                      <w:u w:val="none"/>
                      <w:lang w:val="en-US" w:eastAsia="zh-CN" w:bidi="ar"/>
                    </w:rPr>
                    <w:t>建筑物外距离</w:t>
                  </w:r>
                </w:p>
              </w:tc>
            </w:tr>
            <w:tr w14:paraId="6EAA6A6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0647D0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w:t>
                  </w:r>
                </w:p>
              </w:tc>
              <w:tc>
                <w:tcPr>
                  <w:tcW w:w="182" w:type="pct"/>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0B155F0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厂房</w:t>
                  </w:r>
                </w:p>
              </w:tc>
              <w:tc>
                <w:tcPr>
                  <w:tcW w:w="253"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FE7B9C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大破碎机</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2AF148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90</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7FD2FE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w:t>
                  </w:r>
                </w:p>
              </w:tc>
              <w:tc>
                <w:tcPr>
                  <w:tcW w:w="182" w:type="pct"/>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57BF64E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隔声减振</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BF5774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15</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EA7E05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9EF7E3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1.2</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35AAB3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15</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B2CC15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A6C264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15</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6C2101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45</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781965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 xml:space="preserve">66.5 </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E191BF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 xml:space="preserve">76.1 </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601663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 xml:space="preserve">66.5 </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5C94E1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 xml:space="preserve">56.9 </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DB1D86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8h</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632F2D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20</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739543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20</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4640FF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20</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2EAFB9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20</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0D72CF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46.5</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C47BA0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56.1</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C14181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46.5</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1D437E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36.9</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39DE1B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w:t>
                  </w:r>
                </w:p>
              </w:tc>
            </w:tr>
            <w:tr w14:paraId="32D88DE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0631D0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w:t>
                  </w:r>
                </w:p>
              </w:tc>
              <w:tc>
                <w:tcPr>
                  <w:tcW w:w="182"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4B7B4436">
                  <w:pPr>
                    <w:jc w:val="center"/>
                    <w:rPr>
                      <w:rFonts w:hint="default" w:ascii="Times New Roman" w:hAnsi="Times New Roman" w:eastAsia="宋体" w:cs="Times New Roman"/>
                      <w:i w:val="0"/>
                      <w:iCs w:val="0"/>
                      <w:color w:val="auto"/>
                      <w:sz w:val="21"/>
                      <w:szCs w:val="21"/>
                      <w:u w:val="none"/>
                    </w:rPr>
                  </w:pPr>
                </w:p>
              </w:tc>
              <w:tc>
                <w:tcPr>
                  <w:tcW w:w="253"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EA4A24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小破碎机</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24340B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85</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5BD0C9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w:t>
                  </w:r>
                </w:p>
              </w:tc>
              <w:tc>
                <w:tcPr>
                  <w:tcW w:w="182"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6DF717DD">
                  <w:pPr>
                    <w:jc w:val="center"/>
                    <w:rPr>
                      <w:rFonts w:hint="default" w:ascii="Times New Roman" w:hAnsi="Times New Roman" w:eastAsia="宋体" w:cs="Times New Roman"/>
                      <w:i w:val="0"/>
                      <w:iCs w:val="0"/>
                      <w:color w:val="auto"/>
                      <w:sz w:val="21"/>
                      <w:szCs w:val="21"/>
                      <w:u w:val="none"/>
                    </w:rPr>
                  </w:pP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95F69E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20</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CAEEEB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27B269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1.2</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A91F61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10</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C1D73A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2E7B75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20</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773D80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45</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544017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 xml:space="preserve">65.0 </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9729BA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 xml:space="preserve">71.1 </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38FB5A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 xml:space="preserve">58.9 </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B0D62E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 xml:space="preserve">51.9 </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A318AF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8h</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B96E59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20</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477DC3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20</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62AA60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20</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2EF12A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20</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1F6C07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45</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4075A1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51.1</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B72FCC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38.9</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2CDEBE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31.9</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B62C45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w:t>
                  </w:r>
                </w:p>
              </w:tc>
            </w:tr>
            <w:tr w14:paraId="23173C2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jc w:val="center"/>
              </w:trPr>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4C7B4E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w:t>
                  </w:r>
                </w:p>
              </w:tc>
              <w:tc>
                <w:tcPr>
                  <w:tcW w:w="182"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5578ADF8">
                  <w:pPr>
                    <w:jc w:val="center"/>
                    <w:rPr>
                      <w:rFonts w:hint="default" w:ascii="Times New Roman" w:hAnsi="Times New Roman" w:eastAsia="宋体" w:cs="Times New Roman"/>
                      <w:i w:val="0"/>
                      <w:iCs w:val="0"/>
                      <w:color w:val="auto"/>
                      <w:sz w:val="21"/>
                      <w:szCs w:val="21"/>
                      <w:u w:val="none"/>
                    </w:rPr>
                  </w:pPr>
                </w:p>
              </w:tc>
              <w:tc>
                <w:tcPr>
                  <w:tcW w:w="253"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389EA7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对辊机</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F69295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85</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05A6D0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w:t>
                  </w:r>
                </w:p>
              </w:tc>
              <w:tc>
                <w:tcPr>
                  <w:tcW w:w="182"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3062087B">
                  <w:pPr>
                    <w:jc w:val="center"/>
                    <w:rPr>
                      <w:rFonts w:hint="default" w:ascii="Times New Roman" w:hAnsi="Times New Roman" w:eastAsia="宋体" w:cs="Times New Roman"/>
                      <w:i w:val="0"/>
                      <w:iCs w:val="0"/>
                      <w:color w:val="auto"/>
                      <w:sz w:val="21"/>
                      <w:szCs w:val="21"/>
                      <w:u w:val="none"/>
                    </w:rPr>
                  </w:pP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51095E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15</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9D64AF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15</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F80F9C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1.2</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5B53F6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15</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1FFB2D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15</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1F8790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15</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7C0F44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35</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632095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 xml:space="preserve">64.5 </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D074E4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 xml:space="preserve">64.5 </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9D96EA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 xml:space="preserve">64.5 </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C88A9B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 xml:space="preserve">57.1 </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C8FFEE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8h</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55D403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20</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D88F82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20</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661A81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20</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3D68E5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20</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E38D5A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44.5</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2CE2FA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44.5</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BC30AC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44.5</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D5D6C0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37.1</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C00D94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w:t>
                  </w:r>
                </w:p>
              </w:tc>
            </w:tr>
            <w:tr w14:paraId="49205B5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jc w:val="center"/>
              </w:trPr>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9C9F0A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4</w:t>
                  </w:r>
                </w:p>
              </w:tc>
              <w:tc>
                <w:tcPr>
                  <w:tcW w:w="182"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792BDB3A">
                  <w:pPr>
                    <w:jc w:val="center"/>
                    <w:rPr>
                      <w:rFonts w:hint="default" w:ascii="Times New Roman" w:hAnsi="Times New Roman" w:eastAsia="宋体" w:cs="Times New Roman"/>
                      <w:i w:val="0"/>
                      <w:iCs w:val="0"/>
                      <w:color w:val="auto"/>
                      <w:sz w:val="21"/>
                      <w:szCs w:val="21"/>
                      <w:u w:val="none"/>
                    </w:rPr>
                  </w:pPr>
                </w:p>
              </w:tc>
              <w:tc>
                <w:tcPr>
                  <w:tcW w:w="253"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7666D2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回料对辊机</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2FC74F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85</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72ED86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w:t>
                  </w:r>
                </w:p>
              </w:tc>
              <w:tc>
                <w:tcPr>
                  <w:tcW w:w="182"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4653B985">
                  <w:pPr>
                    <w:jc w:val="center"/>
                    <w:rPr>
                      <w:rFonts w:hint="default" w:ascii="Times New Roman" w:hAnsi="Times New Roman" w:eastAsia="宋体" w:cs="Times New Roman"/>
                      <w:i w:val="0"/>
                      <w:iCs w:val="0"/>
                      <w:color w:val="auto"/>
                      <w:sz w:val="21"/>
                      <w:szCs w:val="21"/>
                      <w:u w:val="none"/>
                    </w:rPr>
                  </w:pP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38DBCA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15</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0CFE8E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20</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BA81BF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1.2</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396B71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15</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85B0C5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20</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7F8B12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15</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565268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30</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945F85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 xml:space="preserve">64.5 </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5EAA9A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 xml:space="preserve">62.0 </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E549AA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 xml:space="preserve">64.5 </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0C7939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 xml:space="preserve">58.5 </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E143D3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8h</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B4E8D9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20</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514A02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20</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F12810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20</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9A3CE4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20</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85A610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44.5</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9590DD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42</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3A108E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44.5</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E0F1CC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38.5</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E52BC8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w:t>
                  </w:r>
                </w:p>
              </w:tc>
            </w:tr>
            <w:tr w14:paraId="79CFA26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750F3B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w:t>
                  </w:r>
                </w:p>
              </w:tc>
              <w:tc>
                <w:tcPr>
                  <w:tcW w:w="182"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5BCCA28A">
                  <w:pPr>
                    <w:jc w:val="center"/>
                    <w:rPr>
                      <w:rFonts w:hint="default" w:ascii="Times New Roman" w:hAnsi="Times New Roman" w:eastAsia="宋体" w:cs="Times New Roman"/>
                      <w:i w:val="0"/>
                      <w:iCs w:val="0"/>
                      <w:color w:val="auto"/>
                      <w:sz w:val="21"/>
                      <w:szCs w:val="21"/>
                      <w:u w:val="none"/>
                    </w:rPr>
                  </w:pPr>
                </w:p>
              </w:tc>
              <w:tc>
                <w:tcPr>
                  <w:tcW w:w="253"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0624D0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磁选机</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D1036C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75</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5805CF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4</w:t>
                  </w:r>
                </w:p>
              </w:tc>
              <w:tc>
                <w:tcPr>
                  <w:tcW w:w="182"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75F7023D">
                  <w:pPr>
                    <w:jc w:val="center"/>
                    <w:rPr>
                      <w:rFonts w:hint="default" w:ascii="Times New Roman" w:hAnsi="Times New Roman" w:eastAsia="宋体" w:cs="Times New Roman"/>
                      <w:i w:val="0"/>
                      <w:iCs w:val="0"/>
                      <w:color w:val="auto"/>
                      <w:sz w:val="21"/>
                      <w:szCs w:val="21"/>
                      <w:u w:val="none"/>
                    </w:rPr>
                  </w:pP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0EEB16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20</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CEE842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15</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6D916B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1.2</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73693A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10</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17E681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15</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6A92E0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20</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622994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35</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64D2D3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 xml:space="preserve">61.0 </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BDC0FD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 xml:space="preserve">57.5 </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227D6B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 xml:space="preserve">55.0 </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0445AB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 xml:space="preserve">50.1 </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C99A73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8h</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C34C00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20</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7462D8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20</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C9262F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20</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E4C9EE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20</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4F2FA4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41</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EAF74E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37.5</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4DD199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35</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C8F437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30.1</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D211DA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w:t>
                  </w:r>
                </w:p>
              </w:tc>
            </w:tr>
            <w:tr w14:paraId="76FCC22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495DE6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6</w:t>
                  </w:r>
                </w:p>
              </w:tc>
              <w:tc>
                <w:tcPr>
                  <w:tcW w:w="182"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6CABC988">
                  <w:pPr>
                    <w:jc w:val="center"/>
                    <w:rPr>
                      <w:rFonts w:hint="default" w:ascii="Times New Roman" w:hAnsi="Times New Roman" w:eastAsia="宋体" w:cs="Times New Roman"/>
                      <w:i w:val="0"/>
                      <w:iCs w:val="0"/>
                      <w:color w:val="auto"/>
                      <w:sz w:val="21"/>
                      <w:szCs w:val="21"/>
                      <w:u w:val="none"/>
                    </w:rPr>
                  </w:pPr>
                </w:p>
              </w:tc>
              <w:tc>
                <w:tcPr>
                  <w:tcW w:w="253"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F018BC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振动筛</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379B64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80</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7CA823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w:t>
                  </w:r>
                </w:p>
              </w:tc>
              <w:tc>
                <w:tcPr>
                  <w:tcW w:w="182"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22B5DF1A">
                  <w:pPr>
                    <w:jc w:val="center"/>
                    <w:rPr>
                      <w:rFonts w:hint="default" w:ascii="Times New Roman" w:hAnsi="Times New Roman" w:eastAsia="宋体" w:cs="Times New Roman"/>
                      <w:i w:val="0"/>
                      <w:iCs w:val="0"/>
                      <w:color w:val="auto"/>
                      <w:sz w:val="21"/>
                      <w:szCs w:val="21"/>
                      <w:u w:val="none"/>
                    </w:rPr>
                  </w:pP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277967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25</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A93E88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10</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F0DBE8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1.2</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45423F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501CC5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10</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BDBCDF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25</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151936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40</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71ABC9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 xml:space="preserve">72.0 </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8E2C5D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 xml:space="preserve">66.0 </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1C95CF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 xml:space="preserve">58.0 </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0A35DE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 xml:space="preserve">54.0 </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84D819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8h</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965EAA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20</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64CE95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20</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65F29D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20</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B3AE7A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20</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5A098B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52</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B84419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46</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A3ED0B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38</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D5CFF3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34</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84537E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w:t>
                  </w:r>
                </w:p>
              </w:tc>
            </w:tr>
            <w:tr w14:paraId="5D24FC8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0C24BB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7</w:t>
                  </w:r>
                </w:p>
              </w:tc>
              <w:tc>
                <w:tcPr>
                  <w:tcW w:w="182"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7C6B5175">
                  <w:pPr>
                    <w:jc w:val="center"/>
                    <w:rPr>
                      <w:rFonts w:hint="default" w:ascii="Times New Roman" w:hAnsi="Times New Roman" w:eastAsia="宋体" w:cs="Times New Roman"/>
                      <w:i w:val="0"/>
                      <w:iCs w:val="0"/>
                      <w:color w:val="auto"/>
                      <w:sz w:val="21"/>
                      <w:szCs w:val="21"/>
                      <w:u w:val="none"/>
                    </w:rPr>
                  </w:pPr>
                </w:p>
              </w:tc>
              <w:tc>
                <w:tcPr>
                  <w:tcW w:w="253"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18B4F7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整形机</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DB694D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80</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BEC30A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w:t>
                  </w:r>
                </w:p>
              </w:tc>
              <w:tc>
                <w:tcPr>
                  <w:tcW w:w="182"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570D1735">
                  <w:pPr>
                    <w:jc w:val="center"/>
                    <w:rPr>
                      <w:rFonts w:hint="default" w:ascii="Times New Roman" w:hAnsi="Times New Roman" w:eastAsia="宋体" w:cs="Times New Roman"/>
                      <w:i w:val="0"/>
                      <w:iCs w:val="0"/>
                      <w:color w:val="auto"/>
                      <w:sz w:val="21"/>
                      <w:szCs w:val="21"/>
                      <w:u w:val="none"/>
                    </w:rPr>
                  </w:pP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5A1368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25</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DF9939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15</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63974F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1.2</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AEAE0B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D430C9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15</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B48852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25</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51C3DA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35</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3CDAFA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 xml:space="preserve">66.0 </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F1933B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 xml:space="preserve">56.5 </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FB0860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 xml:space="preserve">52.0 </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EEF7E9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 xml:space="preserve">49.1 </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A33100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8h</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883B84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20</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6444BA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20</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08118E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20</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6F3D02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20</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B6E344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46</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E8ED6F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36.5</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DA8381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32</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BB9819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29.1</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84B9E1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w:t>
                  </w:r>
                </w:p>
              </w:tc>
            </w:tr>
            <w:tr w14:paraId="533CC80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2D586D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8</w:t>
                  </w:r>
                </w:p>
              </w:tc>
              <w:tc>
                <w:tcPr>
                  <w:tcW w:w="182"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39EB4DB8">
                  <w:pPr>
                    <w:jc w:val="center"/>
                    <w:rPr>
                      <w:rFonts w:hint="default" w:ascii="Times New Roman" w:hAnsi="Times New Roman" w:eastAsia="宋体" w:cs="Times New Roman"/>
                      <w:i w:val="0"/>
                      <w:iCs w:val="0"/>
                      <w:color w:val="auto"/>
                      <w:sz w:val="21"/>
                      <w:szCs w:val="21"/>
                      <w:u w:val="none"/>
                    </w:rPr>
                  </w:pPr>
                </w:p>
              </w:tc>
              <w:tc>
                <w:tcPr>
                  <w:tcW w:w="25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000A4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圆形筛</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1802D8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80</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C8B4EB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w:t>
                  </w:r>
                </w:p>
              </w:tc>
              <w:tc>
                <w:tcPr>
                  <w:tcW w:w="182"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5E09BB70">
                  <w:pPr>
                    <w:jc w:val="center"/>
                    <w:rPr>
                      <w:rFonts w:hint="default" w:ascii="Times New Roman" w:hAnsi="Times New Roman" w:eastAsia="宋体" w:cs="Times New Roman"/>
                      <w:i w:val="0"/>
                      <w:iCs w:val="0"/>
                      <w:color w:val="auto"/>
                      <w:sz w:val="21"/>
                      <w:szCs w:val="21"/>
                      <w:u w:val="none"/>
                    </w:rPr>
                  </w:pPr>
                </w:p>
              </w:tc>
              <w:tc>
                <w:tcPr>
                  <w:tcW w:w="1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62EEE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w:t>
                  </w:r>
                </w:p>
              </w:tc>
              <w:tc>
                <w:tcPr>
                  <w:tcW w:w="1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30FAD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4260B1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1.2</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58F9C5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25</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6E8EF3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917FFF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9287DB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45</w:t>
                  </w:r>
                </w:p>
              </w:tc>
              <w:tc>
                <w:tcPr>
                  <w:tcW w:w="1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F5AB0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 xml:space="preserve">52.0 </w:t>
                  </w:r>
                </w:p>
              </w:tc>
              <w:tc>
                <w:tcPr>
                  <w:tcW w:w="1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A3BA3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 xml:space="preserve">66.0 </w:t>
                  </w:r>
                </w:p>
              </w:tc>
              <w:tc>
                <w:tcPr>
                  <w:tcW w:w="1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ABCD5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 xml:space="preserve">66.0 </w:t>
                  </w:r>
                </w:p>
              </w:tc>
              <w:tc>
                <w:tcPr>
                  <w:tcW w:w="1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FF64C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 xml:space="preserve">46.9 </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07AF51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8h</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BA8E4B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20</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069A00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20</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6AEE08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20</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8DB4A7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20</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94AC85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32</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B3DB77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46</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651A7C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46</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5206FB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26.9</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43B7CA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w:t>
                  </w:r>
                </w:p>
              </w:tc>
            </w:tr>
            <w:tr w14:paraId="0240B59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AA0777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9</w:t>
                  </w:r>
                </w:p>
              </w:tc>
              <w:tc>
                <w:tcPr>
                  <w:tcW w:w="182"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70742881">
                  <w:pPr>
                    <w:jc w:val="center"/>
                    <w:rPr>
                      <w:rFonts w:hint="default" w:ascii="Times New Roman" w:hAnsi="Times New Roman" w:eastAsia="宋体" w:cs="Times New Roman"/>
                      <w:i w:val="0"/>
                      <w:iCs w:val="0"/>
                      <w:color w:val="auto"/>
                      <w:sz w:val="21"/>
                      <w:szCs w:val="21"/>
                      <w:u w:val="none"/>
                    </w:rPr>
                  </w:pPr>
                </w:p>
              </w:tc>
              <w:tc>
                <w:tcPr>
                  <w:tcW w:w="25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BBF67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空压机</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3EBBCE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80</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30BFD9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w:t>
                  </w:r>
                </w:p>
              </w:tc>
              <w:tc>
                <w:tcPr>
                  <w:tcW w:w="182"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4B625FDF">
                  <w:pPr>
                    <w:jc w:val="center"/>
                    <w:rPr>
                      <w:rFonts w:hint="default" w:ascii="Times New Roman" w:hAnsi="Times New Roman" w:eastAsia="宋体" w:cs="Times New Roman"/>
                      <w:i w:val="0"/>
                      <w:iCs w:val="0"/>
                      <w:color w:val="auto"/>
                      <w:sz w:val="21"/>
                      <w:szCs w:val="21"/>
                      <w:u w:val="none"/>
                    </w:rPr>
                  </w:pPr>
                </w:p>
              </w:tc>
              <w:tc>
                <w:tcPr>
                  <w:tcW w:w="1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48A9C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w:t>
                  </w:r>
                </w:p>
              </w:tc>
              <w:tc>
                <w:tcPr>
                  <w:tcW w:w="1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744D1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10</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DC26B1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1.2</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5E6A03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25</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E1EDEF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10</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443FDA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D5998F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40</w:t>
                  </w:r>
                </w:p>
              </w:tc>
              <w:tc>
                <w:tcPr>
                  <w:tcW w:w="1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7C64B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 xml:space="preserve">52.0 </w:t>
                  </w:r>
                </w:p>
              </w:tc>
              <w:tc>
                <w:tcPr>
                  <w:tcW w:w="1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85854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 xml:space="preserve">60.0 </w:t>
                  </w:r>
                </w:p>
              </w:tc>
              <w:tc>
                <w:tcPr>
                  <w:tcW w:w="1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4A7DF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 xml:space="preserve">66.0 </w:t>
                  </w:r>
                </w:p>
              </w:tc>
              <w:tc>
                <w:tcPr>
                  <w:tcW w:w="18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5042B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 xml:space="preserve">48.0 </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E84CEB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8h</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D66634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20</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BF2776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20</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33A833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20</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985D5D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20</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9FF167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32</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05C5E1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40</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B2F4D7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46</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0923BD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28</w:t>
                  </w:r>
                </w:p>
              </w:tc>
              <w:tc>
                <w:tcPr>
                  <w:tcW w:w="18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001EA0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w:t>
                  </w:r>
                </w:p>
              </w:tc>
            </w:tr>
            <w:tr w14:paraId="1BBE0F8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jc w:val="center"/>
              </w:trPr>
              <w:tc>
                <w:tcPr>
                  <w:tcW w:w="5000" w:type="pct"/>
                  <w:gridSpan w:val="27"/>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7B51CE">
                  <w:pPr>
                    <w:keepNext w:val="0"/>
                    <w:keepLines w:val="0"/>
                    <w:widowControl/>
                    <w:suppressLineNumbers w:val="0"/>
                    <w:jc w:val="left"/>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备注：以厂房西南角作为空间位置原点</w:t>
                  </w:r>
                </w:p>
              </w:tc>
            </w:tr>
          </w:tbl>
          <w:p w14:paraId="0646652A">
            <w:pPr>
              <w:keepNext w:val="0"/>
              <w:keepLines w:val="0"/>
              <w:pageBreakBefore w:val="0"/>
              <w:widowControl w:val="0"/>
              <w:numPr>
                <w:ilvl w:val="0"/>
                <w:numId w:val="0"/>
              </w:numPr>
              <w:kinsoku/>
              <w:wordWrap/>
              <w:overflowPunct/>
              <w:topLinePunct w:val="0"/>
              <w:bidi w:val="0"/>
              <w:ind w:right="0" w:rightChars="0"/>
              <w:jc w:val="both"/>
              <w:rPr>
                <w:rFonts w:hint="default" w:ascii="Times New Roman" w:hAnsi="Times New Roman" w:eastAsia="宋体" w:cs="Times New Roman"/>
                <w:snapToGrid w:val="0"/>
                <w:color w:val="auto"/>
                <w:sz w:val="21"/>
                <w:szCs w:val="21"/>
                <w:vertAlign w:val="baseline"/>
              </w:rPr>
            </w:pPr>
          </w:p>
        </w:tc>
      </w:tr>
    </w:tbl>
    <w:p w14:paraId="11A6C690">
      <w:pPr>
        <w:rPr>
          <w:rFonts w:hint="default" w:ascii="Times New Roman" w:hAnsi="Times New Roman" w:eastAsia="宋体" w:cs="Times New Roman"/>
          <w:snapToGrid w:val="0"/>
          <w:color w:val="auto"/>
          <w:sz w:val="30"/>
          <w:szCs w:val="30"/>
        </w:rPr>
      </w:pPr>
      <w:r>
        <w:rPr>
          <w:rFonts w:hint="default" w:ascii="Times New Roman" w:hAnsi="Times New Roman" w:eastAsia="宋体" w:cs="Times New Roman"/>
          <w:snapToGrid w:val="0"/>
          <w:color w:val="auto"/>
          <w:sz w:val="30"/>
          <w:szCs w:val="30"/>
        </w:rPr>
        <w:br w:type="page"/>
      </w:r>
    </w:p>
    <w:p w14:paraId="1F7D3F3D">
      <w:pPr>
        <w:keepNext w:val="0"/>
        <w:keepLines w:val="0"/>
        <w:pageBreakBefore w:val="0"/>
        <w:widowControl w:val="0"/>
        <w:kinsoku/>
        <w:wordWrap/>
        <w:overflowPunct/>
        <w:topLinePunct w:val="0"/>
        <w:bidi w:val="0"/>
        <w:ind w:right="0" w:rightChars="0"/>
        <w:jc w:val="both"/>
        <w:rPr>
          <w:rFonts w:hint="default" w:ascii="Times New Roman" w:hAnsi="Times New Roman" w:eastAsia="宋体" w:cs="Times New Roman"/>
          <w:snapToGrid w:val="0"/>
          <w:color w:val="auto"/>
          <w:sz w:val="21"/>
          <w:szCs w:val="21"/>
          <w:vertAlign w:val="baseline"/>
        </w:rPr>
        <w:sectPr>
          <w:pgSz w:w="16838" w:h="11906" w:orient="landscape"/>
          <w:pgMar w:top="1803" w:right="1440" w:bottom="1803" w:left="1440" w:header="851" w:footer="992" w:gutter="0"/>
          <w:pgBorders>
            <w:top w:val="none" w:sz="0" w:space="0"/>
            <w:left w:val="none" w:sz="0" w:space="0"/>
            <w:bottom w:val="none" w:sz="0" w:space="0"/>
            <w:right w:val="none" w:sz="0" w:space="0"/>
          </w:pgBorders>
          <w:pgNumType w:fmt="decimal"/>
          <w:cols w:space="0" w:num="1"/>
          <w:rtlGutter w:val="0"/>
          <w:docGrid w:type="lines" w:linePitch="319" w:charSpace="0"/>
        </w:sectPr>
      </w:pPr>
    </w:p>
    <w:tbl>
      <w:tblPr>
        <w:tblStyle w:val="1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38"/>
        <w:gridCol w:w="7878"/>
      </w:tblGrid>
      <w:tr w14:paraId="63BB80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8" w:type="dxa"/>
            <w:vAlign w:val="center"/>
          </w:tcPr>
          <w:p w14:paraId="2BC1691C">
            <w:pPr>
              <w:keepNext w:val="0"/>
              <w:keepLines w:val="0"/>
              <w:pageBreakBefore w:val="0"/>
              <w:widowControl w:val="0"/>
              <w:numPr>
                <w:ilvl w:val="0"/>
                <w:numId w:val="0"/>
              </w:numPr>
              <w:kinsoku/>
              <w:wordWrap/>
              <w:overflowPunct/>
              <w:topLinePunct w:val="0"/>
              <w:bidi w:val="0"/>
              <w:ind w:left="0" w:leftChars="0" w:right="0" w:rightChars="0" w:firstLine="0" w:firstLineChars="0"/>
              <w:jc w:val="center"/>
              <w:rPr>
                <w:rFonts w:hint="default" w:ascii="Times New Roman" w:hAnsi="Times New Roman" w:eastAsia="宋体" w:cs="Times New Roman"/>
                <w:snapToGrid w:val="0"/>
                <w:color w:val="auto"/>
                <w:sz w:val="21"/>
                <w:szCs w:val="21"/>
                <w:vertAlign w:val="baseline"/>
              </w:rPr>
            </w:pPr>
            <w:r>
              <w:rPr>
                <w:rFonts w:hint="default" w:ascii="Times New Roman" w:hAnsi="Times New Roman" w:eastAsia="宋体" w:cs="Times New Roman"/>
                <w:snapToGrid w:val="0"/>
                <w:color w:val="auto"/>
                <w:sz w:val="21"/>
                <w:szCs w:val="21"/>
                <w:vertAlign w:val="baseline"/>
              </w:rPr>
              <w:t>运营期生态环境影响分析</w:t>
            </w:r>
          </w:p>
        </w:tc>
        <w:tc>
          <w:tcPr>
            <w:tcW w:w="7878" w:type="dxa"/>
          </w:tcPr>
          <w:p w14:paraId="427884B4">
            <w:pPr>
              <w:pStyle w:val="32"/>
              <w:keepNext w:val="0"/>
              <w:keepLines w:val="0"/>
              <w:pageBreakBefore w:val="0"/>
              <w:widowControl w:val="0"/>
              <w:kinsoku/>
              <w:wordWrap/>
              <w:overflowPunct/>
              <w:topLinePunct w:val="0"/>
              <w:autoSpaceDE w:val="0"/>
              <w:autoSpaceDN w:val="0"/>
              <w:bidi w:val="0"/>
              <w:adjustRightInd w:val="0"/>
              <w:snapToGrid w:val="0"/>
              <w:spacing w:line="360" w:lineRule="auto"/>
              <w:ind w:firstLine="420" w:firstLineChars="200"/>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2、达标分析</w:t>
            </w:r>
          </w:p>
          <w:p w14:paraId="0F76ABEE">
            <w:pPr>
              <w:pStyle w:val="32"/>
              <w:keepNext w:val="0"/>
              <w:keepLines w:val="0"/>
              <w:pageBreakBefore w:val="0"/>
              <w:widowControl w:val="0"/>
              <w:kinsoku/>
              <w:wordWrap/>
              <w:overflowPunct/>
              <w:topLinePunct w:val="0"/>
              <w:autoSpaceDE w:val="0"/>
              <w:autoSpaceDN w:val="0"/>
              <w:bidi w:val="0"/>
              <w:adjustRightInd w:val="0"/>
              <w:snapToGrid w:val="0"/>
              <w:spacing w:line="360" w:lineRule="auto"/>
              <w:ind w:firstLine="420" w:firstLineChars="200"/>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本项目采用《环境影响评价技术导则—声环境》（HJ2.4-2021）中推荐模式进行预测，噪声从声源发出后向外辐射，在传播过程中经距离衰减、地面构筑物屏蔽反射、空气吸收等阶段后到达受声点，本次评价采用A声级计算，模式如下：</w:t>
            </w:r>
          </w:p>
          <w:p w14:paraId="3E3E43B6">
            <w:pPr>
              <w:keepNext w:val="0"/>
              <w:keepLines w:val="0"/>
              <w:pageBreakBefore w:val="0"/>
              <w:widowControl w:val="0"/>
              <w:wordWrap/>
              <w:overflowPunct/>
              <w:topLinePunct w:val="0"/>
              <w:autoSpaceDE w:val="0"/>
              <w:autoSpaceDN w:val="0"/>
              <w:bidi w:val="0"/>
              <w:adjustRightInd w:val="0"/>
              <w:snapToGrid w:val="0"/>
              <w:spacing w:line="360" w:lineRule="auto"/>
              <w:ind w:firstLine="420" w:firstLineChars="200"/>
              <w:textAlignment w:val="baseline"/>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基准预测点噪声级叠加公式：</w:t>
            </w:r>
          </w:p>
          <w:p w14:paraId="2384D244">
            <w:pPr>
              <w:keepNext w:val="0"/>
              <w:keepLines w:val="0"/>
              <w:pageBreakBefore w:val="0"/>
              <w:widowControl w:val="0"/>
              <w:wordWrap/>
              <w:overflowPunct/>
              <w:topLinePunct w:val="0"/>
              <w:autoSpaceDE w:val="0"/>
              <w:autoSpaceDN w:val="0"/>
              <w:bidi w:val="0"/>
              <w:adjustRightInd w:val="0"/>
              <w:snapToGrid w:val="0"/>
              <w:spacing w:line="360" w:lineRule="auto"/>
              <w:ind w:firstLine="420" w:firstLineChars="200"/>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Lpe=10×lg[</w:t>
            </w:r>
            <w:r>
              <w:rPr>
                <w:rFonts w:hint="default" w:ascii="Times New Roman" w:hAnsi="Times New Roman" w:eastAsia="宋体" w:cs="Times New Roman"/>
                <w:color w:val="auto"/>
                <w:sz w:val="21"/>
                <w:szCs w:val="21"/>
              </w:rPr>
              <w:object>
                <v:shape id="_x0000_i1025" o:spt="75" type="#_x0000_t75" style="height:31.6pt;width:21pt;" o:ole="t" filled="f" o:preferrelative="t" stroked="f" coordsize="21600,21600">
                  <v:path/>
                  <v:fill on="f" focussize="0,0"/>
                  <v:stroke on="f"/>
                  <v:imagedata r:id="rId19" o:title=""/>
                  <o:lock v:ext="edit" aspectratio="t"/>
                  <w10:wrap type="none"/>
                  <w10:anchorlock/>
                </v:shape>
                <o:OLEObject Type="Embed" ProgID="Equation.3" ShapeID="_x0000_i1025" DrawAspect="Content" ObjectID="_1468075725" r:id="rId18">
                  <o:LockedField>false</o:LockedField>
                </o:OLEObject>
              </w:object>
            </w:r>
            <w:r>
              <w:rPr>
                <w:rFonts w:hint="default" w:ascii="Times New Roman" w:hAnsi="Times New Roman" w:eastAsia="宋体" w:cs="Times New Roman"/>
                <w:color w:val="auto"/>
                <w:sz w:val="21"/>
                <w:szCs w:val="21"/>
              </w:rPr>
              <w:object>
                <v:shape id="_x0000_i1026" o:spt="75" type="#_x0000_t75" style="height:24.95pt;width:27pt;" o:ole="t" fillcolor="#ACA899" filled="f" o:preferrelative="t" stroked="f" coordsize="21600,21600">
                  <v:path/>
                  <v:fill on="f" focussize="0,0"/>
                  <v:stroke on="f"/>
                  <v:imagedata r:id="rId21" o:title=""/>
                  <o:lock v:ext="edit" grouping="f" rotation="f" text="f" aspectratio="t"/>
                  <w10:wrap type="none"/>
                  <w10:anchorlock/>
                </v:shape>
                <o:OLEObject Type="Embed" ProgID="Equation.3" ShapeID="_x0000_i1026" DrawAspect="Content" ObjectID="_1468075726" r:id="rId20">
                  <o:LockedField>false</o:LockedField>
                </o:OLEObject>
              </w:object>
            </w:r>
            <w:r>
              <w:rPr>
                <w:rFonts w:hint="default" w:ascii="Times New Roman" w:hAnsi="Times New Roman" w:eastAsia="宋体" w:cs="Times New Roman"/>
                <w:color w:val="auto"/>
                <w:sz w:val="21"/>
                <w:szCs w:val="21"/>
              </w:rPr>
              <w:t>]</w:t>
            </w:r>
          </w:p>
          <w:p w14:paraId="5CFF12DB">
            <w:pPr>
              <w:keepNext w:val="0"/>
              <w:keepLines w:val="0"/>
              <w:pageBreakBefore w:val="0"/>
              <w:widowControl w:val="0"/>
              <w:wordWrap/>
              <w:overflowPunct/>
              <w:topLinePunct w:val="0"/>
              <w:autoSpaceDE w:val="0"/>
              <w:autoSpaceDN w:val="0"/>
              <w:bidi w:val="0"/>
              <w:adjustRightInd w:val="0"/>
              <w:snapToGrid w:val="0"/>
              <w:spacing w:line="360" w:lineRule="auto"/>
              <w:ind w:firstLine="420" w:firstLineChars="200"/>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式中：Lpe—叠加后总声级，dB(A)。</w:t>
            </w:r>
          </w:p>
          <w:p w14:paraId="551E5FDC">
            <w:pPr>
              <w:keepNext w:val="0"/>
              <w:keepLines w:val="0"/>
              <w:pageBreakBefore w:val="0"/>
              <w:widowControl w:val="0"/>
              <w:wordWrap/>
              <w:overflowPunct/>
              <w:topLinePunct w:val="0"/>
              <w:autoSpaceDE w:val="0"/>
              <w:autoSpaceDN w:val="0"/>
              <w:bidi w:val="0"/>
              <w:adjustRightInd w:val="0"/>
              <w:snapToGrid w:val="0"/>
              <w:spacing w:line="360" w:lineRule="auto"/>
              <w:ind w:firstLine="420" w:firstLineChars="200"/>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Lpi—i声源至基准预测点的声级，dB(A)。</w:t>
            </w:r>
          </w:p>
          <w:p w14:paraId="444F993E">
            <w:pPr>
              <w:keepNext w:val="0"/>
              <w:keepLines w:val="0"/>
              <w:pageBreakBefore w:val="0"/>
              <w:widowControl w:val="0"/>
              <w:wordWrap/>
              <w:overflowPunct/>
              <w:topLinePunct w:val="0"/>
              <w:autoSpaceDE w:val="0"/>
              <w:autoSpaceDN w:val="0"/>
              <w:bidi w:val="0"/>
              <w:adjustRightInd w:val="0"/>
              <w:snapToGrid w:val="0"/>
              <w:spacing w:line="360" w:lineRule="auto"/>
              <w:ind w:firstLine="420" w:firstLineChars="200"/>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n—噪声源数目。</w:t>
            </w:r>
          </w:p>
          <w:p w14:paraId="6731260B">
            <w:pPr>
              <w:keepNext w:val="0"/>
              <w:keepLines w:val="0"/>
              <w:pageBreakBefore w:val="0"/>
              <w:widowControl w:val="0"/>
              <w:wordWrap/>
              <w:overflowPunct/>
              <w:topLinePunct w:val="0"/>
              <w:autoSpaceDE w:val="0"/>
              <w:autoSpaceDN w:val="0"/>
              <w:bidi w:val="0"/>
              <w:adjustRightInd w:val="0"/>
              <w:snapToGrid w:val="0"/>
              <w:spacing w:line="360" w:lineRule="auto"/>
              <w:ind w:firstLine="420" w:firstLineChars="200"/>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用上述公式计算出各噪声源点至基准预测点的总声压级，然后以基准预测点的噪声强度为工程噪声源强。</w:t>
            </w:r>
          </w:p>
          <w:p w14:paraId="01F3C851">
            <w:pPr>
              <w:keepNext w:val="0"/>
              <w:keepLines w:val="0"/>
              <w:pageBreakBefore w:val="0"/>
              <w:widowControl w:val="0"/>
              <w:wordWrap/>
              <w:overflowPunct/>
              <w:topLinePunct w:val="0"/>
              <w:autoSpaceDE w:val="0"/>
              <w:autoSpaceDN w:val="0"/>
              <w:bidi w:val="0"/>
              <w:adjustRightInd w:val="0"/>
              <w:snapToGrid w:val="0"/>
              <w:spacing w:line="360" w:lineRule="auto"/>
              <w:ind w:firstLine="420" w:firstLineChars="200"/>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计算预测点的声级：</w:t>
            </w:r>
          </w:p>
          <w:p w14:paraId="2200D7BD">
            <w:pPr>
              <w:keepNext w:val="0"/>
              <w:keepLines w:val="0"/>
              <w:pageBreakBefore w:val="0"/>
              <w:widowControl w:val="0"/>
              <w:wordWrap/>
              <w:overflowPunct/>
              <w:topLinePunct w:val="0"/>
              <w:autoSpaceDE w:val="0"/>
              <w:autoSpaceDN w:val="0"/>
              <w:bidi w:val="0"/>
              <w:adjustRightInd w:val="0"/>
              <w:snapToGrid w:val="0"/>
              <w:spacing w:line="360" w:lineRule="auto"/>
              <w:ind w:firstLine="420" w:firstLineChars="200"/>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object>
                <v:shape id="_x0000_i1027" o:spt="75" type="#_x0000_t75" style="height:19pt;width:237pt;" o:ole="t" fillcolor="#ACA899" filled="f" o:preferrelative="t" stroked="f" coordsize="21600,21600">
                  <v:path/>
                  <v:fill on="f" focussize="0,0"/>
                  <v:stroke on="f"/>
                  <v:imagedata r:id="rId23" o:title=""/>
                  <o:lock v:ext="edit" grouping="f" rotation="f" text="f" aspectratio="t"/>
                  <w10:wrap type="none"/>
                  <w10:anchorlock/>
                </v:shape>
                <o:OLEObject Type="Embed" ProgID="Equation.3" ShapeID="_x0000_i1027" DrawAspect="Content" ObjectID="_1468075727" r:id="rId22">
                  <o:LockedField>false</o:LockedField>
                </o:OLEObject>
              </w:object>
            </w:r>
          </w:p>
          <w:p w14:paraId="3FC517E0">
            <w:pPr>
              <w:keepNext w:val="0"/>
              <w:keepLines w:val="0"/>
              <w:pageBreakBefore w:val="0"/>
              <w:widowControl w:val="0"/>
              <w:wordWrap/>
              <w:overflowPunct/>
              <w:topLinePunct w:val="0"/>
              <w:autoSpaceDE w:val="0"/>
              <w:autoSpaceDN w:val="0"/>
              <w:bidi w:val="0"/>
              <w:adjustRightInd w:val="0"/>
              <w:snapToGrid w:val="0"/>
              <w:spacing w:line="360" w:lineRule="auto"/>
              <w:ind w:firstLine="420" w:firstLineChars="200"/>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式中：</w:t>
            </w:r>
            <w:r>
              <w:rPr>
                <w:rFonts w:hint="default" w:ascii="Times New Roman" w:hAnsi="Times New Roman" w:eastAsia="宋体" w:cs="Times New Roman"/>
                <w:color w:val="auto"/>
                <w:sz w:val="21"/>
                <w:szCs w:val="21"/>
              </w:rPr>
              <w:object>
                <v:shape id="_x0000_i1028" o:spt="75" type="#_x0000_t75" style="height:19pt;width:30pt;" o:ole="t" fillcolor="#ACA899" filled="f" o:preferrelative="t" stroked="f" coordsize="21600,21600">
                  <v:path/>
                  <v:fill on="f" focussize="0,0"/>
                  <v:stroke on="f"/>
                  <v:imagedata r:id="rId25" o:title=""/>
                  <o:lock v:ext="edit" grouping="f" rotation="f" text="f" aspectratio="t"/>
                  <w10:wrap type="none"/>
                  <w10:anchorlock/>
                </v:shape>
                <o:OLEObject Type="Embed" ProgID="Equation.3" ShapeID="_x0000_i1028" DrawAspect="Content" ObjectID="_1468075728" r:id="rId24">
                  <o:LockedField>false</o:LockedField>
                </o:OLEObject>
              </w:object>
            </w:r>
            <w:r>
              <w:rPr>
                <w:rFonts w:hint="default" w:ascii="Times New Roman" w:hAnsi="Times New Roman" w:eastAsia="宋体" w:cs="Times New Roman"/>
                <w:color w:val="auto"/>
                <w:sz w:val="21"/>
                <w:szCs w:val="21"/>
              </w:rPr>
              <w:t>——距声源</w:t>
            </w:r>
            <w:r>
              <w:rPr>
                <w:rFonts w:hint="default" w:ascii="Times New Roman" w:hAnsi="Times New Roman" w:eastAsia="宋体" w:cs="Times New Roman"/>
                <w:color w:val="auto"/>
                <w:sz w:val="21"/>
                <w:szCs w:val="21"/>
              </w:rPr>
              <w:object>
                <v:shape id="_x0000_i1029" o:spt="75" type="#_x0000_t75" style="height:10pt;width:9pt;" o:ole="t" fillcolor="#ACA899" filled="f" stroked="f" coordsize="21600,21600">
                  <v:path/>
                  <v:fill on="f" focussize="0,0"/>
                  <v:stroke on="f"/>
                  <v:imagedata r:id="rId27" o:title=""/>
                  <o:lock v:ext="edit" grouping="f" rotation="f" text="f" aspectratio="t"/>
                  <w10:wrap type="none"/>
                  <w10:anchorlock/>
                </v:shape>
                <o:OLEObject Type="Embed" ProgID="Equation.3" ShapeID="_x0000_i1029" DrawAspect="Content" ObjectID="_1468075729" r:id="rId26">
                  <o:LockedField>false</o:LockedField>
                </o:OLEObject>
              </w:object>
            </w:r>
            <w:r>
              <w:rPr>
                <w:rFonts w:hint="default" w:ascii="Times New Roman" w:hAnsi="Times New Roman" w:eastAsia="宋体" w:cs="Times New Roman"/>
                <w:color w:val="auto"/>
                <w:sz w:val="21"/>
                <w:szCs w:val="21"/>
              </w:rPr>
              <w:t>处的A声级，dB；</w:t>
            </w:r>
          </w:p>
          <w:p w14:paraId="744C5523">
            <w:pPr>
              <w:keepNext w:val="0"/>
              <w:keepLines w:val="0"/>
              <w:pageBreakBefore w:val="0"/>
              <w:widowControl w:val="0"/>
              <w:wordWrap/>
              <w:overflowPunct/>
              <w:topLinePunct w:val="0"/>
              <w:autoSpaceDE w:val="0"/>
              <w:autoSpaceDN w:val="0"/>
              <w:bidi w:val="0"/>
              <w:adjustRightInd w:val="0"/>
              <w:snapToGrid w:val="0"/>
              <w:spacing w:line="360" w:lineRule="auto"/>
              <w:ind w:firstLine="420" w:firstLineChars="200"/>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Lp(r0)——参考位置r0处的A声级，dB；</w:t>
            </w:r>
          </w:p>
          <w:p w14:paraId="08F7E6DD">
            <w:pPr>
              <w:keepNext w:val="0"/>
              <w:keepLines w:val="0"/>
              <w:pageBreakBefore w:val="0"/>
              <w:widowControl w:val="0"/>
              <w:wordWrap/>
              <w:overflowPunct/>
              <w:topLinePunct w:val="0"/>
              <w:autoSpaceDE w:val="0"/>
              <w:autoSpaceDN w:val="0"/>
              <w:bidi w:val="0"/>
              <w:adjustRightInd w:val="0"/>
              <w:snapToGrid w:val="0"/>
              <w:spacing w:line="360" w:lineRule="auto"/>
              <w:ind w:firstLine="420" w:firstLineChars="200"/>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Adiv——声波几何发散引起的A声级衰减量，dB，Adiv=20lg(r/r0)；</w:t>
            </w:r>
          </w:p>
          <w:p w14:paraId="1EB6B435">
            <w:pPr>
              <w:keepNext w:val="0"/>
              <w:keepLines w:val="0"/>
              <w:pageBreakBefore w:val="0"/>
              <w:widowControl w:val="0"/>
              <w:wordWrap/>
              <w:overflowPunct/>
              <w:topLinePunct w:val="0"/>
              <w:autoSpaceDE w:val="0"/>
              <w:autoSpaceDN w:val="0"/>
              <w:bidi w:val="0"/>
              <w:adjustRightInd w:val="0"/>
              <w:snapToGrid w:val="0"/>
              <w:spacing w:line="360" w:lineRule="auto"/>
              <w:ind w:firstLine="420" w:firstLineChars="200"/>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Abar——遮挡物引起的A声级衰减量dB；</w:t>
            </w:r>
          </w:p>
          <w:p w14:paraId="7400A0FE">
            <w:pPr>
              <w:keepNext w:val="0"/>
              <w:keepLines w:val="0"/>
              <w:pageBreakBefore w:val="0"/>
              <w:widowControl w:val="0"/>
              <w:wordWrap/>
              <w:overflowPunct/>
              <w:topLinePunct w:val="0"/>
              <w:autoSpaceDE w:val="0"/>
              <w:autoSpaceDN w:val="0"/>
              <w:bidi w:val="0"/>
              <w:adjustRightInd w:val="0"/>
              <w:snapToGrid w:val="0"/>
              <w:spacing w:line="360" w:lineRule="auto"/>
              <w:ind w:firstLine="420" w:firstLineChars="200"/>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Aatm——空气吸收引起的A声级衰减量dB；</w:t>
            </w:r>
          </w:p>
          <w:p w14:paraId="55C4C5BB">
            <w:pPr>
              <w:keepNext w:val="0"/>
              <w:keepLines w:val="0"/>
              <w:pageBreakBefore w:val="0"/>
              <w:widowControl w:val="0"/>
              <w:wordWrap/>
              <w:overflowPunct/>
              <w:topLinePunct w:val="0"/>
              <w:autoSpaceDE w:val="0"/>
              <w:autoSpaceDN w:val="0"/>
              <w:bidi w:val="0"/>
              <w:adjustRightInd w:val="0"/>
              <w:snapToGrid w:val="0"/>
              <w:spacing w:line="360" w:lineRule="auto"/>
              <w:ind w:firstLine="420" w:firstLineChars="200"/>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Agr——地面效应引起的倍频带衰减量dB；</w:t>
            </w:r>
          </w:p>
          <w:p w14:paraId="0B8B2044">
            <w:pPr>
              <w:keepNext w:val="0"/>
              <w:keepLines w:val="0"/>
              <w:pageBreakBefore w:val="0"/>
              <w:widowControl w:val="0"/>
              <w:wordWrap/>
              <w:overflowPunct/>
              <w:topLinePunct w:val="0"/>
              <w:autoSpaceDE w:val="0"/>
              <w:autoSpaceDN w:val="0"/>
              <w:bidi w:val="0"/>
              <w:adjustRightInd w:val="0"/>
              <w:snapToGrid w:val="0"/>
              <w:spacing w:line="360" w:lineRule="auto"/>
              <w:ind w:firstLine="420" w:firstLineChars="200"/>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Aexc——附加A声级衰减量dB，Aexc=5lg(r-r0)。</w:t>
            </w:r>
          </w:p>
          <w:p w14:paraId="7D55B56F">
            <w:pPr>
              <w:keepNext w:val="0"/>
              <w:keepLines w:val="0"/>
              <w:pageBreakBefore w:val="0"/>
              <w:widowControl w:val="0"/>
              <w:wordWrap/>
              <w:overflowPunct/>
              <w:topLinePunct w:val="0"/>
              <w:autoSpaceDE w:val="0"/>
              <w:autoSpaceDN w:val="0"/>
              <w:bidi w:val="0"/>
              <w:adjustRightInd w:val="0"/>
              <w:snapToGrid w:val="0"/>
              <w:spacing w:line="360" w:lineRule="auto"/>
              <w:ind w:firstLine="420" w:firstLineChars="200"/>
              <w:textAlignment w:val="baseline"/>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多个声源发出的噪声在同一受声点的共同影响，其公式为：</w:t>
            </w:r>
          </w:p>
          <w:p w14:paraId="121253E7">
            <w:pPr>
              <w:keepNext w:val="0"/>
              <w:keepLines w:val="0"/>
              <w:pageBreakBefore w:val="0"/>
              <w:widowControl w:val="0"/>
              <w:wordWrap/>
              <w:overflowPunct/>
              <w:topLinePunct w:val="0"/>
              <w:autoSpaceDE w:val="0"/>
              <w:autoSpaceDN w:val="0"/>
              <w:bidi w:val="0"/>
              <w:adjustRightInd w:val="0"/>
              <w:snapToGrid w:val="0"/>
              <w:spacing w:line="360" w:lineRule="auto"/>
              <w:ind w:firstLine="420" w:firstLineChars="200"/>
              <w:textAlignment w:val="baseline"/>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其中：Lp——预测点处的声级叠加值，dB(A)；</w:t>
            </w:r>
          </w:p>
          <w:p w14:paraId="18B00C87">
            <w:pPr>
              <w:keepNext w:val="0"/>
              <w:keepLines w:val="0"/>
              <w:pageBreakBefore w:val="0"/>
              <w:widowControl w:val="0"/>
              <w:wordWrap/>
              <w:overflowPunct/>
              <w:topLinePunct w:val="0"/>
              <w:autoSpaceDE w:val="0"/>
              <w:autoSpaceDN w:val="0"/>
              <w:bidi w:val="0"/>
              <w:adjustRightInd w:val="0"/>
              <w:snapToGrid w:val="0"/>
              <w:spacing w:line="360" w:lineRule="auto"/>
              <w:ind w:firstLine="420" w:firstLineChars="200"/>
              <w:textAlignment w:val="baseline"/>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 xml:space="preserve">      n——噪声源个数。</w:t>
            </w:r>
          </w:p>
          <w:p w14:paraId="675B9593">
            <w:pPr>
              <w:keepNext w:val="0"/>
              <w:keepLines w:val="0"/>
              <w:pageBreakBefore w:val="0"/>
              <w:widowControl w:val="0"/>
              <w:wordWrap/>
              <w:overflowPunct/>
              <w:topLinePunct w:val="0"/>
              <w:autoSpaceDE w:val="0"/>
              <w:autoSpaceDN w:val="0"/>
              <w:bidi w:val="0"/>
              <w:adjustRightInd w:val="0"/>
              <w:snapToGrid w:val="0"/>
              <w:spacing w:line="360" w:lineRule="auto"/>
              <w:ind w:firstLine="420" w:firstLineChars="200"/>
              <w:textAlignment w:val="baseline"/>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参数确定：</w:t>
            </w:r>
          </w:p>
          <w:p w14:paraId="603DC132">
            <w:pPr>
              <w:keepNext w:val="0"/>
              <w:keepLines w:val="0"/>
              <w:pageBreakBefore w:val="0"/>
              <w:widowControl w:val="0"/>
              <w:wordWrap/>
              <w:overflowPunct/>
              <w:topLinePunct w:val="0"/>
              <w:autoSpaceDE w:val="0"/>
              <w:autoSpaceDN w:val="0"/>
              <w:bidi w:val="0"/>
              <w:adjustRightInd w:val="0"/>
              <w:snapToGrid w:val="0"/>
              <w:spacing w:line="360" w:lineRule="auto"/>
              <w:ind w:firstLine="420" w:firstLineChars="200"/>
              <w:textAlignment w:val="baseline"/>
              <w:rPr>
                <w:rFonts w:hint="default" w:ascii="Times New Roman" w:hAnsi="Times New Roman" w:eastAsia="宋体" w:cs="Times New Roman"/>
                <w:bCs/>
                <w:color w:val="auto"/>
                <w:sz w:val="21"/>
                <w:szCs w:val="21"/>
                <w:vertAlign w:val="subscript"/>
              </w:rPr>
            </w:pPr>
            <w:r>
              <w:rPr>
                <w:rFonts w:hint="default" w:ascii="Times New Roman" w:hAnsi="Times New Roman" w:eastAsia="宋体" w:cs="Times New Roman"/>
                <w:color w:val="auto"/>
                <w:sz w:val="21"/>
                <w:szCs w:val="21"/>
              </w:rPr>
              <w:drawing>
                <wp:anchor distT="0" distB="0" distL="114300" distR="114300" simplePos="0" relativeHeight="251661312" behindDoc="0" locked="0" layoutInCell="1" allowOverlap="1">
                  <wp:simplePos x="0" y="0"/>
                  <wp:positionH relativeFrom="column">
                    <wp:posOffset>1536700</wp:posOffset>
                  </wp:positionH>
                  <wp:positionV relativeFrom="paragraph">
                    <wp:posOffset>187325</wp:posOffset>
                  </wp:positionV>
                  <wp:extent cx="390525" cy="428625"/>
                  <wp:effectExtent l="0" t="0" r="9525" b="7620"/>
                  <wp:wrapNone/>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pic:cNvPicPr>
                        </pic:nvPicPr>
                        <pic:blipFill>
                          <a:blip r:embed="rId28"/>
                          <a:stretch>
                            <a:fillRect/>
                          </a:stretch>
                        </pic:blipFill>
                        <pic:spPr>
                          <a:xfrm>
                            <a:off x="0" y="0"/>
                            <a:ext cx="390525" cy="428625"/>
                          </a:xfrm>
                          <a:prstGeom prst="rect">
                            <a:avLst/>
                          </a:prstGeom>
                          <a:noFill/>
                          <a:ln>
                            <a:noFill/>
                          </a:ln>
                        </pic:spPr>
                      </pic:pic>
                    </a:graphicData>
                  </a:graphic>
                </wp:anchor>
              </w:drawing>
            </w:r>
            <w:r>
              <w:rPr>
                <w:rFonts w:hint="default" w:ascii="Times New Roman" w:hAnsi="Times New Roman" w:eastAsia="宋体" w:cs="Times New Roman"/>
                <w:bCs/>
                <w:color w:val="auto"/>
                <w:sz w:val="21"/>
                <w:szCs w:val="21"/>
              </w:rPr>
              <w:t>a. A</w:t>
            </w:r>
            <w:r>
              <w:rPr>
                <w:rFonts w:hint="default" w:ascii="Times New Roman" w:hAnsi="Times New Roman" w:eastAsia="宋体" w:cs="Times New Roman"/>
                <w:bCs/>
                <w:color w:val="auto"/>
                <w:sz w:val="21"/>
                <w:szCs w:val="21"/>
                <w:vertAlign w:val="subscript"/>
              </w:rPr>
              <w:t>div</w:t>
            </w:r>
          </w:p>
          <w:p w14:paraId="188C2A51">
            <w:pPr>
              <w:keepNext w:val="0"/>
              <w:keepLines w:val="0"/>
              <w:pageBreakBefore w:val="0"/>
              <w:widowControl w:val="0"/>
              <w:wordWrap/>
              <w:overflowPunct/>
              <w:topLinePunct w:val="0"/>
              <w:autoSpaceDE w:val="0"/>
              <w:autoSpaceDN w:val="0"/>
              <w:bidi w:val="0"/>
              <w:adjustRightInd w:val="0"/>
              <w:snapToGrid w:val="0"/>
              <w:spacing w:line="360" w:lineRule="auto"/>
              <w:ind w:firstLine="420" w:firstLineChars="200"/>
              <w:textAlignment w:val="baseline"/>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对点声源   A</w:t>
            </w:r>
            <w:r>
              <w:rPr>
                <w:rFonts w:hint="default" w:ascii="Times New Roman" w:hAnsi="Times New Roman" w:eastAsia="宋体" w:cs="Times New Roman"/>
                <w:bCs/>
                <w:color w:val="auto"/>
                <w:sz w:val="21"/>
                <w:szCs w:val="21"/>
                <w:vertAlign w:val="subscript"/>
              </w:rPr>
              <w:t>div</w:t>
            </w:r>
            <w:r>
              <w:rPr>
                <w:rFonts w:hint="default" w:ascii="Times New Roman" w:hAnsi="Times New Roman" w:eastAsia="宋体" w:cs="Times New Roman"/>
                <w:bCs/>
                <w:color w:val="auto"/>
                <w:sz w:val="21"/>
                <w:szCs w:val="21"/>
              </w:rPr>
              <w:t xml:space="preserve"> = 20</w:t>
            </w:r>
          </w:p>
          <w:p w14:paraId="6B9A1622">
            <w:pPr>
              <w:keepNext w:val="0"/>
              <w:keepLines w:val="0"/>
              <w:pageBreakBefore w:val="0"/>
              <w:widowControl w:val="0"/>
              <w:wordWrap/>
              <w:overflowPunct/>
              <w:topLinePunct w:val="0"/>
              <w:autoSpaceDE w:val="0"/>
              <w:autoSpaceDN w:val="0"/>
              <w:bidi w:val="0"/>
              <w:adjustRightInd w:val="0"/>
              <w:snapToGrid w:val="0"/>
              <w:spacing w:line="360" w:lineRule="auto"/>
              <w:ind w:firstLine="420" w:firstLineChars="200"/>
              <w:textAlignment w:val="baseline"/>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 xml:space="preserve">    </w:t>
            </w:r>
          </w:p>
          <w:p w14:paraId="14BE789A">
            <w:pPr>
              <w:keepNext w:val="0"/>
              <w:keepLines w:val="0"/>
              <w:pageBreakBefore w:val="0"/>
              <w:widowControl w:val="0"/>
              <w:wordWrap/>
              <w:overflowPunct/>
              <w:topLinePunct w:val="0"/>
              <w:autoSpaceDE w:val="0"/>
              <w:autoSpaceDN w:val="0"/>
              <w:bidi w:val="0"/>
              <w:adjustRightInd w:val="0"/>
              <w:snapToGrid w:val="0"/>
              <w:spacing w:line="360" w:lineRule="auto"/>
              <w:ind w:firstLine="420" w:firstLineChars="200"/>
              <w:textAlignment w:val="baseline"/>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式中： r—声源到预测点的距离，m；</w:t>
            </w:r>
          </w:p>
          <w:p w14:paraId="13BACE7C">
            <w:pPr>
              <w:keepNext w:val="0"/>
              <w:keepLines w:val="0"/>
              <w:pageBreakBefore w:val="0"/>
              <w:widowControl w:val="0"/>
              <w:wordWrap/>
              <w:overflowPunct/>
              <w:topLinePunct w:val="0"/>
              <w:autoSpaceDE w:val="0"/>
              <w:autoSpaceDN w:val="0"/>
              <w:bidi w:val="0"/>
              <w:adjustRightInd w:val="0"/>
              <w:snapToGrid w:val="0"/>
              <w:spacing w:line="360" w:lineRule="auto"/>
              <w:ind w:firstLine="420" w:firstLineChars="200"/>
              <w:textAlignment w:val="baseline"/>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 xml:space="preserve">       r</w:t>
            </w:r>
            <w:r>
              <w:rPr>
                <w:rFonts w:hint="default" w:ascii="Times New Roman" w:hAnsi="Times New Roman" w:eastAsia="宋体" w:cs="Times New Roman"/>
                <w:bCs/>
                <w:color w:val="auto"/>
                <w:sz w:val="21"/>
                <w:szCs w:val="21"/>
                <w:vertAlign w:val="subscript"/>
              </w:rPr>
              <w:t>0</w:t>
            </w:r>
            <w:r>
              <w:rPr>
                <w:rFonts w:hint="default" w:ascii="Times New Roman" w:hAnsi="Times New Roman" w:eastAsia="宋体" w:cs="Times New Roman"/>
                <w:bCs/>
                <w:color w:val="auto"/>
                <w:sz w:val="21"/>
                <w:szCs w:val="21"/>
              </w:rPr>
              <w:t>—声源到参考点的距离，m。</w:t>
            </w:r>
          </w:p>
          <w:p w14:paraId="4A0F2C25">
            <w:pPr>
              <w:keepNext w:val="0"/>
              <w:keepLines w:val="0"/>
              <w:pageBreakBefore w:val="0"/>
              <w:widowControl w:val="0"/>
              <w:wordWrap/>
              <w:overflowPunct/>
              <w:topLinePunct w:val="0"/>
              <w:autoSpaceDE w:val="0"/>
              <w:autoSpaceDN w:val="0"/>
              <w:bidi w:val="0"/>
              <w:adjustRightInd w:val="0"/>
              <w:snapToGrid w:val="0"/>
              <w:spacing w:line="360" w:lineRule="auto"/>
              <w:ind w:firstLine="420" w:firstLineChars="200"/>
              <w:textAlignment w:val="baseline"/>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b. A</w:t>
            </w:r>
            <w:r>
              <w:rPr>
                <w:rFonts w:hint="default" w:ascii="Times New Roman" w:hAnsi="Times New Roman" w:eastAsia="宋体" w:cs="Times New Roman"/>
                <w:bCs/>
                <w:color w:val="auto"/>
                <w:sz w:val="21"/>
                <w:szCs w:val="21"/>
                <w:vertAlign w:val="subscript"/>
              </w:rPr>
              <w:t>atm</w:t>
            </w:r>
          </w:p>
          <w:p w14:paraId="13547A16">
            <w:pPr>
              <w:keepNext w:val="0"/>
              <w:keepLines w:val="0"/>
              <w:pageBreakBefore w:val="0"/>
              <w:widowControl/>
              <w:wordWrap/>
              <w:overflowPunct/>
              <w:topLinePunct w:val="0"/>
              <w:autoSpaceDE w:val="0"/>
              <w:autoSpaceDN w:val="0"/>
              <w:bidi w:val="0"/>
              <w:adjustRightInd w:val="0"/>
              <w:snapToGrid w:val="0"/>
              <w:spacing w:line="360" w:lineRule="auto"/>
              <w:ind w:firstLine="420" w:firstLineChars="200"/>
              <w:jc w:val="center"/>
              <w:textAlignment w:val="baseline"/>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drawing>
                <wp:inline distT="0" distB="0" distL="114300" distR="114300">
                  <wp:extent cx="1009650" cy="397510"/>
                  <wp:effectExtent l="0" t="0" r="0" b="2540"/>
                  <wp:docPr id="74" name="图片 41" descr="E:\韩晓龙\MobileFile\471847002\Image\C2C\9}A$]GUJ}L%HV}UNZ7TTVH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41" descr="E:\韩晓龙\MobileFile\471847002\Image\C2C\9}A$]GUJ}L%HV}UNZ7TTVHE.png"/>
                          <pic:cNvPicPr>
                            <a:picLocks noChangeAspect="1"/>
                          </pic:cNvPicPr>
                        </pic:nvPicPr>
                        <pic:blipFill>
                          <a:blip r:embed="rId29"/>
                          <a:stretch>
                            <a:fillRect/>
                          </a:stretch>
                        </pic:blipFill>
                        <pic:spPr>
                          <a:xfrm>
                            <a:off x="0" y="0"/>
                            <a:ext cx="1009650" cy="397510"/>
                          </a:xfrm>
                          <a:prstGeom prst="rect">
                            <a:avLst/>
                          </a:prstGeom>
                          <a:noFill/>
                          <a:ln>
                            <a:noFill/>
                          </a:ln>
                        </pic:spPr>
                      </pic:pic>
                    </a:graphicData>
                  </a:graphic>
                </wp:inline>
              </w:drawing>
            </w:r>
          </w:p>
          <w:p w14:paraId="7C1528E1">
            <w:pPr>
              <w:keepNext w:val="0"/>
              <w:keepLines w:val="0"/>
              <w:pageBreakBefore w:val="0"/>
              <w:widowControl w:val="0"/>
              <w:wordWrap/>
              <w:overflowPunct/>
              <w:topLinePunct w:val="0"/>
              <w:autoSpaceDE w:val="0"/>
              <w:autoSpaceDN w:val="0"/>
              <w:bidi w:val="0"/>
              <w:adjustRightInd w:val="0"/>
              <w:snapToGrid w:val="0"/>
              <w:spacing w:line="360" w:lineRule="auto"/>
              <w:ind w:firstLine="420" w:firstLineChars="200"/>
              <w:textAlignment w:val="baseline"/>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其中，a为空气吸声系数，其随频率的增大而增大。该厂噪声以中低频为主，空气吸收性衰减很小，预测时可忽略不计。</w:t>
            </w:r>
          </w:p>
          <w:p w14:paraId="0BF62AD1">
            <w:pPr>
              <w:keepNext w:val="0"/>
              <w:keepLines w:val="0"/>
              <w:pageBreakBefore w:val="0"/>
              <w:widowControl w:val="0"/>
              <w:wordWrap/>
              <w:overflowPunct/>
              <w:topLinePunct w:val="0"/>
              <w:autoSpaceDE w:val="0"/>
              <w:autoSpaceDN w:val="0"/>
              <w:bidi w:val="0"/>
              <w:adjustRightInd w:val="0"/>
              <w:snapToGrid w:val="0"/>
              <w:spacing w:line="360" w:lineRule="auto"/>
              <w:ind w:firstLine="420" w:firstLineChars="200"/>
              <w:textAlignment w:val="baseline"/>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c. A</w:t>
            </w:r>
            <w:r>
              <w:rPr>
                <w:rFonts w:hint="default" w:ascii="Times New Roman" w:hAnsi="Times New Roman" w:eastAsia="宋体" w:cs="Times New Roman"/>
                <w:bCs/>
                <w:color w:val="auto"/>
                <w:sz w:val="21"/>
                <w:szCs w:val="21"/>
                <w:vertAlign w:val="subscript"/>
              </w:rPr>
              <w:t>bar</w:t>
            </w:r>
          </w:p>
          <w:p w14:paraId="03DBD8A0">
            <w:pPr>
              <w:keepNext w:val="0"/>
              <w:keepLines w:val="0"/>
              <w:pageBreakBefore w:val="0"/>
              <w:widowControl w:val="0"/>
              <w:wordWrap/>
              <w:overflowPunct/>
              <w:topLinePunct w:val="0"/>
              <w:autoSpaceDE w:val="0"/>
              <w:autoSpaceDN w:val="0"/>
              <w:bidi w:val="0"/>
              <w:adjustRightInd w:val="0"/>
              <w:snapToGrid w:val="0"/>
              <w:spacing w:line="360" w:lineRule="auto"/>
              <w:ind w:firstLine="420" w:firstLineChars="200"/>
              <w:textAlignment w:val="baseline"/>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由于主要噪声设备均置于厂房内，噪声在向外传播过程中将受到厂房或其他车间的阻挡影响，从而引起声能量的衰减，具体衰减依据声级的不同传播途径而定。</w:t>
            </w:r>
          </w:p>
          <w:p w14:paraId="22AD7B6C">
            <w:pPr>
              <w:keepNext w:val="0"/>
              <w:keepLines w:val="0"/>
              <w:pageBreakBefore w:val="0"/>
              <w:widowControl w:val="0"/>
              <w:wordWrap/>
              <w:overflowPunct/>
              <w:topLinePunct w:val="0"/>
              <w:autoSpaceDE w:val="0"/>
              <w:autoSpaceDN w:val="0"/>
              <w:bidi w:val="0"/>
              <w:adjustRightInd w:val="0"/>
              <w:snapToGrid w:val="0"/>
              <w:spacing w:line="360" w:lineRule="auto"/>
              <w:ind w:firstLine="420" w:firstLineChars="200"/>
              <w:textAlignment w:val="baseline"/>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d.A</w:t>
            </w:r>
            <w:r>
              <w:rPr>
                <w:rFonts w:hint="default" w:ascii="Times New Roman" w:hAnsi="Times New Roman" w:eastAsia="宋体" w:cs="Times New Roman"/>
                <w:bCs/>
                <w:color w:val="auto"/>
                <w:sz w:val="21"/>
                <w:szCs w:val="21"/>
                <w:vertAlign w:val="subscript"/>
                <w:lang w:val="en-US" w:eastAsia="zh-CN"/>
              </w:rPr>
              <w:t>mis</w:t>
            </w:r>
            <w:r>
              <w:rPr>
                <w:rFonts w:hint="default" w:ascii="Times New Roman" w:hAnsi="Times New Roman" w:eastAsia="宋体" w:cs="Times New Roman"/>
                <w:bCs/>
                <w:color w:val="auto"/>
                <w:sz w:val="21"/>
                <w:szCs w:val="21"/>
                <w:vertAlign w:val="subscript"/>
              </w:rPr>
              <w:t>c</w:t>
            </w:r>
          </w:p>
          <w:p w14:paraId="51397B28">
            <w:pPr>
              <w:pStyle w:val="32"/>
              <w:keepNext w:val="0"/>
              <w:keepLines w:val="0"/>
              <w:pageBreakBefore w:val="0"/>
              <w:widowControl w:val="0"/>
              <w:kinsoku/>
              <w:wordWrap/>
              <w:overflowPunct/>
              <w:topLinePunct w:val="0"/>
              <w:autoSpaceDE w:val="0"/>
              <w:autoSpaceDN w:val="0"/>
              <w:bidi w:val="0"/>
              <w:adjustRightInd w:val="0"/>
              <w:snapToGrid w:val="0"/>
              <w:spacing w:line="360" w:lineRule="auto"/>
              <w:ind w:firstLine="420" w:firstLineChars="200"/>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bCs/>
                <w:color w:val="auto"/>
                <w:sz w:val="21"/>
                <w:szCs w:val="21"/>
              </w:rPr>
              <w:t>主要考虑地面效应引起的附加衰减量，根据本工程厂区布置和噪声源强及外环境状况确定，取0～10dB(A)</w:t>
            </w:r>
            <w:r>
              <w:rPr>
                <w:rFonts w:hint="default" w:ascii="Times New Roman" w:hAnsi="Times New Roman" w:eastAsia="宋体" w:cs="Times New Roman"/>
                <w:color w:val="auto"/>
                <w:sz w:val="21"/>
                <w:szCs w:val="21"/>
                <w:lang w:val="en-US" w:eastAsia="zh-CN"/>
              </w:rPr>
              <w:t>。</w:t>
            </w:r>
          </w:p>
          <w:p w14:paraId="5D356E54">
            <w:pPr>
              <w:pStyle w:val="32"/>
              <w:keepNext w:val="0"/>
              <w:keepLines w:val="0"/>
              <w:pageBreakBefore w:val="0"/>
              <w:widowControl w:val="0"/>
              <w:kinsoku/>
              <w:wordWrap/>
              <w:overflowPunct/>
              <w:topLinePunct w:val="0"/>
              <w:autoSpaceDE w:val="0"/>
              <w:autoSpaceDN w:val="0"/>
              <w:bidi w:val="0"/>
              <w:adjustRightInd w:val="0"/>
              <w:snapToGrid w:val="0"/>
              <w:spacing w:line="360" w:lineRule="auto"/>
              <w:ind w:firstLine="420" w:firstLineChars="200"/>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（4）预测结果及评价</w:t>
            </w:r>
          </w:p>
          <w:p w14:paraId="3A45117A">
            <w:pPr>
              <w:pStyle w:val="32"/>
              <w:keepNext w:val="0"/>
              <w:keepLines w:val="0"/>
              <w:pageBreakBefore w:val="0"/>
              <w:widowControl w:val="0"/>
              <w:kinsoku/>
              <w:wordWrap/>
              <w:overflowPunct/>
              <w:topLinePunct w:val="0"/>
              <w:autoSpaceDE w:val="0"/>
              <w:autoSpaceDN w:val="0"/>
              <w:bidi w:val="0"/>
              <w:adjustRightInd w:val="0"/>
              <w:snapToGrid w:val="0"/>
              <w:spacing w:line="360" w:lineRule="auto"/>
              <w:ind w:firstLine="420" w:firstLineChars="200"/>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根据本项目主要噪声设备的位置，利用以上预测模式和参数计算确定了</w:t>
            </w:r>
            <w:r>
              <w:rPr>
                <w:rFonts w:hint="default" w:ascii="Times New Roman" w:hAnsi="Times New Roman" w:eastAsia="宋体" w:cs="Times New Roman"/>
                <w:i w:val="0"/>
                <w:iCs w:val="0"/>
                <w:color w:val="auto"/>
                <w:sz w:val="21"/>
                <w:szCs w:val="21"/>
                <w:u w:val="none"/>
                <w:lang w:val="en-US" w:eastAsia="zh-CN"/>
              </w:rPr>
              <w:t>生产车间与各厂界的距离情况，见下表。</w:t>
            </w:r>
          </w:p>
          <w:p w14:paraId="484DC685">
            <w:pPr>
              <w:pStyle w:val="32"/>
              <w:keepNext w:val="0"/>
              <w:keepLines w:val="0"/>
              <w:pageBreakBefore w:val="0"/>
              <w:widowControl w:val="0"/>
              <w:kinsoku/>
              <w:wordWrap/>
              <w:overflowPunct/>
              <w:topLinePunct w:val="0"/>
              <w:autoSpaceDE w:val="0"/>
              <w:autoSpaceDN w:val="0"/>
              <w:bidi w:val="0"/>
              <w:adjustRightInd w:val="0"/>
              <w:snapToGrid w:val="0"/>
              <w:spacing w:line="360" w:lineRule="auto"/>
              <w:ind w:left="0" w:leftChars="0" w:right="0" w:rightChars="0" w:firstLine="0" w:firstLineChars="0"/>
              <w:jc w:val="center"/>
              <w:textAlignment w:val="baseline"/>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表4-8 主要噪声源距离厂界距离一览表</w:t>
            </w:r>
          </w:p>
          <w:tbl>
            <w:tblPr>
              <w:tblStyle w:val="14"/>
              <w:tblW w:w="4998"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2084"/>
              <w:gridCol w:w="1393"/>
              <w:gridCol w:w="1393"/>
              <w:gridCol w:w="1393"/>
              <w:gridCol w:w="1396"/>
            </w:tblGrid>
            <w:tr w14:paraId="2A8936A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1361"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DA9C7D1">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snapToGrid w:val="0"/>
                      <w:color w:val="auto"/>
                      <w:kern w:val="0"/>
                      <w:sz w:val="21"/>
                      <w:szCs w:val="21"/>
                      <w:u w:val="none"/>
                      <w:lang w:val="en-US" w:eastAsia="zh-CN" w:bidi="ar"/>
                    </w:rPr>
                    <w:t>噪声源</w:t>
                  </w:r>
                </w:p>
              </w:tc>
              <w:tc>
                <w:tcPr>
                  <w:tcW w:w="3638" w:type="pct"/>
                  <w:gridSpan w:val="4"/>
                  <w:tcBorders>
                    <w:top w:val="single" w:color="000000" w:sz="4" w:space="0"/>
                    <w:left w:val="single" w:color="000000" w:sz="4" w:space="0"/>
                    <w:bottom w:val="single" w:color="000000" w:sz="4" w:space="0"/>
                    <w:right w:val="single" w:color="000000" w:sz="4" w:space="0"/>
                  </w:tcBorders>
                  <w:shd w:val="clear" w:color="auto" w:fill="auto"/>
                  <w:vAlign w:val="center"/>
                </w:tcPr>
                <w:p w14:paraId="5249042C">
                  <w:pPr>
                    <w:keepNext w:val="0"/>
                    <w:keepLines w:val="0"/>
                    <w:widowControl/>
                    <w:suppressLineNumbers w:val="0"/>
                    <w:jc w:val="center"/>
                    <w:textAlignment w:val="center"/>
                    <w:rPr>
                      <w:rFonts w:hint="default" w:ascii="Times New Roman" w:hAnsi="Times New Roman" w:eastAsia="宋体" w:cs="Times New Roman"/>
                      <w:b/>
                      <w:bCs/>
                      <w:i w:val="0"/>
                      <w:iCs w:val="0"/>
                      <w:color w:val="auto"/>
                      <w:sz w:val="21"/>
                      <w:szCs w:val="21"/>
                      <w:u w:val="none"/>
                    </w:rPr>
                  </w:pPr>
                  <w:r>
                    <w:rPr>
                      <w:rFonts w:hint="default" w:ascii="Times New Roman" w:hAnsi="Times New Roman" w:eastAsia="宋体" w:cs="Times New Roman"/>
                      <w:b/>
                      <w:bCs/>
                      <w:i w:val="0"/>
                      <w:iCs w:val="0"/>
                      <w:snapToGrid w:val="0"/>
                      <w:color w:val="auto"/>
                      <w:kern w:val="0"/>
                      <w:sz w:val="21"/>
                      <w:szCs w:val="21"/>
                      <w:u w:val="none"/>
                      <w:lang w:val="en-US" w:eastAsia="zh-CN" w:bidi="ar"/>
                    </w:rPr>
                    <w:t>与厂界距离（m）</w:t>
                  </w:r>
                </w:p>
              </w:tc>
            </w:tr>
            <w:tr w14:paraId="61719AB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atLeast"/>
                <w:jc w:val="center"/>
              </w:trPr>
              <w:tc>
                <w:tcPr>
                  <w:tcW w:w="136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9577CCE">
                  <w:pPr>
                    <w:jc w:val="center"/>
                    <w:rPr>
                      <w:rFonts w:hint="default" w:ascii="Times New Roman" w:hAnsi="Times New Roman" w:eastAsia="宋体" w:cs="Times New Roman"/>
                      <w:i w:val="0"/>
                      <w:iCs w:val="0"/>
                      <w:color w:val="auto"/>
                      <w:sz w:val="21"/>
                      <w:szCs w:val="21"/>
                      <w:u w:val="none"/>
                    </w:rPr>
                  </w:pPr>
                </w:p>
              </w:tc>
              <w:tc>
                <w:tcPr>
                  <w:tcW w:w="9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394E88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snapToGrid w:val="0"/>
                      <w:color w:val="auto"/>
                      <w:kern w:val="0"/>
                      <w:sz w:val="21"/>
                      <w:szCs w:val="21"/>
                      <w:u w:val="none"/>
                      <w:lang w:val="en-US" w:eastAsia="zh-CN" w:bidi="ar"/>
                    </w:rPr>
                    <w:t>东厂界</w:t>
                  </w:r>
                </w:p>
              </w:tc>
              <w:tc>
                <w:tcPr>
                  <w:tcW w:w="9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183A98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snapToGrid w:val="0"/>
                      <w:color w:val="auto"/>
                      <w:kern w:val="0"/>
                      <w:sz w:val="21"/>
                      <w:szCs w:val="21"/>
                      <w:u w:val="none"/>
                      <w:lang w:val="en-US" w:eastAsia="zh-CN" w:bidi="ar"/>
                    </w:rPr>
                    <w:t>南厂界</w:t>
                  </w:r>
                </w:p>
              </w:tc>
              <w:tc>
                <w:tcPr>
                  <w:tcW w:w="9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134A82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snapToGrid w:val="0"/>
                      <w:color w:val="auto"/>
                      <w:kern w:val="0"/>
                      <w:sz w:val="21"/>
                      <w:szCs w:val="21"/>
                      <w:u w:val="none"/>
                      <w:lang w:val="en-US" w:eastAsia="zh-CN" w:bidi="ar"/>
                    </w:rPr>
                    <w:t>西厂界</w:t>
                  </w:r>
                </w:p>
              </w:tc>
              <w:tc>
                <w:tcPr>
                  <w:tcW w:w="9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9F6596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snapToGrid w:val="0"/>
                      <w:color w:val="auto"/>
                      <w:kern w:val="0"/>
                      <w:sz w:val="21"/>
                      <w:szCs w:val="21"/>
                      <w:u w:val="none"/>
                      <w:lang w:val="en-US" w:eastAsia="zh-CN" w:bidi="ar"/>
                    </w:rPr>
                    <w:t>北厂界</w:t>
                  </w:r>
                </w:p>
              </w:tc>
            </w:tr>
            <w:tr w14:paraId="6D60D0B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jc w:val="center"/>
              </w:trPr>
              <w:tc>
                <w:tcPr>
                  <w:tcW w:w="136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F7F065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lang w:val="en-US" w:eastAsia="zh-CN"/>
                    </w:rPr>
                  </w:pPr>
                  <w:r>
                    <w:rPr>
                      <w:rFonts w:hint="default" w:ascii="Times New Roman" w:hAnsi="Times New Roman" w:eastAsia="宋体" w:cs="Times New Roman"/>
                      <w:i w:val="0"/>
                      <w:iCs w:val="0"/>
                      <w:color w:val="auto"/>
                      <w:sz w:val="21"/>
                      <w:szCs w:val="21"/>
                      <w:u w:val="none"/>
                      <w:lang w:val="en-US" w:eastAsia="zh-CN"/>
                    </w:rPr>
                    <w:t>生产车间</w:t>
                  </w:r>
                </w:p>
              </w:tc>
              <w:tc>
                <w:tcPr>
                  <w:tcW w:w="9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CCC59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lang w:val="en-US"/>
                    </w:rPr>
                  </w:pPr>
                  <w:r>
                    <w:rPr>
                      <w:rFonts w:hint="default" w:ascii="Times New Roman" w:hAnsi="Times New Roman" w:eastAsia="宋体" w:cs="Times New Roman"/>
                      <w:i w:val="0"/>
                      <w:iCs w:val="0"/>
                      <w:snapToGrid w:val="0"/>
                      <w:color w:val="auto"/>
                      <w:kern w:val="0"/>
                      <w:sz w:val="21"/>
                      <w:szCs w:val="21"/>
                      <w:u w:val="none"/>
                      <w:lang w:val="en-US" w:eastAsia="zh-CN" w:bidi="ar"/>
                    </w:rPr>
                    <w:t>20</w:t>
                  </w:r>
                </w:p>
              </w:tc>
              <w:tc>
                <w:tcPr>
                  <w:tcW w:w="9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ED8103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snapToGrid w:val="0"/>
                      <w:color w:val="auto"/>
                      <w:kern w:val="0"/>
                      <w:sz w:val="21"/>
                      <w:szCs w:val="21"/>
                      <w:u w:val="none"/>
                      <w:lang w:val="en-US" w:eastAsia="zh-CN" w:bidi="ar"/>
                    </w:rPr>
                    <w:t>5</w:t>
                  </w:r>
                </w:p>
              </w:tc>
              <w:tc>
                <w:tcPr>
                  <w:tcW w:w="9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CDB632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snapToGrid w:val="0"/>
                      <w:color w:val="auto"/>
                      <w:kern w:val="0"/>
                      <w:sz w:val="21"/>
                      <w:szCs w:val="21"/>
                      <w:u w:val="none"/>
                      <w:lang w:val="en-US" w:eastAsia="zh-CN" w:bidi="ar"/>
                    </w:rPr>
                    <w:t>5</w:t>
                  </w:r>
                </w:p>
              </w:tc>
              <w:tc>
                <w:tcPr>
                  <w:tcW w:w="9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80A050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lang w:val="en-US"/>
                    </w:rPr>
                  </w:pPr>
                  <w:r>
                    <w:rPr>
                      <w:rFonts w:hint="default" w:ascii="Times New Roman" w:hAnsi="Times New Roman" w:eastAsia="宋体" w:cs="Times New Roman"/>
                      <w:i w:val="0"/>
                      <w:iCs w:val="0"/>
                      <w:snapToGrid w:val="0"/>
                      <w:color w:val="auto"/>
                      <w:kern w:val="0"/>
                      <w:sz w:val="21"/>
                      <w:szCs w:val="21"/>
                      <w:u w:val="none"/>
                      <w:lang w:val="en-US" w:eastAsia="zh-CN" w:bidi="ar"/>
                    </w:rPr>
                    <w:t>10</w:t>
                  </w:r>
                </w:p>
              </w:tc>
            </w:tr>
          </w:tbl>
          <w:p w14:paraId="433D6BDA">
            <w:pPr>
              <w:pStyle w:val="32"/>
              <w:keepNext w:val="0"/>
              <w:keepLines w:val="0"/>
              <w:pageBreakBefore w:val="0"/>
              <w:widowControl w:val="0"/>
              <w:kinsoku/>
              <w:wordWrap/>
              <w:overflowPunct/>
              <w:topLinePunct w:val="0"/>
              <w:autoSpaceDE w:val="0"/>
              <w:autoSpaceDN w:val="0"/>
              <w:bidi w:val="0"/>
              <w:adjustRightInd w:val="0"/>
              <w:snapToGrid w:val="0"/>
              <w:spacing w:line="360" w:lineRule="auto"/>
              <w:ind w:firstLine="420" w:firstLineChars="200"/>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本次评价对建设项目的厂界噪声进行预测。噪声影响评价选取4个厂界点位及周围敏感点作为此次工程对环境的影响预测点，预测、评价工程噪声对环境的影响。利用上述参数计算得出项目建成后，主要噪声设备对厂界及周边敏感点的噪声预测值。预测结果见下表。</w:t>
            </w:r>
          </w:p>
          <w:p w14:paraId="20090C4C">
            <w:pPr>
              <w:pStyle w:val="32"/>
              <w:keepNext w:val="0"/>
              <w:keepLines w:val="0"/>
              <w:pageBreakBefore w:val="0"/>
              <w:widowControl w:val="0"/>
              <w:kinsoku/>
              <w:wordWrap/>
              <w:overflowPunct/>
              <w:topLinePunct w:val="0"/>
              <w:autoSpaceDE w:val="0"/>
              <w:autoSpaceDN w:val="0"/>
              <w:bidi w:val="0"/>
              <w:adjustRightInd w:val="0"/>
              <w:snapToGrid w:val="0"/>
              <w:spacing w:line="360" w:lineRule="auto"/>
              <w:ind w:left="0" w:leftChars="0" w:right="0" w:rightChars="0" w:firstLine="0" w:firstLineChars="0"/>
              <w:jc w:val="center"/>
              <w:textAlignment w:val="baseline"/>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表4-9 项目建成后各厂界噪声贡献值一览表 单位：dB（A）</w:t>
            </w:r>
          </w:p>
          <w:tbl>
            <w:tblPr>
              <w:tblStyle w:val="14"/>
              <w:tblW w:w="4998"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1867"/>
              <w:gridCol w:w="1400"/>
              <w:gridCol w:w="1113"/>
              <w:gridCol w:w="1115"/>
              <w:gridCol w:w="1099"/>
              <w:gridCol w:w="1060"/>
            </w:tblGrid>
            <w:tr w14:paraId="5BCD203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863" w:type="dxa"/>
                  <w:tcBorders>
                    <w:tl2br w:val="nil"/>
                    <w:tr2bl w:val="nil"/>
                  </w:tcBorders>
                  <w:noWrap w:val="0"/>
                  <w:vAlign w:val="center"/>
                </w:tcPr>
                <w:p w14:paraId="38BADAB4">
                  <w:pPr>
                    <w:spacing w:beforeLines="0" w:afterLines="0" w:line="240" w:lineRule="auto"/>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项目</w:t>
                  </w:r>
                </w:p>
              </w:tc>
              <w:tc>
                <w:tcPr>
                  <w:tcW w:w="1396" w:type="dxa"/>
                  <w:tcBorders>
                    <w:tl2br w:val="nil"/>
                    <w:tr2bl w:val="nil"/>
                  </w:tcBorders>
                  <w:noWrap w:val="0"/>
                  <w:vAlign w:val="center"/>
                </w:tcPr>
                <w:p w14:paraId="48070059">
                  <w:pPr>
                    <w:spacing w:beforeLines="0" w:afterLines="0" w:line="240" w:lineRule="auto"/>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时段</w:t>
                  </w:r>
                </w:p>
              </w:tc>
              <w:tc>
                <w:tcPr>
                  <w:tcW w:w="1110" w:type="dxa"/>
                  <w:tcBorders>
                    <w:tl2br w:val="nil"/>
                    <w:tr2bl w:val="nil"/>
                  </w:tcBorders>
                  <w:noWrap w:val="0"/>
                  <w:vAlign w:val="center"/>
                </w:tcPr>
                <w:p w14:paraId="3A253417">
                  <w:pPr>
                    <w:spacing w:beforeLines="0" w:afterLines="0" w:line="240" w:lineRule="auto"/>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东厂界</w:t>
                  </w:r>
                </w:p>
              </w:tc>
              <w:tc>
                <w:tcPr>
                  <w:tcW w:w="1112" w:type="dxa"/>
                  <w:tcBorders>
                    <w:tl2br w:val="nil"/>
                    <w:tr2bl w:val="nil"/>
                  </w:tcBorders>
                  <w:noWrap w:val="0"/>
                  <w:vAlign w:val="center"/>
                </w:tcPr>
                <w:p w14:paraId="64C40848">
                  <w:pPr>
                    <w:spacing w:beforeLines="0" w:afterLines="0" w:line="240" w:lineRule="auto"/>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南厂界</w:t>
                  </w:r>
                </w:p>
              </w:tc>
              <w:tc>
                <w:tcPr>
                  <w:tcW w:w="1096" w:type="dxa"/>
                  <w:tcBorders>
                    <w:tl2br w:val="nil"/>
                    <w:tr2bl w:val="nil"/>
                  </w:tcBorders>
                  <w:noWrap w:val="0"/>
                  <w:vAlign w:val="center"/>
                </w:tcPr>
                <w:p w14:paraId="201BE24F">
                  <w:pPr>
                    <w:spacing w:beforeLines="0" w:afterLines="0" w:line="240" w:lineRule="auto"/>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西厂界</w:t>
                  </w:r>
                </w:p>
              </w:tc>
              <w:tc>
                <w:tcPr>
                  <w:tcW w:w="1057" w:type="dxa"/>
                  <w:tcBorders>
                    <w:tl2br w:val="nil"/>
                    <w:tr2bl w:val="nil"/>
                  </w:tcBorders>
                  <w:noWrap w:val="0"/>
                  <w:vAlign w:val="center"/>
                </w:tcPr>
                <w:p w14:paraId="71000912">
                  <w:pPr>
                    <w:spacing w:beforeLines="0" w:afterLines="0" w:line="240" w:lineRule="auto"/>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北厂界</w:t>
                  </w:r>
                </w:p>
              </w:tc>
            </w:tr>
            <w:tr w14:paraId="142E006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863" w:type="dxa"/>
                  <w:tcBorders>
                    <w:tl2br w:val="nil"/>
                    <w:tr2bl w:val="nil"/>
                  </w:tcBorders>
                  <w:noWrap w:val="0"/>
                  <w:vAlign w:val="center"/>
                </w:tcPr>
                <w:p w14:paraId="0DCEE1BA">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本项目贡献值</w:t>
                  </w:r>
                </w:p>
              </w:tc>
              <w:tc>
                <w:tcPr>
                  <w:tcW w:w="1396" w:type="dxa"/>
                  <w:tcBorders>
                    <w:tl2br w:val="nil"/>
                    <w:tr2bl w:val="nil"/>
                  </w:tcBorders>
                  <w:noWrap w:val="0"/>
                  <w:vAlign w:val="center"/>
                </w:tcPr>
                <w:p w14:paraId="1A23C349">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昼间</w:t>
                  </w:r>
                </w:p>
              </w:tc>
              <w:tc>
                <w:tcPr>
                  <w:tcW w:w="1110" w:type="dxa"/>
                  <w:tcBorders>
                    <w:tl2br w:val="nil"/>
                    <w:tr2bl w:val="nil"/>
                  </w:tcBorders>
                  <w:noWrap w:val="0"/>
                  <w:vAlign w:val="center"/>
                </w:tcPr>
                <w:p w14:paraId="0F5217E1">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56.3</w:t>
                  </w:r>
                </w:p>
              </w:tc>
              <w:tc>
                <w:tcPr>
                  <w:tcW w:w="1112" w:type="dxa"/>
                  <w:tcBorders>
                    <w:tl2br w:val="nil"/>
                    <w:tr2bl w:val="nil"/>
                  </w:tcBorders>
                  <w:noWrap w:val="0"/>
                  <w:vAlign w:val="center"/>
                </w:tcPr>
                <w:p w14:paraId="49E5538A">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57.9</w:t>
                  </w:r>
                </w:p>
              </w:tc>
              <w:tc>
                <w:tcPr>
                  <w:tcW w:w="1096" w:type="dxa"/>
                  <w:tcBorders>
                    <w:tl2br w:val="nil"/>
                    <w:tr2bl w:val="nil"/>
                  </w:tcBorders>
                  <w:noWrap w:val="0"/>
                  <w:vAlign w:val="center"/>
                </w:tcPr>
                <w:p w14:paraId="6EFB11F2">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58.2</w:t>
                  </w:r>
                </w:p>
              </w:tc>
              <w:tc>
                <w:tcPr>
                  <w:tcW w:w="1057" w:type="dxa"/>
                  <w:tcBorders>
                    <w:tl2br w:val="nil"/>
                    <w:tr2bl w:val="nil"/>
                  </w:tcBorders>
                  <w:noWrap w:val="0"/>
                  <w:vAlign w:val="center"/>
                </w:tcPr>
                <w:p w14:paraId="3EAF0CBA">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58.7</w:t>
                  </w:r>
                </w:p>
              </w:tc>
            </w:tr>
            <w:tr w14:paraId="696EEC9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863" w:type="dxa"/>
                  <w:tcBorders>
                    <w:tl2br w:val="nil"/>
                    <w:tr2bl w:val="nil"/>
                  </w:tcBorders>
                  <w:noWrap w:val="0"/>
                  <w:vAlign w:val="center"/>
                </w:tcPr>
                <w:p w14:paraId="1A1BA9AD">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标准值</w:t>
                  </w:r>
                </w:p>
              </w:tc>
              <w:tc>
                <w:tcPr>
                  <w:tcW w:w="1396" w:type="dxa"/>
                  <w:tcBorders>
                    <w:tl2br w:val="nil"/>
                    <w:tr2bl w:val="nil"/>
                  </w:tcBorders>
                  <w:noWrap w:val="0"/>
                  <w:vAlign w:val="center"/>
                </w:tcPr>
                <w:p w14:paraId="6D3B4B1D">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昼间</w:t>
                  </w:r>
                </w:p>
              </w:tc>
              <w:tc>
                <w:tcPr>
                  <w:tcW w:w="4375" w:type="dxa"/>
                  <w:gridSpan w:val="4"/>
                  <w:tcBorders>
                    <w:tl2br w:val="nil"/>
                    <w:tr2bl w:val="nil"/>
                  </w:tcBorders>
                  <w:noWrap w:val="0"/>
                  <w:vAlign w:val="center"/>
                </w:tcPr>
                <w:p w14:paraId="0C47DAD7">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60</w:t>
                  </w:r>
                </w:p>
              </w:tc>
            </w:tr>
            <w:tr w14:paraId="20EEB05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863" w:type="dxa"/>
                  <w:tcBorders>
                    <w:tl2br w:val="nil"/>
                    <w:tr2bl w:val="nil"/>
                  </w:tcBorders>
                  <w:noWrap w:val="0"/>
                  <w:vAlign w:val="center"/>
                </w:tcPr>
                <w:p w14:paraId="5CC0F4EE">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达标情况</w:t>
                  </w:r>
                </w:p>
              </w:tc>
              <w:tc>
                <w:tcPr>
                  <w:tcW w:w="1396" w:type="dxa"/>
                  <w:tcBorders>
                    <w:tl2br w:val="nil"/>
                    <w:tr2bl w:val="nil"/>
                  </w:tcBorders>
                  <w:noWrap w:val="0"/>
                  <w:vAlign w:val="center"/>
                </w:tcPr>
                <w:p w14:paraId="0EDDEDAA">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昼间</w:t>
                  </w:r>
                </w:p>
              </w:tc>
              <w:tc>
                <w:tcPr>
                  <w:tcW w:w="1110" w:type="dxa"/>
                  <w:tcBorders>
                    <w:tl2br w:val="nil"/>
                    <w:tr2bl w:val="nil"/>
                  </w:tcBorders>
                  <w:noWrap w:val="0"/>
                  <w:vAlign w:val="center"/>
                </w:tcPr>
                <w:p w14:paraId="6E302C90">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达标</w:t>
                  </w:r>
                </w:p>
              </w:tc>
              <w:tc>
                <w:tcPr>
                  <w:tcW w:w="1112" w:type="dxa"/>
                  <w:tcBorders>
                    <w:tl2br w:val="nil"/>
                    <w:tr2bl w:val="nil"/>
                  </w:tcBorders>
                  <w:noWrap w:val="0"/>
                  <w:vAlign w:val="center"/>
                </w:tcPr>
                <w:p w14:paraId="3F1D292C">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达标</w:t>
                  </w:r>
                </w:p>
              </w:tc>
              <w:tc>
                <w:tcPr>
                  <w:tcW w:w="1096" w:type="dxa"/>
                  <w:tcBorders>
                    <w:tl2br w:val="nil"/>
                    <w:tr2bl w:val="nil"/>
                  </w:tcBorders>
                  <w:noWrap w:val="0"/>
                  <w:vAlign w:val="center"/>
                </w:tcPr>
                <w:p w14:paraId="4109EEA1">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达标</w:t>
                  </w:r>
                </w:p>
              </w:tc>
              <w:tc>
                <w:tcPr>
                  <w:tcW w:w="1057" w:type="dxa"/>
                  <w:tcBorders>
                    <w:tl2br w:val="nil"/>
                    <w:tr2bl w:val="nil"/>
                  </w:tcBorders>
                  <w:noWrap w:val="0"/>
                  <w:vAlign w:val="center"/>
                </w:tcPr>
                <w:p w14:paraId="1133CD7E">
                  <w:pPr>
                    <w:spacing w:beforeLines="0" w:afterLines="0"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达标</w:t>
                  </w:r>
                </w:p>
              </w:tc>
            </w:tr>
          </w:tbl>
          <w:p w14:paraId="1B6FC8BD">
            <w:pPr>
              <w:pStyle w:val="32"/>
              <w:keepNext w:val="0"/>
              <w:keepLines w:val="0"/>
              <w:pageBreakBefore w:val="0"/>
              <w:widowControl w:val="0"/>
              <w:kinsoku/>
              <w:wordWrap/>
              <w:overflowPunct/>
              <w:topLinePunct w:val="0"/>
              <w:autoSpaceDE w:val="0"/>
              <w:autoSpaceDN w:val="0"/>
              <w:bidi w:val="0"/>
              <w:adjustRightInd w:val="0"/>
              <w:snapToGrid w:val="0"/>
              <w:spacing w:line="360" w:lineRule="auto"/>
              <w:ind w:firstLine="420" w:firstLineChars="200"/>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由上表可知项目扩建后厂界昼间噪声能满足《工业企业厂界环境噪声排放标准》（GB12348-2008）中2类标准。</w:t>
            </w:r>
          </w:p>
          <w:p w14:paraId="07131ECB">
            <w:pPr>
              <w:pStyle w:val="32"/>
              <w:keepNext w:val="0"/>
              <w:keepLines w:val="0"/>
              <w:pageBreakBefore w:val="0"/>
              <w:widowControl w:val="0"/>
              <w:kinsoku/>
              <w:wordWrap/>
              <w:overflowPunct/>
              <w:topLinePunct w:val="0"/>
              <w:autoSpaceDE w:val="0"/>
              <w:autoSpaceDN w:val="0"/>
              <w:bidi w:val="0"/>
              <w:adjustRightInd w:val="0"/>
              <w:snapToGrid w:val="0"/>
              <w:spacing w:line="360" w:lineRule="auto"/>
              <w:ind w:firstLine="420" w:firstLineChars="200"/>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3、监测方案</w:t>
            </w:r>
          </w:p>
          <w:p w14:paraId="198B8E88">
            <w:pPr>
              <w:pStyle w:val="32"/>
              <w:keepNext w:val="0"/>
              <w:keepLines w:val="0"/>
              <w:pageBreakBefore w:val="0"/>
              <w:widowControl w:val="0"/>
              <w:kinsoku/>
              <w:wordWrap/>
              <w:overflowPunct/>
              <w:topLinePunct w:val="0"/>
              <w:autoSpaceDE w:val="0"/>
              <w:autoSpaceDN w:val="0"/>
              <w:bidi w:val="0"/>
              <w:adjustRightInd w:val="0"/>
              <w:snapToGrid w:val="0"/>
              <w:spacing w:line="360" w:lineRule="auto"/>
              <w:ind w:firstLine="420" w:firstLineChars="200"/>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依据《排污单位自行监测技术指南 总则》（HJ819-2017）及《排污许可证申请与核发技术规范 工业噪声》（HJ 1301—2023）要求，对本项目噪声的日常监测要求见下表：</w:t>
            </w:r>
          </w:p>
          <w:p w14:paraId="03F0956D">
            <w:pPr>
              <w:pStyle w:val="32"/>
              <w:keepNext w:val="0"/>
              <w:keepLines w:val="0"/>
              <w:pageBreakBefore w:val="0"/>
              <w:widowControl w:val="0"/>
              <w:kinsoku/>
              <w:wordWrap/>
              <w:overflowPunct/>
              <w:topLinePunct w:val="0"/>
              <w:autoSpaceDE w:val="0"/>
              <w:autoSpaceDN w:val="0"/>
              <w:bidi w:val="0"/>
              <w:adjustRightInd w:val="0"/>
              <w:snapToGrid w:val="0"/>
              <w:spacing w:line="360" w:lineRule="auto"/>
              <w:ind w:left="0" w:leftChars="0" w:right="0" w:rightChars="0" w:firstLine="0" w:firstLineChars="0"/>
              <w:jc w:val="center"/>
              <w:textAlignment w:val="baseline"/>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表4-10 噪声监测要求</w:t>
            </w:r>
          </w:p>
          <w:tbl>
            <w:tblPr>
              <w:tblStyle w:val="1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02"/>
              <w:gridCol w:w="6050"/>
            </w:tblGrid>
            <w:tr w14:paraId="56C457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47" w:type="pct"/>
                  <w:vAlign w:val="center"/>
                </w:tcPr>
                <w:p w14:paraId="0BD16110">
                  <w:pPr>
                    <w:pStyle w:val="32"/>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监测点位</w:t>
                  </w:r>
                </w:p>
              </w:tc>
              <w:tc>
                <w:tcPr>
                  <w:tcW w:w="3952" w:type="pct"/>
                  <w:vAlign w:val="center"/>
                </w:tcPr>
                <w:p w14:paraId="7A112A4B">
                  <w:pPr>
                    <w:pStyle w:val="32"/>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东、南、西、北各厂界外1m</w:t>
                  </w:r>
                </w:p>
              </w:tc>
            </w:tr>
            <w:tr w14:paraId="495571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47" w:type="pct"/>
                  <w:vAlign w:val="center"/>
                </w:tcPr>
                <w:p w14:paraId="47273039">
                  <w:pPr>
                    <w:pStyle w:val="32"/>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监测因子及频次</w:t>
                  </w:r>
                </w:p>
              </w:tc>
              <w:tc>
                <w:tcPr>
                  <w:tcW w:w="3952" w:type="pct"/>
                  <w:vAlign w:val="center"/>
                </w:tcPr>
                <w:p w14:paraId="51651785">
                  <w:pPr>
                    <w:pStyle w:val="32"/>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昼间噪声，每季度1次</w:t>
                  </w:r>
                </w:p>
              </w:tc>
            </w:tr>
            <w:tr w14:paraId="294452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47" w:type="pct"/>
                  <w:vAlign w:val="center"/>
                </w:tcPr>
                <w:p w14:paraId="48CCDD52">
                  <w:pPr>
                    <w:pStyle w:val="32"/>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执行标准</w:t>
                  </w:r>
                </w:p>
              </w:tc>
              <w:tc>
                <w:tcPr>
                  <w:tcW w:w="3952" w:type="pct"/>
                  <w:vAlign w:val="center"/>
                </w:tcPr>
                <w:p w14:paraId="43310C59">
                  <w:pPr>
                    <w:pStyle w:val="32"/>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《工业企业厂界环境噪声排放标准》（GB12348-2008）2 类区标准</w:t>
                  </w:r>
                </w:p>
              </w:tc>
            </w:tr>
          </w:tbl>
          <w:p w14:paraId="58B35D0D">
            <w:pPr>
              <w:keepNext w:val="0"/>
              <w:keepLines w:val="0"/>
              <w:pageBreakBefore w:val="0"/>
              <w:widowControl w:val="0"/>
              <w:numPr>
                <w:ilvl w:val="0"/>
                <w:numId w:val="2"/>
              </w:numPr>
              <w:kinsoku/>
              <w:wordWrap/>
              <w:overflowPunct/>
              <w:topLinePunct w:val="0"/>
              <w:autoSpaceDE w:val="0"/>
              <w:autoSpaceDN w:val="0"/>
              <w:bidi w:val="0"/>
              <w:adjustRightInd w:val="0"/>
              <w:snapToGrid w:val="0"/>
              <w:spacing w:line="360" w:lineRule="auto"/>
              <w:ind w:left="0" w:leftChars="0" w:firstLine="420" w:firstLineChars="200"/>
              <w:textAlignment w:val="baseline"/>
              <w:rPr>
                <w:rFonts w:hint="default" w:ascii="Times New Roman" w:hAnsi="Times New Roman" w:eastAsia="宋体" w:cs="Times New Roman"/>
                <w:snapToGrid w:val="0"/>
                <w:color w:val="auto"/>
                <w:sz w:val="21"/>
                <w:szCs w:val="21"/>
                <w:vertAlign w:val="baseline"/>
              </w:rPr>
            </w:pPr>
            <w:r>
              <w:rPr>
                <w:rFonts w:hint="default" w:ascii="Times New Roman" w:hAnsi="Times New Roman" w:eastAsia="宋体" w:cs="Times New Roman"/>
                <w:color w:val="auto"/>
                <w:sz w:val="21"/>
                <w:szCs w:val="21"/>
                <w:vertAlign w:val="baseline"/>
                <w:lang w:val="en-US" w:eastAsia="zh-CN"/>
              </w:rPr>
              <w:t>固体废物</w:t>
            </w:r>
          </w:p>
          <w:p w14:paraId="5D269A98">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20" w:firstLineChars="200"/>
              <w:jc w:val="both"/>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1、固体废物产生情况</w:t>
            </w:r>
          </w:p>
          <w:p w14:paraId="1CFEC2B9">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20" w:firstLineChars="200"/>
              <w:jc w:val="both"/>
              <w:textAlignment w:val="auto"/>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现有</w:t>
            </w:r>
            <w:r>
              <w:rPr>
                <w:rFonts w:hint="default" w:ascii="Times New Roman" w:hAnsi="Times New Roman" w:eastAsia="宋体" w:cs="Times New Roman"/>
                <w:color w:val="auto"/>
              </w:rPr>
              <w:t>项目</w:t>
            </w:r>
            <w:r>
              <w:rPr>
                <w:rFonts w:hint="default" w:ascii="Times New Roman" w:hAnsi="Times New Roman" w:eastAsia="宋体" w:cs="Times New Roman"/>
                <w:color w:val="auto"/>
                <w:lang w:val="en-US" w:eastAsia="zh-CN"/>
              </w:rPr>
              <w:t>产生的</w:t>
            </w:r>
            <w:r>
              <w:rPr>
                <w:rFonts w:hint="default" w:ascii="Times New Roman" w:hAnsi="Times New Roman" w:eastAsia="宋体" w:cs="Times New Roman"/>
                <w:color w:val="auto"/>
              </w:rPr>
              <w:t>一般固废</w:t>
            </w:r>
            <w:r>
              <w:rPr>
                <w:rFonts w:hint="default" w:ascii="Times New Roman" w:hAnsi="Times New Roman" w:eastAsia="宋体" w:cs="Times New Roman"/>
                <w:color w:val="auto"/>
                <w:lang w:val="en-US" w:eastAsia="zh-CN"/>
              </w:rPr>
              <w:t>主要为生活垃圾</w:t>
            </w:r>
            <w:r>
              <w:rPr>
                <w:rFonts w:hint="default" w:ascii="Times New Roman" w:hAnsi="Times New Roman" w:eastAsia="宋体" w:cs="Times New Roman"/>
                <w:color w:val="auto"/>
                <w:lang w:eastAsia="zh-CN"/>
              </w:rPr>
              <w:t>、</w:t>
            </w:r>
            <w:r>
              <w:rPr>
                <w:rFonts w:hint="default" w:ascii="Times New Roman" w:hAnsi="Times New Roman" w:eastAsia="宋体" w:cs="Times New Roman"/>
                <w:color w:val="auto"/>
                <w:lang w:val="en-US" w:eastAsia="zh-CN"/>
              </w:rPr>
              <w:t>布袋除尘器收尘和含铁物料，</w:t>
            </w:r>
            <w:r>
              <w:rPr>
                <w:rFonts w:hint="default" w:ascii="Times New Roman" w:hAnsi="Times New Roman" w:eastAsia="宋体" w:cs="Times New Roman"/>
                <w:color w:val="auto"/>
                <w:szCs w:val="21"/>
                <w:lang w:val="en-US" w:eastAsia="zh-CN"/>
              </w:rPr>
              <w:t>生活垃圾由环卫部门定期进行清运，布袋除尘器收集的粉尘回用于生产，含铁物料集中收集后外售</w:t>
            </w:r>
            <w:r>
              <w:rPr>
                <w:rFonts w:hint="default" w:ascii="Times New Roman" w:hAnsi="Times New Roman" w:eastAsia="宋体" w:cs="Times New Roman"/>
                <w:color w:val="auto"/>
                <w:spacing w:val="0"/>
                <w:sz w:val="21"/>
                <w:szCs w:val="21"/>
                <w:highlight w:val="none"/>
                <w:lang w:eastAsia="zh-CN"/>
              </w:rPr>
              <w:t>。</w:t>
            </w:r>
          </w:p>
          <w:p w14:paraId="45F28E2B">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20" w:firstLineChars="200"/>
              <w:jc w:val="both"/>
              <w:textAlignment w:val="auto"/>
              <w:rPr>
                <w:rFonts w:hint="default" w:ascii="Times New Roman" w:hAnsi="Times New Roman" w:eastAsia="宋体" w:cs="Times New Roman"/>
                <w:color w:val="auto"/>
                <w:spacing w:val="0"/>
                <w:sz w:val="21"/>
                <w:szCs w:val="21"/>
                <w:highlight w:val="none"/>
                <w:lang w:eastAsia="zh-CN"/>
              </w:rPr>
            </w:pPr>
            <w:r>
              <w:rPr>
                <w:rFonts w:hint="default" w:ascii="Times New Roman" w:hAnsi="Times New Roman" w:eastAsia="宋体" w:cs="Times New Roman"/>
                <w:color w:val="auto"/>
              </w:rPr>
              <w:t>本</w:t>
            </w:r>
            <w:r>
              <w:rPr>
                <w:rFonts w:hint="default" w:ascii="Times New Roman" w:hAnsi="Times New Roman" w:eastAsia="宋体" w:cs="Times New Roman"/>
                <w:color w:val="auto"/>
                <w:lang w:val="en-US" w:eastAsia="zh-CN"/>
              </w:rPr>
              <w:t>扩建</w:t>
            </w:r>
            <w:r>
              <w:rPr>
                <w:rFonts w:hint="default" w:ascii="Times New Roman" w:hAnsi="Times New Roman" w:eastAsia="宋体" w:cs="Times New Roman"/>
                <w:color w:val="auto"/>
              </w:rPr>
              <w:t>项目</w:t>
            </w:r>
            <w:r>
              <w:rPr>
                <w:rFonts w:hint="default" w:ascii="Times New Roman" w:hAnsi="Times New Roman" w:eastAsia="宋体" w:cs="Times New Roman"/>
                <w:color w:val="auto"/>
                <w:lang w:val="en-US" w:eastAsia="zh-CN"/>
              </w:rPr>
              <w:t>增加产生的</w:t>
            </w:r>
            <w:r>
              <w:rPr>
                <w:rFonts w:hint="default" w:ascii="Times New Roman" w:hAnsi="Times New Roman" w:eastAsia="宋体" w:cs="Times New Roman"/>
                <w:color w:val="auto"/>
              </w:rPr>
              <w:t>一般固废</w:t>
            </w:r>
            <w:r>
              <w:rPr>
                <w:rFonts w:hint="default" w:ascii="Times New Roman" w:hAnsi="Times New Roman" w:eastAsia="宋体" w:cs="Times New Roman"/>
                <w:color w:val="auto"/>
                <w:lang w:val="en-US" w:eastAsia="zh-CN"/>
              </w:rPr>
              <w:t>主要为布袋除尘器收尘和含铁物料，</w:t>
            </w:r>
            <w:r>
              <w:rPr>
                <w:rFonts w:hint="default" w:ascii="Times New Roman" w:hAnsi="Times New Roman" w:eastAsia="宋体" w:cs="Times New Roman"/>
                <w:color w:val="auto"/>
                <w:szCs w:val="21"/>
                <w:lang w:val="en-US" w:eastAsia="zh-CN"/>
              </w:rPr>
              <w:t>布袋除尘器收集的粉尘回用于生产，含铁物料集中收集后外售</w:t>
            </w:r>
            <w:r>
              <w:rPr>
                <w:rFonts w:hint="default" w:ascii="Times New Roman" w:hAnsi="Times New Roman" w:eastAsia="宋体" w:cs="Times New Roman"/>
                <w:color w:val="auto"/>
                <w:spacing w:val="0"/>
                <w:sz w:val="21"/>
                <w:szCs w:val="21"/>
                <w:highlight w:val="none"/>
                <w:lang w:eastAsia="zh-CN"/>
              </w:rPr>
              <w:t>。</w:t>
            </w:r>
          </w:p>
          <w:p w14:paraId="33BE7A55">
            <w:pPr>
              <w:keepNext w:val="0"/>
              <w:keepLines w:val="0"/>
              <w:pageBreakBefore w:val="0"/>
              <w:widowControl w:val="0"/>
              <w:numPr>
                <w:ilvl w:val="0"/>
                <w:numId w:val="3"/>
              </w:numPr>
              <w:kinsoku/>
              <w:wordWrap/>
              <w:overflowPunct/>
              <w:topLinePunct w:val="0"/>
              <w:autoSpaceDE/>
              <w:autoSpaceDN/>
              <w:bidi w:val="0"/>
              <w:adjustRightInd/>
              <w:snapToGrid/>
              <w:spacing w:line="360" w:lineRule="auto"/>
              <w:ind w:left="0" w:leftChars="0" w:right="0" w:rightChars="0" w:firstLine="420" w:firstLineChars="200"/>
              <w:jc w:val="both"/>
              <w:textAlignment w:val="auto"/>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lang w:val="en-US" w:eastAsia="zh-CN"/>
              </w:rPr>
              <w:t>布袋除尘器收尘：项目各工序产生粉尘经集气罩收集后经脉冲式布袋除尘器处理后通过15米高排气筒DA001有组织排放，经计算，脉冲式布袋除尘器收集的粉尘量约21.5为t/a，回用于生产，不外排。</w:t>
            </w:r>
          </w:p>
          <w:p w14:paraId="380C8A0A">
            <w:pPr>
              <w:keepNext w:val="0"/>
              <w:keepLines w:val="0"/>
              <w:pageBreakBefore w:val="0"/>
              <w:widowControl w:val="0"/>
              <w:numPr>
                <w:ilvl w:val="0"/>
                <w:numId w:val="3"/>
              </w:numPr>
              <w:kinsoku/>
              <w:wordWrap/>
              <w:overflowPunct/>
              <w:topLinePunct w:val="0"/>
              <w:autoSpaceDE/>
              <w:autoSpaceDN/>
              <w:bidi w:val="0"/>
              <w:adjustRightInd/>
              <w:snapToGrid/>
              <w:spacing w:line="360" w:lineRule="auto"/>
              <w:ind w:left="0" w:leftChars="0" w:right="0" w:rightChars="0" w:firstLine="420" w:firstLineChars="200"/>
              <w:jc w:val="both"/>
              <w:textAlignment w:val="auto"/>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lang w:val="en-US" w:eastAsia="zh-CN"/>
              </w:rPr>
              <w:t>含铁物料：根据企业提供资料，磁选工序能将原料中含铁的物料分离出来，含铁物料年产生量约为0.4t/a，集中收集后外售。</w:t>
            </w:r>
          </w:p>
          <w:p w14:paraId="0AF1C387">
            <w:pPr>
              <w:pStyle w:val="4"/>
              <w:adjustRightInd w:val="0"/>
              <w:spacing w:line="360" w:lineRule="auto"/>
              <w:ind w:firstLine="48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综上，</w:t>
            </w:r>
            <w:r>
              <w:rPr>
                <w:rFonts w:hint="default" w:ascii="Times New Roman" w:hAnsi="Times New Roman" w:eastAsia="宋体" w:cs="Times New Roman"/>
                <w:color w:val="auto"/>
                <w:sz w:val="21"/>
                <w:szCs w:val="21"/>
                <w:lang w:val="en-US" w:eastAsia="zh-CN"/>
              </w:rPr>
              <w:t>扩建后</w:t>
            </w:r>
            <w:r>
              <w:rPr>
                <w:rFonts w:hint="default" w:ascii="Times New Roman" w:hAnsi="Times New Roman" w:eastAsia="宋体" w:cs="Times New Roman"/>
                <w:color w:val="auto"/>
                <w:sz w:val="21"/>
                <w:szCs w:val="21"/>
              </w:rPr>
              <w:t>本项目固废产生及处置情况见下表所示。</w:t>
            </w:r>
          </w:p>
          <w:p w14:paraId="77E6C67D">
            <w:pPr>
              <w:adjustRightInd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表4-11  固体废物情况汇总表</w:t>
            </w:r>
          </w:p>
          <w:tbl>
            <w:tblPr>
              <w:tblStyle w:val="14"/>
              <w:tblW w:w="4997" w:type="pct"/>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1230"/>
              <w:gridCol w:w="1007"/>
              <w:gridCol w:w="1271"/>
              <w:gridCol w:w="545"/>
              <w:gridCol w:w="1115"/>
              <w:gridCol w:w="1116"/>
              <w:gridCol w:w="1353"/>
            </w:tblGrid>
            <w:tr w14:paraId="15254E98">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83" w:hRule="atLeast"/>
                <w:jc w:val="center"/>
              </w:trPr>
              <w:tc>
                <w:tcPr>
                  <w:tcW w:w="805" w:type="pct"/>
                  <w:vAlign w:val="center"/>
                </w:tcPr>
                <w:p w14:paraId="6B59AF4E">
                  <w:pPr>
                    <w:topLinePunct/>
                    <w:adjustRightInd w:val="0"/>
                    <w:snapToGrid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名称</w:t>
                  </w:r>
                </w:p>
              </w:tc>
              <w:tc>
                <w:tcPr>
                  <w:tcW w:w="659" w:type="pct"/>
                  <w:vAlign w:val="center"/>
                </w:tcPr>
                <w:p w14:paraId="6AA733F3">
                  <w:pPr>
                    <w:topLinePunct/>
                    <w:adjustRightInd w:val="0"/>
                    <w:snapToGrid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废物类别</w:t>
                  </w:r>
                </w:p>
              </w:tc>
              <w:tc>
                <w:tcPr>
                  <w:tcW w:w="832" w:type="pct"/>
                  <w:vAlign w:val="center"/>
                </w:tcPr>
                <w:p w14:paraId="2B80F1C8">
                  <w:pPr>
                    <w:topLinePunct/>
                    <w:adjustRightInd w:val="0"/>
                    <w:snapToGrid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产生工序</w:t>
                  </w:r>
                </w:p>
              </w:tc>
              <w:tc>
                <w:tcPr>
                  <w:tcW w:w="357" w:type="pct"/>
                  <w:vAlign w:val="center"/>
                </w:tcPr>
                <w:p w14:paraId="0CC84CD7">
                  <w:pPr>
                    <w:topLinePunct/>
                    <w:adjustRightInd w:val="0"/>
                    <w:snapToGrid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形态</w:t>
                  </w:r>
                </w:p>
              </w:tc>
              <w:tc>
                <w:tcPr>
                  <w:tcW w:w="730" w:type="pct"/>
                  <w:vAlign w:val="center"/>
                </w:tcPr>
                <w:p w14:paraId="34B2C75D">
                  <w:pPr>
                    <w:topLinePunct/>
                    <w:adjustRightInd w:val="0"/>
                    <w:snapToGrid w:val="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现有项目产生量</w:t>
                  </w:r>
                </w:p>
              </w:tc>
              <w:tc>
                <w:tcPr>
                  <w:tcW w:w="730" w:type="pct"/>
                  <w:vAlign w:val="center"/>
                </w:tcPr>
                <w:p w14:paraId="7B389D02">
                  <w:pPr>
                    <w:topLinePunct/>
                    <w:adjustRightInd w:val="0"/>
                    <w:snapToGrid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lang w:val="en-US" w:eastAsia="zh-CN"/>
                    </w:rPr>
                    <w:t>扩建后全厂</w:t>
                  </w:r>
                  <w:r>
                    <w:rPr>
                      <w:rFonts w:hint="default" w:ascii="Times New Roman" w:hAnsi="Times New Roman" w:eastAsia="宋体" w:cs="Times New Roman"/>
                      <w:b/>
                      <w:bCs/>
                      <w:color w:val="auto"/>
                      <w:sz w:val="21"/>
                      <w:szCs w:val="21"/>
                    </w:rPr>
                    <w:t>产生量</w:t>
                  </w:r>
                </w:p>
              </w:tc>
              <w:tc>
                <w:tcPr>
                  <w:tcW w:w="885" w:type="pct"/>
                  <w:vAlign w:val="center"/>
                </w:tcPr>
                <w:p w14:paraId="45EC4BD0">
                  <w:pPr>
                    <w:pStyle w:val="33"/>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污染防治措施</w:t>
                  </w:r>
                </w:p>
              </w:tc>
            </w:tr>
            <w:tr w14:paraId="28EE7066">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83" w:hRule="atLeast"/>
                <w:jc w:val="center"/>
              </w:trPr>
              <w:tc>
                <w:tcPr>
                  <w:tcW w:w="805" w:type="pct"/>
                  <w:vAlign w:val="center"/>
                </w:tcPr>
                <w:p w14:paraId="5344E380">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生活垃圾</w:t>
                  </w:r>
                </w:p>
              </w:tc>
              <w:tc>
                <w:tcPr>
                  <w:tcW w:w="659" w:type="pct"/>
                  <w:vAlign w:val="center"/>
                </w:tcPr>
                <w:p w14:paraId="14D88DE1">
                  <w:pPr>
                    <w:topLinePunct/>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一般固废</w:t>
                  </w:r>
                </w:p>
              </w:tc>
              <w:tc>
                <w:tcPr>
                  <w:tcW w:w="832" w:type="pct"/>
                  <w:vAlign w:val="center"/>
                </w:tcPr>
                <w:p w14:paraId="52C7A530">
                  <w:pPr>
                    <w:topLinePunct/>
                    <w:adjustRightInd w:val="0"/>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职工生活</w:t>
                  </w:r>
                </w:p>
              </w:tc>
              <w:tc>
                <w:tcPr>
                  <w:tcW w:w="357" w:type="pct"/>
                  <w:vAlign w:val="center"/>
                </w:tcPr>
                <w:p w14:paraId="501901F8">
                  <w:pPr>
                    <w:topLinePunct/>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固</w:t>
                  </w:r>
                </w:p>
              </w:tc>
              <w:tc>
                <w:tcPr>
                  <w:tcW w:w="730" w:type="pct"/>
                  <w:vAlign w:val="center"/>
                </w:tcPr>
                <w:p w14:paraId="09BD4785">
                  <w:pPr>
                    <w:topLinePunct/>
                    <w:adjustRightInd w:val="0"/>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w:t>
                  </w:r>
                  <w:r>
                    <w:rPr>
                      <w:rFonts w:hint="default" w:ascii="Times New Roman" w:hAnsi="Times New Roman" w:eastAsia="宋体" w:cs="Times New Roman"/>
                      <w:color w:val="auto"/>
                      <w:sz w:val="21"/>
                      <w:szCs w:val="21"/>
                    </w:rPr>
                    <w:t>.2t/a</w:t>
                  </w:r>
                </w:p>
              </w:tc>
              <w:tc>
                <w:tcPr>
                  <w:tcW w:w="730" w:type="pct"/>
                  <w:vAlign w:val="center"/>
                </w:tcPr>
                <w:p w14:paraId="6A6D77A2">
                  <w:pPr>
                    <w:topLinePunct/>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1</w:t>
                  </w:r>
                  <w:r>
                    <w:rPr>
                      <w:rFonts w:hint="default" w:ascii="Times New Roman" w:hAnsi="Times New Roman" w:eastAsia="宋体" w:cs="Times New Roman"/>
                      <w:color w:val="auto"/>
                      <w:sz w:val="21"/>
                      <w:szCs w:val="21"/>
                    </w:rPr>
                    <w:t>.2t/a</w:t>
                  </w:r>
                </w:p>
              </w:tc>
              <w:tc>
                <w:tcPr>
                  <w:tcW w:w="885" w:type="pct"/>
                  <w:vAlign w:val="center"/>
                </w:tcPr>
                <w:p w14:paraId="04937B50">
                  <w:pPr>
                    <w:pStyle w:val="33"/>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环卫定期清运</w:t>
                  </w:r>
                </w:p>
              </w:tc>
            </w:tr>
            <w:tr w14:paraId="1CC3755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83" w:hRule="atLeast"/>
                <w:jc w:val="center"/>
              </w:trPr>
              <w:tc>
                <w:tcPr>
                  <w:tcW w:w="805" w:type="pct"/>
                  <w:vAlign w:val="center"/>
                </w:tcPr>
                <w:p w14:paraId="5E5AC5B4">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布袋除尘器收尘</w:t>
                  </w:r>
                </w:p>
              </w:tc>
              <w:tc>
                <w:tcPr>
                  <w:tcW w:w="659" w:type="pct"/>
                  <w:vAlign w:val="center"/>
                </w:tcPr>
                <w:p w14:paraId="5B5F83A0">
                  <w:pPr>
                    <w:topLinePunct/>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一般固废</w:t>
                  </w:r>
                </w:p>
              </w:tc>
              <w:tc>
                <w:tcPr>
                  <w:tcW w:w="832" w:type="pct"/>
                  <w:vAlign w:val="center"/>
                </w:tcPr>
                <w:p w14:paraId="7A4966EA">
                  <w:pPr>
                    <w:topLinePunct/>
                    <w:adjustRightInd w:val="0"/>
                    <w:snapToGrid w:val="0"/>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val="en-US" w:eastAsia="zh-CN"/>
                    </w:rPr>
                    <w:t>废气处理</w:t>
                  </w:r>
                </w:p>
              </w:tc>
              <w:tc>
                <w:tcPr>
                  <w:tcW w:w="357" w:type="pct"/>
                  <w:vAlign w:val="center"/>
                </w:tcPr>
                <w:p w14:paraId="6CFE1E62">
                  <w:pPr>
                    <w:topLinePunct/>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固</w:t>
                  </w:r>
                </w:p>
              </w:tc>
              <w:tc>
                <w:tcPr>
                  <w:tcW w:w="730" w:type="pct"/>
                  <w:vAlign w:val="center"/>
                </w:tcPr>
                <w:p w14:paraId="27EFE5D8">
                  <w:pPr>
                    <w:topLinePunct/>
                    <w:adjustRightInd w:val="0"/>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6.5</w:t>
                  </w:r>
                  <w:r>
                    <w:rPr>
                      <w:rFonts w:hint="default" w:ascii="Times New Roman" w:hAnsi="Times New Roman" w:eastAsia="宋体" w:cs="Times New Roman"/>
                      <w:color w:val="auto"/>
                      <w:sz w:val="21"/>
                      <w:szCs w:val="21"/>
                    </w:rPr>
                    <w:t>t/a</w:t>
                  </w:r>
                </w:p>
              </w:tc>
              <w:tc>
                <w:tcPr>
                  <w:tcW w:w="730" w:type="pct"/>
                  <w:vAlign w:val="center"/>
                </w:tcPr>
                <w:p w14:paraId="6BE08DB6">
                  <w:pPr>
                    <w:topLinePunct/>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28</w:t>
                  </w:r>
                  <w:r>
                    <w:rPr>
                      <w:rFonts w:hint="default" w:ascii="Times New Roman" w:hAnsi="Times New Roman" w:eastAsia="宋体" w:cs="Times New Roman"/>
                      <w:color w:val="auto"/>
                      <w:sz w:val="21"/>
                      <w:szCs w:val="21"/>
                    </w:rPr>
                    <w:t>t/a</w:t>
                  </w:r>
                </w:p>
              </w:tc>
              <w:tc>
                <w:tcPr>
                  <w:tcW w:w="885" w:type="pct"/>
                  <w:vAlign w:val="center"/>
                </w:tcPr>
                <w:p w14:paraId="20A95F8D">
                  <w:pPr>
                    <w:pStyle w:val="33"/>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回用于生产</w:t>
                  </w:r>
                </w:p>
              </w:tc>
            </w:tr>
            <w:tr w14:paraId="1FEADCA2">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83" w:hRule="atLeast"/>
                <w:jc w:val="center"/>
              </w:trPr>
              <w:tc>
                <w:tcPr>
                  <w:tcW w:w="805" w:type="pct"/>
                  <w:vAlign w:val="center"/>
                </w:tcPr>
                <w:p w14:paraId="74B61A94">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含铁物料</w:t>
                  </w:r>
                </w:p>
              </w:tc>
              <w:tc>
                <w:tcPr>
                  <w:tcW w:w="659" w:type="pct"/>
                  <w:vAlign w:val="center"/>
                </w:tcPr>
                <w:p w14:paraId="62B21E3C">
                  <w:pPr>
                    <w:topLinePunct/>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一般固废</w:t>
                  </w:r>
                </w:p>
              </w:tc>
              <w:tc>
                <w:tcPr>
                  <w:tcW w:w="832" w:type="pct"/>
                  <w:vAlign w:val="center"/>
                </w:tcPr>
                <w:p w14:paraId="505E3706">
                  <w:pPr>
                    <w:topLinePunct/>
                    <w:adjustRightInd w:val="0"/>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磁选工序</w:t>
                  </w:r>
                </w:p>
              </w:tc>
              <w:tc>
                <w:tcPr>
                  <w:tcW w:w="357" w:type="pct"/>
                  <w:vAlign w:val="center"/>
                </w:tcPr>
                <w:p w14:paraId="65B34216">
                  <w:pPr>
                    <w:topLinePunct/>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固</w:t>
                  </w:r>
                </w:p>
              </w:tc>
              <w:tc>
                <w:tcPr>
                  <w:tcW w:w="730" w:type="pct"/>
                  <w:vAlign w:val="center"/>
                </w:tcPr>
                <w:p w14:paraId="4457FF16">
                  <w:pPr>
                    <w:topLinePunct/>
                    <w:adjustRightInd w:val="0"/>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w:t>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val="en-US" w:eastAsia="zh-CN"/>
                    </w:rPr>
                    <w:t>6</w:t>
                  </w:r>
                  <w:r>
                    <w:rPr>
                      <w:rFonts w:hint="default" w:ascii="Times New Roman" w:hAnsi="Times New Roman" w:eastAsia="宋体" w:cs="Times New Roman"/>
                      <w:color w:val="auto"/>
                      <w:sz w:val="21"/>
                      <w:szCs w:val="21"/>
                    </w:rPr>
                    <w:t>t/a</w:t>
                  </w:r>
                </w:p>
              </w:tc>
              <w:tc>
                <w:tcPr>
                  <w:tcW w:w="730" w:type="pct"/>
                  <w:vAlign w:val="center"/>
                </w:tcPr>
                <w:p w14:paraId="480BF16B">
                  <w:pPr>
                    <w:topLinePunct/>
                    <w:adjustRightInd w:val="0"/>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2.0</w:t>
                  </w:r>
                  <w:r>
                    <w:rPr>
                      <w:rFonts w:hint="default" w:ascii="Times New Roman" w:hAnsi="Times New Roman" w:eastAsia="宋体" w:cs="Times New Roman"/>
                      <w:color w:val="auto"/>
                      <w:sz w:val="21"/>
                      <w:szCs w:val="21"/>
                    </w:rPr>
                    <w:t>t/a</w:t>
                  </w:r>
                </w:p>
              </w:tc>
              <w:tc>
                <w:tcPr>
                  <w:tcW w:w="885" w:type="pct"/>
                  <w:vAlign w:val="center"/>
                </w:tcPr>
                <w:p w14:paraId="6ABA861A">
                  <w:pPr>
                    <w:pStyle w:val="33"/>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收集后外售</w:t>
                  </w:r>
                </w:p>
              </w:tc>
            </w:tr>
          </w:tbl>
          <w:p w14:paraId="0639BA05">
            <w:pPr>
              <w:pStyle w:val="32"/>
              <w:keepNext w:val="0"/>
              <w:keepLines w:val="0"/>
              <w:pageBreakBefore w:val="0"/>
              <w:widowControl w:val="0"/>
              <w:kinsoku/>
              <w:wordWrap/>
              <w:overflowPunct/>
              <w:topLinePunct w:val="0"/>
              <w:autoSpaceDE w:val="0"/>
              <w:autoSpaceDN w:val="0"/>
              <w:bidi w:val="0"/>
              <w:adjustRightInd w:val="0"/>
              <w:snapToGrid w:val="0"/>
              <w:spacing w:line="360" w:lineRule="auto"/>
              <w:ind w:firstLine="420" w:firstLineChars="200"/>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2、固体废物环境管理要求</w:t>
            </w:r>
          </w:p>
          <w:p w14:paraId="646A5635">
            <w:pPr>
              <w:pStyle w:val="32"/>
              <w:keepNext w:val="0"/>
              <w:keepLines w:val="0"/>
              <w:pageBreakBefore w:val="0"/>
              <w:widowControl w:val="0"/>
              <w:kinsoku/>
              <w:wordWrap/>
              <w:overflowPunct/>
              <w:topLinePunct w:val="0"/>
              <w:autoSpaceDE w:val="0"/>
              <w:autoSpaceDN w:val="0"/>
              <w:bidi w:val="0"/>
              <w:adjustRightInd w:val="0"/>
              <w:snapToGrid w:val="0"/>
              <w:spacing w:line="360" w:lineRule="auto"/>
              <w:ind w:firstLine="420" w:firstLineChars="200"/>
              <w:textAlignment w:val="baseline"/>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1"/>
                <w:szCs w:val="21"/>
                <w:lang w:val="en-US" w:eastAsia="zh-CN"/>
              </w:rPr>
              <w:t>一般工业固体废物贮存场所设置应符合《一般工业固体废物贮存、处置场污染控制标准》（GB18599-2020）中的相关要求，严格落实《山东省扬尘污染综合整治方案》鲁环发〔2019〕112 号及《山东省工业企业无组织排放分行业管控指导意见》（鲁环发〔2020〕30 号）要求；为加强监督管理，贮存场所应按照《环境保护图形标志-固体废物贮存（处置）场》（GB15562.2-1995）的要求设置环保图形标志。</w:t>
            </w:r>
          </w:p>
          <w:p w14:paraId="0EEE5950">
            <w:pPr>
              <w:pStyle w:val="32"/>
              <w:keepNext w:val="0"/>
              <w:keepLines w:val="0"/>
              <w:pageBreakBefore w:val="0"/>
              <w:widowControl w:val="0"/>
              <w:kinsoku/>
              <w:wordWrap/>
              <w:overflowPunct/>
              <w:topLinePunct w:val="0"/>
              <w:autoSpaceDE w:val="0"/>
              <w:autoSpaceDN w:val="0"/>
              <w:bidi w:val="0"/>
              <w:adjustRightInd w:val="0"/>
              <w:snapToGrid w:val="0"/>
              <w:spacing w:line="360" w:lineRule="auto"/>
              <w:ind w:firstLine="420" w:firstLineChars="200"/>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综上所述，本项目固废均得到合理处置，对周围环境影响较小。</w:t>
            </w:r>
          </w:p>
          <w:p w14:paraId="61563947">
            <w:pPr>
              <w:keepNext w:val="0"/>
              <w:keepLines w:val="0"/>
              <w:pageBreakBefore w:val="0"/>
              <w:widowControl w:val="0"/>
              <w:numPr>
                <w:ilvl w:val="0"/>
                <w:numId w:val="0"/>
              </w:numPr>
              <w:kinsoku/>
              <w:wordWrap/>
              <w:overflowPunct/>
              <w:topLinePunct w:val="0"/>
              <w:bidi w:val="0"/>
              <w:spacing w:line="360" w:lineRule="auto"/>
              <w:ind w:right="0" w:rightChars="0" w:firstLine="420" w:firstLineChars="200"/>
              <w:jc w:val="both"/>
              <w:rPr>
                <w:rFonts w:hint="default" w:ascii="Times New Roman" w:hAnsi="Times New Roman" w:eastAsia="宋体" w:cs="Times New Roman"/>
                <w:snapToGrid w:val="0"/>
                <w:color w:val="auto"/>
                <w:sz w:val="21"/>
                <w:szCs w:val="21"/>
                <w:vertAlign w:val="baseline"/>
              </w:rPr>
            </w:pPr>
            <w:r>
              <w:rPr>
                <w:rFonts w:hint="default" w:ascii="Times New Roman" w:hAnsi="Times New Roman" w:eastAsia="宋体" w:cs="Times New Roman"/>
                <w:snapToGrid w:val="0"/>
                <w:color w:val="auto"/>
                <w:sz w:val="21"/>
                <w:szCs w:val="21"/>
                <w:vertAlign w:val="baseline"/>
              </w:rPr>
              <w:t>五、地下水、土壤</w:t>
            </w:r>
          </w:p>
          <w:p w14:paraId="5FA53706">
            <w:pPr>
              <w:keepNext w:val="0"/>
              <w:keepLines w:val="0"/>
              <w:pageBreakBefore w:val="0"/>
              <w:widowControl w:val="0"/>
              <w:numPr>
                <w:ilvl w:val="0"/>
                <w:numId w:val="0"/>
              </w:numPr>
              <w:kinsoku/>
              <w:wordWrap/>
              <w:overflowPunct/>
              <w:topLinePunct w:val="0"/>
              <w:bidi w:val="0"/>
              <w:spacing w:line="360" w:lineRule="auto"/>
              <w:ind w:right="0" w:rightChars="0" w:firstLine="420" w:firstLineChars="200"/>
              <w:jc w:val="both"/>
              <w:rPr>
                <w:rFonts w:hint="default" w:ascii="Times New Roman" w:hAnsi="Times New Roman" w:eastAsia="宋体" w:cs="Times New Roman"/>
                <w:snapToGrid w:val="0"/>
                <w:color w:val="auto"/>
                <w:sz w:val="21"/>
                <w:szCs w:val="21"/>
                <w:vertAlign w:val="baseline"/>
              </w:rPr>
            </w:pPr>
            <w:r>
              <w:rPr>
                <w:rFonts w:hint="default" w:ascii="Times New Roman" w:hAnsi="Times New Roman" w:eastAsia="宋体" w:cs="Times New Roman"/>
                <w:snapToGrid w:val="0"/>
                <w:color w:val="auto"/>
                <w:sz w:val="21"/>
                <w:szCs w:val="21"/>
                <w:vertAlign w:val="baseline"/>
              </w:rPr>
              <w:t>1、地下水影响和保护措施分析</w:t>
            </w:r>
          </w:p>
          <w:p w14:paraId="48B47571">
            <w:pPr>
              <w:keepNext w:val="0"/>
              <w:keepLines w:val="0"/>
              <w:pageBreakBefore w:val="0"/>
              <w:widowControl w:val="0"/>
              <w:numPr>
                <w:ilvl w:val="0"/>
                <w:numId w:val="0"/>
              </w:numPr>
              <w:kinsoku/>
              <w:wordWrap/>
              <w:overflowPunct/>
              <w:topLinePunct w:val="0"/>
              <w:bidi w:val="0"/>
              <w:spacing w:line="360" w:lineRule="auto"/>
              <w:ind w:right="0" w:rightChars="0" w:firstLine="420" w:firstLineChars="200"/>
              <w:jc w:val="both"/>
              <w:rPr>
                <w:rFonts w:hint="default" w:ascii="Times New Roman" w:hAnsi="Times New Roman" w:eastAsia="宋体" w:cs="Times New Roman"/>
                <w:snapToGrid w:val="0"/>
                <w:color w:val="auto"/>
                <w:sz w:val="21"/>
                <w:szCs w:val="21"/>
                <w:vertAlign w:val="baseline"/>
              </w:rPr>
            </w:pPr>
            <w:r>
              <w:rPr>
                <w:rFonts w:hint="default" w:ascii="Times New Roman" w:hAnsi="Times New Roman" w:eastAsia="宋体" w:cs="Times New Roman"/>
                <w:snapToGrid w:val="0"/>
                <w:color w:val="auto"/>
                <w:sz w:val="21"/>
                <w:szCs w:val="21"/>
                <w:vertAlign w:val="baseline"/>
              </w:rPr>
              <w:t>（1）地下水污染情况分析</w:t>
            </w:r>
          </w:p>
          <w:p w14:paraId="7ABCC387">
            <w:pPr>
              <w:keepNext w:val="0"/>
              <w:keepLines w:val="0"/>
              <w:pageBreakBefore w:val="0"/>
              <w:widowControl w:val="0"/>
              <w:numPr>
                <w:ilvl w:val="0"/>
                <w:numId w:val="0"/>
              </w:numPr>
              <w:kinsoku/>
              <w:wordWrap/>
              <w:overflowPunct/>
              <w:topLinePunct w:val="0"/>
              <w:bidi w:val="0"/>
              <w:spacing w:line="360" w:lineRule="auto"/>
              <w:ind w:right="0" w:rightChars="0" w:firstLine="420" w:firstLineChars="200"/>
              <w:jc w:val="both"/>
              <w:rPr>
                <w:rFonts w:hint="default" w:ascii="Times New Roman" w:hAnsi="Times New Roman" w:eastAsia="宋体" w:cs="Times New Roman"/>
                <w:snapToGrid w:val="0"/>
                <w:color w:val="auto"/>
                <w:sz w:val="21"/>
                <w:szCs w:val="21"/>
                <w:vertAlign w:val="baseline"/>
              </w:rPr>
            </w:pPr>
            <w:r>
              <w:rPr>
                <w:rFonts w:hint="default" w:ascii="Times New Roman" w:hAnsi="Times New Roman" w:eastAsia="宋体" w:cs="Times New Roman"/>
                <w:snapToGrid w:val="0"/>
                <w:color w:val="auto"/>
                <w:sz w:val="21"/>
                <w:szCs w:val="21"/>
                <w:vertAlign w:val="baseline"/>
              </w:rPr>
              <w:t>项目用水取自自来水，不开采地下水。对地下水的主要污染途径为：化粪池等渗漏</w:t>
            </w:r>
            <w:r>
              <w:rPr>
                <w:rFonts w:hint="default" w:ascii="Times New Roman" w:hAnsi="Times New Roman" w:eastAsia="宋体" w:cs="Times New Roman"/>
                <w:snapToGrid w:val="0"/>
                <w:color w:val="auto"/>
                <w:sz w:val="21"/>
                <w:szCs w:val="21"/>
                <w:vertAlign w:val="baseline"/>
                <w:lang w:val="en-US" w:eastAsia="zh-CN"/>
              </w:rPr>
              <w:t>有</w:t>
            </w:r>
            <w:r>
              <w:rPr>
                <w:rFonts w:hint="default" w:ascii="Times New Roman" w:hAnsi="Times New Roman" w:eastAsia="宋体" w:cs="Times New Roman"/>
                <w:snapToGrid w:val="0"/>
                <w:color w:val="auto"/>
                <w:sz w:val="21"/>
                <w:szCs w:val="21"/>
                <w:vertAlign w:val="baseline"/>
              </w:rPr>
              <w:t>污染地下水的可能。</w:t>
            </w:r>
          </w:p>
          <w:p w14:paraId="26BCC5ED">
            <w:pPr>
              <w:keepNext w:val="0"/>
              <w:keepLines w:val="0"/>
              <w:pageBreakBefore w:val="0"/>
              <w:widowControl w:val="0"/>
              <w:numPr>
                <w:ilvl w:val="0"/>
                <w:numId w:val="0"/>
              </w:numPr>
              <w:kinsoku/>
              <w:wordWrap/>
              <w:overflowPunct/>
              <w:topLinePunct w:val="0"/>
              <w:bidi w:val="0"/>
              <w:spacing w:line="360" w:lineRule="auto"/>
              <w:ind w:right="0" w:rightChars="0" w:firstLine="420" w:firstLineChars="200"/>
              <w:jc w:val="both"/>
              <w:rPr>
                <w:rFonts w:hint="default" w:ascii="Times New Roman" w:hAnsi="Times New Roman" w:eastAsia="宋体" w:cs="Times New Roman"/>
                <w:snapToGrid w:val="0"/>
                <w:color w:val="auto"/>
                <w:sz w:val="21"/>
                <w:szCs w:val="21"/>
                <w:vertAlign w:val="baseline"/>
              </w:rPr>
            </w:pPr>
            <w:r>
              <w:rPr>
                <w:rFonts w:hint="default" w:ascii="Times New Roman" w:hAnsi="Times New Roman" w:eastAsia="宋体" w:cs="Times New Roman"/>
                <w:snapToGrid w:val="0"/>
                <w:color w:val="auto"/>
                <w:sz w:val="21"/>
                <w:szCs w:val="21"/>
                <w:vertAlign w:val="baseline"/>
              </w:rPr>
              <w:t>（2）采取源头控制措施：</w:t>
            </w:r>
          </w:p>
          <w:p w14:paraId="151DB7FD">
            <w:pPr>
              <w:keepNext w:val="0"/>
              <w:keepLines w:val="0"/>
              <w:pageBreakBefore w:val="0"/>
              <w:widowControl w:val="0"/>
              <w:numPr>
                <w:ilvl w:val="0"/>
                <w:numId w:val="0"/>
              </w:numPr>
              <w:kinsoku/>
              <w:wordWrap/>
              <w:overflowPunct/>
              <w:topLinePunct w:val="0"/>
              <w:bidi w:val="0"/>
              <w:spacing w:line="360" w:lineRule="auto"/>
              <w:ind w:right="0" w:rightChars="0" w:firstLine="420" w:firstLineChars="200"/>
              <w:jc w:val="both"/>
              <w:rPr>
                <w:rFonts w:hint="default" w:ascii="Times New Roman" w:hAnsi="Times New Roman" w:eastAsia="宋体" w:cs="Times New Roman"/>
                <w:snapToGrid w:val="0"/>
                <w:color w:val="auto"/>
                <w:sz w:val="21"/>
                <w:szCs w:val="21"/>
                <w:vertAlign w:val="baseline"/>
              </w:rPr>
            </w:pPr>
            <w:r>
              <w:rPr>
                <w:rFonts w:hint="default" w:ascii="Times New Roman" w:hAnsi="Times New Roman" w:eastAsia="宋体" w:cs="Times New Roman"/>
                <w:snapToGrid w:val="0"/>
                <w:color w:val="auto"/>
                <w:sz w:val="21"/>
                <w:szCs w:val="21"/>
                <w:vertAlign w:val="baseline"/>
              </w:rPr>
              <w:t>①严格控制厂区内物料的“跑、冒、滴、漏”。</w:t>
            </w:r>
          </w:p>
          <w:p w14:paraId="0406B9D1">
            <w:pPr>
              <w:keepNext w:val="0"/>
              <w:keepLines w:val="0"/>
              <w:pageBreakBefore w:val="0"/>
              <w:widowControl w:val="0"/>
              <w:numPr>
                <w:ilvl w:val="0"/>
                <w:numId w:val="0"/>
              </w:numPr>
              <w:kinsoku/>
              <w:wordWrap/>
              <w:overflowPunct/>
              <w:topLinePunct w:val="0"/>
              <w:bidi w:val="0"/>
              <w:spacing w:line="360" w:lineRule="auto"/>
              <w:ind w:right="0" w:rightChars="0" w:firstLine="420" w:firstLineChars="200"/>
              <w:jc w:val="both"/>
              <w:rPr>
                <w:rFonts w:hint="default" w:ascii="Times New Roman" w:hAnsi="Times New Roman" w:eastAsia="宋体" w:cs="Times New Roman"/>
                <w:snapToGrid w:val="0"/>
                <w:color w:val="auto"/>
                <w:sz w:val="21"/>
                <w:szCs w:val="21"/>
                <w:vertAlign w:val="baseline"/>
              </w:rPr>
            </w:pPr>
            <w:r>
              <w:rPr>
                <w:rFonts w:hint="default" w:ascii="Times New Roman" w:hAnsi="Times New Roman" w:eastAsia="宋体" w:cs="Times New Roman"/>
                <w:snapToGrid w:val="0"/>
                <w:color w:val="auto"/>
                <w:sz w:val="21"/>
                <w:szCs w:val="21"/>
                <w:vertAlign w:val="baseline"/>
              </w:rPr>
              <w:t>②所用原料确保符合进厂要求，减少污染物产生量。</w:t>
            </w:r>
          </w:p>
          <w:p w14:paraId="410D5EC8">
            <w:pPr>
              <w:keepNext w:val="0"/>
              <w:keepLines w:val="0"/>
              <w:pageBreakBefore w:val="0"/>
              <w:widowControl w:val="0"/>
              <w:numPr>
                <w:ilvl w:val="0"/>
                <w:numId w:val="0"/>
              </w:numPr>
              <w:kinsoku/>
              <w:wordWrap/>
              <w:overflowPunct/>
              <w:topLinePunct w:val="0"/>
              <w:bidi w:val="0"/>
              <w:spacing w:line="360" w:lineRule="auto"/>
              <w:ind w:right="0" w:rightChars="0" w:firstLine="420" w:firstLineChars="200"/>
              <w:jc w:val="both"/>
              <w:rPr>
                <w:rFonts w:hint="default" w:ascii="Times New Roman" w:hAnsi="Times New Roman" w:eastAsia="宋体" w:cs="Times New Roman"/>
                <w:snapToGrid w:val="0"/>
                <w:color w:val="auto"/>
                <w:sz w:val="21"/>
                <w:szCs w:val="21"/>
                <w:vertAlign w:val="baseline"/>
              </w:rPr>
            </w:pPr>
            <w:r>
              <w:rPr>
                <w:rFonts w:hint="default" w:ascii="Times New Roman" w:hAnsi="Times New Roman" w:eastAsia="宋体" w:cs="Times New Roman"/>
                <w:snapToGrid w:val="0"/>
                <w:color w:val="auto"/>
                <w:sz w:val="21"/>
                <w:szCs w:val="21"/>
                <w:vertAlign w:val="baseline"/>
              </w:rPr>
              <w:t>（3）采取地下水污染</w:t>
            </w:r>
            <w:r>
              <w:rPr>
                <w:rFonts w:hint="default" w:ascii="Times New Roman" w:hAnsi="Times New Roman" w:eastAsia="宋体" w:cs="Times New Roman"/>
                <w:snapToGrid w:val="0"/>
                <w:color w:val="auto"/>
                <w:sz w:val="21"/>
                <w:szCs w:val="21"/>
                <w:vertAlign w:val="baseline"/>
                <w:lang w:eastAsia="zh-CN"/>
              </w:rPr>
              <w:t>防治</w:t>
            </w:r>
            <w:r>
              <w:rPr>
                <w:rFonts w:hint="default" w:ascii="Times New Roman" w:hAnsi="Times New Roman" w:eastAsia="宋体" w:cs="Times New Roman"/>
                <w:snapToGrid w:val="0"/>
                <w:color w:val="auto"/>
                <w:sz w:val="21"/>
                <w:szCs w:val="21"/>
                <w:vertAlign w:val="baseline"/>
              </w:rPr>
              <w:t>措施：</w:t>
            </w:r>
          </w:p>
          <w:p w14:paraId="3134A9B4">
            <w:pPr>
              <w:keepNext w:val="0"/>
              <w:keepLines w:val="0"/>
              <w:pageBreakBefore w:val="0"/>
              <w:widowControl w:val="0"/>
              <w:numPr>
                <w:ilvl w:val="0"/>
                <w:numId w:val="0"/>
              </w:numPr>
              <w:kinsoku/>
              <w:wordWrap/>
              <w:overflowPunct/>
              <w:topLinePunct w:val="0"/>
              <w:bidi w:val="0"/>
              <w:spacing w:line="360" w:lineRule="auto"/>
              <w:ind w:right="0" w:rightChars="0" w:firstLine="420" w:firstLineChars="200"/>
              <w:jc w:val="both"/>
              <w:rPr>
                <w:rFonts w:hint="default" w:ascii="Times New Roman" w:hAnsi="Times New Roman" w:eastAsia="宋体" w:cs="Times New Roman"/>
                <w:snapToGrid w:val="0"/>
                <w:color w:val="auto"/>
                <w:sz w:val="21"/>
                <w:szCs w:val="21"/>
                <w:vertAlign w:val="baseline"/>
              </w:rPr>
            </w:pPr>
            <w:r>
              <w:rPr>
                <w:rFonts w:hint="default" w:ascii="Times New Roman" w:hAnsi="Times New Roman" w:eastAsia="宋体" w:cs="Times New Roman"/>
                <w:snapToGrid w:val="0"/>
                <w:color w:val="auto"/>
                <w:sz w:val="21"/>
                <w:szCs w:val="21"/>
                <w:vertAlign w:val="baseline"/>
              </w:rPr>
              <w:t>①厂区地面做硬化处理；</w:t>
            </w:r>
          </w:p>
          <w:p w14:paraId="73411CEF">
            <w:pPr>
              <w:keepNext w:val="0"/>
              <w:keepLines w:val="0"/>
              <w:pageBreakBefore w:val="0"/>
              <w:widowControl w:val="0"/>
              <w:numPr>
                <w:ilvl w:val="0"/>
                <w:numId w:val="0"/>
              </w:numPr>
              <w:kinsoku/>
              <w:wordWrap/>
              <w:overflowPunct/>
              <w:topLinePunct w:val="0"/>
              <w:bidi w:val="0"/>
              <w:spacing w:line="360" w:lineRule="auto"/>
              <w:ind w:right="0" w:rightChars="0" w:firstLine="420" w:firstLineChars="200"/>
              <w:jc w:val="both"/>
              <w:rPr>
                <w:rFonts w:hint="default" w:ascii="Times New Roman" w:hAnsi="Times New Roman" w:eastAsia="宋体" w:cs="Times New Roman"/>
                <w:snapToGrid w:val="0"/>
                <w:color w:val="auto"/>
                <w:sz w:val="21"/>
                <w:szCs w:val="21"/>
                <w:vertAlign w:val="baseline"/>
              </w:rPr>
            </w:pPr>
            <w:r>
              <w:rPr>
                <w:rFonts w:hint="default" w:ascii="Times New Roman" w:hAnsi="Times New Roman" w:eastAsia="宋体" w:cs="Times New Roman"/>
                <w:snapToGrid w:val="0"/>
                <w:color w:val="auto"/>
                <w:sz w:val="21"/>
                <w:szCs w:val="21"/>
                <w:vertAlign w:val="baseline"/>
              </w:rPr>
              <w:t>②生产车间等应满足防风、防雨等要求，参照《环境影响评价技术导则 地下水环境》（HJ610-2016）中一般防渗要求做处理，防渗要求等效粘土防渗层Mb≥1.5m，K≤1×10</w:t>
            </w:r>
            <w:r>
              <w:rPr>
                <w:rFonts w:hint="default" w:ascii="Times New Roman" w:hAnsi="Times New Roman" w:eastAsia="宋体" w:cs="Times New Roman"/>
                <w:snapToGrid w:val="0"/>
                <w:color w:val="auto"/>
                <w:sz w:val="21"/>
                <w:szCs w:val="21"/>
                <w:vertAlign w:val="superscript"/>
              </w:rPr>
              <w:t>-7</w:t>
            </w:r>
            <w:r>
              <w:rPr>
                <w:rFonts w:hint="default" w:ascii="Times New Roman" w:hAnsi="Times New Roman" w:eastAsia="宋体" w:cs="Times New Roman"/>
                <w:snapToGrid w:val="0"/>
                <w:color w:val="auto"/>
                <w:sz w:val="21"/>
                <w:szCs w:val="21"/>
                <w:vertAlign w:val="baseline"/>
              </w:rPr>
              <w:t>cm/s；</w:t>
            </w:r>
          </w:p>
          <w:p w14:paraId="409021A3">
            <w:pPr>
              <w:keepNext w:val="0"/>
              <w:keepLines w:val="0"/>
              <w:pageBreakBefore w:val="0"/>
              <w:widowControl w:val="0"/>
              <w:numPr>
                <w:ilvl w:val="0"/>
                <w:numId w:val="0"/>
              </w:numPr>
              <w:kinsoku/>
              <w:wordWrap/>
              <w:overflowPunct/>
              <w:topLinePunct w:val="0"/>
              <w:bidi w:val="0"/>
              <w:spacing w:line="360" w:lineRule="auto"/>
              <w:ind w:right="0" w:rightChars="0" w:firstLine="420" w:firstLineChars="200"/>
              <w:jc w:val="both"/>
              <w:rPr>
                <w:rFonts w:hint="default" w:ascii="Times New Roman" w:hAnsi="Times New Roman" w:eastAsia="宋体" w:cs="Times New Roman"/>
                <w:snapToGrid w:val="0"/>
                <w:color w:val="auto"/>
                <w:sz w:val="21"/>
                <w:szCs w:val="21"/>
                <w:vertAlign w:val="baseline"/>
              </w:rPr>
            </w:pPr>
            <w:r>
              <w:rPr>
                <w:rFonts w:hint="default" w:ascii="Times New Roman" w:hAnsi="Times New Roman" w:eastAsia="宋体" w:cs="Times New Roman"/>
                <w:snapToGrid w:val="0"/>
                <w:color w:val="auto"/>
                <w:sz w:val="21"/>
                <w:szCs w:val="21"/>
                <w:vertAlign w:val="baseline"/>
              </w:rPr>
              <w:t>③</w:t>
            </w:r>
            <w:r>
              <w:rPr>
                <w:rFonts w:hint="default" w:ascii="Times New Roman" w:hAnsi="Times New Roman" w:eastAsia="宋体" w:cs="Times New Roman"/>
                <w:snapToGrid w:val="0"/>
                <w:color w:val="auto"/>
                <w:sz w:val="21"/>
                <w:szCs w:val="21"/>
                <w:vertAlign w:val="baseline"/>
                <w:lang w:val="en-US" w:eastAsia="zh-CN"/>
              </w:rPr>
              <w:t>化粪池</w:t>
            </w:r>
            <w:r>
              <w:rPr>
                <w:rFonts w:hint="default" w:ascii="Times New Roman" w:hAnsi="Times New Roman" w:eastAsia="宋体" w:cs="Times New Roman"/>
                <w:snapToGrid w:val="0"/>
                <w:color w:val="auto"/>
                <w:sz w:val="21"/>
                <w:szCs w:val="21"/>
                <w:vertAlign w:val="baseline"/>
              </w:rPr>
              <w:t>应满足防风、防雨等要求，防渗需满足《危险废物贮存污染控制标准》（GB18597-2023）中要求，即贮存场基础防渗层至少1m</w:t>
            </w:r>
            <w:r>
              <w:rPr>
                <w:rFonts w:hint="default" w:ascii="Times New Roman" w:hAnsi="Times New Roman" w:eastAsia="宋体" w:cs="Times New Roman"/>
                <w:snapToGrid w:val="0"/>
                <w:color w:val="auto"/>
                <w:sz w:val="21"/>
                <w:szCs w:val="21"/>
                <w:vertAlign w:val="baseline"/>
                <w:lang w:eastAsia="zh-CN"/>
              </w:rPr>
              <w:t>厚</w:t>
            </w:r>
            <w:r>
              <w:rPr>
                <w:rFonts w:hint="default" w:ascii="Times New Roman" w:hAnsi="Times New Roman" w:eastAsia="宋体" w:cs="Times New Roman"/>
                <w:snapToGrid w:val="0"/>
                <w:color w:val="auto"/>
                <w:sz w:val="21"/>
                <w:szCs w:val="21"/>
                <w:vertAlign w:val="baseline"/>
              </w:rPr>
              <w:t>黏土层（渗透系数不大于1.0×10</w:t>
            </w:r>
            <w:r>
              <w:rPr>
                <w:rFonts w:hint="default" w:ascii="Times New Roman" w:hAnsi="Times New Roman" w:eastAsia="宋体" w:cs="Times New Roman"/>
                <w:snapToGrid w:val="0"/>
                <w:color w:val="auto"/>
                <w:sz w:val="21"/>
                <w:szCs w:val="21"/>
                <w:vertAlign w:val="superscript"/>
              </w:rPr>
              <w:t>-7</w:t>
            </w:r>
            <w:r>
              <w:rPr>
                <w:rFonts w:hint="default" w:ascii="Times New Roman" w:hAnsi="Times New Roman" w:eastAsia="宋体" w:cs="Times New Roman"/>
                <w:snapToGrid w:val="0"/>
                <w:color w:val="auto"/>
                <w:sz w:val="21"/>
                <w:szCs w:val="21"/>
                <w:vertAlign w:val="baseline"/>
              </w:rPr>
              <w:t>cm/s），或2mm厚高密度聚乙烯，或至少2mm厚的其他人工材料，渗透系数不大于1.0×10</w:t>
            </w:r>
            <w:r>
              <w:rPr>
                <w:rFonts w:hint="default" w:ascii="Times New Roman" w:hAnsi="Times New Roman" w:eastAsia="宋体" w:cs="Times New Roman"/>
                <w:snapToGrid w:val="0"/>
                <w:color w:val="auto"/>
                <w:sz w:val="21"/>
                <w:szCs w:val="21"/>
                <w:vertAlign w:val="superscript"/>
              </w:rPr>
              <w:t>-10</w:t>
            </w:r>
            <w:r>
              <w:rPr>
                <w:rFonts w:hint="default" w:ascii="Times New Roman" w:hAnsi="Times New Roman" w:eastAsia="宋体" w:cs="Times New Roman"/>
                <w:snapToGrid w:val="0"/>
                <w:color w:val="auto"/>
                <w:sz w:val="21"/>
                <w:szCs w:val="21"/>
                <w:vertAlign w:val="baseline"/>
              </w:rPr>
              <w:t>cm/s。</w:t>
            </w:r>
          </w:p>
          <w:p w14:paraId="0A9E5865">
            <w:pPr>
              <w:keepNext w:val="0"/>
              <w:keepLines w:val="0"/>
              <w:pageBreakBefore w:val="0"/>
              <w:widowControl w:val="0"/>
              <w:numPr>
                <w:ilvl w:val="0"/>
                <w:numId w:val="0"/>
              </w:numPr>
              <w:kinsoku/>
              <w:wordWrap/>
              <w:overflowPunct/>
              <w:topLinePunct w:val="0"/>
              <w:bidi w:val="0"/>
              <w:spacing w:line="360" w:lineRule="auto"/>
              <w:ind w:right="0" w:rightChars="0" w:firstLine="420" w:firstLineChars="200"/>
              <w:jc w:val="both"/>
              <w:rPr>
                <w:rFonts w:hint="default" w:ascii="Times New Roman" w:hAnsi="Times New Roman" w:eastAsia="宋体" w:cs="Times New Roman"/>
                <w:snapToGrid w:val="0"/>
                <w:color w:val="auto"/>
                <w:sz w:val="21"/>
                <w:szCs w:val="21"/>
                <w:vertAlign w:val="baseline"/>
              </w:rPr>
            </w:pPr>
            <w:r>
              <w:rPr>
                <w:rFonts w:hint="default" w:ascii="Times New Roman" w:hAnsi="Times New Roman" w:eastAsia="宋体" w:cs="Times New Roman"/>
                <w:snapToGrid w:val="0"/>
                <w:color w:val="auto"/>
                <w:sz w:val="21"/>
                <w:szCs w:val="21"/>
                <w:vertAlign w:val="baseline"/>
              </w:rPr>
              <w:t>采取上述措施后，项目化粪池等在正常情况下不会对地下水环境造成污染影响。项目区分区防渗设计见下表。</w:t>
            </w:r>
          </w:p>
          <w:p w14:paraId="31F3AF5D">
            <w:pPr>
              <w:pStyle w:val="32"/>
              <w:keepNext w:val="0"/>
              <w:keepLines w:val="0"/>
              <w:pageBreakBefore w:val="0"/>
              <w:widowControl w:val="0"/>
              <w:kinsoku/>
              <w:wordWrap/>
              <w:overflowPunct/>
              <w:topLinePunct w:val="0"/>
              <w:autoSpaceDE w:val="0"/>
              <w:autoSpaceDN w:val="0"/>
              <w:bidi w:val="0"/>
              <w:adjustRightInd w:val="0"/>
              <w:snapToGrid w:val="0"/>
              <w:spacing w:line="360" w:lineRule="auto"/>
              <w:ind w:left="0" w:leftChars="0" w:right="0" w:rightChars="0" w:firstLine="0" w:firstLineChars="0"/>
              <w:jc w:val="center"/>
              <w:textAlignment w:val="baseline"/>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表4-12 项目区分区防渗设计一览表</w:t>
            </w:r>
          </w:p>
          <w:tbl>
            <w:tblPr>
              <w:tblStyle w:val="1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94"/>
              <w:gridCol w:w="1981"/>
              <w:gridCol w:w="4577"/>
            </w:tblGrid>
            <w:tr w14:paraId="7DA197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5" w:type="pct"/>
                  <w:vAlign w:val="center"/>
                </w:tcPr>
                <w:p w14:paraId="4E8260D3">
                  <w:pPr>
                    <w:pStyle w:val="32"/>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防渗分区</w:t>
                  </w:r>
                </w:p>
              </w:tc>
              <w:tc>
                <w:tcPr>
                  <w:tcW w:w="1294" w:type="pct"/>
                  <w:vAlign w:val="center"/>
                </w:tcPr>
                <w:p w14:paraId="5C5D1B0C">
                  <w:pPr>
                    <w:pStyle w:val="32"/>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区域</w:t>
                  </w:r>
                </w:p>
              </w:tc>
              <w:tc>
                <w:tcPr>
                  <w:tcW w:w="2990" w:type="pct"/>
                  <w:vAlign w:val="center"/>
                </w:tcPr>
                <w:p w14:paraId="5F8C5904">
                  <w:pPr>
                    <w:pStyle w:val="32"/>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拟采取的防渗方案</w:t>
                  </w:r>
                </w:p>
              </w:tc>
            </w:tr>
            <w:tr w14:paraId="033D3E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5" w:type="pct"/>
                  <w:vAlign w:val="center"/>
                </w:tcPr>
                <w:p w14:paraId="76F9E0B0">
                  <w:pPr>
                    <w:pStyle w:val="32"/>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重点防渗区</w:t>
                  </w:r>
                </w:p>
              </w:tc>
              <w:tc>
                <w:tcPr>
                  <w:tcW w:w="1294" w:type="pct"/>
                  <w:vAlign w:val="center"/>
                </w:tcPr>
                <w:p w14:paraId="19A7F0A0">
                  <w:pPr>
                    <w:pStyle w:val="32"/>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化粪池</w:t>
                  </w:r>
                </w:p>
              </w:tc>
              <w:tc>
                <w:tcPr>
                  <w:tcW w:w="2990" w:type="pct"/>
                  <w:vAlign w:val="center"/>
                </w:tcPr>
                <w:p w14:paraId="54440742">
                  <w:pPr>
                    <w:pStyle w:val="32"/>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防渗层为至少 1m 厚黏土层（渗透系数≤10</w:t>
                  </w:r>
                  <w:r>
                    <w:rPr>
                      <w:rFonts w:hint="default" w:ascii="Times New Roman" w:hAnsi="Times New Roman" w:eastAsia="宋体" w:cs="Times New Roman"/>
                      <w:color w:val="auto"/>
                      <w:sz w:val="21"/>
                      <w:szCs w:val="21"/>
                      <w:vertAlign w:val="superscript"/>
                      <w:lang w:val="en-US" w:eastAsia="zh-CN"/>
                    </w:rPr>
                    <w:t>-7</w:t>
                  </w:r>
                  <w:r>
                    <w:rPr>
                      <w:rFonts w:hint="default" w:ascii="Times New Roman" w:hAnsi="Times New Roman" w:eastAsia="宋体" w:cs="Times New Roman"/>
                      <w:color w:val="auto"/>
                      <w:sz w:val="21"/>
                      <w:szCs w:val="21"/>
                      <w:vertAlign w:val="baseline"/>
                      <w:lang w:val="en-US" w:eastAsia="zh-CN"/>
                    </w:rPr>
                    <w:t xml:space="preserve"> cm/s）或2mm 厚高密度聚乙烯或至少2mm厚的其他人工材料，渗透系数≤10</w:t>
                  </w:r>
                  <w:r>
                    <w:rPr>
                      <w:rFonts w:hint="default" w:ascii="Times New Roman" w:hAnsi="Times New Roman" w:eastAsia="宋体" w:cs="Times New Roman"/>
                      <w:color w:val="auto"/>
                      <w:sz w:val="21"/>
                      <w:szCs w:val="21"/>
                      <w:vertAlign w:val="superscript"/>
                      <w:lang w:val="en-US" w:eastAsia="zh-CN"/>
                    </w:rPr>
                    <w:t>-10</w:t>
                  </w:r>
                  <w:r>
                    <w:rPr>
                      <w:rFonts w:hint="default" w:ascii="Times New Roman" w:hAnsi="Times New Roman" w:eastAsia="宋体" w:cs="Times New Roman"/>
                      <w:color w:val="auto"/>
                      <w:sz w:val="21"/>
                      <w:szCs w:val="21"/>
                      <w:vertAlign w:val="baseline"/>
                      <w:lang w:val="en-US" w:eastAsia="zh-CN"/>
                    </w:rPr>
                    <w:t>cm/s。</w:t>
                  </w:r>
                </w:p>
              </w:tc>
            </w:tr>
            <w:tr w14:paraId="07F5AB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5" w:type="pct"/>
                  <w:vAlign w:val="center"/>
                </w:tcPr>
                <w:p w14:paraId="6E2E5B24">
                  <w:pPr>
                    <w:pStyle w:val="32"/>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一般防渗区</w:t>
                  </w:r>
                </w:p>
              </w:tc>
              <w:tc>
                <w:tcPr>
                  <w:tcW w:w="1294" w:type="pct"/>
                  <w:vAlign w:val="center"/>
                </w:tcPr>
                <w:p w14:paraId="297DE18F">
                  <w:pPr>
                    <w:pStyle w:val="32"/>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生产车间</w:t>
                  </w:r>
                </w:p>
              </w:tc>
              <w:tc>
                <w:tcPr>
                  <w:tcW w:w="2990" w:type="pct"/>
                  <w:vAlign w:val="center"/>
                </w:tcPr>
                <w:p w14:paraId="6993A71C">
                  <w:pPr>
                    <w:pStyle w:val="32"/>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采用防渗混凝土硬化地面，等效黏土防渗层Mb≥1.5m，K≤1×10</w:t>
                  </w:r>
                  <w:r>
                    <w:rPr>
                      <w:rFonts w:hint="default" w:ascii="Times New Roman" w:hAnsi="Times New Roman" w:eastAsia="宋体" w:cs="Times New Roman"/>
                      <w:color w:val="auto"/>
                      <w:sz w:val="21"/>
                      <w:szCs w:val="21"/>
                      <w:vertAlign w:val="superscript"/>
                      <w:lang w:val="en-US" w:eastAsia="zh-CN"/>
                    </w:rPr>
                    <w:t>-7</w:t>
                  </w:r>
                  <w:r>
                    <w:rPr>
                      <w:rFonts w:hint="default" w:ascii="Times New Roman" w:hAnsi="Times New Roman" w:eastAsia="宋体" w:cs="Times New Roman"/>
                      <w:color w:val="auto"/>
                      <w:sz w:val="21"/>
                      <w:szCs w:val="21"/>
                      <w:vertAlign w:val="baseline"/>
                      <w:lang w:val="en-US" w:eastAsia="zh-CN"/>
                    </w:rPr>
                    <w:t>cm/s。</w:t>
                  </w:r>
                </w:p>
              </w:tc>
            </w:tr>
            <w:tr w14:paraId="36261C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5" w:type="pct"/>
                  <w:vAlign w:val="center"/>
                </w:tcPr>
                <w:p w14:paraId="4C7D2E6A">
                  <w:pPr>
                    <w:pStyle w:val="32"/>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简单防渗区</w:t>
                  </w:r>
                </w:p>
              </w:tc>
              <w:tc>
                <w:tcPr>
                  <w:tcW w:w="1294" w:type="pct"/>
                  <w:vAlign w:val="center"/>
                </w:tcPr>
                <w:p w14:paraId="19C81100">
                  <w:pPr>
                    <w:pStyle w:val="32"/>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办公室、道路等</w:t>
                  </w:r>
                </w:p>
              </w:tc>
              <w:tc>
                <w:tcPr>
                  <w:tcW w:w="2990" w:type="pct"/>
                  <w:vAlign w:val="center"/>
                </w:tcPr>
                <w:p w14:paraId="51C0CABE">
                  <w:pPr>
                    <w:pStyle w:val="32"/>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简单硬化</w:t>
                  </w:r>
                </w:p>
              </w:tc>
            </w:tr>
          </w:tbl>
          <w:p w14:paraId="5284D040">
            <w:pPr>
              <w:keepNext w:val="0"/>
              <w:keepLines w:val="0"/>
              <w:pageBreakBefore w:val="0"/>
              <w:widowControl w:val="0"/>
              <w:numPr>
                <w:ilvl w:val="0"/>
                <w:numId w:val="0"/>
              </w:numPr>
              <w:kinsoku/>
              <w:wordWrap/>
              <w:overflowPunct/>
              <w:topLinePunct w:val="0"/>
              <w:bidi w:val="0"/>
              <w:spacing w:line="360" w:lineRule="auto"/>
              <w:ind w:right="0" w:rightChars="0" w:firstLine="420" w:firstLineChars="200"/>
              <w:jc w:val="both"/>
              <w:rPr>
                <w:rFonts w:hint="default" w:ascii="Times New Roman" w:hAnsi="Times New Roman" w:eastAsia="宋体" w:cs="Times New Roman"/>
                <w:snapToGrid w:val="0"/>
                <w:color w:val="auto"/>
                <w:sz w:val="21"/>
                <w:szCs w:val="21"/>
                <w:vertAlign w:val="baseline"/>
              </w:rPr>
            </w:pPr>
            <w:r>
              <w:rPr>
                <w:rFonts w:hint="default" w:ascii="Times New Roman" w:hAnsi="Times New Roman" w:eastAsia="宋体" w:cs="Times New Roman"/>
                <w:snapToGrid w:val="0"/>
                <w:color w:val="auto"/>
                <w:sz w:val="21"/>
                <w:szCs w:val="21"/>
                <w:vertAlign w:val="baseline"/>
              </w:rPr>
              <w:t>（</w:t>
            </w:r>
            <w:r>
              <w:rPr>
                <w:rFonts w:hint="default" w:ascii="Times New Roman" w:hAnsi="Times New Roman" w:eastAsia="宋体" w:cs="Times New Roman"/>
                <w:snapToGrid w:val="0"/>
                <w:color w:val="auto"/>
                <w:sz w:val="21"/>
                <w:szCs w:val="21"/>
                <w:vertAlign w:val="baseline"/>
                <w:lang w:val="en-US" w:eastAsia="zh-CN"/>
              </w:rPr>
              <w:t>4</w:t>
            </w:r>
            <w:r>
              <w:rPr>
                <w:rFonts w:hint="default" w:ascii="Times New Roman" w:hAnsi="Times New Roman" w:eastAsia="宋体" w:cs="Times New Roman"/>
                <w:snapToGrid w:val="0"/>
                <w:color w:val="auto"/>
                <w:sz w:val="21"/>
                <w:szCs w:val="21"/>
                <w:vertAlign w:val="baseline"/>
              </w:rPr>
              <w:t>）跟踪监测要求</w:t>
            </w:r>
          </w:p>
          <w:p w14:paraId="5584F2F1">
            <w:pPr>
              <w:keepNext w:val="0"/>
              <w:keepLines w:val="0"/>
              <w:pageBreakBefore w:val="0"/>
              <w:widowControl w:val="0"/>
              <w:numPr>
                <w:ilvl w:val="0"/>
                <w:numId w:val="0"/>
              </w:numPr>
              <w:kinsoku/>
              <w:wordWrap/>
              <w:overflowPunct/>
              <w:topLinePunct w:val="0"/>
              <w:bidi w:val="0"/>
              <w:spacing w:line="360" w:lineRule="auto"/>
              <w:ind w:right="0" w:rightChars="0" w:firstLine="420" w:firstLineChars="200"/>
              <w:jc w:val="both"/>
              <w:rPr>
                <w:rFonts w:hint="default" w:ascii="Times New Roman" w:hAnsi="Times New Roman" w:eastAsia="宋体" w:cs="Times New Roman"/>
                <w:snapToGrid w:val="0"/>
                <w:color w:val="auto"/>
                <w:sz w:val="21"/>
                <w:szCs w:val="21"/>
                <w:vertAlign w:val="baseline"/>
              </w:rPr>
            </w:pPr>
            <w:r>
              <w:rPr>
                <w:rFonts w:hint="default" w:ascii="Times New Roman" w:hAnsi="Times New Roman" w:eastAsia="宋体" w:cs="Times New Roman"/>
                <w:snapToGrid w:val="0"/>
                <w:color w:val="auto"/>
                <w:sz w:val="21"/>
                <w:szCs w:val="21"/>
                <w:vertAlign w:val="baseline"/>
              </w:rPr>
              <w:t>根据以上分析，本项目正常工况下无污染地下水、土壤环境等环境风险源，企业运营期正常工况下不需要针对地下水、土壤环境污染进行跟踪监测。</w:t>
            </w:r>
          </w:p>
          <w:p w14:paraId="0A8566DD">
            <w:pPr>
              <w:keepNext w:val="0"/>
              <w:keepLines w:val="0"/>
              <w:pageBreakBefore w:val="0"/>
              <w:widowControl w:val="0"/>
              <w:numPr>
                <w:ilvl w:val="0"/>
                <w:numId w:val="0"/>
              </w:numPr>
              <w:kinsoku/>
              <w:wordWrap/>
              <w:overflowPunct/>
              <w:topLinePunct w:val="0"/>
              <w:bidi w:val="0"/>
              <w:spacing w:line="360" w:lineRule="auto"/>
              <w:ind w:right="0" w:rightChars="0" w:firstLine="420" w:firstLineChars="200"/>
              <w:jc w:val="both"/>
              <w:rPr>
                <w:rFonts w:hint="default" w:ascii="Times New Roman" w:hAnsi="Times New Roman" w:eastAsia="宋体" w:cs="Times New Roman"/>
                <w:snapToGrid w:val="0"/>
                <w:color w:val="auto"/>
                <w:sz w:val="21"/>
                <w:szCs w:val="21"/>
                <w:vertAlign w:val="baseline"/>
              </w:rPr>
            </w:pPr>
            <w:r>
              <w:rPr>
                <w:rFonts w:hint="default" w:ascii="Times New Roman" w:hAnsi="Times New Roman" w:eastAsia="宋体" w:cs="Times New Roman"/>
                <w:snapToGrid w:val="0"/>
                <w:color w:val="auto"/>
                <w:sz w:val="21"/>
                <w:szCs w:val="21"/>
                <w:vertAlign w:val="baseline"/>
              </w:rPr>
              <w:t>2、土壤环境影响和保护措施分析</w:t>
            </w:r>
          </w:p>
          <w:p w14:paraId="75904D15">
            <w:pPr>
              <w:keepNext w:val="0"/>
              <w:keepLines w:val="0"/>
              <w:pageBreakBefore w:val="0"/>
              <w:widowControl w:val="0"/>
              <w:numPr>
                <w:ilvl w:val="0"/>
                <w:numId w:val="0"/>
              </w:numPr>
              <w:kinsoku/>
              <w:wordWrap/>
              <w:overflowPunct/>
              <w:topLinePunct w:val="0"/>
              <w:bidi w:val="0"/>
              <w:spacing w:line="360" w:lineRule="auto"/>
              <w:ind w:right="0" w:rightChars="0" w:firstLine="420" w:firstLineChars="200"/>
              <w:jc w:val="both"/>
              <w:rPr>
                <w:rFonts w:hint="default" w:ascii="Times New Roman" w:hAnsi="Times New Roman" w:eastAsia="宋体" w:cs="Times New Roman"/>
                <w:snapToGrid w:val="0"/>
                <w:color w:val="auto"/>
                <w:sz w:val="21"/>
                <w:szCs w:val="21"/>
                <w:vertAlign w:val="baseline"/>
              </w:rPr>
            </w:pPr>
            <w:r>
              <w:rPr>
                <w:rFonts w:hint="default" w:ascii="Times New Roman" w:hAnsi="Times New Roman" w:eastAsia="宋体" w:cs="Times New Roman"/>
                <w:snapToGrid w:val="0"/>
                <w:color w:val="auto"/>
                <w:sz w:val="21"/>
                <w:szCs w:val="21"/>
                <w:vertAlign w:val="baseline"/>
              </w:rPr>
              <w:t>（1）土壤环境影响分析</w:t>
            </w:r>
          </w:p>
          <w:p w14:paraId="67746D09">
            <w:pPr>
              <w:keepNext w:val="0"/>
              <w:keepLines w:val="0"/>
              <w:pageBreakBefore w:val="0"/>
              <w:widowControl w:val="0"/>
              <w:numPr>
                <w:ilvl w:val="0"/>
                <w:numId w:val="0"/>
              </w:numPr>
              <w:kinsoku/>
              <w:wordWrap/>
              <w:overflowPunct/>
              <w:topLinePunct w:val="0"/>
              <w:bidi w:val="0"/>
              <w:spacing w:line="360" w:lineRule="auto"/>
              <w:ind w:right="0" w:rightChars="0" w:firstLine="420" w:firstLineChars="200"/>
              <w:jc w:val="both"/>
              <w:rPr>
                <w:rFonts w:hint="default" w:ascii="Times New Roman" w:hAnsi="Times New Roman" w:eastAsia="宋体" w:cs="Times New Roman"/>
                <w:snapToGrid w:val="0"/>
                <w:color w:val="auto"/>
                <w:sz w:val="21"/>
                <w:szCs w:val="21"/>
                <w:vertAlign w:val="baseline"/>
              </w:rPr>
            </w:pPr>
            <w:r>
              <w:rPr>
                <w:rFonts w:hint="default" w:ascii="Times New Roman" w:hAnsi="Times New Roman" w:eastAsia="宋体" w:cs="Times New Roman"/>
                <w:snapToGrid w:val="0"/>
                <w:color w:val="auto"/>
                <w:sz w:val="21"/>
                <w:szCs w:val="21"/>
                <w:vertAlign w:val="baseline"/>
              </w:rPr>
              <w:t>土壤污染是指人类活动所产生的物质（污染物），通过各种途径进入土壤，其数量和速度超过了土壤的容纳能力和净化速度的现象。土壤污染可使土壤的性质、组成及性状等发生变化，使污染物质的积累过程逐渐占据优势，破坏土壤的自然动态平衡，从而导致土壤自然正常功能失调，土壤质量恶化，影响作物的生长发育，以致造成产量和质量的下降，并可通过食物链危害生物和人类健康。</w:t>
            </w:r>
          </w:p>
          <w:p w14:paraId="2FD1E2A7">
            <w:pPr>
              <w:keepNext w:val="0"/>
              <w:keepLines w:val="0"/>
              <w:pageBreakBefore w:val="0"/>
              <w:widowControl w:val="0"/>
              <w:numPr>
                <w:ilvl w:val="0"/>
                <w:numId w:val="0"/>
              </w:numPr>
              <w:kinsoku/>
              <w:wordWrap/>
              <w:overflowPunct/>
              <w:topLinePunct w:val="0"/>
              <w:bidi w:val="0"/>
              <w:spacing w:line="360" w:lineRule="auto"/>
              <w:ind w:right="0" w:rightChars="0" w:firstLine="420" w:firstLineChars="200"/>
              <w:jc w:val="both"/>
              <w:rPr>
                <w:rFonts w:hint="default" w:ascii="Times New Roman" w:hAnsi="Times New Roman" w:eastAsia="宋体" w:cs="Times New Roman"/>
                <w:snapToGrid w:val="0"/>
                <w:color w:val="auto"/>
                <w:sz w:val="21"/>
                <w:szCs w:val="21"/>
                <w:vertAlign w:val="baseline"/>
              </w:rPr>
            </w:pPr>
            <w:r>
              <w:rPr>
                <w:rFonts w:hint="default" w:ascii="Times New Roman" w:hAnsi="Times New Roman" w:eastAsia="宋体" w:cs="Times New Roman"/>
                <w:snapToGrid w:val="0"/>
                <w:color w:val="auto"/>
                <w:sz w:val="21"/>
                <w:szCs w:val="21"/>
                <w:vertAlign w:val="baseline"/>
              </w:rPr>
              <w:t>污染物可以通过多种途径进入土壤，主要类型有以下两种。</w:t>
            </w:r>
          </w:p>
          <w:p w14:paraId="6D9531D4">
            <w:pPr>
              <w:keepNext w:val="0"/>
              <w:keepLines w:val="0"/>
              <w:pageBreakBefore w:val="0"/>
              <w:widowControl w:val="0"/>
              <w:numPr>
                <w:ilvl w:val="0"/>
                <w:numId w:val="0"/>
              </w:numPr>
              <w:kinsoku/>
              <w:wordWrap/>
              <w:overflowPunct/>
              <w:topLinePunct w:val="0"/>
              <w:bidi w:val="0"/>
              <w:spacing w:line="360" w:lineRule="auto"/>
              <w:ind w:right="0" w:rightChars="0" w:firstLine="420" w:firstLineChars="200"/>
              <w:jc w:val="both"/>
              <w:rPr>
                <w:rFonts w:hint="default" w:ascii="Times New Roman" w:hAnsi="Times New Roman" w:eastAsia="宋体" w:cs="Times New Roman"/>
                <w:snapToGrid w:val="0"/>
                <w:color w:val="auto"/>
                <w:sz w:val="21"/>
                <w:szCs w:val="21"/>
                <w:vertAlign w:val="baseline"/>
              </w:rPr>
            </w:pPr>
            <w:r>
              <w:rPr>
                <w:rFonts w:hint="default" w:ascii="Times New Roman" w:hAnsi="Times New Roman" w:eastAsia="宋体" w:cs="Times New Roman"/>
                <w:snapToGrid w:val="0"/>
                <w:color w:val="auto"/>
                <w:sz w:val="21"/>
                <w:szCs w:val="21"/>
                <w:vertAlign w:val="baseline"/>
              </w:rPr>
              <w:t>①大气沉降：本项目排放废气中</w:t>
            </w:r>
            <w:r>
              <w:rPr>
                <w:rFonts w:hint="default" w:ascii="Times New Roman" w:hAnsi="Times New Roman" w:eastAsia="宋体" w:cs="Times New Roman"/>
                <w:snapToGrid w:val="0"/>
                <w:color w:val="auto"/>
                <w:sz w:val="21"/>
                <w:szCs w:val="21"/>
                <w:vertAlign w:val="baseline"/>
                <w:lang w:val="en-US" w:eastAsia="zh-CN"/>
              </w:rPr>
              <w:t>颗粒物</w:t>
            </w:r>
            <w:r>
              <w:rPr>
                <w:rFonts w:hint="default" w:ascii="Times New Roman" w:hAnsi="Times New Roman" w:eastAsia="宋体" w:cs="Times New Roman"/>
                <w:snapToGrid w:val="0"/>
                <w:color w:val="auto"/>
                <w:sz w:val="21"/>
                <w:szCs w:val="21"/>
                <w:vertAlign w:val="baseline"/>
              </w:rPr>
              <w:t>聚集在附近土壤的表层，污染土壤环境，引起土壤土质发生变化，破坏土壤肥力与生态系统的平衡。</w:t>
            </w:r>
          </w:p>
          <w:p w14:paraId="7AAD4BC4">
            <w:pPr>
              <w:keepNext w:val="0"/>
              <w:keepLines w:val="0"/>
              <w:pageBreakBefore w:val="0"/>
              <w:widowControl w:val="0"/>
              <w:numPr>
                <w:ilvl w:val="0"/>
                <w:numId w:val="0"/>
              </w:numPr>
              <w:kinsoku/>
              <w:wordWrap/>
              <w:overflowPunct/>
              <w:topLinePunct w:val="0"/>
              <w:bidi w:val="0"/>
              <w:spacing w:line="360" w:lineRule="auto"/>
              <w:ind w:right="0" w:rightChars="0" w:firstLine="420" w:firstLineChars="200"/>
              <w:jc w:val="both"/>
              <w:rPr>
                <w:rFonts w:hint="default" w:ascii="Times New Roman" w:hAnsi="Times New Roman" w:eastAsia="宋体" w:cs="Times New Roman"/>
                <w:snapToGrid w:val="0"/>
                <w:color w:val="auto"/>
                <w:sz w:val="21"/>
                <w:szCs w:val="21"/>
                <w:vertAlign w:val="baseline"/>
              </w:rPr>
            </w:pPr>
            <w:r>
              <w:rPr>
                <w:rFonts w:hint="default" w:ascii="Times New Roman" w:hAnsi="Times New Roman" w:eastAsia="宋体" w:cs="Times New Roman"/>
                <w:snapToGrid w:val="0"/>
                <w:color w:val="auto"/>
                <w:sz w:val="21"/>
                <w:szCs w:val="21"/>
                <w:vertAlign w:val="baseline"/>
              </w:rPr>
              <w:t>②垂直入渗：</w:t>
            </w:r>
            <w:r>
              <w:rPr>
                <w:rFonts w:hint="default" w:ascii="Times New Roman" w:hAnsi="Times New Roman" w:eastAsia="宋体" w:cs="Times New Roman"/>
                <w:snapToGrid w:val="0"/>
                <w:color w:val="auto"/>
                <w:sz w:val="21"/>
                <w:szCs w:val="21"/>
                <w:vertAlign w:val="baseline"/>
                <w:lang w:val="en-US" w:eastAsia="zh-CN"/>
              </w:rPr>
              <w:t>化粪池</w:t>
            </w:r>
            <w:r>
              <w:rPr>
                <w:rFonts w:hint="default" w:ascii="Times New Roman" w:hAnsi="Times New Roman" w:eastAsia="宋体" w:cs="Times New Roman"/>
                <w:snapToGrid w:val="0"/>
                <w:color w:val="auto"/>
                <w:sz w:val="21"/>
                <w:szCs w:val="21"/>
                <w:vertAlign w:val="baseline"/>
              </w:rPr>
              <w:t>等防渗措施不到位，下渗等直接或间接地污染土壤。</w:t>
            </w:r>
          </w:p>
          <w:p w14:paraId="4C7C8C09">
            <w:pPr>
              <w:keepNext w:val="0"/>
              <w:keepLines w:val="0"/>
              <w:pageBreakBefore w:val="0"/>
              <w:widowControl w:val="0"/>
              <w:numPr>
                <w:ilvl w:val="0"/>
                <w:numId w:val="0"/>
              </w:numPr>
              <w:kinsoku/>
              <w:wordWrap/>
              <w:overflowPunct/>
              <w:topLinePunct w:val="0"/>
              <w:bidi w:val="0"/>
              <w:spacing w:line="360" w:lineRule="auto"/>
              <w:ind w:right="0" w:rightChars="0" w:firstLine="420" w:firstLineChars="200"/>
              <w:jc w:val="both"/>
              <w:rPr>
                <w:rFonts w:hint="default" w:ascii="Times New Roman" w:hAnsi="Times New Roman" w:eastAsia="宋体" w:cs="Times New Roman"/>
                <w:snapToGrid w:val="0"/>
                <w:color w:val="auto"/>
                <w:sz w:val="21"/>
                <w:szCs w:val="21"/>
                <w:vertAlign w:val="baseline"/>
              </w:rPr>
            </w:pPr>
            <w:r>
              <w:rPr>
                <w:rFonts w:hint="default" w:ascii="Times New Roman" w:hAnsi="Times New Roman" w:eastAsia="宋体" w:cs="Times New Roman"/>
                <w:snapToGrid w:val="0"/>
                <w:color w:val="auto"/>
                <w:sz w:val="21"/>
                <w:szCs w:val="21"/>
                <w:vertAlign w:val="baseline"/>
              </w:rPr>
              <w:t>（2）土壤污染控制措施</w:t>
            </w:r>
          </w:p>
          <w:p w14:paraId="5D40FBB5">
            <w:pPr>
              <w:keepNext w:val="0"/>
              <w:keepLines w:val="0"/>
              <w:pageBreakBefore w:val="0"/>
              <w:widowControl w:val="0"/>
              <w:numPr>
                <w:ilvl w:val="0"/>
                <w:numId w:val="0"/>
              </w:numPr>
              <w:kinsoku/>
              <w:wordWrap/>
              <w:overflowPunct/>
              <w:topLinePunct w:val="0"/>
              <w:bidi w:val="0"/>
              <w:spacing w:line="360" w:lineRule="auto"/>
              <w:ind w:right="0" w:rightChars="0" w:firstLine="420" w:firstLineChars="200"/>
              <w:jc w:val="both"/>
              <w:rPr>
                <w:rFonts w:hint="default" w:ascii="Times New Roman" w:hAnsi="Times New Roman" w:eastAsia="宋体" w:cs="Times New Roman"/>
                <w:snapToGrid w:val="0"/>
                <w:color w:val="auto"/>
                <w:sz w:val="21"/>
                <w:szCs w:val="21"/>
                <w:vertAlign w:val="baseline"/>
              </w:rPr>
            </w:pPr>
            <w:r>
              <w:rPr>
                <w:rFonts w:hint="default" w:ascii="Times New Roman" w:hAnsi="Times New Roman" w:eastAsia="宋体" w:cs="Times New Roman"/>
                <w:snapToGrid w:val="0"/>
                <w:color w:val="auto"/>
                <w:sz w:val="21"/>
                <w:szCs w:val="21"/>
                <w:vertAlign w:val="baseline"/>
              </w:rPr>
              <w:t>①参考上述地下水防渗措施；</w:t>
            </w:r>
          </w:p>
          <w:p w14:paraId="332F8747">
            <w:pPr>
              <w:keepNext w:val="0"/>
              <w:keepLines w:val="0"/>
              <w:pageBreakBefore w:val="0"/>
              <w:widowControl w:val="0"/>
              <w:numPr>
                <w:ilvl w:val="0"/>
                <w:numId w:val="0"/>
              </w:numPr>
              <w:kinsoku/>
              <w:wordWrap/>
              <w:overflowPunct/>
              <w:topLinePunct w:val="0"/>
              <w:bidi w:val="0"/>
              <w:spacing w:line="360" w:lineRule="auto"/>
              <w:ind w:right="0" w:rightChars="0" w:firstLine="420" w:firstLineChars="200"/>
              <w:jc w:val="both"/>
              <w:rPr>
                <w:rFonts w:hint="default" w:ascii="Times New Roman" w:hAnsi="Times New Roman" w:eastAsia="宋体" w:cs="Times New Roman"/>
                <w:snapToGrid w:val="0"/>
                <w:color w:val="auto"/>
                <w:sz w:val="21"/>
                <w:szCs w:val="21"/>
                <w:vertAlign w:val="baseline"/>
              </w:rPr>
            </w:pPr>
            <w:r>
              <w:rPr>
                <w:rFonts w:hint="default" w:ascii="Times New Roman" w:hAnsi="Times New Roman" w:eastAsia="宋体" w:cs="Times New Roman"/>
                <w:snapToGrid w:val="0"/>
                <w:color w:val="auto"/>
                <w:sz w:val="21"/>
                <w:szCs w:val="21"/>
                <w:vertAlign w:val="baseline"/>
              </w:rPr>
              <w:t>②增加厂区范围内绿化面积，以种植具有较强吸附能力的植物为主。</w:t>
            </w:r>
          </w:p>
          <w:p w14:paraId="3A3E4E6C">
            <w:pPr>
              <w:keepNext w:val="0"/>
              <w:keepLines w:val="0"/>
              <w:pageBreakBefore w:val="0"/>
              <w:widowControl w:val="0"/>
              <w:numPr>
                <w:ilvl w:val="0"/>
                <w:numId w:val="0"/>
              </w:numPr>
              <w:kinsoku/>
              <w:wordWrap/>
              <w:overflowPunct/>
              <w:topLinePunct w:val="0"/>
              <w:bidi w:val="0"/>
              <w:spacing w:line="360" w:lineRule="auto"/>
              <w:ind w:right="0" w:rightChars="0" w:firstLine="420" w:firstLineChars="200"/>
              <w:jc w:val="both"/>
              <w:rPr>
                <w:rFonts w:hint="default" w:ascii="Times New Roman" w:hAnsi="Times New Roman" w:eastAsia="宋体" w:cs="Times New Roman"/>
                <w:snapToGrid w:val="0"/>
                <w:color w:val="auto"/>
                <w:sz w:val="21"/>
                <w:szCs w:val="21"/>
                <w:vertAlign w:val="baseline"/>
              </w:rPr>
            </w:pPr>
            <w:r>
              <w:rPr>
                <w:rFonts w:hint="default" w:ascii="Times New Roman" w:hAnsi="Times New Roman" w:eastAsia="宋体" w:cs="Times New Roman"/>
                <w:snapToGrid w:val="0"/>
                <w:color w:val="auto"/>
                <w:sz w:val="21"/>
                <w:szCs w:val="21"/>
                <w:vertAlign w:val="baseline"/>
              </w:rPr>
              <w:t>六、生态环境影响</w:t>
            </w:r>
          </w:p>
          <w:p w14:paraId="6C08F0DC">
            <w:pPr>
              <w:keepNext w:val="0"/>
              <w:keepLines w:val="0"/>
              <w:pageBreakBefore w:val="0"/>
              <w:widowControl w:val="0"/>
              <w:numPr>
                <w:ilvl w:val="0"/>
                <w:numId w:val="0"/>
              </w:numPr>
              <w:kinsoku/>
              <w:wordWrap/>
              <w:overflowPunct/>
              <w:topLinePunct w:val="0"/>
              <w:bidi w:val="0"/>
              <w:spacing w:line="360" w:lineRule="auto"/>
              <w:ind w:right="0" w:rightChars="0" w:firstLine="420" w:firstLineChars="200"/>
              <w:jc w:val="both"/>
              <w:rPr>
                <w:rFonts w:hint="default" w:ascii="Times New Roman" w:hAnsi="Times New Roman" w:eastAsia="宋体" w:cs="Times New Roman"/>
                <w:snapToGrid w:val="0"/>
                <w:color w:val="auto"/>
                <w:sz w:val="21"/>
                <w:szCs w:val="21"/>
                <w:vertAlign w:val="baseline"/>
              </w:rPr>
            </w:pPr>
            <w:r>
              <w:rPr>
                <w:rFonts w:hint="default" w:ascii="Times New Roman" w:hAnsi="Times New Roman" w:eastAsia="宋体" w:cs="Times New Roman"/>
                <w:snapToGrid w:val="0"/>
                <w:color w:val="auto"/>
                <w:sz w:val="21"/>
                <w:szCs w:val="21"/>
                <w:vertAlign w:val="baseline"/>
              </w:rPr>
              <w:t>本项目用地范围内无珍稀动植物物种，生态环境质量一般，用地范围内无生态环境保护目标。项目占地内原有生物物种在项目周围地域广泛存在，基本不影响评价区域的生物多样性，项目运营对周围生态环境基本上没有产生明显的影响。</w:t>
            </w:r>
          </w:p>
          <w:p w14:paraId="1CD39F2D">
            <w:pPr>
              <w:keepNext w:val="0"/>
              <w:keepLines w:val="0"/>
              <w:pageBreakBefore w:val="0"/>
              <w:widowControl w:val="0"/>
              <w:numPr>
                <w:ilvl w:val="0"/>
                <w:numId w:val="0"/>
              </w:numPr>
              <w:kinsoku/>
              <w:wordWrap/>
              <w:overflowPunct/>
              <w:topLinePunct w:val="0"/>
              <w:bidi w:val="0"/>
              <w:spacing w:line="360" w:lineRule="auto"/>
              <w:ind w:right="0" w:rightChars="0" w:firstLine="420" w:firstLineChars="200"/>
              <w:jc w:val="both"/>
              <w:rPr>
                <w:rFonts w:hint="default" w:ascii="Times New Roman" w:hAnsi="Times New Roman" w:eastAsia="宋体" w:cs="Times New Roman"/>
                <w:snapToGrid w:val="0"/>
                <w:color w:val="auto"/>
                <w:sz w:val="21"/>
                <w:szCs w:val="21"/>
                <w:vertAlign w:val="baseline"/>
              </w:rPr>
            </w:pPr>
            <w:r>
              <w:rPr>
                <w:rFonts w:hint="default" w:ascii="Times New Roman" w:hAnsi="Times New Roman" w:eastAsia="宋体" w:cs="Times New Roman"/>
                <w:snapToGrid w:val="0"/>
                <w:color w:val="auto"/>
                <w:sz w:val="21"/>
                <w:szCs w:val="21"/>
                <w:vertAlign w:val="baseline"/>
              </w:rPr>
              <w:t>七、环境风险评价</w:t>
            </w:r>
          </w:p>
          <w:p w14:paraId="567355AC">
            <w:pPr>
              <w:keepNext w:val="0"/>
              <w:keepLines w:val="0"/>
              <w:pageBreakBefore w:val="0"/>
              <w:widowControl w:val="0"/>
              <w:numPr>
                <w:ilvl w:val="0"/>
                <w:numId w:val="0"/>
              </w:numPr>
              <w:kinsoku/>
              <w:wordWrap/>
              <w:overflowPunct/>
              <w:topLinePunct w:val="0"/>
              <w:bidi w:val="0"/>
              <w:spacing w:line="360" w:lineRule="auto"/>
              <w:ind w:right="0" w:rightChars="0" w:firstLine="420" w:firstLineChars="200"/>
              <w:jc w:val="both"/>
              <w:rPr>
                <w:rFonts w:hint="default" w:ascii="Times New Roman" w:hAnsi="Times New Roman" w:eastAsia="宋体" w:cs="Times New Roman"/>
                <w:snapToGrid w:val="0"/>
                <w:color w:val="auto"/>
                <w:sz w:val="21"/>
                <w:szCs w:val="21"/>
                <w:vertAlign w:val="baseline"/>
              </w:rPr>
            </w:pPr>
            <w:r>
              <w:rPr>
                <w:rFonts w:hint="default" w:ascii="Times New Roman" w:hAnsi="Times New Roman" w:eastAsia="宋体" w:cs="Times New Roman"/>
                <w:snapToGrid w:val="0"/>
                <w:color w:val="auto"/>
                <w:sz w:val="21"/>
                <w:szCs w:val="21"/>
                <w:vertAlign w:val="baseline"/>
              </w:rPr>
              <w:t>1、风险物质调查及评价等级</w:t>
            </w:r>
          </w:p>
          <w:p w14:paraId="26A8A78C">
            <w:pPr>
              <w:pStyle w:val="34"/>
              <w:widowControl/>
              <w:spacing w:line="360" w:lineRule="auto"/>
              <w:ind w:firstLine="480"/>
              <w:jc w:val="both"/>
              <w:rPr>
                <w:rFonts w:hint="default" w:ascii="Times New Roman" w:hAnsi="Times New Roman" w:eastAsia="宋体" w:cs="Times New Roman"/>
                <w:color w:val="auto"/>
                <w:sz w:val="21"/>
                <w:szCs w:val="21"/>
              </w:rPr>
            </w:pPr>
            <w:r>
              <w:rPr>
                <w:rFonts w:hint="default" w:ascii="Times New Roman" w:hAnsi="Times New Roman" w:eastAsia="宋体" w:cs="Times New Roman"/>
                <w:b w:val="0"/>
                <w:bCs w:val="0"/>
                <w:color w:val="auto"/>
                <w:sz w:val="21"/>
                <w:szCs w:val="21"/>
              </w:rPr>
              <w:t>环境风险是指突发性事故造成的危害程度和可能性，其特点是危害大、影响范围广、发生概率具有很大的不确定性</w:t>
            </w:r>
            <w:r>
              <w:rPr>
                <w:rFonts w:hint="default" w:ascii="Times New Roman" w:hAnsi="Times New Roman" w:eastAsia="宋体" w:cs="Times New Roman"/>
                <w:color w:val="auto"/>
                <w:sz w:val="21"/>
                <w:szCs w:val="21"/>
              </w:rPr>
              <w:t>。环境风险评价的目的是分析和预测本项目存在的潜在危险、有害因素</w:t>
            </w:r>
            <w:r>
              <w:rPr>
                <w:rFonts w:hint="default" w:ascii="Times New Roman" w:hAnsi="Times New Roman" w:eastAsia="宋体" w:cs="Times New Roman"/>
                <w:color w:val="auto"/>
                <w:sz w:val="21"/>
                <w:szCs w:val="21"/>
                <w:lang w:eastAsia="zh-CN"/>
              </w:rPr>
              <w:t>，对</w:t>
            </w:r>
            <w:r>
              <w:rPr>
                <w:rFonts w:hint="default" w:ascii="Times New Roman" w:hAnsi="Times New Roman" w:eastAsia="宋体" w:cs="Times New Roman"/>
                <w:color w:val="auto"/>
                <w:sz w:val="21"/>
                <w:szCs w:val="21"/>
              </w:rPr>
              <w:t>本项目运行期间可能发生的突发性事件或事故（一般不包括人为破坏及自然灾害），引起有毒有害和易燃易爆等物质泄漏，所造成的人身安全、环境影响及其损害程度，提出合理可行的防范、应急与减缓措施，以使建设项目事故率、损失和环境影响达到可接受水平。</w:t>
            </w:r>
          </w:p>
          <w:p w14:paraId="4E88BF71">
            <w:pPr>
              <w:pStyle w:val="34"/>
              <w:widowControl/>
              <w:spacing w:line="360" w:lineRule="auto"/>
              <w:ind w:firstLine="480"/>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val="en-US" w:eastAsia="zh-CN"/>
              </w:rPr>
              <w:t>1</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环境风险潜势初判与评价等级划分</w:t>
            </w:r>
          </w:p>
          <w:p w14:paraId="784D5FA1">
            <w:pPr>
              <w:pStyle w:val="34"/>
              <w:widowControl/>
              <w:spacing w:line="360" w:lineRule="auto"/>
              <w:ind w:firstLine="480"/>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1）环境风险潜势初判</w:t>
            </w:r>
          </w:p>
          <w:p w14:paraId="2D340B96">
            <w:pPr>
              <w:pStyle w:val="34"/>
              <w:widowControl/>
              <w:spacing w:line="360" w:lineRule="auto"/>
              <w:ind w:firstLine="480"/>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计算所涉及的每种环境风险物质在厂界内的最大存在总量（如存在总量呈动态变化，则按公历年度内某一天最大存在总量计算；在不同厂区的同一种物质，按其在厂界内的最大存在总量计算）与其在附录B中对应的临界量的比值Q：</w:t>
            </w:r>
          </w:p>
          <w:p w14:paraId="3A06C4C2">
            <w:pPr>
              <w:pStyle w:val="34"/>
              <w:widowControl/>
              <w:spacing w:line="360" w:lineRule="auto"/>
              <w:ind w:firstLine="480"/>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当企业只涉及一种环境危险物质时，计算该物质的总数量与其临界量比值，即为Q；</w:t>
            </w:r>
          </w:p>
          <w:p w14:paraId="7E6453D1">
            <w:pPr>
              <w:pStyle w:val="34"/>
              <w:widowControl/>
              <w:spacing w:line="360" w:lineRule="auto"/>
              <w:ind w:firstLine="480"/>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当企业存在多种环境危险物质时，则按下式计算物质总量与其临界量比值：</w:t>
            </w:r>
          </w:p>
          <w:p w14:paraId="120B3274">
            <w:pPr>
              <w:pStyle w:val="34"/>
              <w:widowControl/>
              <w:spacing w:line="360" w:lineRule="auto"/>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rPr>
              <w:drawing>
                <wp:inline distT="0" distB="0" distL="114300" distR="114300">
                  <wp:extent cx="3726180" cy="668655"/>
                  <wp:effectExtent l="0" t="0" r="7620" b="17145"/>
                  <wp:docPr id="2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6"/>
                          <pic:cNvPicPr>
                            <a:picLocks noChangeAspect="1"/>
                          </pic:cNvPicPr>
                        </pic:nvPicPr>
                        <pic:blipFill>
                          <a:blip r:embed="rId30"/>
                          <a:stretch>
                            <a:fillRect/>
                          </a:stretch>
                        </pic:blipFill>
                        <pic:spPr>
                          <a:xfrm>
                            <a:off x="0" y="0"/>
                            <a:ext cx="3726180" cy="668655"/>
                          </a:xfrm>
                          <a:prstGeom prst="rect">
                            <a:avLst/>
                          </a:prstGeom>
                          <a:noFill/>
                          <a:ln>
                            <a:noFill/>
                          </a:ln>
                        </pic:spPr>
                      </pic:pic>
                    </a:graphicData>
                  </a:graphic>
                </wp:inline>
              </w:drawing>
            </w:r>
          </w:p>
          <w:p w14:paraId="61EE2284">
            <w:pPr>
              <w:pStyle w:val="34"/>
              <w:widowControl/>
              <w:spacing w:line="360" w:lineRule="auto"/>
              <w:ind w:firstLine="480"/>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式中：q——该物质最大存在量，t；</w:t>
            </w:r>
          </w:p>
          <w:p w14:paraId="4C5826AC">
            <w:pPr>
              <w:pStyle w:val="34"/>
              <w:widowControl/>
              <w:spacing w:line="360" w:lineRule="auto"/>
              <w:ind w:firstLine="1050" w:firstLineChars="500"/>
              <w:jc w:val="both"/>
              <w:rPr>
                <w:rFonts w:hint="default" w:ascii="Times New Roman" w:hAnsi="Times New Roman" w:eastAsia="宋体" w:cs="Times New Roman"/>
                <w:b/>
                <w:bCs/>
                <w:color w:val="auto"/>
                <w:sz w:val="21"/>
                <w:szCs w:val="21"/>
              </w:rPr>
            </w:pPr>
            <w:r>
              <w:rPr>
                <w:rFonts w:hint="default" w:ascii="Times New Roman" w:hAnsi="Times New Roman" w:eastAsia="宋体" w:cs="Times New Roman"/>
                <w:color w:val="auto"/>
                <w:sz w:val="21"/>
                <w:szCs w:val="21"/>
              </w:rPr>
              <w:t>Q</w:t>
            </w:r>
            <w:r>
              <w:rPr>
                <w:rFonts w:hint="default" w:ascii="Times New Roman" w:hAnsi="Times New Roman" w:eastAsia="宋体" w:cs="Times New Roman"/>
                <w:color w:val="auto"/>
                <w:sz w:val="21"/>
                <w:szCs w:val="21"/>
                <w:vertAlign w:val="subscript"/>
                <w:lang w:val="en-US" w:eastAsia="zh-CN"/>
              </w:rPr>
              <w:t>n</w:t>
            </w:r>
            <w:r>
              <w:rPr>
                <w:rFonts w:hint="default" w:ascii="Times New Roman" w:hAnsi="Times New Roman" w:eastAsia="宋体" w:cs="Times New Roman"/>
                <w:color w:val="auto"/>
                <w:sz w:val="21"/>
                <w:szCs w:val="21"/>
              </w:rPr>
              <w:t>——该物质临界量t。</w:t>
            </w:r>
          </w:p>
          <w:p w14:paraId="5CA4996B">
            <w:pPr>
              <w:snapToGrid w:val="0"/>
              <w:jc w:val="center"/>
              <w:rPr>
                <w:rFonts w:hint="default" w:ascii="Times New Roman" w:hAnsi="Times New Roman" w:eastAsia="宋体" w:cs="Times New Roman"/>
                <w:b/>
                <w:bCs/>
                <w:color w:val="auto"/>
                <w:kern w:val="0"/>
                <w:sz w:val="21"/>
                <w:szCs w:val="21"/>
              </w:rPr>
            </w:pPr>
            <w:r>
              <w:rPr>
                <w:rFonts w:hint="default" w:ascii="Times New Roman" w:hAnsi="Times New Roman" w:eastAsia="宋体" w:cs="Times New Roman"/>
                <w:b/>
                <w:bCs/>
                <w:color w:val="auto"/>
                <w:kern w:val="0"/>
                <w:sz w:val="21"/>
                <w:szCs w:val="21"/>
              </w:rPr>
              <w:t>表</w:t>
            </w:r>
            <w:r>
              <w:rPr>
                <w:rFonts w:hint="default" w:ascii="Times New Roman" w:hAnsi="Times New Roman" w:eastAsia="宋体" w:cs="Times New Roman"/>
                <w:b/>
                <w:bCs/>
                <w:color w:val="auto"/>
                <w:kern w:val="0"/>
                <w:sz w:val="21"/>
                <w:szCs w:val="21"/>
                <w:lang w:val="en-US" w:eastAsia="zh-CN"/>
              </w:rPr>
              <w:t xml:space="preserve">4-13 </w:t>
            </w:r>
            <w:r>
              <w:rPr>
                <w:rFonts w:hint="default" w:ascii="Times New Roman" w:hAnsi="Times New Roman" w:eastAsia="宋体" w:cs="Times New Roman"/>
                <w:b/>
                <w:bCs/>
                <w:color w:val="auto"/>
                <w:kern w:val="0"/>
                <w:sz w:val="21"/>
                <w:szCs w:val="21"/>
              </w:rPr>
              <w:t xml:space="preserve"> Q值划分</w:t>
            </w:r>
          </w:p>
          <w:tbl>
            <w:tblPr>
              <w:tblStyle w:val="14"/>
              <w:tblW w:w="4996"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1648"/>
              <w:gridCol w:w="2132"/>
              <w:gridCol w:w="3871"/>
            </w:tblGrid>
            <w:tr w14:paraId="2633111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2" w:hRule="atLeast"/>
                <w:jc w:val="center"/>
              </w:trPr>
              <w:tc>
                <w:tcPr>
                  <w:tcW w:w="1077" w:type="pct"/>
                  <w:tcBorders>
                    <w:tl2br w:val="nil"/>
                    <w:tr2bl w:val="nil"/>
                  </w:tcBorders>
                  <w:vAlign w:val="center"/>
                </w:tcPr>
                <w:p w14:paraId="03FECEC7">
                  <w:pPr>
                    <w:pStyle w:val="22"/>
                    <w:ind w:left="0" w:leftChars="0" w:right="0" w:rightChars="0" w:firstLine="0" w:firstLineChars="0"/>
                    <w:jc w:val="center"/>
                    <w:rPr>
                      <w:rFonts w:hint="default" w:ascii="Times New Roman" w:hAnsi="Times New Roman" w:eastAsia="宋体" w:cs="Times New Roman"/>
                      <w:b/>
                      <w:bCs w:val="0"/>
                      <w:color w:val="auto"/>
                      <w:sz w:val="21"/>
                      <w:szCs w:val="21"/>
                      <w:lang w:eastAsia="zh-CN"/>
                    </w:rPr>
                  </w:pPr>
                  <w:r>
                    <w:rPr>
                      <w:rFonts w:hint="default" w:ascii="Times New Roman" w:hAnsi="Times New Roman" w:eastAsia="宋体" w:cs="Times New Roman"/>
                      <w:b/>
                      <w:bCs w:val="0"/>
                      <w:color w:val="auto"/>
                      <w:sz w:val="21"/>
                      <w:szCs w:val="21"/>
                      <w:lang w:eastAsia="zh-CN"/>
                    </w:rPr>
                    <w:t>序号</w:t>
                  </w:r>
                </w:p>
              </w:tc>
              <w:tc>
                <w:tcPr>
                  <w:tcW w:w="3922" w:type="pct"/>
                  <w:gridSpan w:val="2"/>
                  <w:tcBorders>
                    <w:tl2br w:val="nil"/>
                    <w:tr2bl w:val="nil"/>
                  </w:tcBorders>
                  <w:vAlign w:val="center"/>
                </w:tcPr>
                <w:p w14:paraId="27AD5058">
                  <w:pPr>
                    <w:pStyle w:val="22"/>
                    <w:ind w:left="0" w:leftChars="0" w:right="0" w:rightChars="0" w:firstLine="0" w:firstLineChars="0"/>
                    <w:jc w:val="center"/>
                    <w:rPr>
                      <w:rFonts w:hint="default" w:ascii="Times New Roman" w:hAnsi="Times New Roman" w:eastAsia="宋体" w:cs="Times New Roman"/>
                      <w:b/>
                      <w:bCs w:val="0"/>
                      <w:color w:val="auto"/>
                      <w:sz w:val="21"/>
                      <w:szCs w:val="21"/>
                      <w:lang w:eastAsia="zh-CN"/>
                    </w:rPr>
                  </w:pPr>
                  <w:r>
                    <w:rPr>
                      <w:rFonts w:hint="default" w:ascii="Times New Roman" w:hAnsi="Times New Roman" w:eastAsia="宋体" w:cs="Times New Roman"/>
                      <w:b/>
                      <w:bCs w:val="0"/>
                      <w:color w:val="auto"/>
                      <w:sz w:val="21"/>
                      <w:szCs w:val="21"/>
                      <w:lang w:eastAsia="zh-CN"/>
                    </w:rPr>
                    <w:t>Q值划分</w:t>
                  </w:r>
                </w:p>
              </w:tc>
            </w:tr>
            <w:tr w14:paraId="705A2CB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1" w:hRule="atLeast"/>
                <w:jc w:val="center"/>
              </w:trPr>
              <w:tc>
                <w:tcPr>
                  <w:tcW w:w="1077" w:type="pct"/>
                  <w:tcBorders>
                    <w:tl2br w:val="nil"/>
                    <w:tr2bl w:val="nil"/>
                  </w:tcBorders>
                  <w:vAlign w:val="center"/>
                </w:tcPr>
                <w:p w14:paraId="3185883F">
                  <w:pPr>
                    <w:pStyle w:val="22"/>
                    <w:ind w:left="0" w:leftChars="0" w:right="0" w:rightChars="0" w:firstLine="0" w:firstLineChars="0"/>
                    <w:jc w:val="center"/>
                    <w:rPr>
                      <w:rFonts w:hint="default" w:ascii="Times New Roman" w:hAnsi="Times New Roman" w:eastAsia="宋体" w:cs="Times New Roman"/>
                      <w:bCs/>
                      <w:color w:val="auto"/>
                      <w:sz w:val="21"/>
                      <w:szCs w:val="21"/>
                      <w:lang w:eastAsia="zh-CN"/>
                    </w:rPr>
                  </w:pPr>
                  <w:r>
                    <w:rPr>
                      <w:rFonts w:hint="default" w:ascii="Times New Roman" w:hAnsi="Times New Roman" w:eastAsia="宋体" w:cs="Times New Roman"/>
                      <w:bCs/>
                      <w:color w:val="auto"/>
                      <w:w w:val="99"/>
                      <w:sz w:val="21"/>
                      <w:szCs w:val="21"/>
                      <w:lang w:eastAsia="zh-CN"/>
                    </w:rPr>
                    <w:t>1</w:t>
                  </w:r>
                </w:p>
              </w:tc>
              <w:tc>
                <w:tcPr>
                  <w:tcW w:w="1393" w:type="pct"/>
                  <w:tcBorders>
                    <w:tl2br w:val="nil"/>
                    <w:tr2bl w:val="nil"/>
                  </w:tcBorders>
                  <w:vAlign w:val="center"/>
                </w:tcPr>
                <w:p w14:paraId="6BD6EBF4">
                  <w:pPr>
                    <w:pStyle w:val="22"/>
                    <w:ind w:left="0" w:leftChars="0" w:right="0" w:rightChars="0" w:firstLine="0" w:firstLineChars="0"/>
                    <w:jc w:val="center"/>
                    <w:rPr>
                      <w:rFonts w:hint="default" w:ascii="Times New Roman" w:hAnsi="Times New Roman" w:eastAsia="宋体" w:cs="Times New Roman"/>
                      <w:bCs/>
                      <w:color w:val="auto"/>
                      <w:sz w:val="21"/>
                      <w:szCs w:val="21"/>
                      <w:lang w:eastAsia="zh-CN"/>
                    </w:rPr>
                  </w:pPr>
                  <w:r>
                    <w:rPr>
                      <w:rFonts w:hint="default" w:ascii="Times New Roman" w:hAnsi="Times New Roman" w:eastAsia="宋体" w:cs="Times New Roman"/>
                      <w:bCs/>
                      <w:color w:val="auto"/>
                      <w:sz w:val="21"/>
                      <w:szCs w:val="21"/>
                      <w:lang w:eastAsia="zh-CN"/>
                    </w:rPr>
                    <w:t>Q＜1</w:t>
                  </w:r>
                </w:p>
              </w:tc>
              <w:tc>
                <w:tcPr>
                  <w:tcW w:w="2528" w:type="pct"/>
                  <w:tcBorders>
                    <w:tl2br w:val="nil"/>
                    <w:tr2bl w:val="nil"/>
                  </w:tcBorders>
                  <w:vAlign w:val="center"/>
                </w:tcPr>
                <w:p w14:paraId="57416CCB">
                  <w:pPr>
                    <w:pStyle w:val="22"/>
                    <w:ind w:left="0" w:leftChars="0" w:right="0" w:rightChars="0" w:firstLine="0" w:firstLineChars="0"/>
                    <w:jc w:val="center"/>
                    <w:rPr>
                      <w:rFonts w:hint="default" w:ascii="Times New Roman" w:hAnsi="Times New Roman" w:eastAsia="宋体" w:cs="Times New Roman"/>
                      <w:bCs/>
                      <w:color w:val="auto"/>
                      <w:sz w:val="21"/>
                      <w:szCs w:val="21"/>
                      <w:lang w:eastAsia="zh-CN"/>
                    </w:rPr>
                  </w:pPr>
                  <w:r>
                    <w:rPr>
                      <w:rFonts w:hint="default" w:ascii="Times New Roman" w:hAnsi="Times New Roman" w:eastAsia="宋体" w:cs="Times New Roman"/>
                      <w:bCs/>
                      <w:color w:val="auto"/>
                      <w:sz w:val="21"/>
                      <w:szCs w:val="21"/>
                      <w:lang w:eastAsia="zh-CN"/>
                    </w:rPr>
                    <w:t>环境风险潜势为Ⅰ</w:t>
                  </w:r>
                </w:p>
              </w:tc>
            </w:tr>
            <w:tr w14:paraId="79D2E2E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2" w:hRule="atLeast"/>
                <w:jc w:val="center"/>
              </w:trPr>
              <w:tc>
                <w:tcPr>
                  <w:tcW w:w="1077" w:type="pct"/>
                  <w:vMerge w:val="restart"/>
                  <w:tcBorders>
                    <w:tl2br w:val="nil"/>
                    <w:tr2bl w:val="nil"/>
                  </w:tcBorders>
                  <w:vAlign w:val="center"/>
                </w:tcPr>
                <w:p w14:paraId="1C861F0D">
                  <w:pPr>
                    <w:pStyle w:val="22"/>
                    <w:ind w:left="0" w:leftChars="0" w:right="0" w:rightChars="0" w:firstLine="0" w:firstLineChars="0"/>
                    <w:jc w:val="center"/>
                    <w:rPr>
                      <w:rFonts w:hint="default" w:ascii="Times New Roman" w:hAnsi="Times New Roman" w:eastAsia="宋体" w:cs="Times New Roman"/>
                      <w:bCs/>
                      <w:color w:val="auto"/>
                      <w:sz w:val="21"/>
                      <w:szCs w:val="21"/>
                      <w:lang w:eastAsia="zh-CN"/>
                    </w:rPr>
                  </w:pPr>
                </w:p>
                <w:p w14:paraId="3691AF97">
                  <w:pPr>
                    <w:pStyle w:val="22"/>
                    <w:ind w:left="0" w:leftChars="0" w:right="0" w:rightChars="0" w:firstLine="0" w:firstLineChars="0"/>
                    <w:jc w:val="center"/>
                    <w:rPr>
                      <w:rFonts w:hint="default" w:ascii="Times New Roman" w:hAnsi="Times New Roman" w:eastAsia="宋体" w:cs="Times New Roman"/>
                      <w:bCs/>
                      <w:color w:val="auto"/>
                      <w:sz w:val="21"/>
                      <w:szCs w:val="21"/>
                      <w:lang w:eastAsia="zh-CN"/>
                    </w:rPr>
                  </w:pPr>
                  <w:r>
                    <w:rPr>
                      <w:rFonts w:hint="default" w:ascii="Times New Roman" w:hAnsi="Times New Roman" w:eastAsia="宋体" w:cs="Times New Roman"/>
                      <w:bCs/>
                      <w:color w:val="auto"/>
                      <w:w w:val="99"/>
                      <w:sz w:val="21"/>
                      <w:szCs w:val="21"/>
                      <w:lang w:eastAsia="zh-CN"/>
                    </w:rPr>
                    <w:t>2</w:t>
                  </w:r>
                </w:p>
              </w:tc>
              <w:tc>
                <w:tcPr>
                  <w:tcW w:w="1393" w:type="pct"/>
                  <w:vMerge w:val="restart"/>
                  <w:tcBorders>
                    <w:tl2br w:val="nil"/>
                    <w:tr2bl w:val="nil"/>
                  </w:tcBorders>
                  <w:vAlign w:val="center"/>
                </w:tcPr>
                <w:p w14:paraId="10CC51B6">
                  <w:pPr>
                    <w:pStyle w:val="22"/>
                    <w:ind w:left="0" w:leftChars="0" w:right="0" w:rightChars="0" w:firstLine="0" w:firstLineChars="0"/>
                    <w:jc w:val="center"/>
                    <w:rPr>
                      <w:rFonts w:hint="default" w:ascii="Times New Roman" w:hAnsi="Times New Roman" w:eastAsia="宋体" w:cs="Times New Roman"/>
                      <w:bCs/>
                      <w:color w:val="auto"/>
                      <w:sz w:val="21"/>
                      <w:szCs w:val="21"/>
                      <w:lang w:eastAsia="zh-CN"/>
                    </w:rPr>
                  </w:pPr>
                </w:p>
                <w:p w14:paraId="7271B240">
                  <w:pPr>
                    <w:pStyle w:val="22"/>
                    <w:ind w:left="0" w:leftChars="0" w:right="0" w:rightChars="0" w:firstLine="0" w:firstLineChars="0"/>
                    <w:jc w:val="center"/>
                    <w:rPr>
                      <w:rFonts w:hint="default" w:ascii="Times New Roman" w:hAnsi="Times New Roman" w:eastAsia="宋体" w:cs="Times New Roman"/>
                      <w:bCs/>
                      <w:color w:val="auto"/>
                      <w:sz w:val="21"/>
                      <w:szCs w:val="21"/>
                      <w:lang w:eastAsia="zh-CN"/>
                    </w:rPr>
                  </w:pPr>
                  <w:r>
                    <w:rPr>
                      <w:rFonts w:hint="default" w:ascii="Times New Roman" w:hAnsi="Times New Roman" w:eastAsia="宋体" w:cs="Times New Roman"/>
                      <w:bCs/>
                      <w:color w:val="auto"/>
                      <w:sz w:val="21"/>
                      <w:szCs w:val="21"/>
                      <w:lang w:eastAsia="zh-CN"/>
                    </w:rPr>
                    <w:t>Q≥1</w:t>
                  </w:r>
                </w:p>
              </w:tc>
              <w:tc>
                <w:tcPr>
                  <w:tcW w:w="2528" w:type="pct"/>
                  <w:tcBorders>
                    <w:tl2br w:val="nil"/>
                    <w:tr2bl w:val="nil"/>
                  </w:tcBorders>
                  <w:vAlign w:val="center"/>
                </w:tcPr>
                <w:p w14:paraId="09E4B81C">
                  <w:pPr>
                    <w:pStyle w:val="22"/>
                    <w:ind w:left="0" w:leftChars="0" w:right="0" w:rightChars="0" w:firstLine="0" w:firstLineChars="0"/>
                    <w:jc w:val="center"/>
                    <w:rPr>
                      <w:rFonts w:hint="default" w:ascii="Times New Roman" w:hAnsi="Times New Roman" w:eastAsia="宋体" w:cs="Times New Roman"/>
                      <w:bCs/>
                      <w:color w:val="auto"/>
                      <w:sz w:val="21"/>
                      <w:szCs w:val="21"/>
                      <w:lang w:eastAsia="zh-CN"/>
                    </w:rPr>
                  </w:pPr>
                  <w:r>
                    <w:rPr>
                      <w:rFonts w:hint="default" w:ascii="Times New Roman" w:hAnsi="Times New Roman" w:eastAsia="宋体" w:cs="Times New Roman"/>
                      <w:bCs/>
                      <w:color w:val="auto"/>
                      <w:sz w:val="21"/>
                      <w:szCs w:val="21"/>
                      <w:lang w:eastAsia="zh-CN"/>
                    </w:rPr>
                    <w:t>1≤Q＜10</w:t>
                  </w:r>
                </w:p>
              </w:tc>
            </w:tr>
            <w:tr w14:paraId="23AB4E6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2" w:hRule="atLeast"/>
                <w:jc w:val="center"/>
              </w:trPr>
              <w:tc>
                <w:tcPr>
                  <w:tcW w:w="1077" w:type="pct"/>
                  <w:vMerge w:val="continue"/>
                  <w:tcBorders>
                    <w:tl2br w:val="nil"/>
                    <w:tr2bl w:val="nil"/>
                  </w:tcBorders>
                  <w:vAlign w:val="center"/>
                </w:tcPr>
                <w:p w14:paraId="25026419">
                  <w:pPr>
                    <w:spacing w:line="240" w:lineRule="auto"/>
                    <w:ind w:left="0" w:leftChars="0" w:right="0" w:rightChars="0" w:firstLine="0" w:firstLineChars="0"/>
                    <w:jc w:val="center"/>
                    <w:rPr>
                      <w:rFonts w:hint="default" w:ascii="Times New Roman" w:hAnsi="Times New Roman" w:eastAsia="宋体" w:cs="Times New Roman"/>
                      <w:bCs/>
                      <w:color w:val="auto"/>
                      <w:sz w:val="21"/>
                      <w:szCs w:val="21"/>
                    </w:rPr>
                  </w:pPr>
                </w:p>
              </w:tc>
              <w:tc>
                <w:tcPr>
                  <w:tcW w:w="1393" w:type="pct"/>
                  <w:vMerge w:val="continue"/>
                  <w:tcBorders>
                    <w:tl2br w:val="nil"/>
                    <w:tr2bl w:val="nil"/>
                  </w:tcBorders>
                  <w:vAlign w:val="center"/>
                </w:tcPr>
                <w:p w14:paraId="41459D87">
                  <w:pPr>
                    <w:spacing w:line="240" w:lineRule="auto"/>
                    <w:ind w:left="0" w:leftChars="0" w:right="0" w:rightChars="0" w:firstLine="0" w:firstLineChars="0"/>
                    <w:jc w:val="center"/>
                    <w:rPr>
                      <w:rFonts w:hint="default" w:ascii="Times New Roman" w:hAnsi="Times New Roman" w:eastAsia="宋体" w:cs="Times New Roman"/>
                      <w:bCs/>
                      <w:color w:val="auto"/>
                      <w:sz w:val="21"/>
                      <w:szCs w:val="21"/>
                    </w:rPr>
                  </w:pPr>
                </w:p>
              </w:tc>
              <w:tc>
                <w:tcPr>
                  <w:tcW w:w="2528" w:type="pct"/>
                  <w:tcBorders>
                    <w:tl2br w:val="nil"/>
                    <w:tr2bl w:val="nil"/>
                  </w:tcBorders>
                  <w:vAlign w:val="center"/>
                </w:tcPr>
                <w:p w14:paraId="1BA8F10B">
                  <w:pPr>
                    <w:pStyle w:val="22"/>
                    <w:ind w:left="0" w:leftChars="0" w:right="0" w:rightChars="0" w:firstLine="0" w:firstLineChars="0"/>
                    <w:jc w:val="center"/>
                    <w:rPr>
                      <w:rFonts w:hint="default" w:ascii="Times New Roman" w:hAnsi="Times New Roman" w:eastAsia="宋体" w:cs="Times New Roman"/>
                      <w:bCs/>
                      <w:color w:val="auto"/>
                      <w:sz w:val="21"/>
                      <w:szCs w:val="21"/>
                      <w:lang w:eastAsia="zh-CN"/>
                    </w:rPr>
                  </w:pPr>
                  <w:r>
                    <w:rPr>
                      <w:rFonts w:hint="default" w:ascii="Times New Roman" w:hAnsi="Times New Roman" w:eastAsia="宋体" w:cs="Times New Roman"/>
                      <w:bCs/>
                      <w:color w:val="auto"/>
                      <w:sz w:val="21"/>
                      <w:szCs w:val="21"/>
                      <w:lang w:eastAsia="zh-CN"/>
                    </w:rPr>
                    <w:t>10≤Q＜100</w:t>
                  </w:r>
                </w:p>
              </w:tc>
            </w:tr>
            <w:tr w14:paraId="2ABF343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1" w:hRule="atLeast"/>
                <w:jc w:val="center"/>
              </w:trPr>
              <w:tc>
                <w:tcPr>
                  <w:tcW w:w="1077" w:type="pct"/>
                  <w:vMerge w:val="continue"/>
                  <w:tcBorders>
                    <w:tl2br w:val="nil"/>
                    <w:tr2bl w:val="nil"/>
                  </w:tcBorders>
                  <w:vAlign w:val="center"/>
                </w:tcPr>
                <w:p w14:paraId="5F44C883">
                  <w:pPr>
                    <w:spacing w:line="240" w:lineRule="auto"/>
                    <w:ind w:left="0" w:leftChars="0" w:right="0" w:rightChars="0" w:firstLine="0" w:firstLineChars="0"/>
                    <w:jc w:val="center"/>
                    <w:rPr>
                      <w:rFonts w:hint="default" w:ascii="Times New Roman" w:hAnsi="Times New Roman" w:eastAsia="宋体" w:cs="Times New Roman"/>
                      <w:bCs/>
                      <w:color w:val="auto"/>
                      <w:sz w:val="21"/>
                      <w:szCs w:val="21"/>
                    </w:rPr>
                  </w:pPr>
                </w:p>
              </w:tc>
              <w:tc>
                <w:tcPr>
                  <w:tcW w:w="1393" w:type="pct"/>
                  <w:vMerge w:val="continue"/>
                  <w:tcBorders>
                    <w:tl2br w:val="nil"/>
                    <w:tr2bl w:val="nil"/>
                  </w:tcBorders>
                  <w:vAlign w:val="center"/>
                </w:tcPr>
                <w:p w14:paraId="1745F58C">
                  <w:pPr>
                    <w:spacing w:line="240" w:lineRule="auto"/>
                    <w:ind w:left="0" w:leftChars="0" w:right="0" w:rightChars="0" w:firstLine="0" w:firstLineChars="0"/>
                    <w:jc w:val="center"/>
                    <w:rPr>
                      <w:rFonts w:hint="default" w:ascii="Times New Roman" w:hAnsi="Times New Roman" w:eastAsia="宋体" w:cs="Times New Roman"/>
                      <w:bCs/>
                      <w:color w:val="auto"/>
                      <w:sz w:val="21"/>
                      <w:szCs w:val="21"/>
                    </w:rPr>
                  </w:pPr>
                </w:p>
              </w:tc>
              <w:tc>
                <w:tcPr>
                  <w:tcW w:w="2528" w:type="pct"/>
                  <w:tcBorders>
                    <w:tl2br w:val="nil"/>
                    <w:tr2bl w:val="nil"/>
                  </w:tcBorders>
                  <w:vAlign w:val="center"/>
                </w:tcPr>
                <w:p w14:paraId="12A586F8">
                  <w:pPr>
                    <w:pStyle w:val="22"/>
                    <w:ind w:left="0" w:leftChars="0" w:right="0" w:rightChars="0" w:firstLine="0" w:firstLineChars="0"/>
                    <w:jc w:val="center"/>
                    <w:rPr>
                      <w:rFonts w:hint="default" w:ascii="Times New Roman" w:hAnsi="Times New Roman" w:eastAsia="宋体" w:cs="Times New Roman"/>
                      <w:bCs/>
                      <w:color w:val="auto"/>
                      <w:sz w:val="21"/>
                      <w:szCs w:val="21"/>
                      <w:lang w:eastAsia="zh-CN"/>
                    </w:rPr>
                  </w:pPr>
                  <w:r>
                    <w:rPr>
                      <w:rFonts w:hint="default" w:ascii="Times New Roman" w:hAnsi="Times New Roman" w:eastAsia="宋体" w:cs="Times New Roman"/>
                      <w:bCs/>
                      <w:color w:val="auto"/>
                      <w:sz w:val="21"/>
                      <w:szCs w:val="21"/>
                      <w:lang w:eastAsia="zh-CN"/>
                    </w:rPr>
                    <w:t>Q≥100</w:t>
                  </w:r>
                </w:p>
              </w:tc>
            </w:tr>
          </w:tbl>
          <w:p w14:paraId="7B2A8C97">
            <w:pPr>
              <w:pStyle w:val="34"/>
              <w:widowControl/>
              <w:spacing w:line="360" w:lineRule="auto"/>
              <w:ind w:firstLine="480"/>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据调查，本项目</w:t>
            </w:r>
            <w:r>
              <w:rPr>
                <w:rFonts w:hint="default" w:ascii="Times New Roman" w:hAnsi="Times New Roman" w:eastAsia="宋体" w:cs="Times New Roman"/>
                <w:color w:val="auto"/>
                <w:sz w:val="21"/>
                <w:szCs w:val="21"/>
                <w:lang w:eastAsia="zh-CN"/>
              </w:rPr>
              <w:t>不涉及</w:t>
            </w:r>
            <w:r>
              <w:rPr>
                <w:rFonts w:hint="default" w:ascii="Times New Roman" w:hAnsi="Times New Roman" w:eastAsia="宋体" w:cs="Times New Roman"/>
                <w:color w:val="auto"/>
                <w:sz w:val="21"/>
                <w:szCs w:val="21"/>
              </w:rPr>
              <w:t>危险物质</w:t>
            </w:r>
            <w:r>
              <w:rPr>
                <w:rFonts w:hint="default" w:ascii="Times New Roman" w:hAnsi="Times New Roman" w:eastAsia="宋体" w:cs="Times New Roman"/>
                <w:color w:val="auto"/>
                <w:sz w:val="21"/>
                <w:szCs w:val="21"/>
                <w:lang w:val="en-US" w:eastAsia="zh-CN"/>
              </w:rPr>
              <w:t>，</w:t>
            </w:r>
            <w:r>
              <w:rPr>
                <w:rFonts w:hint="default" w:ascii="Times New Roman" w:hAnsi="Times New Roman" w:eastAsia="宋体" w:cs="Times New Roman"/>
                <w:color w:val="auto"/>
                <w:sz w:val="21"/>
                <w:szCs w:val="21"/>
                <w:lang w:eastAsia="zh-CN"/>
              </w:rPr>
              <w:t>则</w:t>
            </w:r>
            <w:r>
              <w:rPr>
                <w:rFonts w:hint="default" w:ascii="Times New Roman" w:hAnsi="Times New Roman" w:eastAsia="宋体" w:cs="Times New Roman"/>
                <w:color w:val="auto"/>
                <w:sz w:val="21"/>
                <w:szCs w:val="21"/>
              </w:rPr>
              <w:t>Q</w:t>
            </w:r>
            <w:r>
              <w:rPr>
                <w:rFonts w:hint="default" w:ascii="Times New Roman" w:hAnsi="Times New Roman" w:eastAsia="宋体" w:cs="Times New Roman"/>
                <w:color w:val="auto"/>
                <w:sz w:val="21"/>
                <w:szCs w:val="21"/>
                <w:lang w:val="en-US" w:eastAsia="zh-CN"/>
              </w:rPr>
              <w:t>=0</w:t>
            </w:r>
            <w:r>
              <w:rPr>
                <w:rFonts w:hint="default" w:ascii="Times New Roman" w:hAnsi="Times New Roman" w:eastAsia="宋体" w:cs="Times New Roman"/>
                <w:bCs/>
                <w:color w:val="auto"/>
                <w:sz w:val="21"/>
                <w:szCs w:val="21"/>
                <w:lang w:eastAsia="zh-CN"/>
              </w:rPr>
              <w:t>＜1</w:t>
            </w:r>
            <w:r>
              <w:rPr>
                <w:rFonts w:hint="default" w:ascii="Times New Roman" w:hAnsi="Times New Roman" w:eastAsia="宋体" w:cs="Times New Roman"/>
                <w:color w:val="auto"/>
                <w:sz w:val="21"/>
                <w:szCs w:val="21"/>
              </w:rPr>
              <w:t>，项目风险潜势为I。</w:t>
            </w:r>
          </w:p>
          <w:p w14:paraId="6FA32546">
            <w:pPr>
              <w:pStyle w:val="34"/>
              <w:widowControl/>
              <w:spacing w:line="360" w:lineRule="auto"/>
              <w:ind w:firstLine="480"/>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2）评价等级划分</w:t>
            </w:r>
          </w:p>
          <w:p w14:paraId="0F8BB7D6">
            <w:pPr>
              <w:pStyle w:val="34"/>
              <w:widowControl/>
              <w:spacing w:line="360" w:lineRule="auto"/>
              <w:ind w:firstLine="480"/>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根据《建设项目环境风险评价技术导则》（HJ/T169-2018）可知，环境风险评价等级划分见下表：</w:t>
            </w:r>
          </w:p>
          <w:p w14:paraId="539F8F1E">
            <w:pPr>
              <w:snapToGrid w:val="0"/>
              <w:spacing w:line="240" w:lineRule="auto"/>
              <w:jc w:val="center"/>
              <w:rPr>
                <w:rFonts w:hint="default" w:ascii="Times New Roman" w:hAnsi="Times New Roman" w:eastAsia="宋体" w:cs="Times New Roman"/>
                <w:b/>
                <w:bCs/>
                <w:color w:val="auto"/>
                <w:kern w:val="0"/>
                <w:sz w:val="21"/>
                <w:szCs w:val="21"/>
              </w:rPr>
            </w:pPr>
            <w:r>
              <w:rPr>
                <w:rFonts w:hint="default" w:ascii="Times New Roman" w:hAnsi="Times New Roman" w:eastAsia="宋体" w:cs="Times New Roman"/>
                <w:b/>
                <w:bCs/>
                <w:color w:val="auto"/>
                <w:kern w:val="0"/>
                <w:sz w:val="21"/>
                <w:szCs w:val="21"/>
              </w:rPr>
              <w:t>表</w:t>
            </w:r>
            <w:r>
              <w:rPr>
                <w:rFonts w:hint="default" w:ascii="Times New Roman" w:hAnsi="Times New Roman" w:eastAsia="宋体" w:cs="Times New Roman"/>
                <w:b/>
                <w:bCs/>
                <w:color w:val="auto"/>
                <w:kern w:val="0"/>
                <w:sz w:val="21"/>
                <w:szCs w:val="21"/>
                <w:lang w:val="en-US" w:eastAsia="zh-CN"/>
              </w:rPr>
              <w:t>4-14</w:t>
            </w:r>
            <w:r>
              <w:rPr>
                <w:rFonts w:hint="default" w:ascii="Times New Roman" w:hAnsi="Times New Roman" w:eastAsia="宋体" w:cs="Times New Roman"/>
                <w:b/>
                <w:bCs/>
                <w:color w:val="auto"/>
                <w:kern w:val="0"/>
                <w:sz w:val="21"/>
                <w:szCs w:val="21"/>
              </w:rPr>
              <w:t xml:space="preserve"> 评价工作等级</w:t>
            </w:r>
          </w:p>
          <w:tbl>
            <w:tblPr>
              <w:tblStyle w:val="14"/>
              <w:tblW w:w="5000"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1393"/>
              <w:gridCol w:w="1532"/>
              <w:gridCol w:w="1683"/>
              <w:gridCol w:w="1524"/>
              <w:gridCol w:w="1525"/>
            </w:tblGrid>
            <w:tr w14:paraId="6F178D2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14" w:type="dxa"/>
                  <w:tcBorders>
                    <w:tl2br w:val="nil"/>
                    <w:tr2bl w:val="nil"/>
                  </w:tcBorders>
                  <w:vAlign w:val="center"/>
                </w:tcPr>
                <w:p w14:paraId="12C96774">
                  <w:pPr>
                    <w:snapToGrid w:val="0"/>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环境风险潜势</w:t>
                  </w:r>
                </w:p>
              </w:tc>
              <w:tc>
                <w:tcPr>
                  <w:tcW w:w="1737" w:type="dxa"/>
                  <w:tcBorders>
                    <w:tl2br w:val="nil"/>
                    <w:tr2bl w:val="nil"/>
                  </w:tcBorders>
                  <w:vAlign w:val="center"/>
                </w:tcPr>
                <w:p w14:paraId="39BDF5DF">
                  <w:pPr>
                    <w:snapToGrid w:val="0"/>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IV、IV</w:t>
                  </w:r>
                  <w:r>
                    <w:rPr>
                      <w:rFonts w:hint="default" w:ascii="Times New Roman" w:hAnsi="Times New Roman" w:eastAsia="宋体" w:cs="Times New Roman"/>
                      <w:color w:val="auto"/>
                      <w:sz w:val="21"/>
                      <w:szCs w:val="21"/>
                      <w:vertAlign w:val="superscript"/>
                    </w:rPr>
                    <w:t>+</w:t>
                  </w:r>
                </w:p>
              </w:tc>
              <w:tc>
                <w:tcPr>
                  <w:tcW w:w="1959" w:type="dxa"/>
                  <w:tcBorders>
                    <w:tl2br w:val="nil"/>
                    <w:tr2bl w:val="nil"/>
                  </w:tcBorders>
                  <w:vAlign w:val="center"/>
                </w:tcPr>
                <w:p w14:paraId="056EE1F8">
                  <w:pPr>
                    <w:snapToGrid w:val="0"/>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Ⅲ</w:t>
                  </w:r>
                </w:p>
              </w:tc>
              <w:tc>
                <w:tcPr>
                  <w:tcW w:w="1770" w:type="dxa"/>
                  <w:tcBorders>
                    <w:tl2br w:val="nil"/>
                    <w:tr2bl w:val="nil"/>
                  </w:tcBorders>
                  <w:vAlign w:val="center"/>
                </w:tcPr>
                <w:p w14:paraId="5C44ED84">
                  <w:pPr>
                    <w:snapToGrid w:val="0"/>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II</w:t>
                  </w:r>
                </w:p>
              </w:tc>
              <w:tc>
                <w:tcPr>
                  <w:tcW w:w="1771" w:type="dxa"/>
                  <w:tcBorders>
                    <w:tl2br w:val="nil"/>
                    <w:tr2bl w:val="nil"/>
                  </w:tcBorders>
                  <w:vAlign w:val="center"/>
                </w:tcPr>
                <w:p w14:paraId="412E0155">
                  <w:pPr>
                    <w:snapToGrid w:val="0"/>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I</w:t>
                  </w:r>
                </w:p>
              </w:tc>
            </w:tr>
            <w:tr w14:paraId="5AAB04E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jc w:val="center"/>
              </w:trPr>
              <w:tc>
                <w:tcPr>
                  <w:tcW w:w="1614" w:type="dxa"/>
                  <w:tcBorders>
                    <w:tl2br w:val="nil"/>
                    <w:tr2bl w:val="nil"/>
                  </w:tcBorders>
                  <w:vAlign w:val="center"/>
                </w:tcPr>
                <w:p w14:paraId="293DE555">
                  <w:pPr>
                    <w:snapToGrid w:val="0"/>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评价工作等级</w:t>
                  </w:r>
                </w:p>
              </w:tc>
              <w:tc>
                <w:tcPr>
                  <w:tcW w:w="1737" w:type="dxa"/>
                  <w:tcBorders>
                    <w:tl2br w:val="nil"/>
                    <w:tr2bl w:val="nil"/>
                  </w:tcBorders>
                  <w:vAlign w:val="center"/>
                </w:tcPr>
                <w:p w14:paraId="15498B61">
                  <w:pPr>
                    <w:snapToGrid w:val="0"/>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一</w:t>
                  </w:r>
                </w:p>
              </w:tc>
              <w:tc>
                <w:tcPr>
                  <w:tcW w:w="1959" w:type="dxa"/>
                  <w:tcBorders>
                    <w:tl2br w:val="nil"/>
                    <w:tr2bl w:val="nil"/>
                  </w:tcBorders>
                  <w:vAlign w:val="center"/>
                </w:tcPr>
                <w:p w14:paraId="632CE226">
                  <w:pPr>
                    <w:snapToGrid w:val="0"/>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二</w:t>
                  </w:r>
                </w:p>
              </w:tc>
              <w:tc>
                <w:tcPr>
                  <w:tcW w:w="1770" w:type="dxa"/>
                  <w:tcBorders>
                    <w:tl2br w:val="nil"/>
                    <w:tr2bl w:val="nil"/>
                  </w:tcBorders>
                  <w:vAlign w:val="center"/>
                </w:tcPr>
                <w:p w14:paraId="265C6A12">
                  <w:pPr>
                    <w:snapToGrid w:val="0"/>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三</w:t>
                  </w:r>
                </w:p>
              </w:tc>
              <w:tc>
                <w:tcPr>
                  <w:tcW w:w="1771" w:type="dxa"/>
                  <w:tcBorders>
                    <w:tl2br w:val="nil"/>
                    <w:tr2bl w:val="nil"/>
                  </w:tcBorders>
                  <w:vAlign w:val="center"/>
                </w:tcPr>
                <w:p w14:paraId="0824421F">
                  <w:pPr>
                    <w:snapToGrid w:val="0"/>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简单分析</w:t>
                  </w:r>
                </w:p>
              </w:tc>
            </w:tr>
          </w:tbl>
          <w:p w14:paraId="178FAB33">
            <w:pPr>
              <w:spacing w:line="360" w:lineRule="auto"/>
              <w:ind w:firstLine="420" w:firstLineChars="200"/>
              <w:rPr>
                <w:rFonts w:hint="default" w:ascii="Times New Roman" w:hAnsi="Times New Roman" w:eastAsia="宋体" w:cs="Times New Roman"/>
                <w:color w:val="auto"/>
                <w:spacing w:val="0"/>
                <w:sz w:val="21"/>
                <w:szCs w:val="21"/>
                <w:highlight w:val="none"/>
                <w:lang w:eastAsia="zh-CN"/>
              </w:rPr>
            </w:pPr>
            <w:r>
              <w:rPr>
                <w:rFonts w:hint="default" w:ascii="Times New Roman" w:hAnsi="Times New Roman" w:eastAsia="宋体" w:cs="Times New Roman"/>
                <w:color w:val="auto"/>
                <w:sz w:val="21"/>
                <w:szCs w:val="21"/>
              </w:rPr>
              <w:t>项目Q</w:t>
            </w:r>
            <w:r>
              <w:rPr>
                <w:rFonts w:hint="default" w:ascii="Times New Roman" w:hAnsi="Times New Roman" w:eastAsia="宋体" w:cs="Times New Roman"/>
                <w:color w:val="auto"/>
                <w:sz w:val="21"/>
                <w:szCs w:val="21"/>
                <w:lang w:val="en-US" w:eastAsia="zh-CN"/>
              </w:rPr>
              <w:t>=0</w:t>
            </w:r>
            <w:r>
              <w:rPr>
                <w:rFonts w:hint="default" w:ascii="Times New Roman" w:hAnsi="Times New Roman" w:eastAsia="宋体" w:cs="Times New Roman"/>
                <w:bCs/>
                <w:color w:val="auto"/>
                <w:sz w:val="21"/>
                <w:szCs w:val="21"/>
                <w:lang w:eastAsia="zh-CN"/>
              </w:rPr>
              <w:t>＜1</w:t>
            </w:r>
            <w:r>
              <w:rPr>
                <w:rFonts w:hint="default" w:ascii="Times New Roman" w:hAnsi="Times New Roman" w:eastAsia="宋体" w:cs="Times New Roman"/>
                <w:color w:val="auto"/>
                <w:sz w:val="21"/>
                <w:szCs w:val="21"/>
              </w:rPr>
              <w:t>，项目风险潜势为I，评价工作等级为简单分析</w:t>
            </w:r>
            <w:r>
              <w:rPr>
                <w:rFonts w:hint="default" w:ascii="Times New Roman" w:hAnsi="Times New Roman" w:eastAsia="宋体" w:cs="Times New Roman"/>
                <w:color w:val="auto"/>
                <w:spacing w:val="0"/>
                <w:sz w:val="21"/>
                <w:szCs w:val="21"/>
                <w:highlight w:val="none"/>
              </w:rPr>
              <w:t>。</w:t>
            </w:r>
          </w:p>
          <w:p w14:paraId="1CA0FD6F">
            <w:pPr>
              <w:adjustRightInd w:val="0"/>
              <w:snapToGrid w:val="0"/>
              <w:spacing w:line="360" w:lineRule="auto"/>
              <w:ind w:firstLine="420" w:firstLineChars="200"/>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position w:val="0"/>
                <w:sz w:val="21"/>
                <w:szCs w:val="21"/>
              </w:rPr>
              <w:t>项目不构成重大危险源。</w:t>
            </w:r>
            <w:r>
              <w:rPr>
                <w:rFonts w:hint="default" w:ascii="Times New Roman" w:hAnsi="Times New Roman" w:eastAsia="宋体" w:cs="Times New Roman"/>
                <w:color w:val="auto"/>
                <w:sz w:val="21"/>
                <w:szCs w:val="21"/>
              </w:rPr>
              <w:t>根据对环境风险物质的筛选、工艺流程风险的调查分析，确定本项目危险单元主要为：</w:t>
            </w:r>
            <w:r>
              <w:rPr>
                <w:rFonts w:hint="default" w:ascii="Times New Roman" w:hAnsi="Times New Roman" w:eastAsia="宋体" w:cs="Times New Roman"/>
                <w:color w:val="auto"/>
                <w:sz w:val="21"/>
                <w:szCs w:val="21"/>
                <w:lang w:eastAsia="zh-CN"/>
              </w:rPr>
              <w:t>生产车间内操作不当</w:t>
            </w:r>
            <w:r>
              <w:rPr>
                <w:rFonts w:hint="default" w:ascii="Times New Roman" w:hAnsi="Times New Roman" w:eastAsia="宋体" w:cs="Times New Roman"/>
                <w:color w:val="auto"/>
                <w:sz w:val="21"/>
                <w:szCs w:val="21"/>
              </w:rPr>
              <w:t>、明火管理不当或意外事故引发的火灾。</w:t>
            </w:r>
            <w:r>
              <w:rPr>
                <w:rFonts w:hint="default" w:ascii="Times New Roman" w:hAnsi="Times New Roman" w:eastAsia="宋体" w:cs="Times New Roman"/>
                <w:color w:val="auto"/>
                <w:spacing w:val="0"/>
                <w:position w:val="0"/>
                <w:sz w:val="21"/>
                <w:szCs w:val="21"/>
              </w:rPr>
              <w:t>为了避免在生产过程中发生火灾事故，建设单位需做出相应的防范措施</w:t>
            </w:r>
            <w:r>
              <w:rPr>
                <w:rFonts w:hint="default" w:ascii="Times New Roman" w:hAnsi="Times New Roman" w:eastAsia="宋体" w:cs="Times New Roman"/>
                <w:color w:val="auto"/>
                <w:spacing w:val="0"/>
                <w:position w:val="0"/>
                <w:sz w:val="21"/>
                <w:szCs w:val="21"/>
                <w:lang w:eastAsia="zh-CN"/>
              </w:rPr>
              <w:t>：</w:t>
            </w:r>
          </w:p>
          <w:p w14:paraId="0E1340BC">
            <w:pPr>
              <w:adjustRightInd w:val="0"/>
              <w:snapToGrid w:val="0"/>
              <w:spacing w:line="360" w:lineRule="auto"/>
              <w:ind w:firstLine="420" w:firstLineChars="200"/>
              <w:rPr>
                <w:rFonts w:hint="default" w:ascii="Times New Roman" w:hAnsi="Times New Roman" w:eastAsia="宋体" w:cs="Times New Roman"/>
                <w:color w:val="auto"/>
                <w:spacing w:val="0"/>
                <w:sz w:val="21"/>
                <w:szCs w:val="21"/>
                <w:highlight w:val="none"/>
                <w:lang w:eastAsia="zh-CN"/>
              </w:rPr>
            </w:pPr>
            <w:r>
              <w:rPr>
                <w:rFonts w:hint="default" w:ascii="Times New Roman" w:hAnsi="Times New Roman" w:eastAsia="宋体" w:cs="Times New Roman"/>
                <w:color w:val="auto"/>
                <w:spacing w:val="0"/>
                <w:sz w:val="21"/>
                <w:szCs w:val="21"/>
                <w:highlight w:val="none"/>
              </w:rPr>
              <w:t>1）严禁烟火，加强管理，严格操作规范，制定一系列的防火规章制度。</w:t>
            </w:r>
          </w:p>
          <w:p w14:paraId="5E4CEFBA">
            <w:pPr>
              <w:adjustRightInd w:val="0"/>
              <w:snapToGrid w:val="0"/>
              <w:spacing w:line="360" w:lineRule="auto"/>
              <w:ind w:firstLine="420" w:firstLineChars="200"/>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2）严格执行劳动部《生产设备安全卫生设计总则》等有关法规。</w:t>
            </w:r>
          </w:p>
          <w:p w14:paraId="60C79A99">
            <w:pPr>
              <w:adjustRightInd w:val="0"/>
              <w:snapToGrid w:val="0"/>
              <w:spacing w:line="360" w:lineRule="auto"/>
              <w:ind w:firstLine="420" w:firstLineChars="200"/>
              <w:rPr>
                <w:rFonts w:hint="default" w:ascii="Times New Roman" w:hAnsi="Times New Roman" w:eastAsia="宋体" w:cs="Times New Roman"/>
                <w:color w:val="auto"/>
                <w:spacing w:val="0"/>
                <w:sz w:val="21"/>
                <w:szCs w:val="21"/>
                <w:highlight w:val="none"/>
                <w:lang w:eastAsia="zh-CN"/>
              </w:rPr>
            </w:pPr>
            <w:r>
              <w:rPr>
                <w:rFonts w:hint="default" w:ascii="Times New Roman" w:hAnsi="Times New Roman" w:eastAsia="宋体" w:cs="Times New Roman"/>
                <w:color w:val="auto"/>
                <w:spacing w:val="0"/>
                <w:sz w:val="21"/>
                <w:szCs w:val="21"/>
                <w:highlight w:val="none"/>
              </w:rPr>
              <w:t>3）厂区按《建筑灭火器配置设计规范》配置手提式干粉灭火器和推车式干粉灭火器。</w:t>
            </w:r>
          </w:p>
          <w:p w14:paraId="67447573">
            <w:pPr>
              <w:adjustRightInd w:val="0"/>
              <w:snapToGrid w:val="0"/>
              <w:spacing w:line="360" w:lineRule="auto"/>
              <w:ind w:firstLine="420" w:firstLineChars="200"/>
              <w:rPr>
                <w:rFonts w:hint="default" w:ascii="Times New Roman" w:hAnsi="Times New Roman" w:eastAsia="宋体" w:cs="Times New Roman"/>
                <w:color w:val="auto"/>
                <w:spacing w:val="0"/>
                <w:sz w:val="21"/>
                <w:szCs w:val="21"/>
                <w:highlight w:val="none"/>
                <w:lang w:eastAsia="zh-CN"/>
              </w:rPr>
            </w:pPr>
            <w:r>
              <w:rPr>
                <w:rFonts w:hint="default" w:ascii="Times New Roman" w:hAnsi="Times New Roman" w:eastAsia="宋体" w:cs="Times New Roman"/>
                <w:color w:val="auto"/>
                <w:spacing w:val="0"/>
                <w:sz w:val="21"/>
                <w:szCs w:val="21"/>
                <w:highlight w:val="none"/>
              </w:rPr>
              <w:t>4）操作人员必须经过专门培训，做到持证上岗，并且严格遵守操作规程。</w:t>
            </w:r>
          </w:p>
          <w:p w14:paraId="1790E028">
            <w:pPr>
              <w:adjustRightInd w:val="0"/>
              <w:snapToGrid w:val="0"/>
              <w:spacing w:line="360" w:lineRule="auto"/>
              <w:ind w:firstLine="420" w:firstLineChars="200"/>
              <w:rPr>
                <w:rFonts w:hint="default" w:ascii="Times New Roman" w:hAnsi="Times New Roman" w:eastAsia="宋体" w:cs="Times New Roman"/>
                <w:color w:val="auto"/>
                <w:spacing w:val="0"/>
                <w:sz w:val="21"/>
                <w:szCs w:val="21"/>
                <w:highlight w:val="none"/>
                <w:lang w:eastAsia="zh-CN"/>
              </w:rPr>
            </w:pPr>
            <w:r>
              <w:rPr>
                <w:rFonts w:hint="default" w:ascii="Times New Roman" w:hAnsi="Times New Roman" w:eastAsia="宋体" w:cs="Times New Roman"/>
                <w:color w:val="auto"/>
                <w:spacing w:val="0"/>
                <w:sz w:val="21"/>
                <w:szCs w:val="21"/>
                <w:highlight w:val="none"/>
              </w:rPr>
              <w:t>5）加强日常巡检工作，及时发现、处理故障，保证安全生产，严格落实各项安全与环保措施，防止事故造成的环境污染。</w:t>
            </w:r>
          </w:p>
          <w:p w14:paraId="6F9AA024">
            <w:pPr>
              <w:adjustRightInd w:val="0"/>
              <w:snapToGrid w:val="0"/>
              <w:spacing w:line="360" w:lineRule="auto"/>
              <w:ind w:firstLine="420" w:firstLineChars="200"/>
              <w:rPr>
                <w:rFonts w:hint="default" w:ascii="Times New Roman" w:hAnsi="Times New Roman" w:eastAsia="宋体" w:cs="Times New Roman"/>
                <w:color w:val="auto"/>
                <w:spacing w:val="0"/>
                <w:sz w:val="21"/>
                <w:szCs w:val="21"/>
                <w:highlight w:val="none"/>
                <w:lang w:eastAsia="zh-CN"/>
              </w:rPr>
            </w:pPr>
            <w:r>
              <w:rPr>
                <w:rFonts w:hint="default" w:ascii="Times New Roman" w:hAnsi="Times New Roman" w:eastAsia="宋体" w:cs="Times New Roman"/>
                <w:color w:val="auto"/>
                <w:spacing w:val="0"/>
                <w:sz w:val="21"/>
                <w:szCs w:val="21"/>
                <w:highlight w:val="none"/>
              </w:rPr>
              <w:t>6）各种生产设备应定期检修保养，确保设备正常运行。</w:t>
            </w:r>
          </w:p>
          <w:p w14:paraId="4B46434D">
            <w:pPr>
              <w:adjustRightInd w:val="0"/>
              <w:snapToGrid w:val="0"/>
              <w:spacing w:line="360" w:lineRule="auto"/>
              <w:ind w:firstLine="420" w:firstLineChars="200"/>
              <w:rPr>
                <w:rFonts w:hint="default" w:ascii="Times New Roman" w:hAnsi="Times New Roman" w:eastAsia="宋体" w:cs="Times New Roman"/>
                <w:color w:val="auto"/>
                <w:spacing w:val="0"/>
                <w:sz w:val="21"/>
                <w:szCs w:val="21"/>
                <w:highlight w:val="none"/>
                <w:lang w:eastAsia="zh-CN"/>
              </w:rPr>
            </w:pPr>
            <w:r>
              <w:rPr>
                <w:rFonts w:hint="default" w:ascii="Times New Roman" w:hAnsi="Times New Roman" w:eastAsia="宋体" w:cs="Times New Roman"/>
                <w:color w:val="auto"/>
                <w:spacing w:val="0"/>
                <w:sz w:val="21"/>
                <w:szCs w:val="21"/>
                <w:highlight w:val="none"/>
              </w:rPr>
              <w:t>7）对安全及环保管理人员进行安全与环保知识培训，熟悉国家安全生产方针、政策、法规、标准，增强安全意识和</w:t>
            </w:r>
            <w:r>
              <w:rPr>
                <w:rFonts w:hint="default" w:ascii="Times New Roman" w:hAnsi="Times New Roman" w:eastAsia="宋体" w:cs="Times New Roman"/>
                <w:color w:val="auto"/>
                <w:spacing w:val="0"/>
                <w:sz w:val="21"/>
                <w:szCs w:val="21"/>
                <w:highlight w:val="none"/>
                <w:lang w:eastAsia="zh-CN"/>
              </w:rPr>
              <w:t>法治观念</w:t>
            </w:r>
            <w:r>
              <w:rPr>
                <w:rFonts w:hint="default" w:ascii="Times New Roman" w:hAnsi="Times New Roman" w:eastAsia="宋体" w:cs="Times New Roman"/>
                <w:color w:val="auto"/>
                <w:spacing w:val="0"/>
                <w:sz w:val="21"/>
                <w:szCs w:val="21"/>
                <w:highlight w:val="none"/>
              </w:rPr>
              <w:t>，掌握安全卫生基本知识，具有一定的安全管理和决策能力。</w:t>
            </w:r>
          </w:p>
          <w:p w14:paraId="418D672C">
            <w:pPr>
              <w:adjustRightInd w:val="0"/>
              <w:snapToGrid w:val="0"/>
              <w:spacing w:line="360" w:lineRule="auto"/>
              <w:ind w:firstLine="420" w:firstLineChars="200"/>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8）发生火灾事故应立即上报企业负责人，切断火源，隔离现场，疏散周围群众。需要紧急撤离的情况，应按照统一的撤退信号和方法及时撤退。通过消防灭火，采用干粉、二氧化碳等灭火器灭火，降低燃烧强度。扑灭火灾后，应继续洒水降温、消灭余火，同时需对火灾现场进行保护，接受事故调查。</w:t>
            </w:r>
          </w:p>
          <w:p w14:paraId="35B84414">
            <w:pPr>
              <w:adjustRightInd w:val="0"/>
              <w:snapToGrid w:val="0"/>
              <w:spacing w:line="360" w:lineRule="auto"/>
              <w:ind w:firstLine="420" w:firstLineChars="200"/>
              <w:rPr>
                <w:rFonts w:hint="default" w:ascii="Times New Roman" w:hAnsi="Times New Roman" w:eastAsia="宋体" w:cs="Times New Roman"/>
                <w:color w:val="auto"/>
                <w:spacing w:val="0"/>
                <w:sz w:val="21"/>
                <w:szCs w:val="21"/>
                <w:highlight w:val="none"/>
                <w:lang w:eastAsia="zh-CN"/>
              </w:rPr>
            </w:pPr>
            <w:r>
              <w:rPr>
                <w:rFonts w:hint="default" w:ascii="Times New Roman" w:hAnsi="Times New Roman" w:eastAsia="宋体" w:cs="Times New Roman"/>
                <w:color w:val="auto"/>
                <w:spacing w:val="0"/>
                <w:sz w:val="21"/>
                <w:szCs w:val="21"/>
                <w:highlight w:val="none"/>
              </w:rPr>
              <w:t>为了避免事故状态下，消防废水排放对地表水体影响，建设单位应参照《事故状态下水体污染的预防与控制技术要求》（QSY1190-2013），建立水环境风险三级防控体系。</w:t>
            </w:r>
          </w:p>
          <w:p w14:paraId="0E56B0FC">
            <w:pPr>
              <w:spacing w:line="360" w:lineRule="auto"/>
              <w:ind w:firstLine="420" w:firstLineChars="200"/>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pacing w:val="0"/>
                <w:sz w:val="21"/>
                <w:szCs w:val="21"/>
                <w:highlight w:val="none"/>
              </w:rPr>
              <w:t>在落实好本次环评提出的风险防范措施的前提下，项目存在的风险较小。该项目环境风险可以接受。</w:t>
            </w:r>
          </w:p>
          <w:p w14:paraId="3EEEADB2">
            <w:pPr>
              <w:spacing w:line="360" w:lineRule="auto"/>
              <w:ind w:firstLine="420" w:firstLineChars="20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八</w:t>
            </w:r>
            <w:r>
              <w:rPr>
                <w:rFonts w:hint="default" w:ascii="Times New Roman" w:hAnsi="Times New Roman" w:eastAsia="宋体" w:cs="Times New Roman"/>
                <w:color w:val="auto"/>
                <w:sz w:val="21"/>
                <w:szCs w:val="21"/>
                <w:highlight w:val="none"/>
              </w:rPr>
              <w:t>、电磁辐射</w:t>
            </w:r>
          </w:p>
          <w:p w14:paraId="608EF638">
            <w:pPr>
              <w:spacing w:line="360" w:lineRule="auto"/>
              <w:ind w:firstLine="420" w:firstLineChars="20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项目不属于新建、改建或技改广播电台、差转台、电视塔台、卫星地球上行站、雷达等电磁辐射类项目，无需进行电磁辐射评价。</w:t>
            </w:r>
          </w:p>
          <w:p w14:paraId="547C7BA4">
            <w:pPr>
              <w:spacing w:line="360" w:lineRule="auto"/>
              <w:ind w:firstLine="420" w:firstLineChars="200"/>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九、</w:t>
            </w:r>
            <w:r>
              <w:rPr>
                <w:rFonts w:hint="default" w:ascii="Times New Roman" w:hAnsi="Times New Roman" w:eastAsia="宋体" w:cs="Times New Roman"/>
                <w:color w:val="auto"/>
                <w:sz w:val="21"/>
                <w:szCs w:val="21"/>
                <w:highlight w:val="none"/>
              </w:rPr>
              <w:t>环境管理与监测计划</w:t>
            </w:r>
          </w:p>
          <w:p w14:paraId="748104B2">
            <w:pPr>
              <w:spacing w:line="360" w:lineRule="auto"/>
              <w:ind w:firstLine="420" w:firstLineChars="20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（1）环境管理</w:t>
            </w:r>
          </w:p>
          <w:p w14:paraId="149E279D">
            <w:pPr>
              <w:spacing w:line="360" w:lineRule="auto"/>
              <w:ind w:firstLine="420" w:firstLineChars="20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环境保护机构的设置根据《建设项目环境保护设计规定》有关要求，应设置环境管理机构，定员1人。也可委托第三方进行日常监测，为环境管理提供可靠的依据。建设单位委托具有监测资质单位进行定期监测。</w:t>
            </w:r>
          </w:p>
          <w:p w14:paraId="12626AC2">
            <w:pPr>
              <w:spacing w:line="360" w:lineRule="auto"/>
              <w:ind w:firstLine="420" w:firstLineChars="20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2）环境管理要点</w:t>
            </w:r>
          </w:p>
          <w:p w14:paraId="64A65B35">
            <w:pPr>
              <w:spacing w:line="360" w:lineRule="auto"/>
              <w:ind w:firstLine="420" w:firstLineChars="20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①“三同时”验收</w:t>
            </w:r>
          </w:p>
          <w:p w14:paraId="5D05EC13">
            <w:pPr>
              <w:spacing w:line="360" w:lineRule="auto"/>
              <w:ind w:firstLine="420" w:firstLineChars="20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根据《建设项目环境保护管理条例》及其修改决定（国务院令第682号），建设项目竣工后，建设单位应进行竣工验收，验收通过后项目方可正式投产运行。</w:t>
            </w:r>
          </w:p>
          <w:p w14:paraId="473E7D5A">
            <w:pPr>
              <w:spacing w:line="360" w:lineRule="auto"/>
              <w:ind w:firstLine="420" w:firstLineChars="20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②制定环境管理文件及实施细则根据国家、地方政府对企业环境管理的基本要求，结合项目的具体情况，制定环境管理文件和实施细则。</w:t>
            </w:r>
          </w:p>
          <w:p w14:paraId="435BC77A">
            <w:pPr>
              <w:spacing w:line="360" w:lineRule="auto"/>
              <w:ind w:firstLine="420" w:firstLineChars="20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③信息公开</w:t>
            </w:r>
          </w:p>
          <w:p w14:paraId="33006EBC">
            <w:pPr>
              <w:spacing w:line="360" w:lineRule="auto"/>
              <w:ind w:firstLine="420" w:firstLineChars="20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根据《建设项目环境保护事中事后监督管理办法（试行）》要求，建设单位应当主动向社会公开建设项目环境影响评价文件、污染防治设施建设运行情况、污染物排放情况、突发环境事件应急预案及应对情况等环境信息。</w:t>
            </w:r>
          </w:p>
          <w:p w14:paraId="32A4ECDA">
            <w:pPr>
              <w:spacing w:line="360" w:lineRule="auto"/>
              <w:ind w:firstLine="420" w:firstLineChars="20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（2）环境监测</w:t>
            </w:r>
          </w:p>
          <w:p w14:paraId="7C1F36C4">
            <w:pPr>
              <w:spacing w:line="360" w:lineRule="auto"/>
              <w:ind w:firstLine="420" w:firstLineChars="20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1）监测仪器的配备建议建设单位依托社会监测机构。</w:t>
            </w:r>
          </w:p>
          <w:p w14:paraId="269F61D4">
            <w:pPr>
              <w:spacing w:line="360" w:lineRule="auto"/>
              <w:ind w:firstLine="420" w:firstLineChars="20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rPr>
              <w:t>2）监测计划根据项目特点拟定的监测计划见下表，监测方法采用国家标准测试方法</w:t>
            </w:r>
            <w:r>
              <w:rPr>
                <w:rFonts w:hint="default" w:ascii="Times New Roman" w:hAnsi="Times New Roman" w:eastAsia="宋体" w:cs="Times New Roman"/>
                <w:color w:val="auto"/>
                <w:sz w:val="21"/>
                <w:szCs w:val="21"/>
                <w:highlight w:val="none"/>
                <w:lang w:val="en-US" w:eastAsia="zh-CN"/>
              </w:rPr>
              <w:t>。</w:t>
            </w:r>
          </w:p>
          <w:p w14:paraId="11AD682C">
            <w:pPr>
              <w:spacing w:line="360" w:lineRule="auto"/>
              <w:jc w:val="center"/>
              <w:rPr>
                <w:rFonts w:hint="default" w:ascii="Times New Roman" w:hAnsi="Times New Roman" w:eastAsia="宋体" w:cs="Times New Roman"/>
                <w:b/>
                <w:bCs/>
                <w:color w:val="auto"/>
                <w:spacing w:val="0"/>
                <w:position w:val="0"/>
                <w:sz w:val="21"/>
                <w:szCs w:val="21"/>
              </w:rPr>
            </w:pPr>
            <w:r>
              <w:rPr>
                <w:rFonts w:hint="default" w:ascii="Times New Roman" w:hAnsi="Times New Roman" w:eastAsia="宋体" w:cs="Times New Roman"/>
                <w:b/>
                <w:bCs/>
                <w:color w:val="auto"/>
                <w:spacing w:val="0"/>
                <w:position w:val="0"/>
                <w:sz w:val="21"/>
                <w:szCs w:val="21"/>
              </w:rPr>
              <w:t>表</w:t>
            </w:r>
            <w:r>
              <w:rPr>
                <w:rFonts w:hint="default" w:ascii="Times New Roman" w:hAnsi="Times New Roman" w:eastAsia="宋体" w:cs="Times New Roman"/>
                <w:b/>
                <w:bCs/>
                <w:color w:val="auto"/>
                <w:spacing w:val="0"/>
                <w:position w:val="0"/>
                <w:sz w:val="21"/>
                <w:szCs w:val="21"/>
                <w:lang w:val="en-US" w:eastAsia="zh-CN"/>
              </w:rPr>
              <w:t xml:space="preserve">4-15 </w:t>
            </w:r>
            <w:r>
              <w:rPr>
                <w:rFonts w:hint="default" w:ascii="Times New Roman" w:hAnsi="Times New Roman" w:eastAsia="宋体" w:cs="Times New Roman"/>
                <w:b/>
                <w:bCs/>
                <w:color w:val="auto"/>
                <w:spacing w:val="0"/>
                <w:position w:val="0"/>
                <w:sz w:val="21"/>
                <w:szCs w:val="21"/>
              </w:rPr>
              <w:t>污染源监测计划表</w:t>
            </w:r>
          </w:p>
          <w:tbl>
            <w:tblPr>
              <w:tblStyle w:val="1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81"/>
              <w:gridCol w:w="1110"/>
              <w:gridCol w:w="1137"/>
              <w:gridCol w:w="2044"/>
              <w:gridCol w:w="2662"/>
            </w:tblGrid>
            <w:tr w14:paraId="5BEC22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trPr>
              <w:tc>
                <w:tcPr>
                  <w:tcW w:w="681" w:type="dxa"/>
                  <w:shd w:val="clear" w:color="auto" w:fill="auto"/>
                  <w:noWrap w:val="0"/>
                  <w:vAlign w:val="center"/>
                </w:tcPr>
                <w:p w14:paraId="49BC1D3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pacing w:val="0"/>
                      <w:position w:val="0"/>
                      <w:sz w:val="21"/>
                      <w:szCs w:val="21"/>
                    </w:rPr>
                  </w:pPr>
                  <w:r>
                    <w:rPr>
                      <w:rFonts w:hint="default" w:ascii="Times New Roman" w:hAnsi="Times New Roman" w:eastAsia="宋体" w:cs="Times New Roman"/>
                      <w:b/>
                      <w:bCs/>
                      <w:color w:val="auto"/>
                      <w:spacing w:val="0"/>
                      <w:position w:val="0"/>
                      <w:sz w:val="21"/>
                      <w:szCs w:val="21"/>
                    </w:rPr>
                    <w:t>项目</w:t>
                  </w:r>
                </w:p>
              </w:tc>
              <w:tc>
                <w:tcPr>
                  <w:tcW w:w="1110" w:type="dxa"/>
                  <w:shd w:val="clear" w:color="auto" w:fill="auto"/>
                  <w:noWrap w:val="0"/>
                  <w:vAlign w:val="center"/>
                </w:tcPr>
                <w:p w14:paraId="53862D9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pacing w:val="0"/>
                      <w:position w:val="0"/>
                      <w:sz w:val="21"/>
                      <w:szCs w:val="21"/>
                    </w:rPr>
                  </w:pPr>
                  <w:r>
                    <w:rPr>
                      <w:rFonts w:hint="default" w:ascii="Times New Roman" w:hAnsi="Times New Roman" w:eastAsia="宋体" w:cs="Times New Roman"/>
                      <w:b/>
                      <w:bCs/>
                      <w:color w:val="auto"/>
                      <w:spacing w:val="0"/>
                      <w:position w:val="0"/>
                      <w:sz w:val="21"/>
                      <w:szCs w:val="21"/>
                    </w:rPr>
                    <w:t>监测点位</w:t>
                  </w:r>
                </w:p>
              </w:tc>
              <w:tc>
                <w:tcPr>
                  <w:tcW w:w="1137" w:type="dxa"/>
                  <w:shd w:val="clear" w:color="auto" w:fill="auto"/>
                  <w:noWrap w:val="0"/>
                  <w:vAlign w:val="center"/>
                </w:tcPr>
                <w:p w14:paraId="456B31A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pacing w:val="0"/>
                      <w:position w:val="0"/>
                      <w:sz w:val="21"/>
                      <w:szCs w:val="21"/>
                    </w:rPr>
                  </w:pPr>
                  <w:r>
                    <w:rPr>
                      <w:rFonts w:hint="default" w:ascii="Times New Roman" w:hAnsi="Times New Roman" w:eastAsia="宋体" w:cs="Times New Roman"/>
                      <w:b/>
                      <w:bCs/>
                      <w:color w:val="auto"/>
                      <w:spacing w:val="0"/>
                      <w:position w:val="0"/>
                      <w:sz w:val="21"/>
                      <w:szCs w:val="21"/>
                    </w:rPr>
                    <w:t>监测项目</w:t>
                  </w:r>
                </w:p>
              </w:tc>
              <w:tc>
                <w:tcPr>
                  <w:tcW w:w="2044" w:type="dxa"/>
                  <w:shd w:val="clear" w:color="auto" w:fill="auto"/>
                  <w:noWrap w:val="0"/>
                  <w:vAlign w:val="center"/>
                </w:tcPr>
                <w:p w14:paraId="4D844E5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pacing w:val="0"/>
                      <w:position w:val="0"/>
                      <w:sz w:val="21"/>
                      <w:szCs w:val="21"/>
                    </w:rPr>
                  </w:pPr>
                  <w:r>
                    <w:rPr>
                      <w:rFonts w:hint="default" w:ascii="Times New Roman" w:hAnsi="Times New Roman" w:eastAsia="宋体" w:cs="Times New Roman"/>
                      <w:b/>
                      <w:bCs/>
                      <w:color w:val="auto"/>
                      <w:spacing w:val="0"/>
                      <w:position w:val="0"/>
                      <w:sz w:val="21"/>
                      <w:szCs w:val="21"/>
                    </w:rPr>
                    <w:t>监测频率</w:t>
                  </w:r>
                </w:p>
              </w:tc>
              <w:tc>
                <w:tcPr>
                  <w:tcW w:w="2662" w:type="dxa"/>
                  <w:shd w:val="clear" w:color="auto" w:fill="auto"/>
                  <w:noWrap w:val="0"/>
                  <w:vAlign w:val="center"/>
                </w:tcPr>
                <w:p w14:paraId="78463F6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pacing w:val="0"/>
                      <w:position w:val="0"/>
                      <w:sz w:val="21"/>
                      <w:szCs w:val="21"/>
                    </w:rPr>
                  </w:pPr>
                  <w:r>
                    <w:rPr>
                      <w:rFonts w:hint="default" w:ascii="Times New Roman" w:hAnsi="Times New Roman" w:eastAsia="宋体" w:cs="Times New Roman"/>
                      <w:b/>
                      <w:bCs/>
                      <w:color w:val="auto"/>
                      <w:spacing w:val="0"/>
                      <w:position w:val="0"/>
                      <w:sz w:val="21"/>
                      <w:szCs w:val="21"/>
                    </w:rPr>
                    <w:t>监测分析方法</w:t>
                  </w:r>
                </w:p>
              </w:tc>
            </w:tr>
            <w:tr w14:paraId="2590DE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7" w:hRule="atLeast"/>
              </w:trPr>
              <w:tc>
                <w:tcPr>
                  <w:tcW w:w="681" w:type="dxa"/>
                  <w:vMerge w:val="restart"/>
                  <w:shd w:val="clear" w:color="auto" w:fill="auto"/>
                  <w:noWrap w:val="0"/>
                  <w:vAlign w:val="center"/>
                </w:tcPr>
                <w:p w14:paraId="39A4591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rPr>
                  </w:pPr>
                  <w:r>
                    <w:rPr>
                      <w:rFonts w:hint="default" w:ascii="Times New Roman" w:hAnsi="Times New Roman" w:eastAsia="宋体" w:cs="Times New Roman"/>
                      <w:color w:val="auto"/>
                      <w:spacing w:val="0"/>
                      <w:position w:val="0"/>
                      <w:sz w:val="21"/>
                      <w:szCs w:val="21"/>
                    </w:rPr>
                    <w:t>废气</w:t>
                  </w:r>
                </w:p>
              </w:tc>
              <w:tc>
                <w:tcPr>
                  <w:tcW w:w="1110" w:type="dxa"/>
                  <w:shd w:val="clear" w:color="auto" w:fill="auto"/>
                  <w:noWrap w:val="0"/>
                  <w:vAlign w:val="center"/>
                </w:tcPr>
                <w:p w14:paraId="2BF9993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lang w:val="en-US" w:eastAsia="zh-CN"/>
                    </w:rPr>
                  </w:pPr>
                  <w:r>
                    <w:rPr>
                      <w:rFonts w:hint="default" w:ascii="Times New Roman" w:hAnsi="Times New Roman" w:eastAsia="宋体" w:cs="Times New Roman"/>
                      <w:color w:val="auto"/>
                      <w:sz w:val="21"/>
                      <w:szCs w:val="21"/>
                      <w:vertAlign w:val="baseline"/>
                      <w:lang w:val="en-US" w:eastAsia="zh-CN"/>
                    </w:rPr>
                    <w:t>DA001</w:t>
                  </w:r>
                </w:p>
              </w:tc>
              <w:tc>
                <w:tcPr>
                  <w:tcW w:w="1137" w:type="dxa"/>
                  <w:shd w:val="clear" w:color="auto" w:fill="auto"/>
                  <w:noWrap w:val="0"/>
                  <w:vAlign w:val="center"/>
                </w:tcPr>
                <w:p w14:paraId="366B50D5">
                  <w:pPr>
                    <w:pStyle w:val="34"/>
                    <w:jc w:val="center"/>
                    <w:rPr>
                      <w:rFonts w:hint="default" w:ascii="Times New Roman" w:hAnsi="Times New Roman" w:eastAsia="宋体" w:cs="Times New Roman"/>
                      <w:color w:val="auto"/>
                      <w:spacing w:val="0"/>
                      <w:position w:val="0"/>
                      <w:sz w:val="21"/>
                      <w:szCs w:val="21"/>
                      <w:lang w:val="en-US" w:eastAsia="zh-CN"/>
                    </w:rPr>
                  </w:pPr>
                  <w:r>
                    <w:rPr>
                      <w:rFonts w:hint="default" w:ascii="Times New Roman" w:hAnsi="Times New Roman" w:eastAsia="宋体" w:cs="Times New Roman"/>
                      <w:color w:val="auto"/>
                      <w:sz w:val="21"/>
                      <w:szCs w:val="21"/>
                      <w:highlight w:val="none"/>
                      <w:lang w:val="en-US" w:eastAsia="zh-CN"/>
                    </w:rPr>
                    <w:t>颗粒物</w:t>
                  </w:r>
                </w:p>
              </w:tc>
              <w:tc>
                <w:tcPr>
                  <w:tcW w:w="2044" w:type="dxa"/>
                  <w:shd w:val="clear" w:color="auto" w:fill="auto"/>
                  <w:noWrap w:val="0"/>
                  <w:vAlign w:val="center"/>
                </w:tcPr>
                <w:p w14:paraId="4B8B560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lang w:val="en-US" w:eastAsia="zh-CN"/>
                    </w:rPr>
                  </w:pPr>
                  <w:r>
                    <w:rPr>
                      <w:rFonts w:hint="default" w:ascii="Times New Roman" w:hAnsi="Times New Roman" w:eastAsia="宋体" w:cs="Times New Roman"/>
                      <w:color w:val="auto"/>
                      <w:spacing w:val="0"/>
                      <w:position w:val="0"/>
                      <w:sz w:val="21"/>
                      <w:szCs w:val="21"/>
                      <w:lang w:val="en-US" w:eastAsia="zh-CN"/>
                    </w:rPr>
                    <w:t>正常情况</w:t>
                  </w:r>
                  <w:r>
                    <w:rPr>
                      <w:rFonts w:hint="default" w:ascii="Times New Roman" w:hAnsi="Times New Roman" w:eastAsia="宋体" w:cs="Times New Roman"/>
                      <w:color w:val="auto"/>
                      <w:sz w:val="21"/>
                      <w:szCs w:val="21"/>
                      <w:vertAlign w:val="baseline"/>
                      <w:lang w:val="en-US" w:eastAsia="zh-CN"/>
                    </w:rPr>
                    <w:t>每年一次</w:t>
                  </w:r>
                  <w:r>
                    <w:rPr>
                      <w:rFonts w:hint="default" w:ascii="Times New Roman" w:hAnsi="Times New Roman" w:eastAsia="宋体" w:cs="Times New Roman"/>
                      <w:color w:val="auto"/>
                      <w:spacing w:val="0"/>
                      <w:position w:val="0"/>
                      <w:sz w:val="21"/>
                      <w:szCs w:val="21"/>
                      <w:lang w:val="en-US" w:eastAsia="zh-CN"/>
                    </w:rPr>
                    <w:t>，非正常工况随时监测</w:t>
                  </w:r>
                </w:p>
              </w:tc>
              <w:tc>
                <w:tcPr>
                  <w:tcW w:w="2662" w:type="dxa"/>
                  <w:vMerge w:val="restart"/>
                  <w:shd w:val="clear" w:color="auto" w:fill="auto"/>
                  <w:noWrap w:val="0"/>
                  <w:vAlign w:val="center"/>
                </w:tcPr>
                <w:p w14:paraId="0346B81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rPr>
                  </w:pPr>
                  <w:r>
                    <w:rPr>
                      <w:rFonts w:hint="default" w:ascii="Times New Roman" w:hAnsi="Times New Roman" w:eastAsia="宋体" w:cs="Times New Roman"/>
                      <w:color w:val="auto"/>
                      <w:spacing w:val="0"/>
                      <w:position w:val="0"/>
                      <w:sz w:val="21"/>
                      <w:szCs w:val="21"/>
                    </w:rPr>
                    <w:t>按照《环境监测技术规范</w:t>
                  </w:r>
                  <w:r>
                    <w:rPr>
                      <w:rFonts w:hint="default" w:ascii="Times New Roman" w:hAnsi="Times New Roman" w:eastAsia="宋体" w:cs="Times New Roman"/>
                      <w:color w:val="auto"/>
                      <w:spacing w:val="0"/>
                      <w:position w:val="0"/>
                      <w:sz w:val="21"/>
                      <w:szCs w:val="21"/>
                      <w:lang w:eastAsia="zh-CN"/>
                    </w:rPr>
                    <w:t>》《排污许可证申请与核发技术规范总则》(HJ942-2019)、《排污单位自行检测技术指南 总则》(HJ819-2017)</w:t>
                  </w:r>
                  <w:r>
                    <w:rPr>
                      <w:rFonts w:hint="default" w:ascii="Times New Roman" w:hAnsi="Times New Roman" w:eastAsia="宋体" w:cs="Times New Roman"/>
                      <w:color w:val="auto"/>
                      <w:spacing w:val="0"/>
                      <w:position w:val="0"/>
                      <w:sz w:val="21"/>
                      <w:szCs w:val="21"/>
                    </w:rPr>
                    <w:t>等有关规定进行</w:t>
                  </w:r>
                </w:p>
              </w:tc>
            </w:tr>
            <w:tr w14:paraId="0DA688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5" w:hRule="atLeast"/>
              </w:trPr>
              <w:tc>
                <w:tcPr>
                  <w:tcW w:w="681" w:type="dxa"/>
                  <w:vMerge w:val="continue"/>
                  <w:shd w:val="clear" w:color="auto" w:fill="auto"/>
                  <w:noWrap w:val="0"/>
                  <w:vAlign w:val="center"/>
                </w:tcPr>
                <w:p w14:paraId="427AF41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p>
              </w:tc>
              <w:tc>
                <w:tcPr>
                  <w:tcW w:w="1110" w:type="dxa"/>
                  <w:shd w:val="clear" w:color="auto" w:fill="auto"/>
                  <w:noWrap w:val="0"/>
                  <w:vAlign w:val="center"/>
                </w:tcPr>
                <w:p w14:paraId="1750E17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厂界</w:t>
                  </w:r>
                </w:p>
              </w:tc>
              <w:tc>
                <w:tcPr>
                  <w:tcW w:w="1137" w:type="dxa"/>
                  <w:shd w:val="clear" w:color="auto" w:fill="auto"/>
                  <w:noWrap w:val="0"/>
                  <w:vAlign w:val="center"/>
                </w:tcPr>
                <w:p w14:paraId="4FA26D8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lang w:val="en-US" w:eastAsia="zh-CN"/>
                    </w:rPr>
                  </w:pPr>
                  <w:r>
                    <w:rPr>
                      <w:rFonts w:hint="default" w:ascii="Times New Roman" w:hAnsi="Times New Roman" w:eastAsia="宋体" w:cs="Times New Roman"/>
                      <w:color w:val="auto"/>
                      <w:sz w:val="21"/>
                      <w:szCs w:val="21"/>
                      <w:highlight w:val="none"/>
                      <w:lang w:val="en-US" w:eastAsia="zh-CN"/>
                    </w:rPr>
                    <w:t>颗粒物</w:t>
                  </w:r>
                </w:p>
              </w:tc>
              <w:tc>
                <w:tcPr>
                  <w:tcW w:w="2044" w:type="dxa"/>
                  <w:shd w:val="clear" w:color="auto" w:fill="auto"/>
                  <w:noWrap w:val="0"/>
                  <w:vAlign w:val="center"/>
                </w:tcPr>
                <w:p w14:paraId="6FD6FD4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lang w:val="en-US" w:eastAsia="zh-CN"/>
                    </w:rPr>
                  </w:pPr>
                  <w:r>
                    <w:rPr>
                      <w:rFonts w:hint="default" w:ascii="Times New Roman" w:hAnsi="Times New Roman" w:eastAsia="宋体" w:cs="Times New Roman"/>
                      <w:color w:val="auto"/>
                      <w:spacing w:val="0"/>
                      <w:position w:val="0"/>
                      <w:sz w:val="21"/>
                      <w:szCs w:val="21"/>
                      <w:lang w:val="en-US" w:eastAsia="zh-CN"/>
                    </w:rPr>
                    <w:t>正常情况每年一次，非正常工况随时监测</w:t>
                  </w:r>
                </w:p>
              </w:tc>
              <w:tc>
                <w:tcPr>
                  <w:tcW w:w="2662" w:type="dxa"/>
                  <w:vMerge w:val="continue"/>
                  <w:shd w:val="clear" w:color="auto" w:fill="auto"/>
                  <w:noWrap w:val="0"/>
                  <w:vAlign w:val="center"/>
                </w:tcPr>
                <w:p w14:paraId="3F14E62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lang w:val="en-US" w:eastAsia="zh-CN"/>
                    </w:rPr>
                  </w:pPr>
                </w:p>
              </w:tc>
            </w:tr>
            <w:tr w14:paraId="3CE313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trPr>
              <w:tc>
                <w:tcPr>
                  <w:tcW w:w="681" w:type="dxa"/>
                  <w:shd w:val="clear" w:color="auto" w:fill="auto"/>
                  <w:noWrap w:val="0"/>
                  <w:vAlign w:val="center"/>
                </w:tcPr>
                <w:p w14:paraId="468E43D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rPr>
                  </w:pPr>
                  <w:r>
                    <w:rPr>
                      <w:rFonts w:hint="default" w:ascii="Times New Roman" w:hAnsi="Times New Roman" w:eastAsia="宋体" w:cs="Times New Roman"/>
                      <w:color w:val="auto"/>
                      <w:spacing w:val="0"/>
                      <w:position w:val="0"/>
                      <w:sz w:val="21"/>
                      <w:szCs w:val="21"/>
                    </w:rPr>
                    <w:t>噪声</w:t>
                  </w:r>
                </w:p>
              </w:tc>
              <w:tc>
                <w:tcPr>
                  <w:tcW w:w="1110" w:type="dxa"/>
                  <w:shd w:val="clear" w:color="auto" w:fill="auto"/>
                  <w:noWrap w:val="0"/>
                  <w:vAlign w:val="center"/>
                </w:tcPr>
                <w:p w14:paraId="3D07046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rPr>
                  </w:pPr>
                  <w:r>
                    <w:rPr>
                      <w:rFonts w:hint="default" w:ascii="Times New Roman" w:hAnsi="Times New Roman" w:eastAsia="宋体" w:cs="Times New Roman"/>
                      <w:color w:val="auto"/>
                      <w:spacing w:val="0"/>
                      <w:position w:val="0"/>
                      <w:sz w:val="21"/>
                      <w:szCs w:val="21"/>
                    </w:rPr>
                    <w:t>厂界外1m处</w:t>
                  </w:r>
                </w:p>
              </w:tc>
              <w:tc>
                <w:tcPr>
                  <w:tcW w:w="1137" w:type="dxa"/>
                  <w:shd w:val="clear" w:color="auto" w:fill="auto"/>
                  <w:noWrap w:val="0"/>
                  <w:vAlign w:val="center"/>
                </w:tcPr>
                <w:p w14:paraId="0DFC5E4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rPr>
                  </w:pPr>
                  <w:r>
                    <w:rPr>
                      <w:rFonts w:hint="default" w:ascii="Times New Roman" w:hAnsi="Times New Roman" w:eastAsia="宋体" w:cs="Times New Roman"/>
                      <w:color w:val="auto"/>
                      <w:spacing w:val="0"/>
                      <w:position w:val="0"/>
                      <w:sz w:val="21"/>
                      <w:szCs w:val="21"/>
                    </w:rPr>
                    <w:t>等效连续A声级</w:t>
                  </w:r>
                </w:p>
              </w:tc>
              <w:tc>
                <w:tcPr>
                  <w:tcW w:w="2044" w:type="dxa"/>
                  <w:shd w:val="clear" w:color="auto" w:fill="auto"/>
                  <w:noWrap w:val="0"/>
                  <w:vAlign w:val="center"/>
                </w:tcPr>
                <w:p w14:paraId="1DC21E0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rPr>
                  </w:pPr>
                  <w:r>
                    <w:rPr>
                      <w:rFonts w:hint="default" w:ascii="Times New Roman" w:hAnsi="Times New Roman" w:eastAsia="宋体" w:cs="Times New Roman"/>
                      <w:color w:val="auto"/>
                      <w:spacing w:val="0"/>
                      <w:position w:val="0"/>
                      <w:sz w:val="21"/>
                      <w:szCs w:val="21"/>
                    </w:rPr>
                    <w:t>每季度1次，每次监测两天，昼间监测一次</w:t>
                  </w:r>
                </w:p>
              </w:tc>
              <w:tc>
                <w:tcPr>
                  <w:tcW w:w="2662" w:type="dxa"/>
                  <w:shd w:val="clear" w:color="auto" w:fill="auto"/>
                  <w:noWrap w:val="0"/>
                  <w:vAlign w:val="center"/>
                </w:tcPr>
                <w:p w14:paraId="4312138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pacing w:val="0"/>
                      <w:position w:val="0"/>
                      <w:sz w:val="21"/>
                      <w:szCs w:val="21"/>
                    </w:rPr>
                  </w:pPr>
                  <w:r>
                    <w:rPr>
                      <w:rFonts w:hint="default" w:ascii="Times New Roman" w:hAnsi="Times New Roman" w:eastAsia="宋体" w:cs="Times New Roman"/>
                      <w:color w:val="auto"/>
                      <w:spacing w:val="0"/>
                      <w:position w:val="0"/>
                      <w:sz w:val="21"/>
                      <w:szCs w:val="21"/>
                    </w:rPr>
                    <w:t>按照《工业企业厂界环境噪声排放标准》（GB12348-2008）、《排污单位自行监测技术指南</w:t>
                  </w:r>
                  <w:r>
                    <w:rPr>
                      <w:rFonts w:hint="default" w:ascii="Times New Roman" w:hAnsi="Times New Roman" w:eastAsia="宋体" w:cs="Times New Roman"/>
                      <w:color w:val="auto"/>
                      <w:spacing w:val="0"/>
                      <w:position w:val="0"/>
                      <w:sz w:val="21"/>
                      <w:szCs w:val="21"/>
                      <w:lang w:val="en-US" w:eastAsia="zh-CN"/>
                    </w:rPr>
                    <w:t xml:space="preserve"> </w:t>
                  </w:r>
                  <w:r>
                    <w:rPr>
                      <w:rFonts w:hint="default" w:ascii="Times New Roman" w:hAnsi="Times New Roman" w:eastAsia="宋体" w:cs="Times New Roman"/>
                      <w:color w:val="auto"/>
                      <w:spacing w:val="0"/>
                      <w:position w:val="0"/>
                      <w:sz w:val="21"/>
                      <w:szCs w:val="21"/>
                    </w:rPr>
                    <w:t>总则》（HJ819-2017）等有关规定进行。</w:t>
                  </w:r>
                </w:p>
              </w:tc>
            </w:tr>
          </w:tbl>
          <w:p w14:paraId="0F1FA1B7">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（3）环境保护图形标志</w:t>
            </w:r>
          </w:p>
          <w:p w14:paraId="26F8DAEB">
            <w:pPr>
              <w:spacing w:line="360" w:lineRule="auto"/>
              <w:ind w:firstLine="420" w:firstLineChars="200"/>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在噪声排放源、</w:t>
            </w:r>
            <w:r>
              <w:rPr>
                <w:rFonts w:hint="default" w:ascii="Times New Roman" w:hAnsi="Times New Roman" w:eastAsia="宋体" w:cs="Times New Roman"/>
                <w:color w:val="auto"/>
                <w:sz w:val="21"/>
                <w:szCs w:val="21"/>
                <w:highlight w:val="none"/>
                <w:lang w:eastAsia="zh-CN"/>
              </w:rPr>
              <w:t>废气排放口、</w:t>
            </w:r>
            <w:r>
              <w:rPr>
                <w:rFonts w:hint="default" w:ascii="Times New Roman" w:hAnsi="Times New Roman" w:eastAsia="宋体" w:cs="Times New Roman"/>
                <w:color w:val="auto"/>
                <w:sz w:val="21"/>
                <w:szCs w:val="21"/>
                <w:highlight w:val="none"/>
              </w:rPr>
              <w:t>一般工业固废贮存处置场</w:t>
            </w:r>
            <w:r>
              <w:rPr>
                <w:rFonts w:hint="default" w:ascii="Times New Roman" w:hAnsi="Times New Roman" w:eastAsia="宋体" w:cs="Times New Roman"/>
                <w:color w:val="auto"/>
                <w:sz w:val="21"/>
                <w:szCs w:val="21"/>
                <w:highlight w:val="none"/>
                <w:lang w:eastAsia="zh-CN"/>
              </w:rPr>
              <w:t>所、危险废物贮存场所</w:t>
            </w:r>
            <w:r>
              <w:rPr>
                <w:rFonts w:hint="default" w:ascii="Times New Roman" w:hAnsi="Times New Roman" w:eastAsia="宋体" w:cs="Times New Roman"/>
                <w:color w:val="auto"/>
                <w:sz w:val="21"/>
                <w:szCs w:val="21"/>
                <w:highlight w:val="none"/>
              </w:rPr>
              <w:t>应设置环境保护图形标志，图形符号分为提示图形和警告图形符号两种，分别按GB15562.1-1995、GB15562.2-1995执行。</w:t>
            </w:r>
          </w:p>
          <w:p w14:paraId="77A29B05">
            <w:pPr>
              <w:numPr>
                <w:ilvl w:val="0"/>
                <w:numId w:val="0"/>
              </w:numPr>
              <w:spacing w:line="360" w:lineRule="auto"/>
              <w:ind w:left="0" w:leftChars="0" w:firstLine="420" w:firstLineChars="200"/>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环境保护档案管理公司环保员负责项目的环境保护档案管理工作，环保档案实行专人管理责任到人。企业的所有环保资料应</w:t>
            </w:r>
            <w:r>
              <w:rPr>
                <w:rFonts w:hint="default" w:ascii="Times New Roman" w:hAnsi="Times New Roman" w:eastAsia="宋体" w:cs="Times New Roman"/>
                <w:color w:val="auto"/>
                <w:sz w:val="21"/>
                <w:szCs w:val="21"/>
                <w:highlight w:val="none"/>
                <w:lang w:eastAsia="zh-CN"/>
              </w:rPr>
              <w:t>分类</w:t>
            </w:r>
            <w:r>
              <w:rPr>
                <w:rFonts w:hint="default" w:ascii="Times New Roman" w:hAnsi="Times New Roman" w:eastAsia="宋体" w:cs="Times New Roman"/>
                <w:color w:val="auto"/>
                <w:sz w:val="21"/>
                <w:szCs w:val="21"/>
                <w:highlight w:val="none"/>
              </w:rPr>
              <w:t>整理、分类存档、科学管理，便于统计、查阅。在环境保护档案管理中，应建立如下文件档案：与拟建项目有关的法规、标准、规范和区域规划等；项目建设的有关环境保护的报告、设计方案及审查、审批文件；项目环保工程设施的设计、施工、安装的基础资料及验收资料；公司内部的环境保护管理制度、人员环保培训和考核记录；生态恢复工程、污染治理设施运行管理文件；环境监测记录技术文件；所有导致污染事件的分析报告和检测数据资料等</w:t>
            </w:r>
            <w:r>
              <w:rPr>
                <w:rFonts w:hint="default" w:ascii="Times New Roman" w:hAnsi="Times New Roman" w:eastAsia="宋体" w:cs="Times New Roman"/>
                <w:color w:val="auto"/>
                <w:sz w:val="21"/>
                <w:szCs w:val="21"/>
                <w:highlight w:val="none"/>
                <w:lang w:eastAsia="zh-CN"/>
              </w:rPr>
              <w:t>。</w:t>
            </w:r>
          </w:p>
          <w:p w14:paraId="15C45192">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lef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（4）环境影响评价制度与排污许可制度的衔接</w:t>
            </w:r>
          </w:p>
          <w:p w14:paraId="76AD7ADB">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jc w:val="lef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根据山东省生态环境厅关于落实《排污许可管理条例》的实施意见（试行）（鲁环字〔2021〕92号）文件，环境影响评价制度是建设项目的环境准入门槛，排污许可制是企事业单位生产运营期排污的法律依据，必须做好充分衔接，实现从污染预防到污染治理和排放控制的全过程监管。</w:t>
            </w:r>
          </w:p>
          <w:p w14:paraId="424CA2ED">
            <w:pPr>
              <w:keepNext w:val="0"/>
              <w:keepLines w:val="0"/>
              <w:pageBreakBefore w:val="0"/>
              <w:widowControl w:val="0"/>
              <w:numPr>
                <w:ilvl w:val="0"/>
                <w:numId w:val="0"/>
              </w:numPr>
              <w:kinsoku/>
              <w:wordWrap/>
              <w:overflowPunct/>
              <w:topLinePunct w:val="0"/>
              <w:bidi w:val="0"/>
              <w:spacing w:line="360" w:lineRule="auto"/>
              <w:ind w:right="0" w:rightChars="0" w:firstLine="420" w:firstLineChars="20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根据《固定污染源排污许可分类管理名录（2019年版）》，本项目属于</w:t>
            </w:r>
            <w:r>
              <w:rPr>
                <w:rFonts w:hint="default" w:ascii="Times New Roman" w:hAnsi="Times New Roman" w:eastAsia="宋体" w:cs="Times New Roman"/>
                <w:color w:val="auto"/>
                <w:sz w:val="21"/>
                <w:szCs w:val="21"/>
                <w:highlight w:val="none"/>
                <w:lang w:eastAsia="zh-CN"/>
              </w:rPr>
              <w:t>“二十五、非金属矿物制品业 30”中的“石墨及其他非金属矿物制品制造 309”</w:t>
            </w:r>
            <w:r>
              <w:rPr>
                <w:rFonts w:hint="default" w:ascii="Times New Roman" w:hAnsi="Times New Roman" w:eastAsia="宋体" w:cs="Times New Roman"/>
                <w:color w:val="auto"/>
                <w:sz w:val="21"/>
                <w:szCs w:val="21"/>
                <w:highlight w:val="none"/>
                <w:lang w:val="en-US" w:eastAsia="zh-CN"/>
              </w:rPr>
              <w:t>，属于登记管理的行业。项目应当在启动生产设施或者发生实际排污之前进行排污登记管理。</w:t>
            </w:r>
          </w:p>
          <w:p w14:paraId="6CF67F59">
            <w:pPr>
              <w:pStyle w:val="32"/>
              <w:keepNext w:val="0"/>
              <w:keepLines w:val="0"/>
              <w:pageBreakBefore w:val="0"/>
              <w:widowControl w:val="0"/>
              <w:kinsoku/>
              <w:wordWrap/>
              <w:overflowPunct/>
              <w:topLinePunct w:val="0"/>
              <w:autoSpaceDE w:val="0"/>
              <w:autoSpaceDN w:val="0"/>
              <w:bidi w:val="0"/>
              <w:adjustRightInd w:val="0"/>
              <w:snapToGrid w:val="0"/>
              <w:spacing w:line="360" w:lineRule="auto"/>
              <w:ind w:firstLine="420" w:firstLineChars="200"/>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十、全厂“三本账”分析</w:t>
            </w:r>
          </w:p>
          <w:p w14:paraId="55A42D7B">
            <w:pPr>
              <w:pStyle w:val="32"/>
              <w:keepNext w:val="0"/>
              <w:keepLines w:val="0"/>
              <w:pageBreakBefore w:val="0"/>
              <w:widowControl w:val="0"/>
              <w:kinsoku/>
              <w:wordWrap/>
              <w:overflowPunct/>
              <w:topLinePunct w:val="0"/>
              <w:autoSpaceDE w:val="0"/>
              <w:autoSpaceDN w:val="0"/>
              <w:bidi w:val="0"/>
              <w:adjustRightInd w:val="0"/>
              <w:snapToGrid w:val="0"/>
              <w:spacing w:line="360" w:lineRule="auto"/>
              <w:ind w:left="0" w:leftChars="0" w:right="0" w:rightChars="0" w:firstLine="0" w:firstLineChars="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b/>
                <w:bCs/>
                <w:color w:val="auto"/>
                <w:sz w:val="21"/>
                <w:szCs w:val="21"/>
                <w:lang w:val="en-US" w:eastAsia="zh-CN"/>
              </w:rPr>
              <w:t>表4-16 全厂“三本账”统计表</w:t>
            </w:r>
          </w:p>
          <w:tbl>
            <w:tblPr>
              <w:tblStyle w:val="15"/>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31"/>
              <w:gridCol w:w="1353"/>
              <w:gridCol w:w="1093"/>
              <w:gridCol w:w="1093"/>
              <w:gridCol w:w="1093"/>
              <w:gridCol w:w="1093"/>
              <w:gridCol w:w="1093"/>
            </w:tblGrid>
            <w:tr w14:paraId="3A9CE1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7" w:type="pct"/>
                  <w:gridSpan w:val="2"/>
                  <w:vAlign w:val="center"/>
                </w:tcPr>
                <w:p w14:paraId="305EAFA5">
                  <w:pPr>
                    <w:pStyle w:val="32"/>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项目</w:t>
                  </w:r>
                </w:p>
              </w:tc>
              <w:tc>
                <w:tcPr>
                  <w:tcW w:w="714" w:type="pct"/>
                  <w:shd w:val="clear" w:color="auto" w:fill="auto"/>
                  <w:vAlign w:val="center"/>
                </w:tcPr>
                <w:p w14:paraId="374D4700">
                  <w:pPr>
                    <w:pStyle w:val="32"/>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b/>
                      <w:bCs/>
                      <w:color w:val="auto"/>
                      <w:sz w:val="21"/>
                      <w:szCs w:val="21"/>
                      <w:vertAlign w:val="baseline"/>
                      <w:lang w:val="en-US" w:eastAsia="zh-CN"/>
                    </w:rPr>
                    <w:t>现有工程排放量（t/a）</w:t>
                  </w:r>
                </w:p>
              </w:tc>
              <w:tc>
                <w:tcPr>
                  <w:tcW w:w="714" w:type="pct"/>
                  <w:shd w:val="clear" w:color="auto" w:fill="auto"/>
                  <w:vAlign w:val="center"/>
                </w:tcPr>
                <w:p w14:paraId="29297C17">
                  <w:pPr>
                    <w:pStyle w:val="32"/>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b/>
                      <w:bCs/>
                      <w:color w:val="auto"/>
                      <w:sz w:val="21"/>
                      <w:szCs w:val="21"/>
                      <w:vertAlign w:val="baseline"/>
                      <w:lang w:val="en-US" w:eastAsia="zh-CN"/>
                    </w:rPr>
                    <w:t>本工程排放量（t/a）</w:t>
                  </w:r>
                </w:p>
              </w:tc>
              <w:tc>
                <w:tcPr>
                  <w:tcW w:w="714" w:type="pct"/>
                  <w:shd w:val="clear" w:color="auto" w:fill="auto"/>
                  <w:vAlign w:val="center"/>
                </w:tcPr>
                <w:p w14:paraId="4381860D">
                  <w:pPr>
                    <w:pStyle w:val="32"/>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b/>
                      <w:bCs/>
                      <w:color w:val="auto"/>
                      <w:sz w:val="21"/>
                      <w:szCs w:val="21"/>
                      <w:vertAlign w:val="baseline"/>
                      <w:lang w:val="en-US" w:eastAsia="zh-CN"/>
                    </w:rPr>
                    <w:t>“以新带老”削减量（t/a）</w:t>
                  </w:r>
                </w:p>
              </w:tc>
              <w:tc>
                <w:tcPr>
                  <w:tcW w:w="714" w:type="pct"/>
                  <w:shd w:val="clear" w:color="auto" w:fill="auto"/>
                  <w:vAlign w:val="center"/>
                </w:tcPr>
                <w:p w14:paraId="45D7F20E">
                  <w:pPr>
                    <w:pStyle w:val="32"/>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b/>
                      <w:bCs/>
                      <w:color w:val="auto"/>
                      <w:sz w:val="21"/>
                      <w:szCs w:val="21"/>
                      <w:vertAlign w:val="baseline"/>
                      <w:lang w:val="en-US" w:eastAsia="zh-CN"/>
                    </w:rPr>
                    <w:t>项目完成后全厂排放量（t/a）</w:t>
                  </w:r>
                </w:p>
              </w:tc>
              <w:tc>
                <w:tcPr>
                  <w:tcW w:w="714" w:type="pct"/>
                  <w:shd w:val="clear" w:color="auto" w:fill="auto"/>
                  <w:vAlign w:val="center"/>
                </w:tcPr>
                <w:p w14:paraId="237F4C37">
                  <w:pPr>
                    <w:pStyle w:val="32"/>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b/>
                      <w:bCs/>
                      <w:snapToGrid w:val="0"/>
                      <w:color w:val="auto"/>
                      <w:kern w:val="0"/>
                      <w:sz w:val="21"/>
                      <w:szCs w:val="21"/>
                      <w:vertAlign w:val="baseline"/>
                      <w:lang w:val="en-US" w:eastAsia="zh-CN" w:bidi="ar-SA"/>
                    </w:rPr>
                  </w:pPr>
                  <w:r>
                    <w:rPr>
                      <w:rFonts w:hint="default" w:ascii="Times New Roman" w:hAnsi="Times New Roman" w:eastAsia="宋体" w:cs="Times New Roman"/>
                      <w:b/>
                      <w:bCs/>
                      <w:color w:val="auto"/>
                      <w:sz w:val="21"/>
                      <w:szCs w:val="21"/>
                      <w:vertAlign w:val="baseline"/>
                      <w:lang w:val="en-US" w:eastAsia="zh-CN"/>
                    </w:rPr>
                    <w:t>排放增减量（t/a）</w:t>
                  </w:r>
                </w:p>
              </w:tc>
            </w:tr>
            <w:tr w14:paraId="27C829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3" w:type="pct"/>
                  <w:vAlign w:val="center"/>
                </w:tcPr>
                <w:p w14:paraId="232C097C">
                  <w:pPr>
                    <w:pStyle w:val="32"/>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废气</w:t>
                  </w:r>
                </w:p>
              </w:tc>
              <w:tc>
                <w:tcPr>
                  <w:tcW w:w="884" w:type="pct"/>
                  <w:vAlign w:val="center"/>
                </w:tcPr>
                <w:p w14:paraId="175D3A70">
                  <w:pPr>
                    <w:pStyle w:val="32"/>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颗粒物</w:t>
                  </w:r>
                </w:p>
              </w:tc>
              <w:tc>
                <w:tcPr>
                  <w:tcW w:w="714" w:type="pct"/>
                  <w:vAlign w:val="center"/>
                </w:tcPr>
                <w:p w14:paraId="38B7956C">
                  <w:pPr>
                    <w:pStyle w:val="32"/>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0.1500</w:t>
                  </w:r>
                </w:p>
              </w:tc>
              <w:tc>
                <w:tcPr>
                  <w:tcW w:w="714" w:type="pct"/>
                  <w:vAlign w:val="center"/>
                </w:tcPr>
                <w:p w14:paraId="02169B02">
                  <w:pPr>
                    <w:pStyle w:val="32"/>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0.4465</w:t>
                  </w:r>
                </w:p>
              </w:tc>
              <w:tc>
                <w:tcPr>
                  <w:tcW w:w="714" w:type="pct"/>
                  <w:vAlign w:val="center"/>
                </w:tcPr>
                <w:p w14:paraId="6E49365E">
                  <w:pPr>
                    <w:pStyle w:val="32"/>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0</w:t>
                  </w:r>
                </w:p>
              </w:tc>
              <w:tc>
                <w:tcPr>
                  <w:tcW w:w="714" w:type="pct"/>
                  <w:vAlign w:val="center"/>
                </w:tcPr>
                <w:p w14:paraId="40A8B271">
                  <w:pPr>
                    <w:pStyle w:val="32"/>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i w:val="0"/>
                      <w:iCs w:val="0"/>
                      <w:snapToGrid w:val="0"/>
                      <w:color w:val="auto"/>
                      <w:kern w:val="0"/>
                      <w:sz w:val="21"/>
                      <w:szCs w:val="21"/>
                      <w:u w:val="none"/>
                      <w:lang w:val="en-US" w:eastAsia="zh-CN" w:bidi="ar"/>
                    </w:rPr>
                    <w:t>0.5965</w:t>
                  </w:r>
                </w:p>
              </w:tc>
              <w:tc>
                <w:tcPr>
                  <w:tcW w:w="714" w:type="pct"/>
                  <w:vAlign w:val="center"/>
                </w:tcPr>
                <w:p w14:paraId="10E9693E">
                  <w:pPr>
                    <w:pStyle w:val="32"/>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+0.4465</w:t>
                  </w:r>
                </w:p>
              </w:tc>
            </w:tr>
            <w:tr w14:paraId="0F58F2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3" w:type="pct"/>
                  <w:vMerge w:val="restart"/>
                  <w:vAlign w:val="center"/>
                </w:tcPr>
                <w:p w14:paraId="099B2A65">
                  <w:pPr>
                    <w:pStyle w:val="32"/>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固废</w:t>
                  </w:r>
                </w:p>
              </w:tc>
              <w:tc>
                <w:tcPr>
                  <w:tcW w:w="884" w:type="pct"/>
                  <w:shd w:val="clear" w:color="auto" w:fill="auto"/>
                  <w:vAlign w:val="center"/>
                </w:tcPr>
                <w:p w14:paraId="07026B53">
                  <w:pPr>
                    <w:keepNext w:val="0"/>
                    <w:keepLines w:val="0"/>
                    <w:widowControl/>
                    <w:suppressLineNumbers w:val="0"/>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SA"/>
                    </w:rPr>
                  </w:pPr>
                  <w:r>
                    <w:rPr>
                      <w:rFonts w:hint="default" w:ascii="Times New Roman" w:hAnsi="Times New Roman" w:eastAsia="宋体" w:cs="Times New Roman"/>
                      <w:i w:val="0"/>
                      <w:iCs w:val="0"/>
                      <w:snapToGrid w:val="0"/>
                      <w:color w:val="auto"/>
                      <w:kern w:val="0"/>
                      <w:sz w:val="21"/>
                      <w:szCs w:val="21"/>
                      <w:u w:val="none"/>
                      <w:lang w:val="en-US" w:eastAsia="zh-CN" w:bidi="ar"/>
                    </w:rPr>
                    <w:t>含铁物料</w:t>
                  </w:r>
                </w:p>
              </w:tc>
              <w:tc>
                <w:tcPr>
                  <w:tcW w:w="714" w:type="pct"/>
                  <w:shd w:val="clear" w:color="auto" w:fill="auto"/>
                  <w:vAlign w:val="center"/>
                </w:tcPr>
                <w:p w14:paraId="731DD304">
                  <w:pPr>
                    <w:keepNext w:val="0"/>
                    <w:keepLines w:val="0"/>
                    <w:pageBreakBefore w:val="0"/>
                    <w:widowControl/>
                    <w:suppressLineNumbers w:val="0"/>
                    <w:wordWrap/>
                    <w:overflowPunct/>
                    <w:topLinePunct w:val="0"/>
                    <w:bidi w:val="0"/>
                    <w:ind w:left="0" w:leftChars="0" w:right="0" w:rightChars="0" w:firstLine="0" w:firstLineChars="0"/>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SA"/>
                    </w:rPr>
                  </w:pPr>
                  <w:r>
                    <w:rPr>
                      <w:rFonts w:hint="default" w:ascii="Times New Roman" w:hAnsi="Times New Roman" w:eastAsia="宋体" w:cs="Times New Roman"/>
                      <w:i w:val="0"/>
                      <w:iCs w:val="0"/>
                      <w:snapToGrid w:val="0"/>
                      <w:color w:val="auto"/>
                      <w:kern w:val="0"/>
                      <w:sz w:val="21"/>
                      <w:szCs w:val="21"/>
                      <w:u w:val="none"/>
                      <w:lang w:val="en-US" w:eastAsia="zh-CN" w:bidi="ar"/>
                    </w:rPr>
                    <w:t>1.6</w:t>
                  </w:r>
                </w:p>
              </w:tc>
              <w:tc>
                <w:tcPr>
                  <w:tcW w:w="714" w:type="pct"/>
                  <w:shd w:val="clear" w:color="auto" w:fill="auto"/>
                  <w:vAlign w:val="center"/>
                </w:tcPr>
                <w:p w14:paraId="3B54CB52">
                  <w:pPr>
                    <w:pStyle w:val="32"/>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0.4</w:t>
                  </w:r>
                </w:p>
              </w:tc>
              <w:tc>
                <w:tcPr>
                  <w:tcW w:w="714" w:type="pct"/>
                  <w:shd w:val="clear" w:color="auto" w:fill="auto"/>
                  <w:vAlign w:val="center"/>
                </w:tcPr>
                <w:p w14:paraId="403DAD10">
                  <w:pPr>
                    <w:pStyle w:val="32"/>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0</w:t>
                  </w:r>
                </w:p>
              </w:tc>
              <w:tc>
                <w:tcPr>
                  <w:tcW w:w="714" w:type="pct"/>
                  <w:shd w:val="clear" w:color="auto" w:fill="auto"/>
                  <w:vAlign w:val="center"/>
                </w:tcPr>
                <w:p w14:paraId="6D7BDEA0">
                  <w:pPr>
                    <w:keepNext w:val="0"/>
                    <w:keepLines w:val="0"/>
                    <w:widowControl/>
                    <w:suppressLineNumbers w:val="0"/>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SA"/>
                    </w:rPr>
                  </w:pPr>
                  <w:r>
                    <w:rPr>
                      <w:rFonts w:hint="default" w:ascii="Times New Roman" w:hAnsi="Times New Roman" w:eastAsia="宋体" w:cs="Times New Roman"/>
                      <w:i w:val="0"/>
                      <w:iCs w:val="0"/>
                      <w:snapToGrid w:val="0"/>
                      <w:color w:val="auto"/>
                      <w:kern w:val="0"/>
                      <w:sz w:val="21"/>
                      <w:szCs w:val="21"/>
                      <w:u w:val="none"/>
                      <w:lang w:val="en-US" w:eastAsia="zh-CN" w:bidi="ar"/>
                    </w:rPr>
                    <w:t>2.0</w:t>
                  </w:r>
                </w:p>
              </w:tc>
              <w:tc>
                <w:tcPr>
                  <w:tcW w:w="714" w:type="pct"/>
                  <w:shd w:val="clear" w:color="auto" w:fill="auto"/>
                  <w:vAlign w:val="center"/>
                </w:tcPr>
                <w:p w14:paraId="026E54A1">
                  <w:pPr>
                    <w:pStyle w:val="32"/>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+0.4</w:t>
                  </w:r>
                </w:p>
              </w:tc>
            </w:tr>
            <w:tr w14:paraId="593BB7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3" w:type="pct"/>
                  <w:vMerge w:val="continue"/>
                  <w:vAlign w:val="center"/>
                </w:tcPr>
                <w:p w14:paraId="779FF11D">
                  <w:pPr>
                    <w:pStyle w:val="32"/>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vertAlign w:val="baseline"/>
                      <w:lang w:val="en-US" w:eastAsia="zh-CN"/>
                    </w:rPr>
                  </w:pPr>
                </w:p>
              </w:tc>
              <w:tc>
                <w:tcPr>
                  <w:tcW w:w="884" w:type="pct"/>
                  <w:shd w:val="clear" w:color="auto" w:fill="auto"/>
                  <w:vAlign w:val="center"/>
                </w:tcPr>
                <w:p w14:paraId="2CF195FB">
                  <w:pPr>
                    <w:keepNext w:val="0"/>
                    <w:keepLines w:val="0"/>
                    <w:widowControl/>
                    <w:suppressLineNumbers w:val="0"/>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SA"/>
                    </w:rPr>
                  </w:pPr>
                  <w:r>
                    <w:rPr>
                      <w:rFonts w:hint="default" w:ascii="Times New Roman" w:hAnsi="Times New Roman" w:eastAsia="宋体" w:cs="Times New Roman"/>
                      <w:i w:val="0"/>
                      <w:iCs w:val="0"/>
                      <w:snapToGrid w:val="0"/>
                      <w:color w:val="auto"/>
                      <w:kern w:val="0"/>
                      <w:sz w:val="21"/>
                      <w:szCs w:val="21"/>
                      <w:u w:val="none"/>
                      <w:lang w:val="en-US" w:eastAsia="zh-CN" w:bidi="ar"/>
                    </w:rPr>
                    <w:t>生活垃圾</w:t>
                  </w:r>
                </w:p>
              </w:tc>
              <w:tc>
                <w:tcPr>
                  <w:tcW w:w="714" w:type="pct"/>
                  <w:shd w:val="clear" w:color="auto" w:fill="auto"/>
                  <w:vAlign w:val="center"/>
                </w:tcPr>
                <w:p w14:paraId="32D4D5C1">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snapToGrid w:val="0"/>
                      <w:color w:val="auto"/>
                      <w:kern w:val="0"/>
                      <w:sz w:val="21"/>
                      <w:szCs w:val="21"/>
                      <w:vertAlign w:val="baseline"/>
                      <w:lang w:val="en-US" w:eastAsia="zh-CN" w:bidi="ar-SA"/>
                    </w:rPr>
                  </w:pPr>
                  <w:r>
                    <w:rPr>
                      <w:rFonts w:hint="default" w:ascii="Times New Roman" w:hAnsi="Times New Roman" w:eastAsia="宋体" w:cs="Times New Roman"/>
                      <w:color w:val="auto"/>
                      <w:sz w:val="21"/>
                      <w:szCs w:val="21"/>
                      <w:vertAlign w:val="baseline"/>
                      <w:lang w:val="en-US" w:eastAsia="zh-CN"/>
                    </w:rPr>
                    <w:t>1.2</w:t>
                  </w:r>
                </w:p>
              </w:tc>
              <w:tc>
                <w:tcPr>
                  <w:tcW w:w="714" w:type="pct"/>
                  <w:vAlign w:val="center"/>
                </w:tcPr>
                <w:p w14:paraId="2F6312C9">
                  <w:pPr>
                    <w:pStyle w:val="32"/>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0</w:t>
                  </w:r>
                </w:p>
              </w:tc>
              <w:tc>
                <w:tcPr>
                  <w:tcW w:w="714" w:type="pct"/>
                  <w:vAlign w:val="center"/>
                </w:tcPr>
                <w:p w14:paraId="6522BEB0">
                  <w:pPr>
                    <w:pStyle w:val="32"/>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0</w:t>
                  </w:r>
                </w:p>
              </w:tc>
              <w:tc>
                <w:tcPr>
                  <w:tcW w:w="714" w:type="pct"/>
                  <w:shd w:val="clear" w:color="auto" w:fill="auto"/>
                  <w:vAlign w:val="center"/>
                </w:tcPr>
                <w:p w14:paraId="0483390D">
                  <w:pPr>
                    <w:keepNext w:val="0"/>
                    <w:keepLines w:val="0"/>
                    <w:widowControl/>
                    <w:suppressLineNumbers w:val="0"/>
                    <w:jc w:val="center"/>
                    <w:textAlignment w:val="center"/>
                    <w:rPr>
                      <w:rFonts w:hint="default" w:ascii="Times New Roman" w:hAnsi="Times New Roman" w:eastAsia="宋体" w:cs="Times New Roman"/>
                      <w:i w:val="0"/>
                      <w:iCs w:val="0"/>
                      <w:snapToGrid w:val="0"/>
                      <w:color w:val="auto"/>
                      <w:kern w:val="0"/>
                      <w:sz w:val="21"/>
                      <w:szCs w:val="21"/>
                      <w:u w:val="none"/>
                      <w:lang w:val="en-US" w:eastAsia="zh-CN" w:bidi="ar-SA"/>
                    </w:rPr>
                  </w:pPr>
                  <w:r>
                    <w:rPr>
                      <w:rFonts w:hint="default" w:ascii="Times New Roman" w:hAnsi="Times New Roman" w:eastAsia="宋体" w:cs="Times New Roman"/>
                      <w:i w:val="0"/>
                      <w:iCs w:val="0"/>
                      <w:snapToGrid w:val="0"/>
                      <w:color w:val="auto"/>
                      <w:kern w:val="0"/>
                      <w:sz w:val="21"/>
                      <w:szCs w:val="21"/>
                      <w:u w:val="none"/>
                      <w:lang w:val="en-US" w:eastAsia="zh-CN" w:bidi="ar"/>
                    </w:rPr>
                    <w:t>1.2</w:t>
                  </w:r>
                </w:p>
              </w:tc>
              <w:tc>
                <w:tcPr>
                  <w:tcW w:w="714" w:type="pct"/>
                  <w:vAlign w:val="center"/>
                </w:tcPr>
                <w:p w14:paraId="7A2D688B">
                  <w:pPr>
                    <w:pStyle w:val="32"/>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0</w:t>
                  </w:r>
                </w:p>
              </w:tc>
            </w:tr>
          </w:tbl>
          <w:p w14:paraId="39B42DCC">
            <w:pPr>
              <w:keepNext w:val="0"/>
              <w:keepLines w:val="0"/>
              <w:pageBreakBefore w:val="0"/>
              <w:widowControl w:val="0"/>
              <w:numPr>
                <w:ilvl w:val="0"/>
                <w:numId w:val="0"/>
              </w:numPr>
              <w:kinsoku/>
              <w:wordWrap/>
              <w:overflowPunct/>
              <w:topLinePunct w:val="0"/>
              <w:bidi w:val="0"/>
              <w:spacing w:line="360" w:lineRule="auto"/>
              <w:ind w:right="0" w:rightChars="0" w:firstLine="420" w:firstLineChars="200"/>
              <w:jc w:val="both"/>
              <w:rPr>
                <w:rFonts w:hint="default" w:ascii="Times New Roman" w:hAnsi="Times New Roman" w:eastAsia="宋体" w:cs="Times New Roman"/>
                <w:color w:val="auto"/>
                <w:sz w:val="21"/>
                <w:szCs w:val="21"/>
                <w:highlight w:val="none"/>
                <w:lang w:val="en-US" w:eastAsia="zh-CN"/>
              </w:rPr>
            </w:pPr>
          </w:p>
          <w:p w14:paraId="1E782C4D">
            <w:pPr>
              <w:keepNext w:val="0"/>
              <w:keepLines w:val="0"/>
              <w:pageBreakBefore w:val="0"/>
              <w:widowControl w:val="0"/>
              <w:numPr>
                <w:ilvl w:val="0"/>
                <w:numId w:val="0"/>
              </w:numPr>
              <w:kinsoku/>
              <w:wordWrap/>
              <w:overflowPunct/>
              <w:topLinePunct w:val="0"/>
              <w:bidi w:val="0"/>
              <w:spacing w:line="360" w:lineRule="auto"/>
              <w:ind w:right="0" w:rightChars="0" w:firstLine="420" w:firstLineChars="200"/>
              <w:jc w:val="both"/>
              <w:rPr>
                <w:rFonts w:hint="default" w:ascii="Times New Roman" w:hAnsi="Times New Roman" w:eastAsia="宋体" w:cs="Times New Roman"/>
                <w:color w:val="auto"/>
                <w:sz w:val="21"/>
                <w:szCs w:val="21"/>
                <w:highlight w:val="none"/>
                <w:lang w:val="en-US" w:eastAsia="zh-CN"/>
              </w:rPr>
            </w:pPr>
          </w:p>
        </w:tc>
      </w:tr>
    </w:tbl>
    <w:p w14:paraId="08356D60">
      <w:pPr>
        <w:rPr>
          <w:rFonts w:hint="default" w:ascii="Times New Roman" w:hAnsi="Times New Roman" w:eastAsia="宋体" w:cs="Times New Roman"/>
          <w:snapToGrid w:val="0"/>
          <w:color w:val="auto"/>
          <w:sz w:val="30"/>
          <w:szCs w:val="30"/>
        </w:rPr>
      </w:pPr>
      <w:r>
        <w:rPr>
          <w:rFonts w:hint="default" w:ascii="Times New Roman" w:hAnsi="Times New Roman" w:eastAsia="宋体" w:cs="Times New Roman"/>
          <w:snapToGrid w:val="0"/>
          <w:color w:val="auto"/>
          <w:sz w:val="30"/>
          <w:szCs w:val="30"/>
        </w:rPr>
        <w:br w:type="page"/>
      </w:r>
    </w:p>
    <w:p w14:paraId="575BA3E9">
      <w:pPr>
        <w:pStyle w:val="13"/>
        <w:keepNext w:val="0"/>
        <w:keepLines w:val="0"/>
        <w:pageBreakBefore w:val="0"/>
        <w:widowControl/>
        <w:kinsoku/>
        <w:wordWrap/>
        <w:overflowPunct/>
        <w:topLinePunct w:val="0"/>
        <w:autoSpaceDE/>
        <w:autoSpaceDN/>
        <w:bidi w:val="0"/>
        <w:adjustRightInd/>
        <w:snapToGrid/>
        <w:spacing w:before="0" w:beforeAutospacing="0" w:after="313" w:afterLines="100" w:afterAutospacing="0" w:line="360" w:lineRule="auto"/>
        <w:ind w:firstLine="420"/>
        <w:jc w:val="center"/>
        <w:textAlignment w:val="auto"/>
        <w:outlineLvl w:val="0"/>
        <w:rPr>
          <w:rFonts w:hint="default" w:ascii="Times New Roman" w:hAnsi="Times New Roman" w:eastAsia="宋体" w:cs="Times New Roman"/>
          <w:snapToGrid w:val="0"/>
          <w:color w:val="auto"/>
          <w:sz w:val="30"/>
          <w:szCs w:val="30"/>
        </w:rPr>
      </w:pPr>
      <w:r>
        <w:rPr>
          <w:rFonts w:hint="default" w:ascii="Times New Roman" w:hAnsi="Times New Roman" w:eastAsia="宋体" w:cs="Times New Roman"/>
          <w:snapToGrid w:val="0"/>
          <w:color w:val="auto"/>
          <w:sz w:val="30"/>
          <w:szCs w:val="30"/>
        </w:rPr>
        <w:t>五、</w:t>
      </w:r>
      <w:bookmarkStart w:id="2" w:name="_Hlk54167917"/>
      <w:r>
        <w:rPr>
          <w:rFonts w:hint="default" w:ascii="Times New Roman" w:hAnsi="Times New Roman" w:eastAsia="宋体" w:cs="Times New Roman"/>
          <w:snapToGrid w:val="0"/>
          <w:color w:val="auto"/>
          <w:sz w:val="30"/>
          <w:szCs w:val="30"/>
        </w:rPr>
        <w:t>环境保护措施监督检查清单</w:t>
      </w:r>
      <w:bookmarkEnd w:id="2"/>
    </w:p>
    <w:tbl>
      <w:tblPr>
        <w:tblStyle w:val="14"/>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483"/>
        <w:gridCol w:w="1018"/>
        <w:gridCol w:w="1967"/>
        <w:gridCol w:w="1335"/>
        <w:gridCol w:w="2997"/>
      </w:tblGrid>
      <w:tr w14:paraId="121779D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483" w:type="dxa"/>
            <w:tcBorders>
              <w:tl2br w:val="single" w:color="auto" w:sz="4" w:space="0"/>
            </w:tcBorders>
            <w:noWrap w:val="0"/>
            <w:vAlign w:val="top"/>
          </w:tcPr>
          <w:p w14:paraId="2F396E16">
            <w:pPr>
              <w:adjustRightInd w:val="0"/>
              <w:snapToGrid w:val="0"/>
              <w:ind w:firstLine="840"/>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内容</w:t>
            </w:r>
          </w:p>
          <w:p w14:paraId="77AADA47">
            <w:pPr>
              <w:adjustRightInd w:val="0"/>
              <w:snapToGrid w:val="0"/>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要素</w:t>
            </w:r>
          </w:p>
        </w:tc>
        <w:tc>
          <w:tcPr>
            <w:tcW w:w="1018" w:type="dxa"/>
            <w:noWrap w:val="0"/>
            <w:vAlign w:val="center"/>
          </w:tcPr>
          <w:p w14:paraId="43CB7D95">
            <w:pPr>
              <w:adjustRightInd w:val="0"/>
              <w:snapToGrid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排放口</w:t>
            </w:r>
          </w:p>
        </w:tc>
        <w:tc>
          <w:tcPr>
            <w:tcW w:w="1967" w:type="dxa"/>
            <w:noWrap w:val="0"/>
            <w:vAlign w:val="center"/>
          </w:tcPr>
          <w:p w14:paraId="63430762">
            <w:pPr>
              <w:adjustRightInd w:val="0"/>
              <w:snapToGrid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污染物项目</w:t>
            </w:r>
          </w:p>
        </w:tc>
        <w:tc>
          <w:tcPr>
            <w:tcW w:w="1335" w:type="dxa"/>
            <w:noWrap w:val="0"/>
            <w:vAlign w:val="center"/>
          </w:tcPr>
          <w:p w14:paraId="4B925606">
            <w:pPr>
              <w:adjustRightInd w:val="0"/>
              <w:snapToGrid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环境保护措施</w:t>
            </w:r>
          </w:p>
        </w:tc>
        <w:tc>
          <w:tcPr>
            <w:tcW w:w="2997" w:type="dxa"/>
            <w:noWrap w:val="0"/>
            <w:vAlign w:val="center"/>
          </w:tcPr>
          <w:p w14:paraId="3D707471">
            <w:pPr>
              <w:adjustRightInd w:val="0"/>
              <w:snapToGrid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执行标准</w:t>
            </w:r>
          </w:p>
        </w:tc>
      </w:tr>
      <w:tr w14:paraId="6D29BCD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43" w:hRule="atLeast"/>
          <w:jc w:val="center"/>
        </w:trPr>
        <w:tc>
          <w:tcPr>
            <w:tcW w:w="1483" w:type="dxa"/>
            <w:vMerge w:val="restart"/>
            <w:noWrap w:val="0"/>
            <w:vAlign w:val="center"/>
          </w:tcPr>
          <w:p w14:paraId="3708A8DD">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大气环境</w:t>
            </w:r>
          </w:p>
        </w:tc>
        <w:tc>
          <w:tcPr>
            <w:tcW w:w="1018" w:type="dxa"/>
            <w:noWrap w:val="0"/>
            <w:vAlign w:val="center"/>
          </w:tcPr>
          <w:p w14:paraId="65392CB9">
            <w:pPr>
              <w:jc w:val="center"/>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lang w:val="en-US" w:eastAsia="zh-CN"/>
              </w:rPr>
              <w:t>DA001</w:t>
            </w:r>
          </w:p>
        </w:tc>
        <w:tc>
          <w:tcPr>
            <w:tcW w:w="1967" w:type="dxa"/>
            <w:noWrap w:val="0"/>
            <w:vAlign w:val="center"/>
          </w:tcPr>
          <w:p w14:paraId="21890A09">
            <w:pPr>
              <w:pStyle w:val="22"/>
              <w:adjustRightInd w:val="0"/>
              <w:snapToGrid w:val="0"/>
              <w:spacing w:before="0" w:line="240" w:lineRule="auto"/>
              <w:ind w:left="0" w:leftChars="0" w:right="0" w:right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颗粒物</w:t>
            </w:r>
          </w:p>
        </w:tc>
        <w:tc>
          <w:tcPr>
            <w:tcW w:w="1335" w:type="dxa"/>
            <w:noWrap w:val="0"/>
            <w:vAlign w:val="center"/>
          </w:tcPr>
          <w:p w14:paraId="4F442A51">
            <w:pPr>
              <w:adjustRightInd w:val="0"/>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集气罩+脉冲式布袋除尘器+15m排气筒</w:t>
            </w:r>
          </w:p>
        </w:tc>
        <w:tc>
          <w:tcPr>
            <w:tcW w:w="2997" w:type="dxa"/>
            <w:vMerge w:val="restart"/>
            <w:shd w:val="clear" w:color="auto" w:fill="auto"/>
            <w:noWrap w:val="0"/>
            <w:vAlign w:val="center"/>
          </w:tcPr>
          <w:p w14:paraId="031CA859">
            <w:pPr>
              <w:adjustRightInd w:val="0"/>
              <w:snapToGrid w:val="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vertAlign w:val="baseline"/>
                <w:lang w:val="en-US" w:eastAsia="zh-CN"/>
              </w:rPr>
              <w:t>山东省</w:t>
            </w:r>
            <w:r>
              <w:rPr>
                <w:rFonts w:hint="default" w:ascii="Times New Roman" w:hAnsi="Times New Roman" w:eastAsia="宋体" w:cs="Times New Roman"/>
                <w:color w:val="auto"/>
                <w:sz w:val="21"/>
                <w:szCs w:val="21"/>
                <w:vertAlign w:val="baseline"/>
                <w:lang w:eastAsia="zh-CN"/>
              </w:rPr>
              <w:t>《区域性大气污染物综合排放标准》（DB37/2376-2019）；《大气污染物综合排放标准》（GB16297-1996）；</w:t>
            </w:r>
          </w:p>
        </w:tc>
      </w:tr>
      <w:tr w14:paraId="0E17179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1483" w:type="dxa"/>
            <w:vMerge w:val="continue"/>
            <w:noWrap w:val="0"/>
            <w:vAlign w:val="center"/>
          </w:tcPr>
          <w:p w14:paraId="7E7BCB8B">
            <w:pPr>
              <w:adjustRightInd w:val="0"/>
              <w:snapToGrid w:val="0"/>
              <w:jc w:val="center"/>
              <w:rPr>
                <w:rFonts w:hint="default" w:ascii="Times New Roman" w:hAnsi="Times New Roman" w:eastAsia="宋体" w:cs="Times New Roman"/>
                <w:color w:val="auto"/>
                <w:sz w:val="21"/>
                <w:szCs w:val="21"/>
              </w:rPr>
            </w:pPr>
          </w:p>
        </w:tc>
        <w:tc>
          <w:tcPr>
            <w:tcW w:w="1018" w:type="dxa"/>
            <w:shd w:val="clear" w:color="auto" w:fill="auto"/>
            <w:noWrap w:val="0"/>
            <w:vAlign w:val="center"/>
          </w:tcPr>
          <w:p w14:paraId="18E38D13">
            <w:pPr>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sz w:val="21"/>
                <w:szCs w:val="21"/>
                <w:lang w:val="en-US" w:eastAsia="zh-CN"/>
              </w:rPr>
              <w:t>厂界</w:t>
            </w:r>
          </w:p>
        </w:tc>
        <w:tc>
          <w:tcPr>
            <w:tcW w:w="1967" w:type="dxa"/>
            <w:shd w:val="clear" w:color="auto" w:fill="auto"/>
            <w:noWrap w:val="0"/>
            <w:vAlign w:val="center"/>
          </w:tcPr>
          <w:p w14:paraId="0A28C9E3">
            <w:pPr>
              <w:pStyle w:val="22"/>
              <w:adjustRightInd w:val="0"/>
              <w:snapToGrid w:val="0"/>
              <w:spacing w:before="0" w:line="240" w:lineRule="auto"/>
              <w:ind w:left="0" w:leftChars="0" w:right="0" w:rightChars="0"/>
              <w:jc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sz w:val="21"/>
                <w:szCs w:val="21"/>
                <w:lang w:val="en-US" w:eastAsia="zh-CN"/>
              </w:rPr>
              <w:t>颗粒物</w:t>
            </w:r>
          </w:p>
        </w:tc>
        <w:tc>
          <w:tcPr>
            <w:tcW w:w="1335" w:type="dxa"/>
            <w:shd w:val="clear" w:color="auto" w:fill="auto"/>
            <w:noWrap w:val="0"/>
            <w:vAlign w:val="center"/>
          </w:tcPr>
          <w:p w14:paraId="2E4953AA">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加强生产管理、车间密闭等措施</w:t>
            </w:r>
          </w:p>
        </w:tc>
        <w:tc>
          <w:tcPr>
            <w:tcW w:w="2997" w:type="dxa"/>
            <w:vMerge w:val="continue"/>
            <w:shd w:val="clear" w:color="auto" w:fill="auto"/>
            <w:noWrap w:val="0"/>
            <w:vAlign w:val="center"/>
          </w:tcPr>
          <w:p w14:paraId="70BF8B4F">
            <w:pPr>
              <w:adjustRightInd w:val="0"/>
              <w:snapToGrid w:val="0"/>
              <w:jc w:val="center"/>
              <w:rPr>
                <w:rFonts w:hint="default" w:ascii="Times New Roman" w:hAnsi="Times New Roman" w:eastAsia="宋体" w:cs="Times New Roman"/>
                <w:color w:val="auto"/>
                <w:kern w:val="0"/>
                <w:sz w:val="21"/>
                <w:szCs w:val="21"/>
                <w:lang w:val="en-US" w:eastAsia="zh-CN" w:bidi="ar-SA"/>
              </w:rPr>
            </w:pPr>
          </w:p>
        </w:tc>
      </w:tr>
      <w:tr w14:paraId="22357D4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1483" w:type="dxa"/>
            <w:noWrap w:val="0"/>
            <w:vAlign w:val="center"/>
          </w:tcPr>
          <w:p w14:paraId="7FE323C0">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地表水环境</w:t>
            </w:r>
          </w:p>
        </w:tc>
        <w:tc>
          <w:tcPr>
            <w:tcW w:w="1018" w:type="dxa"/>
            <w:shd w:val="clear" w:color="auto" w:fill="auto"/>
            <w:noWrap w:val="0"/>
            <w:vAlign w:val="center"/>
          </w:tcPr>
          <w:p w14:paraId="2F3C7C3F">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1967" w:type="dxa"/>
            <w:shd w:val="clear" w:color="auto" w:fill="auto"/>
            <w:noWrap w:val="0"/>
            <w:vAlign w:val="center"/>
          </w:tcPr>
          <w:p w14:paraId="59727D61">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1335" w:type="dxa"/>
            <w:shd w:val="clear" w:color="auto" w:fill="auto"/>
            <w:noWrap w:val="0"/>
            <w:vAlign w:val="center"/>
          </w:tcPr>
          <w:p w14:paraId="6DE800AC">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2997" w:type="dxa"/>
            <w:noWrap w:val="0"/>
            <w:vAlign w:val="center"/>
          </w:tcPr>
          <w:p w14:paraId="07A2FF9A">
            <w:pPr>
              <w:adjustRightInd w:val="0"/>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r>
      <w:tr w14:paraId="30ADC64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25" w:hRule="atLeast"/>
          <w:jc w:val="center"/>
        </w:trPr>
        <w:tc>
          <w:tcPr>
            <w:tcW w:w="1483" w:type="dxa"/>
            <w:noWrap w:val="0"/>
            <w:vAlign w:val="center"/>
          </w:tcPr>
          <w:p w14:paraId="18719BEB">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声环境</w:t>
            </w:r>
          </w:p>
        </w:tc>
        <w:tc>
          <w:tcPr>
            <w:tcW w:w="1018" w:type="dxa"/>
            <w:noWrap w:val="0"/>
            <w:vAlign w:val="center"/>
          </w:tcPr>
          <w:p w14:paraId="0FF98DE8">
            <w:pPr>
              <w:adjustRightInd w:val="0"/>
              <w:snapToGrid w:val="0"/>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厂界</w:t>
            </w:r>
          </w:p>
        </w:tc>
        <w:tc>
          <w:tcPr>
            <w:tcW w:w="1967" w:type="dxa"/>
            <w:noWrap w:val="0"/>
            <w:vAlign w:val="center"/>
          </w:tcPr>
          <w:p w14:paraId="7B68188B">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噪声</w:t>
            </w:r>
          </w:p>
        </w:tc>
        <w:tc>
          <w:tcPr>
            <w:tcW w:w="1335" w:type="dxa"/>
            <w:noWrap w:val="0"/>
            <w:vAlign w:val="center"/>
          </w:tcPr>
          <w:p w14:paraId="447FD4E7">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采用低噪声设备，采取隔声</w:t>
            </w:r>
            <w:r>
              <w:rPr>
                <w:rFonts w:hint="default" w:ascii="Times New Roman" w:hAnsi="Times New Roman" w:eastAsia="宋体" w:cs="Times New Roman"/>
                <w:color w:val="auto"/>
                <w:sz w:val="21"/>
                <w:szCs w:val="21"/>
                <w:lang w:val="en-US" w:eastAsia="zh-CN"/>
              </w:rPr>
              <w:t>减振</w:t>
            </w:r>
            <w:r>
              <w:rPr>
                <w:rFonts w:hint="default" w:ascii="Times New Roman" w:hAnsi="Times New Roman" w:eastAsia="宋体" w:cs="Times New Roman"/>
                <w:color w:val="auto"/>
                <w:sz w:val="21"/>
                <w:szCs w:val="21"/>
              </w:rPr>
              <w:t>降噪措施</w:t>
            </w:r>
          </w:p>
        </w:tc>
        <w:tc>
          <w:tcPr>
            <w:tcW w:w="2997" w:type="dxa"/>
            <w:noWrap w:val="0"/>
            <w:vAlign w:val="center"/>
          </w:tcPr>
          <w:p w14:paraId="599FFF0F">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《工业企业厂界环境噪声排放标准》（GB12348-2008）2类标准限值要求</w:t>
            </w:r>
          </w:p>
        </w:tc>
      </w:tr>
      <w:tr w14:paraId="0EC0090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76" w:hRule="atLeast"/>
          <w:jc w:val="center"/>
        </w:trPr>
        <w:tc>
          <w:tcPr>
            <w:tcW w:w="1483" w:type="dxa"/>
            <w:noWrap w:val="0"/>
            <w:vAlign w:val="center"/>
          </w:tcPr>
          <w:p w14:paraId="49D84A55">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电磁辐射</w:t>
            </w:r>
          </w:p>
        </w:tc>
        <w:tc>
          <w:tcPr>
            <w:tcW w:w="1018" w:type="dxa"/>
            <w:noWrap w:val="0"/>
            <w:vAlign w:val="center"/>
          </w:tcPr>
          <w:p w14:paraId="0D4A7010">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1967" w:type="dxa"/>
            <w:noWrap w:val="0"/>
            <w:vAlign w:val="center"/>
          </w:tcPr>
          <w:p w14:paraId="5EEA6ED4">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1335" w:type="dxa"/>
            <w:noWrap w:val="0"/>
            <w:vAlign w:val="center"/>
          </w:tcPr>
          <w:p w14:paraId="4C7C1C9E">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2997" w:type="dxa"/>
            <w:noWrap w:val="0"/>
            <w:vAlign w:val="center"/>
          </w:tcPr>
          <w:p w14:paraId="2AFF0B46">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11834A2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1" w:hRule="atLeast"/>
          <w:jc w:val="center"/>
        </w:trPr>
        <w:tc>
          <w:tcPr>
            <w:tcW w:w="1483" w:type="dxa"/>
            <w:noWrap w:val="0"/>
            <w:vAlign w:val="center"/>
          </w:tcPr>
          <w:p w14:paraId="0B6949F8">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固体废物</w:t>
            </w:r>
          </w:p>
        </w:tc>
        <w:tc>
          <w:tcPr>
            <w:tcW w:w="7317" w:type="dxa"/>
            <w:gridSpan w:val="4"/>
            <w:noWrap w:val="0"/>
            <w:vAlign w:val="center"/>
          </w:tcPr>
          <w:p w14:paraId="40E98C9B">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b w:val="0"/>
                <w:bCs/>
                <w:color w:val="auto"/>
                <w:spacing w:val="0"/>
                <w:sz w:val="21"/>
                <w:szCs w:val="21"/>
                <w:highlight w:val="none"/>
                <w:lang w:eastAsia="zh-CN"/>
              </w:rPr>
              <w:t>本项目固体废物分为生活垃圾</w:t>
            </w:r>
            <w:r>
              <w:rPr>
                <w:rFonts w:hint="default" w:ascii="Times New Roman" w:hAnsi="Times New Roman" w:eastAsia="宋体" w:cs="Times New Roman"/>
                <w:b w:val="0"/>
                <w:bCs/>
                <w:color w:val="auto"/>
                <w:spacing w:val="0"/>
                <w:sz w:val="21"/>
                <w:szCs w:val="21"/>
                <w:highlight w:val="none"/>
                <w:lang w:val="en-US" w:eastAsia="zh-CN"/>
              </w:rPr>
              <w:t>和</w:t>
            </w:r>
            <w:r>
              <w:rPr>
                <w:rFonts w:hint="default" w:ascii="Times New Roman" w:hAnsi="Times New Roman" w:eastAsia="宋体" w:cs="Times New Roman"/>
                <w:b w:val="0"/>
                <w:bCs/>
                <w:color w:val="auto"/>
                <w:spacing w:val="0"/>
                <w:sz w:val="21"/>
                <w:szCs w:val="21"/>
                <w:highlight w:val="none"/>
                <w:lang w:eastAsia="zh-CN"/>
              </w:rPr>
              <w:t>一般工业固废。其中一般工业固废为</w:t>
            </w:r>
            <w:r>
              <w:rPr>
                <w:rFonts w:hint="default" w:ascii="Times New Roman" w:hAnsi="Times New Roman" w:eastAsia="宋体" w:cs="Times New Roman"/>
                <w:b w:val="0"/>
                <w:bCs/>
                <w:color w:val="auto"/>
                <w:spacing w:val="0"/>
                <w:sz w:val="21"/>
                <w:szCs w:val="21"/>
                <w:highlight w:val="none"/>
                <w:lang w:val="en-US" w:eastAsia="zh-CN"/>
              </w:rPr>
              <w:t>布袋除尘器收尘和含铁物料</w:t>
            </w:r>
            <w:r>
              <w:rPr>
                <w:rFonts w:hint="default" w:ascii="Times New Roman" w:hAnsi="Times New Roman" w:eastAsia="宋体" w:cs="Times New Roman"/>
                <w:b w:val="0"/>
                <w:bCs/>
                <w:color w:val="auto"/>
                <w:spacing w:val="0"/>
                <w:sz w:val="21"/>
                <w:szCs w:val="21"/>
                <w:highlight w:val="none"/>
                <w:lang w:eastAsia="zh-CN"/>
              </w:rPr>
              <w:t>。布袋除尘器收集的粉尘回用于生产，含铁物料集中收集后外售。生活垃圾委托环卫部门定期清运。</w:t>
            </w:r>
          </w:p>
        </w:tc>
      </w:tr>
      <w:tr w14:paraId="6155EFB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3" w:hRule="atLeast"/>
          <w:jc w:val="center"/>
        </w:trPr>
        <w:tc>
          <w:tcPr>
            <w:tcW w:w="1483" w:type="dxa"/>
            <w:noWrap w:val="0"/>
            <w:vAlign w:val="center"/>
          </w:tcPr>
          <w:p w14:paraId="790C5A1F">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土壤及地下水</w:t>
            </w:r>
          </w:p>
          <w:p w14:paraId="242E509B">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污染防治措施</w:t>
            </w:r>
          </w:p>
        </w:tc>
        <w:tc>
          <w:tcPr>
            <w:tcW w:w="7317" w:type="dxa"/>
            <w:gridSpan w:val="4"/>
            <w:noWrap w:val="0"/>
            <w:vAlign w:val="center"/>
          </w:tcPr>
          <w:p w14:paraId="645C8C9A">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进行分区防控，</w:t>
            </w:r>
            <w:r>
              <w:rPr>
                <w:rFonts w:hint="default" w:ascii="Times New Roman" w:hAnsi="Times New Roman" w:eastAsia="宋体" w:cs="Times New Roman"/>
                <w:color w:val="auto"/>
                <w:kern w:val="2"/>
                <w:sz w:val="21"/>
                <w:szCs w:val="21"/>
                <w:lang w:val="en-US" w:eastAsia="zh-CN"/>
              </w:rPr>
              <w:t>化粪池</w:t>
            </w:r>
            <w:r>
              <w:rPr>
                <w:rFonts w:hint="default" w:ascii="Times New Roman" w:hAnsi="Times New Roman" w:eastAsia="宋体" w:cs="Times New Roman"/>
                <w:color w:val="auto"/>
                <w:sz w:val="21"/>
                <w:szCs w:val="21"/>
                <w:highlight w:val="none"/>
                <w:vertAlign w:val="baseline"/>
                <w:lang w:val="en-US" w:eastAsia="zh-CN"/>
              </w:rPr>
              <w:t>等区域</w:t>
            </w:r>
            <w:r>
              <w:rPr>
                <w:rFonts w:hint="default" w:ascii="Times New Roman" w:hAnsi="Times New Roman" w:eastAsia="宋体" w:cs="Times New Roman"/>
                <w:color w:val="auto"/>
                <w:sz w:val="21"/>
                <w:szCs w:val="21"/>
              </w:rPr>
              <w:t>进行重点防渗，</w:t>
            </w:r>
            <w:r>
              <w:rPr>
                <w:rFonts w:hint="default" w:ascii="Times New Roman" w:hAnsi="Times New Roman" w:eastAsia="宋体" w:cs="Times New Roman"/>
                <w:color w:val="auto"/>
                <w:sz w:val="21"/>
                <w:szCs w:val="21"/>
                <w:lang w:eastAsia="zh-CN"/>
              </w:rPr>
              <w:t>生产车间做</w:t>
            </w:r>
            <w:r>
              <w:rPr>
                <w:rFonts w:hint="default" w:ascii="Times New Roman" w:hAnsi="Times New Roman" w:eastAsia="宋体" w:cs="Times New Roman"/>
                <w:color w:val="auto"/>
                <w:kern w:val="2"/>
                <w:sz w:val="21"/>
                <w:szCs w:val="21"/>
              </w:rPr>
              <w:t>一般防渗</w:t>
            </w:r>
            <w:r>
              <w:rPr>
                <w:rFonts w:hint="default" w:ascii="Times New Roman" w:hAnsi="Times New Roman" w:eastAsia="宋体" w:cs="Times New Roman"/>
                <w:color w:val="auto"/>
                <w:kern w:val="2"/>
                <w:sz w:val="21"/>
                <w:szCs w:val="21"/>
                <w:lang w:eastAsia="zh-CN"/>
              </w:rPr>
              <w:t>，</w:t>
            </w:r>
            <w:r>
              <w:rPr>
                <w:rFonts w:hint="default" w:ascii="Times New Roman" w:hAnsi="Times New Roman" w:eastAsia="宋体" w:cs="Times New Roman"/>
                <w:color w:val="auto"/>
                <w:sz w:val="21"/>
                <w:szCs w:val="21"/>
                <w:lang w:eastAsia="zh-CN"/>
              </w:rPr>
              <w:t>其他区域</w:t>
            </w:r>
            <w:r>
              <w:rPr>
                <w:rFonts w:hint="default" w:ascii="Times New Roman" w:hAnsi="Times New Roman" w:eastAsia="宋体" w:cs="Times New Roman"/>
                <w:color w:val="auto"/>
                <w:sz w:val="21"/>
                <w:szCs w:val="21"/>
              </w:rPr>
              <w:t>进行简单防渗</w:t>
            </w:r>
          </w:p>
        </w:tc>
      </w:tr>
      <w:tr w14:paraId="52A49E1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40" w:hRule="atLeast"/>
          <w:jc w:val="center"/>
        </w:trPr>
        <w:tc>
          <w:tcPr>
            <w:tcW w:w="1483" w:type="dxa"/>
            <w:noWrap w:val="0"/>
            <w:vAlign w:val="center"/>
          </w:tcPr>
          <w:p w14:paraId="216D8562">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生态保护措施</w:t>
            </w:r>
          </w:p>
        </w:tc>
        <w:tc>
          <w:tcPr>
            <w:tcW w:w="7317" w:type="dxa"/>
            <w:gridSpan w:val="4"/>
            <w:noWrap w:val="0"/>
            <w:vAlign w:val="center"/>
          </w:tcPr>
          <w:p w14:paraId="4EAF3626">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无</w:t>
            </w:r>
          </w:p>
        </w:tc>
      </w:tr>
      <w:tr w14:paraId="5798521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2" w:hRule="atLeast"/>
          <w:jc w:val="center"/>
        </w:trPr>
        <w:tc>
          <w:tcPr>
            <w:tcW w:w="1483" w:type="dxa"/>
            <w:noWrap w:val="0"/>
            <w:vAlign w:val="center"/>
          </w:tcPr>
          <w:p w14:paraId="28095D0C">
            <w:pPr>
              <w:adjustRightInd w:val="0"/>
              <w:snapToGrid w:val="0"/>
              <w:jc w:val="center"/>
              <w:rPr>
                <w:rFonts w:hint="default" w:ascii="Times New Roman" w:hAnsi="Times New Roman" w:eastAsia="宋体" w:cs="Times New Roman"/>
                <w:color w:val="auto"/>
                <w:spacing w:val="-8"/>
                <w:sz w:val="21"/>
                <w:szCs w:val="21"/>
              </w:rPr>
            </w:pPr>
            <w:r>
              <w:rPr>
                <w:rFonts w:hint="default" w:ascii="Times New Roman" w:hAnsi="Times New Roman" w:eastAsia="宋体" w:cs="Times New Roman"/>
                <w:color w:val="auto"/>
                <w:spacing w:val="-8"/>
                <w:sz w:val="21"/>
                <w:szCs w:val="21"/>
              </w:rPr>
              <w:t>环境风险</w:t>
            </w:r>
          </w:p>
          <w:p w14:paraId="6035AD8F">
            <w:pPr>
              <w:adjustRightInd w:val="0"/>
              <w:snapToGrid w:val="0"/>
              <w:jc w:val="center"/>
              <w:rPr>
                <w:rFonts w:hint="default" w:ascii="Times New Roman" w:hAnsi="Times New Roman" w:eastAsia="宋体" w:cs="Times New Roman"/>
                <w:color w:val="auto"/>
                <w:spacing w:val="-8"/>
                <w:sz w:val="21"/>
                <w:szCs w:val="21"/>
              </w:rPr>
            </w:pPr>
            <w:r>
              <w:rPr>
                <w:rFonts w:hint="default" w:ascii="Times New Roman" w:hAnsi="Times New Roman" w:eastAsia="宋体" w:cs="Times New Roman"/>
                <w:color w:val="auto"/>
                <w:spacing w:val="-8"/>
                <w:sz w:val="21"/>
                <w:szCs w:val="21"/>
              </w:rPr>
              <w:t>防范措施</w:t>
            </w:r>
          </w:p>
        </w:tc>
        <w:tc>
          <w:tcPr>
            <w:tcW w:w="7317" w:type="dxa"/>
            <w:gridSpan w:val="4"/>
            <w:noWrap w:val="0"/>
            <w:vAlign w:val="center"/>
          </w:tcPr>
          <w:p w14:paraId="305EA2DB">
            <w:pPr>
              <w:adjustRightInd w:val="0"/>
              <w:snapToGrid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1）加强人们的消防意识，杜绝火灾事故的发生。</w:t>
            </w:r>
          </w:p>
          <w:p w14:paraId="5C3D4F6E">
            <w:pPr>
              <w:adjustRightInd w:val="0"/>
              <w:snapToGrid w:val="0"/>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2）严格执行我国颁布的《中华人民共和国消防法</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建筑设计防火规范</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仓库防火安全管理规则</w:t>
            </w:r>
            <w:r>
              <w:rPr>
                <w:rFonts w:hint="default" w:ascii="Times New Roman" w:hAnsi="Times New Roman" w:eastAsia="宋体" w:cs="Times New Roman"/>
                <w:color w:val="auto"/>
                <w:sz w:val="21"/>
                <w:szCs w:val="21"/>
                <w:lang w:eastAsia="zh-CN"/>
              </w:rPr>
              <w:t>》等</w:t>
            </w:r>
            <w:r>
              <w:rPr>
                <w:rFonts w:hint="default" w:ascii="Times New Roman" w:hAnsi="Times New Roman" w:eastAsia="宋体" w:cs="Times New Roman"/>
                <w:color w:val="auto"/>
                <w:sz w:val="21"/>
                <w:szCs w:val="21"/>
              </w:rPr>
              <w:t>有关法规。</w:t>
            </w:r>
          </w:p>
          <w:p w14:paraId="5232F954">
            <w:pPr>
              <w:adjustRightInd w:val="0"/>
              <w:snapToGrid w:val="0"/>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3）遵守操作规程，要保证严格按规程操作，防止造成机械伤害，生产过程中要佩戴安全劳保用品，避免挥发性有机物对人体健康的损害。</w:t>
            </w:r>
          </w:p>
          <w:p w14:paraId="0F6F2DDF">
            <w:pPr>
              <w:adjustRightInd w:val="0"/>
              <w:snapToGrid w:val="0"/>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4）操作人员必须经过专</w:t>
            </w:r>
            <w:r>
              <w:rPr>
                <w:rFonts w:hint="default" w:ascii="Times New Roman" w:hAnsi="Times New Roman" w:eastAsia="宋体" w:cs="Times New Roman"/>
                <w:color w:val="auto"/>
                <w:sz w:val="21"/>
                <w:szCs w:val="21"/>
                <w:lang w:eastAsia="zh-CN"/>
              </w:rPr>
              <w:t>门的</w:t>
            </w:r>
            <w:r>
              <w:rPr>
                <w:rFonts w:hint="default" w:ascii="Times New Roman" w:hAnsi="Times New Roman" w:eastAsia="宋体" w:cs="Times New Roman"/>
                <w:color w:val="auto"/>
                <w:sz w:val="21"/>
                <w:szCs w:val="21"/>
              </w:rPr>
              <w:t>培训，做到持证上岗，并且严格遵守操作规程。</w:t>
            </w:r>
          </w:p>
          <w:p w14:paraId="7CB4DD17">
            <w:pPr>
              <w:adjustRightInd w:val="0"/>
              <w:snapToGrid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5）严禁烟火，车间内禁止吸烟，加强管理，严格操作规范，制定一系列的防火规章制度；厂内车间应在进口处的明显位置设有醒目的严禁烟火的标志。</w:t>
            </w:r>
          </w:p>
          <w:p w14:paraId="43245284">
            <w:pPr>
              <w:adjustRightInd w:val="0"/>
              <w:snapToGrid w:val="0"/>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6）车间内必须有自然通风设施及强制通风设施，保证车间内空气流通。作业场所所有安全通道、门窗向外开启，通道和出入口保持通畅。</w:t>
            </w:r>
          </w:p>
          <w:p w14:paraId="343707E1">
            <w:pPr>
              <w:adjustRightInd w:val="0"/>
              <w:snapToGrid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7）建立健全的规章制度，非直接操作人员不得擅自进入车间，严禁烟火，进出车间都要有严格的手续，以免发生意外。</w:t>
            </w:r>
          </w:p>
          <w:p w14:paraId="6EC5F07C">
            <w:pPr>
              <w:adjustRightInd w:val="0"/>
              <w:snapToGrid w:val="0"/>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8）生产现场设置各种安全标志。按照规范对凡需要迅速发现并引起注意以防发生事故的场所、部位均按要求涂安全色。</w:t>
            </w:r>
          </w:p>
          <w:p w14:paraId="0D20918A">
            <w:pPr>
              <w:adjustRightInd w:val="0"/>
              <w:snapToGrid w:val="0"/>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9）提高认识、完善制度、严格检查。设置安全环保机构，负责全公司的环保安全工作，制定各项安全生产管理制度、严格的生产操作规则和完善的事故应急计划及相应的应急处理手段和设施，同时加强安全教育，以</w:t>
            </w:r>
            <w:r>
              <w:rPr>
                <w:rFonts w:hint="default" w:ascii="Times New Roman" w:hAnsi="Times New Roman" w:eastAsia="宋体" w:cs="Times New Roman"/>
                <w:color w:val="auto"/>
                <w:sz w:val="21"/>
                <w:szCs w:val="21"/>
                <w:lang w:eastAsia="zh-CN"/>
              </w:rPr>
              <w:t>增强</w:t>
            </w:r>
            <w:r>
              <w:rPr>
                <w:rFonts w:hint="default" w:ascii="Times New Roman" w:hAnsi="Times New Roman" w:eastAsia="宋体" w:cs="Times New Roman"/>
                <w:color w:val="auto"/>
                <w:sz w:val="21"/>
                <w:szCs w:val="21"/>
              </w:rPr>
              <w:t>职工的安全意识和安全防范能力。</w:t>
            </w:r>
          </w:p>
          <w:p w14:paraId="14E781CD">
            <w:pPr>
              <w:adjustRightInd w:val="0"/>
              <w:snapToGrid w:val="0"/>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10）定期对环保设施进行检修，发现环保设施运行不正常，应停止产生相关污染物的工序，环保设施运行正常后方可进行生产。</w:t>
            </w:r>
          </w:p>
          <w:p w14:paraId="193F6366">
            <w:pPr>
              <w:adjustRightInd w:val="0"/>
              <w:snapToGrid w:val="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11）按有关规范设计设置了有效的消防系统，做到以防为主，安全可靠；工艺设备及工艺系统选用高质、高效</w:t>
            </w:r>
            <w:r>
              <w:rPr>
                <w:rFonts w:hint="default" w:ascii="Times New Roman" w:hAnsi="Times New Roman" w:eastAsia="宋体" w:cs="Times New Roman"/>
                <w:color w:val="auto"/>
                <w:sz w:val="21"/>
                <w:szCs w:val="21"/>
                <w:lang w:eastAsia="zh-CN"/>
              </w:rPr>
              <w:t>可靠</w:t>
            </w:r>
            <w:r>
              <w:rPr>
                <w:rFonts w:hint="default" w:ascii="Times New Roman" w:hAnsi="Times New Roman" w:eastAsia="宋体" w:cs="Times New Roman"/>
                <w:color w:val="auto"/>
                <w:sz w:val="21"/>
                <w:szCs w:val="21"/>
              </w:rPr>
              <w:t>的产品。</w:t>
            </w:r>
          </w:p>
        </w:tc>
      </w:tr>
      <w:tr w14:paraId="100B3AB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79" w:hRule="atLeast"/>
          <w:jc w:val="center"/>
        </w:trPr>
        <w:tc>
          <w:tcPr>
            <w:tcW w:w="1483" w:type="dxa"/>
            <w:noWrap w:val="0"/>
            <w:vAlign w:val="center"/>
          </w:tcPr>
          <w:p w14:paraId="2E60C000">
            <w:pPr>
              <w:adjustRightInd w:val="0"/>
              <w:snapToGrid w:val="0"/>
              <w:jc w:val="center"/>
              <w:rPr>
                <w:rFonts w:hint="default" w:ascii="Times New Roman" w:hAnsi="Times New Roman" w:eastAsia="宋体" w:cs="Times New Roman"/>
                <w:color w:val="auto"/>
                <w:spacing w:val="-8"/>
                <w:sz w:val="21"/>
                <w:szCs w:val="21"/>
              </w:rPr>
            </w:pPr>
            <w:r>
              <w:rPr>
                <w:rFonts w:hint="default" w:ascii="Times New Roman" w:hAnsi="Times New Roman" w:eastAsia="宋体" w:cs="Times New Roman"/>
                <w:color w:val="auto"/>
                <w:spacing w:val="-8"/>
                <w:sz w:val="21"/>
                <w:szCs w:val="21"/>
              </w:rPr>
              <w:t>其他环境</w:t>
            </w:r>
          </w:p>
          <w:p w14:paraId="0DE3AB50">
            <w:pPr>
              <w:adjustRightInd w:val="0"/>
              <w:snapToGrid w:val="0"/>
              <w:jc w:val="center"/>
              <w:rPr>
                <w:rFonts w:hint="default" w:ascii="Times New Roman" w:hAnsi="Times New Roman" w:eastAsia="宋体" w:cs="Times New Roman"/>
                <w:color w:val="auto"/>
                <w:spacing w:val="-8"/>
                <w:sz w:val="21"/>
                <w:szCs w:val="21"/>
              </w:rPr>
            </w:pPr>
            <w:r>
              <w:rPr>
                <w:rFonts w:hint="default" w:ascii="Times New Roman" w:hAnsi="Times New Roman" w:eastAsia="宋体" w:cs="Times New Roman"/>
                <w:color w:val="auto"/>
                <w:spacing w:val="-8"/>
                <w:sz w:val="21"/>
                <w:szCs w:val="21"/>
              </w:rPr>
              <w:t>管理要求</w:t>
            </w:r>
          </w:p>
        </w:tc>
        <w:tc>
          <w:tcPr>
            <w:tcW w:w="7317" w:type="dxa"/>
            <w:gridSpan w:val="4"/>
            <w:noWrap w:val="0"/>
            <w:vAlign w:val="center"/>
          </w:tcPr>
          <w:p w14:paraId="262B251D">
            <w:pPr>
              <w:adjustRightInd w:val="0"/>
              <w:snapToGrid w:val="0"/>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1、建设项目竣工环境保护验收要求</w:t>
            </w:r>
          </w:p>
          <w:p w14:paraId="47570ACF">
            <w:pPr>
              <w:adjustRightInd w:val="0"/>
              <w:snapToGrid w:val="0"/>
              <w:ind w:firstLine="420" w:firstLineChars="200"/>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本项目在竣工后应按照《淄博市贯彻落实建设项目竣工环境保护验收暂行办法实施细则》（淄环函〔</w:t>
            </w:r>
            <w:r>
              <w:rPr>
                <w:rFonts w:hint="default" w:ascii="Times New Roman" w:hAnsi="Times New Roman" w:eastAsia="宋体" w:cs="Times New Roman"/>
                <w:color w:val="auto"/>
                <w:sz w:val="21"/>
                <w:szCs w:val="21"/>
                <w:lang w:val="en-US" w:eastAsia="zh-CN"/>
              </w:rPr>
              <w:t>2018</w:t>
            </w:r>
            <w:r>
              <w:rPr>
                <w:rFonts w:hint="default" w:ascii="Times New Roman" w:hAnsi="Times New Roman" w:eastAsia="宋体" w:cs="Times New Roman"/>
                <w:color w:val="auto"/>
                <w:sz w:val="21"/>
                <w:szCs w:val="21"/>
              </w:rPr>
              <w:t>〕号）的通知实施以下验收办法：</w:t>
            </w:r>
          </w:p>
          <w:p w14:paraId="2E572623">
            <w:pPr>
              <w:adjustRightInd w:val="0"/>
              <w:snapToGrid w:val="0"/>
              <w:ind w:firstLine="420" w:firstLineChars="200"/>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1）建设项目竣工后应对照本环评文件及其审批决定，对项目情况、配套环保设施建设情况等开展自查，建设项目在调试前编制完成《环保措施落实情况报告》并进行公开；</w:t>
            </w:r>
          </w:p>
          <w:p w14:paraId="103900E5">
            <w:pPr>
              <w:adjustRightInd w:val="0"/>
              <w:snapToGrid w:val="0"/>
              <w:ind w:firstLine="420" w:firstLineChars="200"/>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2）建设项目试运行期间</w:t>
            </w:r>
            <w:r>
              <w:rPr>
                <w:rFonts w:hint="default" w:ascii="Times New Roman" w:hAnsi="Times New Roman" w:eastAsia="宋体" w:cs="Times New Roman"/>
                <w:color w:val="auto"/>
                <w:sz w:val="21"/>
                <w:szCs w:val="21"/>
                <w:lang w:eastAsia="zh-CN"/>
              </w:rPr>
              <w:t>编制</w:t>
            </w:r>
            <w:r>
              <w:rPr>
                <w:rFonts w:hint="default" w:ascii="Times New Roman" w:hAnsi="Times New Roman" w:eastAsia="宋体" w:cs="Times New Roman"/>
                <w:color w:val="auto"/>
                <w:sz w:val="21"/>
                <w:szCs w:val="21"/>
              </w:rPr>
              <w:t>《验收监测（调查）报告》，编制验收监测报告的机构需取得实验室资质认定（计量认证）合格证书，严格按照取得的资质范围（包括但不限于“通过资质认定</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计量认证项目表”中规定的产品类别）开展检测活动，并对验收监测的规范性和验收监测数据的真实有效性负责。</w:t>
            </w:r>
          </w:p>
          <w:p w14:paraId="6CB1EDC1">
            <w:pPr>
              <w:adjustRightInd w:val="0"/>
              <w:snapToGrid w:val="0"/>
              <w:ind w:firstLine="420" w:firstLineChars="200"/>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3）报原审批环评的环境保护主管部门对配套建设的噪声、固体废物污染防治设施专项验收。环境保护主管部门经现场踏勘后出具配套建设的噪声、固体废物污染防治设施专项验收意见。</w:t>
            </w:r>
          </w:p>
          <w:p w14:paraId="394BABF7">
            <w:pPr>
              <w:adjustRightInd w:val="0"/>
              <w:snapToGrid w:val="0"/>
              <w:ind w:firstLine="420" w:firstLineChars="200"/>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验收监测（调查）报告编制完成、取得环境保护主管部门污染防治设施专项验收意见后，建设单位应当根据验收监测（调查）报告结论，逐一检查是否存在所列验收不合格的情形，方可提出验收意见。存在问题的，建设单位应当进行整改，整改完成后方可提出验收意见。为提高验收的有效性，在提出验收意见的过程中，建设单位可以组织成立验收工作组，采取现场检查、资料查阅、召开验收会议等方式，协助开展验收工作。验收工作组可以由设计单位、施工单位、环境影响报告书（表）编制机构、验收监测（调查）报告编制机构等单位代表以及专业技术专家等组成。形成建设项目验收意见，公开验收报告，公示的期限不得少于20个工作日。</w:t>
            </w:r>
          </w:p>
          <w:p w14:paraId="6E15474D">
            <w:pPr>
              <w:adjustRightInd w:val="0"/>
              <w:snapToGrid w:val="0"/>
              <w:ind w:firstLine="420" w:firstLineChars="200"/>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5）验收报告公示期满后5个工作日内，建设单位应当登录全国建设项目竣工环境保护验收信息平台，填报建设项目基本信息、环境保护设施验收情况等相关信息。</w:t>
            </w:r>
          </w:p>
          <w:p w14:paraId="5AFFDA41">
            <w:pPr>
              <w:adjustRightInd w:val="0"/>
              <w:snapToGrid w:val="0"/>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2、环境信息公示</w:t>
            </w:r>
          </w:p>
          <w:p w14:paraId="314A3CA6">
            <w:pPr>
              <w:adjustRightInd w:val="0"/>
              <w:snapToGrid w:val="0"/>
              <w:ind w:firstLine="420" w:firstLineChars="200"/>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企业按要求做好环境公示信息牌，明确以下信息：</w:t>
            </w:r>
          </w:p>
          <w:p w14:paraId="07F1D449">
            <w:pPr>
              <w:numPr>
                <w:ilvl w:val="0"/>
                <w:numId w:val="4"/>
              </w:numPr>
              <w:adjustRightInd w:val="0"/>
              <w:snapToGrid w:val="0"/>
              <w:ind w:firstLine="420" w:firstLineChars="200"/>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运行期间废水、废气、固废治理措施运行情况，是否达标排放；</w:t>
            </w:r>
          </w:p>
          <w:p w14:paraId="17F9B88A">
            <w:pPr>
              <w:numPr>
                <w:ilvl w:val="0"/>
                <w:numId w:val="4"/>
              </w:numPr>
              <w:adjustRightInd w:val="0"/>
              <w:snapToGrid w:val="0"/>
              <w:ind w:firstLine="420" w:firstLineChars="200"/>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各污染防治措施负责人及联系方式</w:t>
            </w:r>
          </w:p>
          <w:p w14:paraId="524D2943">
            <w:pPr>
              <w:numPr>
                <w:ilvl w:val="0"/>
                <w:numId w:val="5"/>
              </w:numPr>
              <w:adjustRightInd w:val="0"/>
              <w:snapToGrid w:val="0"/>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排污许可证要求</w:t>
            </w:r>
          </w:p>
          <w:p w14:paraId="5D7B56DE">
            <w:pPr>
              <w:adjustRightInd w:val="0"/>
              <w:snapToGrid w:val="0"/>
              <w:ind w:firstLine="420" w:firstLineChars="200"/>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建立健全规章制度，设置环境保护专职人员，设立环保机构，按照</w:t>
            </w:r>
            <w:r>
              <w:rPr>
                <w:rFonts w:hint="default" w:ascii="Times New Roman" w:hAnsi="Times New Roman" w:eastAsia="宋体" w:cs="Times New Roman"/>
                <w:color w:val="auto"/>
                <w:sz w:val="21"/>
                <w:szCs w:val="21"/>
                <w:lang w:eastAsia="zh-CN"/>
              </w:rPr>
              <w:t>《固定污染源排污许可分类管理名录</w:t>
            </w:r>
            <w:r>
              <w:rPr>
                <w:rFonts w:hint="default" w:ascii="Times New Roman" w:hAnsi="Times New Roman" w:eastAsia="宋体" w:cs="Times New Roman"/>
                <w:color w:val="auto"/>
                <w:sz w:val="21"/>
                <w:szCs w:val="21"/>
              </w:rPr>
              <w:t>（2019年版）</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等要求办理排污许可证或进行登记管理，填报管理台账、执行报告等。</w:t>
            </w:r>
          </w:p>
        </w:tc>
      </w:tr>
    </w:tbl>
    <w:p w14:paraId="52304F44">
      <w:pPr>
        <w:pStyle w:val="13"/>
        <w:jc w:val="center"/>
        <w:outlineLvl w:val="0"/>
        <w:rPr>
          <w:rFonts w:hint="default" w:ascii="Times New Roman" w:hAnsi="Times New Roman" w:eastAsia="宋体" w:cs="Times New Roman"/>
          <w:snapToGrid w:val="0"/>
          <w:color w:val="auto"/>
          <w:sz w:val="30"/>
          <w:szCs w:val="30"/>
        </w:rPr>
      </w:pPr>
      <w:r>
        <w:rPr>
          <w:rFonts w:hint="default" w:ascii="Times New Roman" w:hAnsi="Times New Roman" w:eastAsia="宋体" w:cs="Times New Roman"/>
          <w:snapToGrid w:val="0"/>
          <w:color w:val="auto"/>
        </w:rPr>
        <w:br w:type="page"/>
      </w:r>
      <w:r>
        <w:rPr>
          <w:rFonts w:hint="default" w:ascii="Times New Roman" w:hAnsi="Times New Roman" w:eastAsia="宋体" w:cs="Times New Roman"/>
          <w:snapToGrid w:val="0"/>
          <w:color w:val="auto"/>
          <w:sz w:val="30"/>
          <w:szCs w:val="30"/>
        </w:rPr>
        <w:t>六、结论</w:t>
      </w:r>
    </w:p>
    <w:tbl>
      <w:tblPr>
        <w:tblStyle w:val="14"/>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14:paraId="345AE3D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noWrap w:val="0"/>
            <w:vAlign w:val="center"/>
          </w:tcPr>
          <w:p w14:paraId="51B398FE">
            <w:pPr>
              <w:spacing w:line="360" w:lineRule="auto"/>
              <w:ind w:firstLine="420" w:firstLineChars="200"/>
              <w:jc w:val="left"/>
              <w:rPr>
                <w:rFonts w:hint="default" w:ascii="Times New Roman" w:hAnsi="Times New Roman" w:eastAsia="宋体" w:cs="Times New Roman"/>
                <w:color w:val="auto"/>
                <w:sz w:val="24"/>
              </w:rPr>
            </w:pPr>
            <w:r>
              <w:rPr>
                <w:rFonts w:hint="default" w:ascii="Times New Roman" w:hAnsi="Times New Roman" w:eastAsia="宋体" w:cs="Times New Roman"/>
                <w:color w:val="auto"/>
                <w:szCs w:val="21"/>
                <w:lang w:val="en-US" w:eastAsia="zh-CN"/>
              </w:rPr>
              <w:t>本</w:t>
            </w:r>
            <w:r>
              <w:rPr>
                <w:rFonts w:hint="default" w:ascii="Times New Roman" w:hAnsi="Times New Roman" w:eastAsia="宋体" w:cs="Times New Roman"/>
                <w:color w:val="auto"/>
                <w:szCs w:val="21"/>
              </w:rPr>
              <w:t>项目建成运行后，会对周围环境带来一定影响，通过落实报告表中提出的合理、有效环保措施，确保废气、</w:t>
            </w:r>
            <w:r>
              <w:rPr>
                <w:rFonts w:hint="default" w:ascii="Times New Roman" w:hAnsi="Times New Roman" w:eastAsia="宋体" w:cs="Times New Roman"/>
                <w:color w:val="auto"/>
                <w:szCs w:val="21"/>
                <w:lang w:eastAsia="zh-CN"/>
              </w:rPr>
              <w:t>废水、</w:t>
            </w:r>
            <w:r>
              <w:rPr>
                <w:rFonts w:hint="default" w:ascii="Times New Roman" w:hAnsi="Times New Roman" w:eastAsia="宋体" w:cs="Times New Roman"/>
                <w:color w:val="auto"/>
                <w:szCs w:val="21"/>
              </w:rPr>
              <w:t>固废得到合理处置，使得建设项目对周围环境影响程度可以接受，从环境保护角度分析，项目建设是可行的。</w:t>
            </w:r>
          </w:p>
        </w:tc>
      </w:tr>
    </w:tbl>
    <w:p w14:paraId="138C5B7C">
      <w:pPr>
        <w:rPr>
          <w:rFonts w:hint="default" w:ascii="Times New Roman" w:hAnsi="Times New Roman" w:eastAsia="宋体" w:cs="Times New Roman"/>
          <w:color w:val="auto"/>
        </w:rPr>
      </w:pPr>
    </w:p>
    <w:p w14:paraId="5486032E">
      <w:pPr>
        <w:rPr>
          <w:rFonts w:hint="default" w:ascii="Times New Roman" w:hAnsi="Times New Roman" w:eastAsia="宋体" w:cs="Times New Roman"/>
          <w:color w:val="auto"/>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14:paraId="4C9A7C20">
      <w:pPr>
        <w:pStyle w:val="13"/>
        <w:adjustRightInd w:val="0"/>
        <w:snapToGrid w:val="0"/>
        <w:spacing w:before="0" w:beforeAutospacing="0" w:after="0" w:afterAutospacing="0"/>
        <w:outlineLvl w:val="0"/>
        <w:rPr>
          <w:rFonts w:hint="default" w:ascii="Times New Roman" w:hAnsi="Times New Roman" w:eastAsia="宋体" w:cs="Times New Roman"/>
          <w:snapToGrid w:val="0"/>
          <w:color w:val="auto"/>
          <w:sz w:val="32"/>
          <w:szCs w:val="32"/>
        </w:rPr>
      </w:pPr>
      <w:r>
        <w:rPr>
          <w:rFonts w:hint="default" w:ascii="Times New Roman" w:hAnsi="Times New Roman" w:eastAsia="宋体" w:cs="Times New Roman"/>
          <w:snapToGrid w:val="0"/>
          <w:color w:val="auto"/>
          <w:sz w:val="32"/>
          <w:szCs w:val="32"/>
        </w:rPr>
        <w:t>附表</w:t>
      </w:r>
    </w:p>
    <w:p w14:paraId="13A38397">
      <w:pPr>
        <w:pStyle w:val="13"/>
        <w:keepNext w:val="0"/>
        <w:keepLines w:val="0"/>
        <w:pageBreakBefore w:val="0"/>
        <w:widowControl/>
        <w:kinsoku/>
        <w:wordWrap/>
        <w:overflowPunct/>
        <w:topLinePunct w:val="0"/>
        <w:autoSpaceDE/>
        <w:autoSpaceDN/>
        <w:bidi w:val="0"/>
        <w:adjustRightInd w:val="0"/>
        <w:snapToGrid w:val="0"/>
        <w:spacing w:before="0" w:beforeAutospacing="0" w:after="157" w:afterLines="50" w:afterAutospacing="0" w:line="420" w:lineRule="exact"/>
        <w:jc w:val="center"/>
        <w:textAlignment w:val="auto"/>
        <w:outlineLvl w:val="0"/>
        <w:rPr>
          <w:rFonts w:hint="default" w:ascii="Times New Roman" w:hAnsi="Times New Roman" w:eastAsia="宋体" w:cs="Times New Roman"/>
          <w:snapToGrid w:val="0"/>
          <w:color w:val="auto"/>
          <w:sz w:val="38"/>
          <w:szCs w:val="38"/>
        </w:rPr>
      </w:pPr>
      <w:r>
        <w:rPr>
          <w:rFonts w:hint="default" w:ascii="Times New Roman" w:hAnsi="Times New Roman" w:eastAsia="宋体" w:cs="Times New Roman"/>
          <w:snapToGrid w:val="0"/>
          <w:color w:val="auto"/>
          <w:sz w:val="38"/>
          <w:szCs w:val="38"/>
        </w:rPr>
        <w:t>建设项目污染物排放量汇总表</w:t>
      </w:r>
    </w:p>
    <w:tbl>
      <w:tblPr>
        <w:tblStyle w:val="14"/>
        <w:tblW w:w="1378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282"/>
        <w:gridCol w:w="1723"/>
        <w:gridCol w:w="1701"/>
        <w:gridCol w:w="1276"/>
        <w:gridCol w:w="1701"/>
        <w:gridCol w:w="1559"/>
        <w:gridCol w:w="1761"/>
        <w:gridCol w:w="1477"/>
        <w:gridCol w:w="1308"/>
      </w:tblGrid>
      <w:tr w14:paraId="73BA03D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4" w:hRule="atLeast"/>
          <w:jc w:val="center"/>
        </w:trPr>
        <w:tc>
          <w:tcPr>
            <w:tcW w:w="1282" w:type="dxa"/>
            <w:tcBorders>
              <w:tl2br w:val="single" w:color="auto" w:sz="4" w:space="0"/>
            </w:tcBorders>
            <w:noWrap w:val="0"/>
            <w:tcMar>
              <w:left w:w="28" w:type="dxa"/>
              <w:right w:w="28" w:type="dxa"/>
            </w:tcMar>
            <w:vAlign w:val="center"/>
          </w:tcPr>
          <w:p w14:paraId="31F85722">
            <w:pPr>
              <w:pStyle w:val="35"/>
              <w:spacing w:beforeLines="0" w:afterLines="0" w:line="420" w:lineRule="exact"/>
              <w:ind w:left="0" w:leftChars="0" w:right="0" w:rightChars="0" w:firstLine="0" w:firstLineChars="0"/>
              <w:jc w:val="center"/>
              <w:rPr>
                <w:rFonts w:hint="default" w:ascii="Times New Roman" w:hAnsi="Times New Roman" w:eastAsia="宋体" w:cs="Times New Roman"/>
                <w:snapToGrid w:val="0"/>
                <w:color w:val="auto"/>
                <w:spacing w:val="-6"/>
                <w:kern w:val="21"/>
                <w:sz w:val="21"/>
                <w:szCs w:val="21"/>
              </w:rPr>
            </w:pPr>
            <w:r>
              <w:rPr>
                <w:rFonts w:hint="default" w:ascii="Times New Roman" w:hAnsi="Times New Roman" w:eastAsia="宋体" w:cs="Times New Roman"/>
                <w:snapToGrid w:val="0"/>
                <w:color w:val="auto"/>
                <w:spacing w:val="-6"/>
                <w:kern w:val="21"/>
                <w:sz w:val="21"/>
                <w:szCs w:val="21"/>
                <w:lang w:val="en-US" w:eastAsia="zh-CN"/>
              </w:rPr>
              <w:t xml:space="preserve">     </w:t>
            </w:r>
            <w:r>
              <w:rPr>
                <w:rFonts w:hint="default" w:ascii="Times New Roman" w:hAnsi="Times New Roman" w:eastAsia="宋体" w:cs="Times New Roman"/>
                <w:snapToGrid w:val="0"/>
                <w:color w:val="auto"/>
                <w:spacing w:val="-6"/>
                <w:kern w:val="21"/>
                <w:sz w:val="21"/>
                <w:szCs w:val="21"/>
              </w:rPr>
              <w:t>项目</w:t>
            </w:r>
          </w:p>
          <w:p w14:paraId="7CF9AFEA">
            <w:pPr>
              <w:pStyle w:val="35"/>
              <w:spacing w:beforeLines="0" w:afterLines="0" w:line="420" w:lineRule="exact"/>
              <w:ind w:left="0" w:leftChars="0" w:right="0" w:rightChars="0" w:firstLine="0" w:firstLineChars="0"/>
              <w:jc w:val="both"/>
              <w:rPr>
                <w:rFonts w:hint="default" w:ascii="Times New Roman" w:hAnsi="Times New Roman" w:eastAsia="宋体" w:cs="Times New Roman"/>
                <w:snapToGrid w:val="0"/>
                <w:color w:val="auto"/>
                <w:spacing w:val="-6"/>
                <w:kern w:val="21"/>
                <w:sz w:val="21"/>
                <w:szCs w:val="21"/>
              </w:rPr>
            </w:pPr>
            <w:r>
              <w:rPr>
                <w:rFonts w:hint="default" w:ascii="Times New Roman" w:hAnsi="Times New Roman" w:eastAsia="宋体" w:cs="Times New Roman"/>
                <w:snapToGrid w:val="0"/>
                <w:color w:val="auto"/>
                <w:spacing w:val="-6"/>
                <w:kern w:val="21"/>
                <w:sz w:val="21"/>
                <w:szCs w:val="21"/>
              </w:rPr>
              <w:t>分类</w:t>
            </w:r>
          </w:p>
        </w:tc>
        <w:tc>
          <w:tcPr>
            <w:tcW w:w="1723" w:type="dxa"/>
            <w:noWrap w:val="0"/>
            <w:tcMar>
              <w:left w:w="28" w:type="dxa"/>
              <w:right w:w="28" w:type="dxa"/>
            </w:tcMar>
            <w:vAlign w:val="center"/>
          </w:tcPr>
          <w:p w14:paraId="4A1B4997">
            <w:pPr>
              <w:pStyle w:val="35"/>
              <w:spacing w:beforeLines="0" w:afterLines="0" w:line="420" w:lineRule="exact"/>
              <w:ind w:left="0" w:leftChars="0" w:right="0" w:rightChars="0" w:firstLine="0" w:firstLineChars="0"/>
              <w:jc w:val="center"/>
              <w:rPr>
                <w:rFonts w:hint="default" w:ascii="Times New Roman" w:hAnsi="Times New Roman" w:eastAsia="宋体" w:cs="Times New Roman"/>
                <w:snapToGrid w:val="0"/>
                <w:color w:val="auto"/>
                <w:spacing w:val="-6"/>
                <w:kern w:val="21"/>
                <w:sz w:val="21"/>
                <w:szCs w:val="21"/>
              </w:rPr>
            </w:pPr>
            <w:r>
              <w:rPr>
                <w:rFonts w:hint="default" w:ascii="Times New Roman" w:hAnsi="Times New Roman" w:eastAsia="宋体" w:cs="Times New Roman"/>
                <w:snapToGrid w:val="0"/>
                <w:color w:val="auto"/>
                <w:spacing w:val="-6"/>
                <w:kern w:val="21"/>
                <w:sz w:val="21"/>
                <w:szCs w:val="21"/>
              </w:rPr>
              <w:t>污染物名称</w:t>
            </w:r>
          </w:p>
        </w:tc>
        <w:tc>
          <w:tcPr>
            <w:tcW w:w="1701" w:type="dxa"/>
            <w:noWrap w:val="0"/>
            <w:tcMar>
              <w:left w:w="28" w:type="dxa"/>
              <w:right w:w="28" w:type="dxa"/>
            </w:tcMar>
            <w:vAlign w:val="center"/>
          </w:tcPr>
          <w:p w14:paraId="595E3F09">
            <w:pPr>
              <w:pStyle w:val="35"/>
              <w:spacing w:beforeLines="0" w:afterLines="0" w:line="420" w:lineRule="exact"/>
              <w:ind w:left="0" w:leftChars="0" w:right="0" w:rightChars="0" w:firstLine="0" w:firstLineChars="0"/>
              <w:jc w:val="center"/>
              <w:rPr>
                <w:rFonts w:hint="default" w:ascii="Times New Roman" w:hAnsi="Times New Roman" w:eastAsia="宋体" w:cs="Times New Roman"/>
                <w:snapToGrid w:val="0"/>
                <w:color w:val="auto"/>
                <w:spacing w:val="-6"/>
                <w:kern w:val="21"/>
                <w:sz w:val="21"/>
                <w:szCs w:val="21"/>
              </w:rPr>
            </w:pPr>
            <w:r>
              <w:rPr>
                <w:rFonts w:hint="default" w:ascii="Times New Roman" w:hAnsi="Times New Roman" w:eastAsia="宋体" w:cs="Times New Roman"/>
                <w:snapToGrid w:val="0"/>
                <w:color w:val="auto"/>
                <w:spacing w:val="-6"/>
                <w:kern w:val="21"/>
                <w:sz w:val="21"/>
                <w:szCs w:val="21"/>
              </w:rPr>
              <w:t>现有工程</w:t>
            </w:r>
          </w:p>
          <w:p w14:paraId="41C8190F">
            <w:pPr>
              <w:pStyle w:val="35"/>
              <w:spacing w:beforeLines="0" w:afterLines="0" w:line="420" w:lineRule="exact"/>
              <w:ind w:left="0" w:leftChars="0" w:right="0" w:rightChars="0" w:firstLine="0" w:firstLineChars="0"/>
              <w:jc w:val="center"/>
              <w:rPr>
                <w:rFonts w:hint="default" w:ascii="Times New Roman" w:hAnsi="Times New Roman" w:eastAsia="宋体" w:cs="Times New Roman"/>
                <w:snapToGrid w:val="0"/>
                <w:color w:val="auto"/>
                <w:spacing w:val="-6"/>
                <w:kern w:val="21"/>
                <w:sz w:val="21"/>
                <w:szCs w:val="21"/>
              </w:rPr>
            </w:pPr>
            <w:r>
              <w:rPr>
                <w:rFonts w:hint="default" w:ascii="Times New Roman" w:hAnsi="Times New Roman" w:eastAsia="宋体" w:cs="Times New Roman"/>
                <w:snapToGrid w:val="0"/>
                <w:color w:val="auto"/>
                <w:spacing w:val="-6"/>
                <w:kern w:val="21"/>
                <w:sz w:val="21"/>
                <w:szCs w:val="21"/>
              </w:rPr>
              <w:t>排放量（固体废物产生量）</w:t>
            </w:r>
            <w:r>
              <w:rPr>
                <w:rFonts w:hint="default" w:ascii="Times New Roman" w:hAnsi="Times New Roman" w:eastAsia="宋体" w:cs="Times New Roman"/>
                <w:snapToGrid w:val="0"/>
                <w:color w:val="auto"/>
                <w:spacing w:val="-6"/>
                <w:kern w:val="21"/>
                <w:sz w:val="21"/>
                <w:szCs w:val="21"/>
              </w:rPr>
              <w:fldChar w:fldCharType="begin"/>
            </w:r>
            <w:r>
              <w:rPr>
                <w:rFonts w:hint="default" w:ascii="Times New Roman" w:hAnsi="Times New Roman" w:eastAsia="宋体" w:cs="Times New Roman"/>
                <w:snapToGrid w:val="0"/>
                <w:color w:val="auto"/>
                <w:spacing w:val="-6"/>
                <w:kern w:val="21"/>
                <w:sz w:val="21"/>
                <w:szCs w:val="21"/>
              </w:rPr>
              <w:instrText xml:space="preserve"> = 1 \* GB3 \* MERGEFORMAT </w:instrText>
            </w:r>
            <w:r>
              <w:rPr>
                <w:rFonts w:hint="default" w:ascii="Times New Roman" w:hAnsi="Times New Roman" w:eastAsia="宋体" w:cs="Times New Roman"/>
                <w:snapToGrid w:val="0"/>
                <w:color w:val="auto"/>
                <w:spacing w:val="-6"/>
                <w:kern w:val="21"/>
                <w:sz w:val="21"/>
                <w:szCs w:val="21"/>
              </w:rPr>
              <w:fldChar w:fldCharType="separate"/>
            </w:r>
            <w:r>
              <w:rPr>
                <w:rFonts w:hint="default" w:ascii="Times New Roman" w:hAnsi="Times New Roman" w:eastAsia="宋体" w:cs="Times New Roman"/>
                <w:color w:val="auto"/>
                <w:kern w:val="2"/>
                <w:sz w:val="21"/>
                <w:szCs w:val="21"/>
              </w:rPr>
              <w:t>①</w:t>
            </w:r>
            <w:r>
              <w:rPr>
                <w:rFonts w:hint="default" w:ascii="Times New Roman" w:hAnsi="Times New Roman" w:eastAsia="宋体" w:cs="Times New Roman"/>
                <w:snapToGrid w:val="0"/>
                <w:color w:val="auto"/>
                <w:spacing w:val="-6"/>
                <w:kern w:val="21"/>
                <w:sz w:val="21"/>
                <w:szCs w:val="21"/>
              </w:rPr>
              <w:fldChar w:fldCharType="end"/>
            </w:r>
          </w:p>
        </w:tc>
        <w:tc>
          <w:tcPr>
            <w:tcW w:w="1276" w:type="dxa"/>
            <w:noWrap w:val="0"/>
            <w:tcMar>
              <w:left w:w="28" w:type="dxa"/>
              <w:right w:w="28" w:type="dxa"/>
            </w:tcMar>
            <w:vAlign w:val="center"/>
          </w:tcPr>
          <w:p w14:paraId="2A25B4DF">
            <w:pPr>
              <w:pStyle w:val="35"/>
              <w:spacing w:beforeLines="0" w:afterLines="0" w:line="420" w:lineRule="exact"/>
              <w:ind w:left="0" w:leftChars="0" w:right="0" w:rightChars="0" w:firstLine="0" w:firstLineChars="0"/>
              <w:jc w:val="center"/>
              <w:rPr>
                <w:rFonts w:hint="default" w:ascii="Times New Roman" w:hAnsi="Times New Roman" w:eastAsia="宋体" w:cs="Times New Roman"/>
                <w:snapToGrid w:val="0"/>
                <w:color w:val="auto"/>
                <w:spacing w:val="-6"/>
                <w:kern w:val="21"/>
                <w:sz w:val="21"/>
                <w:szCs w:val="21"/>
              </w:rPr>
            </w:pPr>
            <w:r>
              <w:rPr>
                <w:rFonts w:hint="default" w:ascii="Times New Roman" w:hAnsi="Times New Roman" w:eastAsia="宋体" w:cs="Times New Roman"/>
                <w:snapToGrid w:val="0"/>
                <w:color w:val="auto"/>
                <w:spacing w:val="-6"/>
                <w:kern w:val="21"/>
                <w:sz w:val="21"/>
                <w:szCs w:val="21"/>
              </w:rPr>
              <w:t>现有工程</w:t>
            </w:r>
          </w:p>
          <w:p w14:paraId="7213CAC6">
            <w:pPr>
              <w:pStyle w:val="35"/>
              <w:spacing w:beforeLines="0" w:afterLines="0" w:line="420" w:lineRule="exact"/>
              <w:ind w:left="0" w:leftChars="0" w:right="0" w:rightChars="0" w:firstLine="0" w:firstLineChars="0"/>
              <w:jc w:val="center"/>
              <w:rPr>
                <w:rFonts w:hint="default" w:ascii="Times New Roman" w:hAnsi="Times New Roman" w:eastAsia="宋体" w:cs="Times New Roman"/>
                <w:snapToGrid w:val="0"/>
                <w:color w:val="auto"/>
                <w:spacing w:val="-6"/>
                <w:kern w:val="21"/>
                <w:sz w:val="21"/>
                <w:szCs w:val="21"/>
              </w:rPr>
            </w:pPr>
            <w:r>
              <w:rPr>
                <w:rFonts w:hint="default" w:ascii="Times New Roman" w:hAnsi="Times New Roman" w:eastAsia="宋体" w:cs="Times New Roman"/>
                <w:snapToGrid w:val="0"/>
                <w:color w:val="auto"/>
                <w:spacing w:val="-6"/>
                <w:kern w:val="21"/>
                <w:sz w:val="21"/>
                <w:szCs w:val="21"/>
              </w:rPr>
              <w:t>许可排放量</w:t>
            </w:r>
          </w:p>
          <w:p w14:paraId="46A8B20E">
            <w:pPr>
              <w:pStyle w:val="35"/>
              <w:spacing w:beforeLines="0" w:afterLines="0" w:line="420" w:lineRule="exact"/>
              <w:ind w:left="0" w:leftChars="0" w:right="0" w:rightChars="0" w:firstLine="0" w:firstLineChars="0"/>
              <w:jc w:val="center"/>
              <w:rPr>
                <w:rFonts w:hint="default" w:ascii="Times New Roman" w:hAnsi="Times New Roman" w:eastAsia="宋体" w:cs="Times New Roman"/>
                <w:snapToGrid w:val="0"/>
                <w:color w:val="auto"/>
                <w:spacing w:val="-6"/>
                <w:kern w:val="21"/>
                <w:sz w:val="21"/>
                <w:szCs w:val="21"/>
              </w:rPr>
            </w:pPr>
            <w:r>
              <w:rPr>
                <w:rFonts w:hint="default" w:ascii="Times New Roman" w:hAnsi="Times New Roman" w:eastAsia="宋体" w:cs="Times New Roman"/>
                <w:snapToGrid w:val="0"/>
                <w:color w:val="auto"/>
                <w:spacing w:val="-6"/>
                <w:kern w:val="21"/>
                <w:sz w:val="21"/>
                <w:szCs w:val="21"/>
              </w:rPr>
              <w:fldChar w:fldCharType="begin"/>
            </w:r>
            <w:r>
              <w:rPr>
                <w:rFonts w:hint="default" w:ascii="Times New Roman" w:hAnsi="Times New Roman" w:eastAsia="宋体" w:cs="Times New Roman"/>
                <w:snapToGrid w:val="0"/>
                <w:color w:val="auto"/>
                <w:spacing w:val="-6"/>
                <w:kern w:val="21"/>
                <w:sz w:val="21"/>
                <w:szCs w:val="21"/>
              </w:rPr>
              <w:instrText xml:space="preserve"> = 2 \* GB3 \* MERGEFORMAT </w:instrText>
            </w:r>
            <w:r>
              <w:rPr>
                <w:rFonts w:hint="default" w:ascii="Times New Roman" w:hAnsi="Times New Roman" w:eastAsia="宋体" w:cs="Times New Roman"/>
                <w:snapToGrid w:val="0"/>
                <w:color w:val="auto"/>
                <w:spacing w:val="-6"/>
                <w:kern w:val="21"/>
                <w:sz w:val="21"/>
                <w:szCs w:val="21"/>
              </w:rPr>
              <w:fldChar w:fldCharType="separate"/>
            </w:r>
            <w:r>
              <w:rPr>
                <w:rFonts w:hint="default" w:ascii="Times New Roman" w:hAnsi="Times New Roman" w:eastAsia="宋体" w:cs="Times New Roman"/>
                <w:snapToGrid w:val="0"/>
                <w:color w:val="auto"/>
                <w:spacing w:val="-6"/>
                <w:kern w:val="21"/>
                <w:sz w:val="21"/>
                <w:szCs w:val="21"/>
              </w:rPr>
              <w:t>②</w:t>
            </w:r>
            <w:r>
              <w:rPr>
                <w:rFonts w:hint="default" w:ascii="Times New Roman" w:hAnsi="Times New Roman" w:eastAsia="宋体" w:cs="Times New Roman"/>
                <w:snapToGrid w:val="0"/>
                <w:color w:val="auto"/>
                <w:spacing w:val="-6"/>
                <w:kern w:val="21"/>
                <w:sz w:val="21"/>
                <w:szCs w:val="21"/>
              </w:rPr>
              <w:fldChar w:fldCharType="end"/>
            </w:r>
          </w:p>
        </w:tc>
        <w:tc>
          <w:tcPr>
            <w:tcW w:w="1701" w:type="dxa"/>
            <w:noWrap w:val="0"/>
            <w:tcMar>
              <w:left w:w="28" w:type="dxa"/>
              <w:right w:w="28" w:type="dxa"/>
            </w:tcMar>
            <w:vAlign w:val="center"/>
          </w:tcPr>
          <w:p w14:paraId="7845410A">
            <w:pPr>
              <w:pStyle w:val="35"/>
              <w:spacing w:beforeLines="0" w:afterLines="0" w:line="420" w:lineRule="exact"/>
              <w:ind w:left="0" w:leftChars="0" w:right="0" w:rightChars="0" w:firstLine="0" w:firstLineChars="0"/>
              <w:jc w:val="center"/>
              <w:rPr>
                <w:rFonts w:hint="default" w:ascii="Times New Roman" w:hAnsi="Times New Roman" w:eastAsia="宋体" w:cs="Times New Roman"/>
                <w:snapToGrid w:val="0"/>
                <w:color w:val="auto"/>
                <w:spacing w:val="-6"/>
                <w:kern w:val="21"/>
                <w:sz w:val="21"/>
                <w:szCs w:val="21"/>
              </w:rPr>
            </w:pPr>
            <w:r>
              <w:rPr>
                <w:rFonts w:hint="default" w:ascii="Times New Roman" w:hAnsi="Times New Roman" w:eastAsia="宋体" w:cs="Times New Roman"/>
                <w:snapToGrid w:val="0"/>
                <w:color w:val="auto"/>
                <w:spacing w:val="-6"/>
                <w:kern w:val="21"/>
                <w:sz w:val="21"/>
                <w:szCs w:val="21"/>
              </w:rPr>
              <w:t>在建工程</w:t>
            </w:r>
          </w:p>
          <w:p w14:paraId="04A279D2">
            <w:pPr>
              <w:pStyle w:val="35"/>
              <w:spacing w:beforeLines="0" w:afterLines="0" w:line="420" w:lineRule="exact"/>
              <w:ind w:left="0" w:leftChars="0" w:right="0" w:rightChars="0" w:firstLine="0" w:firstLineChars="0"/>
              <w:jc w:val="center"/>
              <w:rPr>
                <w:rFonts w:hint="default" w:ascii="Times New Roman" w:hAnsi="Times New Roman" w:eastAsia="宋体" w:cs="Times New Roman"/>
                <w:snapToGrid w:val="0"/>
                <w:color w:val="auto"/>
                <w:spacing w:val="-6"/>
                <w:kern w:val="21"/>
                <w:sz w:val="21"/>
                <w:szCs w:val="21"/>
              </w:rPr>
            </w:pPr>
            <w:r>
              <w:rPr>
                <w:rFonts w:hint="default" w:ascii="Times New Roman" w:hAnsi="Times New Roman" w:eastAsia="宋体" w:cs="Times New Roman"/>
                <w:snapToGrid w:val="0"/>
                <w:color w:val="auto"/>
                <w:spacing w:val="-6"/>
                <w:kern w:val="21"/>
                <w:sz w:val="21"/>
                <w:szCs w:val="21"/>
              </w:rPr>
              <w:t>排放量（固体废物产生量）</w:t>
            </w:r>
            <w:r>
              <w:rPr>
                <w:rFonts w:hint="default" w:ascii="Times New Roman" w:hAnsi="Times New Roman" w:eastAsia="宋体" w:cs="Times New Roman"/>
                <w:snapToGrid w:val="0"/>
                <w:color w:val="auto"/>
                <w:spacing w:val="-6"/>
                <w:kern w:val="21"/>
                <w:sz w:val="21"/>
                <w:szCs w:val="21"/>
              </w:rPr>
              <w:fldChar w:fldCharType="begin"/>
            </w:r>
            <w:r>
              <w:rPr>
                <w:rFonts w:hint="default" w:ascii="Times New Roman" w:hAnsi="Times New Roman" w:eastAsia="宋体" w:cs="Times New Roman"/>
                <w:snapToGrid w:val="0"/>
                <w:color w:val="auto"/>
                <w:spacing w:val="-6"/>
                <w:kern w:val="21"/>
                <w:sz w:val="21"/>
                <w:szCs w:val="21"/>
              </w:rPr>
              <w:instrText xml:space="preserve"> = 3 \* GB3 \* MERGEFORMAT </w:instrText>
            </w:r>
            <w:r>
              <w:rPr>
                <w:rFonts w:hint="default" w:ascii="Times New Roman" w:hAnsi="Times New Roman" w:eastAsia="宋体" w:cs="Times New Roman"/>
                <w:snapToGrid w:val="0"/>
                <w:color w:val="auto"/>
                <w:spacing w:val="-6"/>
                <w:kern w:val="21"/>
                <w:sz w:val="21"/>
                <w:szCs w:val="21"/>
              </w:rPr>
              <w:fldChar w:fldCharType="separate"/>
            </w:r>
            <w:r>
              <w:rPr>
                <w:rFonts w:hint="default" w:ascii="Times New Roman" w:hAnsi="Times New Roman" w:eastAsia="宋体" w:cs="Times New Roman"/>
                <w:color w:val="auto"/>
                <w:kern w:val="2"/>
                <w:sz w:val="21"/>
                <w:szCs w:val="21"/>
              </w:rPr>
              <w:t>③</w:t>
            </w:r>
            <w:r>
              <w:rPr>
                <w:rFonts w:hint="default" w:ascii="Times New Roman" w:hAnsi="Times New Roman" w:eastAsia="宋体" w:cs="Times New Roman"/>
                <w:snapToGrid w:val="0"/>
                <w:color w:val="auto"/>
                <w:spacing w:val="-6"/>
                <w:kern w:val="21"/>
                <w:sz w:val="21"/>
                <w:szCs w:val="21"/>
              </w:rPr>
              <w:fldChar w:fldCharType="end"/>
            </w:r>
          </w:p>
        </w:tc>
        <w:tc>
          <w:tcPr>
            <w:tcW w:w="1559" w:type="dxa"/>
            <w:noWrap w:val="0"/>
            <w:tcMar>
              <w:left w:w="28" w:type="dxa"/>
              <w:right w:w="28" w:type="dxa"/>
            </w:tcMar>
            <w:vAlign w:val="center"/>
          </w:tcPr>
          <w:p w14:paraId="75E620BF">
            <w:pPr>
              <w:pStyle w:val="35"/>
              <w:spacing w:beforeLines="0" w:afterLines="0" w:line="420" w:lineRule="exact"/>
              <w:ind w:left="0" w:leftChars="0" w:right="0" w:rightChars="0" w:firstLine="0" w:firstLineChars="0"/>
              <w:jc w:val="center"/>
              <w:rPr>
                <w:rFonts w:hint="default" w:ascii="Times New Roman" w:hAnsi="Times New Roman" w:eastAsia="宋体" w:cs="Times New Roman"/>
                <w:snapToGrid w:val="0"/>
                <w:color w:val="auto"/>
                <w:spacing w:val="-6"/>
                <w:kern w:val="21"/>
                <w:sz w:val="21"/>
                <w:szCs w:val="21"/>
              </w:rPr>
            </w:pPr>
            <w:r>
              <w:rPr>
                <w:rFonts w:hint="default" w:ascii="Times New Roman" w:hAnsi="Times New Roman" w:eastAsia="宋体" w:cs="Times New Roman"/>
                <w:snapToGrid w:val="0"/>
                <w:color w:val="auto"/>
                <w:spacing w:val="-6"/>
                <w:kern w:val="21"/>
                <w:sz w:val="21"/>
                <w:szCs w:val="21"/>
              </w:rPr>
              <w:t>本项目</w:t>
            </w:r>
          </w:p>
          <w:p w14:paraId="49081BE8">
            <w:pPr>
              <w:pStyle w:val="35"/>
              <w:spacing w:beforeLines="0" w:afterLines="0" w:line="420" w:lineRule="exact"/>
              <w:ind w:left="0" w:leftChars="0" w:right="0" w:rightChars="0" w:firstLine="0" w:firstLineChars="0"/>
              <w:jc w:val="center"/>
              <w:rPr>
                <w:rFonts w:hint="default" w:ascii="Times New Roman" w:hAnsi="Times New Roman" w:eastAsia="宋体" w:cs="Times New Roman"/>
                <w:snapToGrid w:val="0"/>
                <w:color w:val="auto"/>
                <w:spacing w:val="-6"/>
                <w:kern w:val="21"/>
                <w:sz w:val="21"/>
                <w:szCs w:val="21"/>
              </w:rPr>
            </w:pPr>
            <w:r>
              <w:rPr>
                <w:rFonts w:hint="default" w:ascii="Times New Roman" w:hAnsi="Times New Roman" w:eastAsia="宋体" w:cs="Times New Roman"/>
                <w:snapToGrid w:val="0"/>
                <w:color w:val="auto"/>
                <w:spacing w:val="-6"/>
                <w:kern w:val="21"/>
                <w:sz w:val="21"/>
                <w:szCs w:val="21"/>
              </w:rPr>
              <w:t>排放量（固体废物产生量）</w:t>
            </w:r>
            <w:r>
              <w:rPr>
                <w:rFonts w:hint="default" w:ascii="Times New Roman" w:hAnsi="Times New Roman" w:eastAsia="宋体" w:cs="Times New Roman"/>
                <w:snapToGrid w:val="0"/>
                <w:color w:val="auto"/>
                <w:spacing w:val="-6"/>
                <w:kern w:val="21"/>
                <w:sz w:val="21"/>
                <w:szCs w:val="21"/>
              </w:rPr>
              <w:fldChar w:fldCharType="begin"/>
            </w:r>
            <w:r>
              <w:rPr>
                <w:rFonts w:hint="default" w:ascii="Times New Roman" w:hAnsi="Times New Roman" w:eastAsia="宋体" w:cs="Times New Roman"/>
                <w:snapToGrid w:val="0"/>
                <w:color w:val="auto"/>
                <w:spacing w:val="-6"/>
                <w:kern w:val="21"/>
                <w:sz w:val="21"/>
                <w:szCs w:val="21"/>
              </w:rPr>
              <w:instrText xml:space="preserve"> = 4 \* GB3 \* MERGEFORMAT </w:instrText>
            </w:r>
            <w:r>
              <w:rPr>
                <w:rFonts w:hint="default" w:ascii="Times New Roman" w:hAnsi="Times New Roman" w:eastAsia="宋体" w:cs="Times New Roman"/>
                <w:snapToGrid w:val="0"/>
                <w:color w:val="auto"/>
                <w:spacing w:val="-6"/>
                <w:kern w:val="21"/>
                <w:sz w:val="21"/>
                <w:szCs w:val="21"/>
              </w:rPr>
              <w:fldChar w:fldCharType="separate"/>
            </w:r>
            <w:r>
              <w:rPr>
                <w:rFonts w:hint="default" w:ascii="Times New Roman" w:hAnsi="Times New Roman" w:eastAsia="宋体" w:cs="Times New Roman"/>
                <w:color w:val="auto"/>
                <w:kern w:val="2"/>
                <w:sz w:val="21"/>
                <w:szCs w:val="21"/>
              </w:rPr>
              <w:t>④</w:t>
            </w:r>
            <w:r>
              <w:rPr>
                <w:rFonts w:hint="default" w:ascii="Times New Roman" w:hAnsi="Times New Roman" w:eastAsia="宋体" w:cs="Times New Roman"/>
                <w:snapToGrid w:val="0"/>
                <w:color w:val="auto"/>
                <w:spacing w:val="-6"/>
                <w:kern w:val="21"/>
                <w:sz w:val="21"/>
                <w:szCs w:val="21"/>
              </w:rPr>
              <w:fldChar w:fldCharType="end"/>
            </w:r>
          </w:p>
        </w:tc>
        <w:tc>
          <w:tcPr>
            <w:tcW w:w="1761" w:type="dxa"/>
            <w:noWrap w:val="0"/>
            <w:tcMar>
              <w:left w:w="28" w:type="dxa"/>
              <w:right w:w="28" w:type="dxa"/>
            </w:tcMar>
            <w:vAlign w:val="center"/>
          </w:tcPr>
          <w:p w14:paraId="64098070">
            <w:pPr>
              <w:pStyle w:val="35"/>
              <w:spacing w:beforeLines="0" w:afterLines="0" w:line="420" w:lineRule="exact"/>
              <w:ind w:left="0" w:leftChars="0" w:right="0" w:rightChars="0" w:firstLine="0" w:firstLineChars="0"/>
              <w:jc w:val="center"/>
              <w:rPr>
                <w:rFonts w:hint="default" w:ascii="Times New Roman" w:hAnsi="Times New Roman" w:eastAsia="宋体" w:cs="Times New Roman"/>
                <w:snapToGrid w:val="0"/>
                <w:color w:val="auto"/>
                <w:spacing w:val="-16"/>
                <w:kern w:val="21"/>
                <w:sz w:val="21"/>
                <w:szCs w:val="21"/>
              </w:rPr>
            </w:pPr>
            <w:r>
              <w:rPr>
                <w:rFonts w:hint="default" w:ascii="Times New Roman" w:hAnsi="Times New Roman" w:eastAsia="宋体" w:cs="Times New Roman"/>
                <w:snapToGrid w:val="0"/>
                <w:color w:val="auto"/>
                <w:spacing w:val="-16"/>
                <w:kern w:val="21"/>
                <w:sz w:val="21"/>
                <w:szCs w:val="21"/>
              </w:rPr>
              <w:t>以新带老削减量</w:t>
            </w:r>
          </w:p>
          <w:p w14:paraId="148C8A52">
            <w:pPr>
              <w:pStyle w:val="35"/>
              <w:spacing w:beforeLines="0" w:afterLines="0" w:line="420" w:lineRule="exact"/>
              <w:ind w:left="0" w:leftChars="0" w:right="0" w:rightChars="0" w:firstLine="0" w:firstLineChars="0"/>
              <w:jc w:val="center"/>
              <w:rPr>
                <w:rFonts w:hint="default" w:ascii="Times New Roman" w:hAnsi="Times New Roman" w:eastAsia="宋体" w:cs="Times New Roman"/>
                <w:snapToGrid w:val="0"/>
                <w:color w:val="auto"/>
                <w:spacing w:val="-16"/>
                <w:kern w:val="21"/>
                <w:sz w:val="21"/>
                <w:szCs w:val="21"/>
              </w:rPr>
            </w:pPr>
            <w:r>
              <w:rPr>
                <w:rFonts w:hint="default" w:ascii="Times New Roman" w:hAnsi="Times New Roman" w:eastAsia="宋体" w:cs="Times New Roman"/>
                <w:snapToGrid w:val="0"/>
                <w:color w:val="auto"/>
                <w:spacing w:val="-16"/>
                <w:kern w:val="21"/>
                <w:sz w:val="21"/>
                <w:szCs w:val="21"/>
              </w:rPr>
              <w:t>（新建项目不填）</w:t>
            </w:r>
            <w:r>
              <w:rPr>
                <w:rFonts w:hint="default" w:ascii="Times New Roman" w:hAnsi="Times New Roman" w:eastAsia="宋体" w:cs="Times New Roman"/>
                <w:snapToGrid w:val="0"/>
                <w:color w:val="auto"/>
                <w:spacing w:val="-16"/>
                <w:kern w:val="21"/>
                <w:sz w:val="21"/>
                <w:szCs w:val="21"/>
              </w:rPr>
              <w:fldChar w:fldCharType="begin"/>
            </w:r>
            <w:r>
              <w:rPr>
                <w:rFonts w:hint="default" w:ascii="Times New Roman" w:hAnsi="Times New Roman" w:eastAsia="宋体" w:cs="Times New Roman"/>
                <w:snapToGrid w:val="0"/>
                <w:color w:val="auto"/>
                <w:spacing w:val="-16"/>
                <w:kern w:val="21"/>
                <w:sz w:val="21"/>
                <w:szCs w:val="21"/>
              </w:rPr>
              <w:instrText xml:space="preserve"> = 5 \* GB3 \* MERGEFORMAT </w:instrText>
            </w:r>
            <w:r>
              <w:rPr>
                <w:rFonts w:hint="default" w:ascii="Times New Roman" w:hAnsi="Times New Roman" w:eastAsia="宋体" w:cs="Times New Roman"/>
                <w:snapToGrid w:val="0"/>
                <w:color w:val="auto"/>
                <w:spacing w:val="-16"/>
                <w:kern w:val="21"/>
                <w:sz w:val="21"/>
                <w:szCs w:val="21"/>
              </w:rPr>
              <w:fldChar w:fldCharType="separate"/>
            </w:r>
            <w:r>
              <w:rPr>
                <w:rFonts w:hint="default" w:ascii="Times New Roman" w:hAnsi="Times New Roman" w:eastAsia="宋体" w:cs="Times New Roman"/>
                <w:color w:val="auto"/>
                <w:kern w:val="2"/>
                <w:sz w:val="21"/>
                <w:szCs w:val="21"/>
              </w:rPr>
              <w:t>⑤</w:t>
            </w:r>
            <w:r>
              <w:rPr>
                <w:rFonts w:hint="default" w:ascii="Times New Roman" w:hAnsi="Times New Roman" w:eastAsia="宋体" w:cs="Times New Roman"/>
                <w:snapToGrid w:val="0"/>
                <w:color w:val="auto"/>
                <w:spacing w:val="-16"/>
                <w:kern w:val="21"/>
                <w:sz w:val="21"/>
                <w:szCs w:val="21"/>
              </w:rPr>
              <w:fldChar w:fldCharType="end"/>
            </w:r>
          </w:p>
        </w:tc>
        <w:tc>
          <w:tcPr>
            <w:tcW w:w="1477" w:type="dxa"/>
            <w:noWrap w:val="0"/>
            <w:tcMar>
              <w:left w:w="28" w:type="dxa"/>
              <w:right w:w="28" w:type="dxa"/>
            </w:tcMar>
            <w:vAlign w:val="center"/>
          </w:tcPr>
          <w:p w14:paraId="3BDAD8F8">
            <w:pPr>
              <w:pStyle w:val="35"/>
              <w:spacing w:beforeLines="0" w:afterLines="0" w:line="420" w:lineRule="exact"/>
              <w:ind w:left="0" w:leftChars="0" w:right="0" w:rightChars="0" w:firstLine="0" w:firstLineChars="0"/>
              <w:jc w:val="center"/>
              <w:rPr>
                <w:rFonts w:hint="default" w:ascii="Times New Roman" w:hAnsi="Times New Roman" w:eastAsia="宋体" w:cs="Times New Roman"/>
                <w:snapToGrid w:val="0"/>
                <w:color w:val="auto"/>
                <w:spacing w:val="-16"/>
                <w:kern w:val="21"/>
                <w:sz w:val="21"/>
                <w:szCs w:val="21"/>
              </w:rPr>
            </w:pPr>
            <w:r>
              <w:rPr>
                <w:rFonts w:hint="default" w:ascii="Times New Roman" w:hAnsi="Times New Roman" w:eastAsia="宋体" w:cs="Times New Roman"/>
                <w:snapToGrid w:val="0"/>
                <w:color w:val="auto"/>
                <w:spacing w:val="-16"/>
                <w:kern w:val="21"/>
                <w:sz w:val="21"/>
                <w:szCs w:val="21"/>
              </w:rPr>
              <w:t>本项目建成后</w:t>
            </w:r>
          </w:p>
          <w:p w14:paraId="64A1384B">
            <w:pPr>
              <w:pStyle w:val="35"/>
              <w:spacing w:beforeLines="0" w:afterLines="0" w:line="420" w:lineRule="exact"/>
              <w:ind w:left="0" w:leftChars="0" w:right="0" w:rightChars="0" w:firstLine="0" w:firstLineChars="0"/>
              <w:jc w:val="center"/>
              <w:rPr>
                <w:rFonts w:hint="default" w:ascii="Times New Roman" w:hAnsi="Times New Roman" w:eastAsia="宋体" w:cs="Times New Roman"/>
                <w:snapToGrid w:val="0"/>
                <w:color w:val="auto"/>
                <w:spacing w:val="-16"/>
                <w:kern w:val="21"/>
                <w:sz w:val="21"/>
                <w:szCs w:val="21"/>
              </w:rPr>
            </w:pPr>
            <w:r>
              <w:rPr>
                <w:rFonts w:hint="default" w:ascii="Times New Roman" w:hAnsi="Times New Roman" w:eastAsia="宋体" w:cs="Times New Roman"/>
                <w:snapToGrid w:val="0"/>
                <w:color w:val="auto"/>
                <w:spacing w:val="-16"/>
                <w:kern w:val="21"/>
                <w:sz w:val="21"/>
                <w:szCs w:val="21"/>
              </w:rPr>
              <w:t>全厂排放量（固体废物产生量）</w:t>
            </w:r>
            <w:r>
              <w:rPr>
                <w:rFonts w:hint="default" w:ascii="Times New Roman" w:hAnsi="Times New Roman" w:eastAsia="宋体" w:cs="Times New Roman"/>
                <w:snapToGrid w:val="0"/>
                <w:color w:val="auto"/>
                <w:spacing w:val="-16"/>
                <w:kern w:val="21"/>
                <w:sz w:val="21"/>
                <w:szCs w:val="21"/>
              </w:rPr>
              <w:fldChar w:fldCharType="begin"/>
            </w:r>
            <w:r>
              <w:rPr>
                <w:rFonts w:hint="default" w:ascii="Times New Roman" w:hAnsi="Times New Roman" w:eastAsia="宋体" w:cs="Times New Roman"/>
                <w:snapToGrid w:val="0"/>
                <w:color w:val="auto"/>
                <w:spacing w:val="-16"/>
                <w:kern w:val="21"/>
                <w:sz w:val="21"/>
                <w:szCs w:val="21"/>
              </w:rPr>
              <w:instrText xml:space="preserve"> = 6 \* GB3 \* MERGEFORMAT </w:instrText>
            </w:r>
            <w:r>
              <w:rPr>
                <w:rFonts w:hint="default" w:ascii="Times New Roman" w:hAnsi="Times New Roman" w:eastAsia="宋体" w:cs="Times New Roman"/>
                <w:snapToGrid w:val="0"/>
                <w:color w:val="auto"/>
                <w:spacing w:val="-16"/>
                <w:kern w:val="21"/>
                <w:sz w:val="21"/>
                <w:szCs w:val="21"/>
              </w:rPr>
              <w:fldChar w:fldCharType="separate"/>
            </w:r>
            <w:r>
              <w:rPr>
                <w:rFonts w:hint="default" w:ascii="Times New Roman" w:hAnsi="Times New Roman" w:eastAsia="宋体" w:cs="Times New Roman"/>
                <w:color w:val="auto"/>
                <w:kern w:val="2"/>
                <w:sz w:val="21"/>
                <w:szCs w:val="21"/>
              </w:rPr>
              <w:t>⑥</w:t>
            </w:r>
            <w:r>
              <w:rPr>
                <w:rFonts w:hint="default" w:ascii="Times New Roman" w:hAnsi="Times New Roman" w:eastAsia="宋体" w:cs="Times New Roman"/>
                <w:snapToGrid w:val="0"/>
                <w:color w:val="auto"/>
                <w:spacing w:val="-16"/>
                <w:kern w:val="21"/>
                <w:sz w:val="21"/>
                <w:szCs w:val="21"/>
              </w:rPr>
              <w:fldChar w:fldCharType="end"/>
            </w:r>
          </w:p>
        </w:tc>
        <w:tc>
          <w:tcPr>
            <w:tcW w:w="1308" w:type="dxa"/>
            <w:noWrap w:val="0"/>
            <w:tcMar>
              <w:left w:w="28" w:type="dxa"/>
              <w:right w:w="28" w:type="dxa"/>
            </w:tcMar>
            <w:vAlign w:val="center"/>
          </w:tcPr>
          <w:p w14:paraId="14021864">
            <w:pPr>
              <w:pStyle w:val="35"/>
              <w:spacing w:beforeLines="0" w:afterLines="0" w:line="420" w:lineRule="exact"/>
              <w:ind w:left="0" w:leftChars="0" w:right="0" w:rightChars="0" w:firstLine="0" w:firstLineChars="0"/>
              <w:jc w:val="center"/>
              <w:rPr>
                <w:rFonts w:hint="default" w:ascii="Times New Roman" w:hAnsi="Times New Roman" w:eastAsia="宋体" w:cs="Times New Roman"/>
                <w:snapToGrid w:val="0"/>
                <w:color w:val="auto"/>
                <w:spacing w:val="-6"/>
                <w:kern w:val="21"/>
                <w:sz w:val="21"/>
                <w:szCs w:val="21"/>
              </w:rPr>
            </w:pPr>
            <w:r>
              <w:rPr>
                <w:rFonts w:hint="default" w:ascii="Times New Roman" w:hAnsi="Times New Roman" w:eastAsia="宋体" w:cs="Times New Roman"/>
                <w:snapToGrid w:val="0"/>
                <w:color w:val="auto"/>
                <w:spacing w:val="-6"/>
                <w:kern w:val="21"/>
                <w:sz w:val="21"/>
                <w:szCs w:val="21"/>
              </w:rPr>
              <w:t>变化量</w:t>
            </w:r>
          </w:p>
          <w:p w14:paraId="541820FC">
            <w:pPr>
              <w:pStyle w:val="35"/>
              <w:spacing w:beforeLines="0" w:afterLines="0" w:line="420" w:lineRule="exact"/>
              <w:ind w:left="0" w:leftChars="0" w:right="0" w:rightChars="0" w:firstLine="0" w:firstLineChars="0"/>
              <w:jc w:val="center"/>
              <w:rPr>
                <w:rFonts w:hint="default" w:ascii="Times New Roman" w:hAnsi="Times New Roman" w:eastAsia="宋体" w:cs="Times New Roman"/>
                <w:snapToGrid w:val="0"/>
                <w:color w:val="auto"/>
                <w:spacing w:val="-6"/>
                <w:kern w:val="21"/>
                <w:sz w:val="21"/>
                <w:szCs w:val="21"/>
              </w:rPr>
            </w:pPr>
            <w:r>
              <w:rPr>
                <w:rFonts w:hint="default" w:ascii="Times New Roman" w:hAnsi="Times New Roman" w:eastAsia="宋体" w:cs="Times New Roman"/>
                <w:snapToGrid w:val="0"/>
                <w:color w:val="auto"/>
                <w:spacing w:val="-6"/>
                <w:kern w:val="21"/>
                <w:sz w:val="21"/>
                <w:szCs w:val="21"/>
              </w:rPr>
              <w:fldChar w:fldCharType="begin"/>
            </w:r>
            <w:r>
              <w:rPr>
                <w:rFonts w:hint="default" w:ascii="Times New Roman" w:hAnsi="Times New Roman" w:eastAsia="宋体" w:cs="Times New Roman"/>
                <w:snapToGrid w:val="0"/>
                <w:color w:val="auto"/>
                <w:spacing w:val="-6"/>
                <w:kern w:val="21"/>
                <w:sz w:val="21"/>
                <w:szCs w:val="21"/>
              </w:rPr>
              <w:instrText xml:space="preserve"> = 7 \* GB3 \* MERGEFORMAT </w:instrText>
            </w:r>
            <w:r>
              <w:rPr>
                <w:rFonts w:hint="default" w:ascii="Times New Roman" w:hAnsi="Times New Roman" w:eastAsia="宋体" w:cs="Times New Roman"/>
                <w:snapToGrid w:val="0"/>
                <w:color w:val="auto"/>
                <w:spacing w:val="-6"/>
                <w:kern w:val="21"/>
                <w:sz w:val="21"/>
                <w:szCs w:val="21"/>
              </w:rPr>
              <w:fldChar w:fldCharType="separate"/>
            </w:r>
            <w:r>
              <w:rPr>
                <w:rFonts w:hint="default" w:ascii="Times New Roman" w:hAnsi="Times New Roman" w:eastAsia="宋体" w:cs="Times New Roman"/>
                <w:color w:val="auto"/>
                <w:kern w:val="2"/>
                <w:sz w:val="21"/>
                <w:szCs w:val="21"/>
              </w:rPr>
              <w:t>⑦</w:t>
            </w:r>
            <w:r>
              <w:rPr>
                <w:rFonts w:hint="default" w:ascii="Times New Roman" w:hAnsi="Times New Roman" w:eastAsia="宋体" w:cs="Times New Roman"/>
                <w:snapToGrid w:val="0"/>
                <w:color w:val="auto"/>
                <w:spacing w:val="-6"/>
                <w:kern w:val="21"/>
                <w:sz w:val="21"/>
                <w:szCs w:val="21"/>
              </w:rPr>
              <w:fldChar w:fldCharType="end"/>
            </w:r>
          </w:p>
        </w:tc>
      </w:tr>
      <w:tr w14:paraId="632FFDC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30" w:hRule="atLeast"/>
          <w:jc w:val="center"/>
        </w:trPr>
        <w:tc>
          <w:tcPr>
            <w:tcW w:w="1282" w:type="dxa"/>
            <w:noWrap w:val="0"/>
            <w:vAlign w:val="center"/>
          </w:tcPr>
          <w:p w14:paraId="307CFF28">
            <w:pPr>
              <w:pStyle w:val="35"/>
              <w:keepNext w:val="0"/>
              <w:keepLines w:val="0"/>
              <w:pageBreakBefore w:val="0"/>
              <w:kinsoku/>
              <w:wordWrap/>
              <w:overflowPunct/>
              <w:topLinePunct w:val="0"/>
              <w:autoSpaceDE/>
              <w:autoSpaceDN/>
              <w:bidi w:val="0"/>
              <w:spacing w:beforeLines="0" w:afterLines="0" w:line="240" w:lineRule="auto"/>
              <w:ind w:left="0" w:leftChars="0" w:right="0" w:rightChars="0" w:firstLine="0" w:firstLineChars="0"/>
              <w:jc w:val="center"/>
              <w:textAlignment w:val="auto"/>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废气</w:t>
            </w:r>
          </w:p>
        </w:tc>
        <w:tc>
          <w:tcPr>
            <w:tcW w:w="1723" w:type="dxa"/>
            <w:noWrap w:val="0"/>
            <w:vAlign w:val="center"/>
          </w:tcPr>
          <w:p w14:paraId="47272BB7">
            <w:pPr>
              <w:keepNext w:val="0"/>
              <w:keepLines w:val="0"/>
              <w:pageBreakBefore w:val="0"/>
              <w:widowControl/>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color w:val="auto"/>
                <w:sz w:val="21"/>
                <w:szCs w:val="21"/>
                <w:highlight w:val="none"/>
                <w:lang w:val="en-US" w:eastAsia="zh-CN"/>
              </w:rPr>
              <w:t>颗粒物</w:t>
            </w:r>
          </w:p>
        </w:tc>
        <w:tc>
          <w:tcPr>
            <w:tcW w:w="1701" w:type="dxa"/>
            <w:noWrap w:val="0"/>
            <w:vAlign w:val="center"/>
          </w:tcPr>
          <w:p w14:paraId="381856AB">
            <w:pPr>
              <w:pStyle w:val="35"/>
              <w:keepNext w:val="0"/>
              <w:keepLines w:val="0"/>
              <w:pageBreakBefore w:val="0"/>
              <w:kinsoku/>
              <w:wordWrap/>
              <w:overflowPunct/>
              <w:topLinePunct w:val="0"/>
              <w:autoSpaceDE/>
              <w:autoSpaceDN/>
              <w:bidi w:val="0"/>
              <w:spacing w:beforeLines="0" w:afterLines="0" w:line="240" w:lineRule="auto"/>
              <w:ind w:left="0" w:leftChars="0" w:right="0" w:rightChars="0" w:firstLine="0" w:firstLineChars="0"/>
              <w:jc w:val="center"/>
              <w:textAlignment w:val="auto"/>
              <w:rPr>
                <w:rFonts w:hint="default" w:ascii="Times New Roman" w:hAnsi="Times New Roman" w:eastAsia="宋体" w:cs="Times New Roman"/>
                <w:snapToGrid w:val="0"/>
                <w:color w:val="auto"/>
                <w:kern w:val="21"/>
                <w:sz w:val="21"/>
                <w:szCs w:val="21"/>
                <w:lang w:val="en-US" w:eastAsia="zh-CN"/>
              </w:rPr>
            </w:pPr>
            <w:r>
              <w:rPr>
                <w:rFonts w:hint="default" w:ascii="Times New Roman" w:hAnsi="Times New Roman" w:eastAsia="宋体" w:cs="Times New Roman"/>
                <w:snapToGrid w:val="0"/>
                <w:color w:val="auto"/>
                <w:kern w:val="21"/>
                <w:sz w:val="21"/>
                <w:szCs w:val="21"/>
                <w:lang w:val="en-US" w:eastAsia="zh-CN"/>
              </w:rPr>
              <w:t>0.1500t/a</w:t>
            </w:r>
          </w:p>
        </w:tc>
        <w:tc>
          <w:tcPr>
            <w:tcW w:w="1276" w:type="dxa"/>
            <w:noWrap w:val="0"/>
            <w:vAlign w:val="center"/>
          </w:tcPr>
          <w:p w14:paraId="72130A1C">
            <w:pPr>
              <w:pStyle w:val="35"/>
              <w:keepNext w:val="0"/>
              <w:keepLines w:val="0"/>
              <w:pageBreakBefore w:val="0"/>
              <w:kinsoku/>
              <w:wordWrap/>
              <w:overflowPunct/>
              <w:topLinePunct w:val="0"/>
              <w:autoSpaceDE/>
              <w:autoSpaceDN/>
              <w:bidi w:val="0"/>
              <w:spacing w:beforeLines="0" w:afterLines="0" w:line="240" w:lineRule="auto"/>
              <w:ind w:left="0" w:leftChars="0" w:right="0" w:rightChars="0" w:firstLine="0" w:firstLineChars="0"/>
              <w:jc w:val="center"/>
              <w:textAlignment w:val="auto"/>
              <w:rPr>
                <w:rFonts w:hint="default" w:ascii="Times New Roman" w:hAnsi="Times New Roman" w:eastAsia="宋体" w:cs="Times New Roman"/>
                <w:snapToGrid w:val="0"/>
                <w:color w:val="auto"/>
                <w:kern w:val="21"/>
                <w:sz w:val="21"/>
                <w:szCs w:val="21"/>
                <w:lang w:val="en-US" w:eastAsia="zh-CN"/>
              </w:rPr>
            </w:pPr>
            <w:r>
              <w:rPr>
                <w:rFonts w:hint="default" w:ascii="Times New Roman" w:hAnsi="Times New Roman" w:eastAsia="宋体" w:cs="Times New Roman"/>
                <w:snapToGrid w:val="0"/>
                <w:color w:val="auto"/>
                <w:kern w:val="21"/>
                <w:sz w:val="21"/>
                <w:szCs w:val="21"/>
                <w:lang w:val="en-US" w:eastAsia="zh-CN"/>
              </w:rPr>
              <w:t>0</w:t>
            </w:r>
          </w:p>
        </w:tc>
        <w:tc>
          <w:tcPr>
            <w:tcW w:w="1701" w:type="dxa"/>
            <w:noWrap w:val="0"/>
            <w:vAlign w:val="center"/>
          </w:tcPr>
          <w:p w14:paraId="5CFC47B0">
            <w:pPr>
              <w:pStyle w:val="35"/>
              <w:keepNext w:val="0"/>
              <w:keepLines w:val="0"/>
              <w:pageBreakBefore w:val="0"/>
              <w:kinsoku/>
              <w:wordWrap/>
              <w:overflowPunct/>
              <w:topLinePunct w:val="0"/>
              <w:autoSpaceDE/>
              <w:autoSpaceDN/>
              <w:bidi w:val="0"/>
              <w:spacing w:beforeLines="0" w:afterLines="0" w:line="240" w:lineRule="auto"/>
              <w:ind w:left="0" w:leftChars="0" w:right="0" w:rightChars="0" w:firstLine="0" w:firstLineChars="0"/>
              <w:jc w:val="center"/>
              <w:textAlignment w:val="auto"/>
              <w:rPr>
                <w:rFonts w:hint="default" w:ascii="Times New Roman" w:hAnsi="Times New Roman" w:eastAsia="宋体" w:cs="Times New Roman"/>
                <w:snapToGrid w:val="0"/>
                <w:color w:val="auto"/>
                <w:kern w:val="21"/>
                <w:sz w:val="21"/>
                <w:szCs w:val="21"/>
                <w:lang w:val="en-US" w:eastAsia="zh-CN"/>
              </w:rPr>
            </w:pPr>
            <w:r>
              <w:rPr>
                <w:rFonts w:hint="default" w:ascii="Times New Roman" w:hAnsi="Times New Roman" w:eastAsia="宋体" w:cs="Times New Roman"/>
                <w:snapToGrid w:val="0"/>
                <w:color w:val="auto"/>
                <w:kern w:val="21"/>
                <w:sz w:val="21"/>
                <w:szCs w:val="21"/>
                <w:lang w:val="en-US" w:eastAsia="zh-CN"/>
              </w:rPr>
              <w:t>0</w:t>
            </w:r>
          </w:p>
        </w:tc>
        <w:tc>
          <w:tcPr>
            <w:tcW w:w="1559" w:type="dxa"/>
            <w:noWrap w:val="0"/>
            <w:vAlign w:val="center"/>
          </w:tcPr>
          <w:p w14:paraId="63AFAF80">
            <w:pPr>
              <w:keepNext w:val="0"/>
              <w:keepLines w:val="0"/>
              <w:pageBreakBefore w:val="0"/>
              <w:widowControl/>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kern w:val="21"/>
                <w:sz w:val="21"/>
                <w:szCs w:val="21"/>
                <w:lang w:val="en-US" w:eastAsia="zh-CN"/>
              </w:rPr>
            </w:pPr>
            <w:r>
              <w:rPr>
                <w:rFonts w:hint="default" w:ascii="Times New Roman" w:hAnsi="Times New Roman" w:eastAsia="宋体" w:cs="Times New Roman"/>
                <w:snapToGrid w:val="0"/>
                <w:color w:val="auto"/>
                <w:kern w:val="21"/>
                <w:sz w:val="21"/>
                <w:szCs w:val="21"/>
                <w:lang w:val="en-US" w:eastAsia="zh-CN"/>
              </w:rPr>
              <w:t>0.4465t/a</w:t>
            </w:r>
          </w:p>
        </w:tc>
        <w:tc>
          <w:tcPr>
            <w:tcW w:w="1761" w:type="dxa"/>
            <w:noWrap w:val="0"/>
            <w:vAlign w:val="center"/>
          </w:tcPr>
          <w:p w14:paraId="6B8F756D">
            <w:pPr>
              <w:pStyle w:val="35"/>
              <w:keepNext w:val="0"/>
              <w:keepLines w:val="0"/>
              <w:pageBreakBefore w:val="0"/>
              <w:kinsoku/>
              <w:wordWrap/>
              <w:overflowPunct/>
              <w:topLinePunct w:val="0"/>
              <w:autoSpaceDE/>
              <w:autoSpaceDN/>
              <w:bidi w:val="0"/>
              <w:spacing w:beforeLines="0" w:afterLines="0" w:line="240" w:lineRule="auto"/>
              <w:ind w:left="0" w:leftChars="0" w:right="0" w:rightChars="0" w:firstLine="0" w:firstLineChars="0"/>
              <w:jc w:val="center"/>
              <w:textAlignment w:val="auto"/>
              <w:rPr>
                <w:rFonts w:hint="default" w:ascii="Times New Roman" w:hAnsi="Times New Roman" w:eastAsia="宋体" w:cs="Times New Roman"/>
                <w:snapToGrid w:val="0"/>
                <w:color w:val="auto"/>
                <w:kern w:val="21"/>
                <w:sz w:val="21"/>
                <w:szCs w:val="21"/>
                <w:lang w:val="en-US" w:eastAsia="zh-CN"/>
              </w:rPr>
            </w:pPr>
            <w:r>
              <w:rPr>
                <w:rFonts w:hint="default" w:ascii="Times New Roman" w:hAnsi="Times New Roman" w:eastAsia="宋体" w:cs="Times New Roman"/>
                <w:snapToGrid w:val="0"/>
                <w:color w:val="auto"/>
                <w:kern w:val="21"/>
                <w:sz w:val="21"/>
                <w:szCs w:val="21"/>
                <w:lang w:val="en-US" w:eastAsia="zh-CN"/>
              </w:rPr>
              <w:t>0</w:t>
            </w:r>
          </w:p>
        </w:tc>
        <w:tc>
          <w:tcPr>
            <w:tcW w:w="1477" w:type="dxa"/>
            <w:noWrap w:val="0"/>
            <w:vAlign w:val="center"/>
          </w:tcPr>
          <w:p w14:paraId="158A45EA">
            <w:pPr>
              <w:keepNext w:val="0"/>
              <w:keepLines w:val="0"/>
              <w:pageBreakBefore w:val="0"/>
              <w:widowControl/>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eastAsia="宋体" w:cs="Times New Roman"/>
                <w:snapToGrid w:val="0"/>
                <w:color w:val="auto"/>
                <w:kern w:val="21"/>
                <w:sz w:val="21"/>
                <w:szCs w:val="21"/>
                <w:lang w:val="en-US" w:eastAsia="zh-CN"/>
              </w:rPr>
              <w:t>0.5965t/a</w:t>
            </w:r>
          </w:p>
        </w:tc>
        <w:tc>
          <w:tcPr>
            <w:tcW w:w="1308" w:type="dxa"/>
            <w:noWrap w:val="0"/>
            <w:vAlign w:val="center"/>
          </w:tcPr>
          <w:p w14:paraId="171EC7A9">
            <w:pPr>
              <w:keepNext w:val="0"/>
              <w:keepLines w:val="0"/>
              <w:pageBreakBefore w:val="0"/>
              <w:widowControl/>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eastAsia="宋体" w:cs="Times New Roman"/>
                <w:color w:val="auto"/>
                <w:sz w:val="21"/>
                <w:szCs w:val="21"/>
                <w:vertAlign w:val="baseline"/>
                <w:lang w:val="en-US" w:eastAsia="zh-CN"/>
              </w:rPr>
              <w:t>+</w:t>
            </w:r>
            <w:r>
              <w:rPr>
                <w:rFonts w:hint="default" w:ascii="Times New Roman" w:hAnsi="Times New Roman" w:eastAsia="宋体" w:cs="Times New Roman"/>
                <w:snapToGrid w:val="0"/>
                <w:color w:val="auto"/>
                <w:kern w:val="21"/>
                <w:sz w:val="21"/>
                <w:szCs w:val="21"/>
                <w:lang w:val="en-US" w:eastAsia="zh-CN"/>
              </w:rPr>
              <w:t>0.4465t/a</w:t>
            </w:r>
          </w:p>
        </w:tc>
      </w:tr>
      <w:tr w14:paraId="35C8917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1" w:hRule="atLeast"/>
          <w:jc w:val="center"/>
        </w:trPr>
        <w:tc>
          <w:tcPr>
            <w:tcW w:w="1282" w:type="dxa"/>
            <w:vMerge w:val="restart"/>
            <w:noWrap w:val="0"/>
            <w:vAlign w:val="center"/>
          </w:tcPr>
          <w:p w14:paraId="76B53285">
            <w:pPr>
              <w:pStyle w:val="35"/>
              <w:keepNext w:val="0"/>
              <w:keepLines w:val="0"/>
              <w:pageBreakBefore w:val="0"/>
              <w:kinsoku/>
              <w:wordWrap/>
              <w:overflowPunct/>
              <w:topLinePunct w:val="0"/>
              <w:autoSpaceDE/>
              <w:autoSpaceDN/>
              <w:bidi w:val="0"/>
              <w:spacing w:beforeLines="0" w:afterLines="0" w:line="240" w:lineRule="auto"/>
              <w:ind w:left="0" w:leftChars="0" w:right="0" w:rightChars="0" w:firstLine="0" w:firstLineChars="0"/>
              <w:jc w:val="center"/>
              <w:textAlignment w:val="auto"/>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废水</w:t>
            </w:r>
          </w:p>
        </w:tc>
        <w:tc>
          <w:tcPr>
            <w:tcW w:w="1723" w:type="dxa"/>
            <w:noWrap w:val="0"/>
            <w:vAlign w:val="center"/>
          </w:tcPr>
          <w:p w14:paraId="35C7280C">
            <w:pPr>
              <w:pStyle w:val="35"/>
              <w:keepNext w:val="0"/>
              <w:keepLines w:val="0"/>
              <w:pageBreakBefore w:val="0"/>
              <w:kinsoku/>
              <w:wordWrap/>
              <w:overflowPunct/>
              <w:topLinePunct w:val="0"/>
              <w:autoSpaceDE/>
              <w:autoSpaceDN/>
              <w:bidi w:val="0"/>
              <w:spacing w:beforeLines="0" w:afterLines="0" w:line="240" w:lineRule="auto"/>
              <w:ind w:left="0" w:leftChars="0" w:right="0" w:rightChars="0" w:firstLine="0" w:firstLineChars="0"/>
              <w:jc w:val="center"/>
              <w:textAlignment w:val="auto"/>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COD</w:t>
            </w:r>
          </w:p>
        </w:tc>
        <w:tc>
          <w:tcPr>
            <w:tcW w:w="1701" w:type="dxa"/>
            <w:shd w:val="clear" w:color="auto" w:fill="auto"/>
            <w:noWrap w:val="0"/>
            <w:vAlign w:val="center"/>
          </w:tcPr>
          <w:p w14:paraId="1B3678D3">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kern w:val="2"/>
                <w:sz w:val="21"/>
                <w:szCs w:val="21"/>
                <w:highlight w:val="none"/>
                <w:vertAlign w:val="baseline"/>
                <w:lang w:val="en-US" w:eastAsia="zh-CN" w:bidi="ar-SA"/>
              </w:rPr>
              <w:t>0</w:t>
            </w:r>
          </w:p>
        </w:tc>
        <w:tc>
          <w:tcPr>
            <w:tcW w:w="1276" w:type="dxa"/>
            <w:noWrap w:val="0"/>
            <w:vAlign w:val="center"/>
          </w:tcPr>
          <w:p w14:paraId="06AD8837">
            <w:pPr>
              <w:pStyle w:val="35"/>
              <w:keepNext w:val="0"/>
              <w:keepLines w:val="0"/>
              <w:pageBreakBefore w:val="0"/>
              <w:kinsoku/>
              <w:wordWrap/>
              <w:overflowPunct/>
              <w:topLinePunct w:val="0"/>
              <w:autoSpaceDE/>
              <w:autoSpaceDN/>
              <w:bidi w:val="0"/>
              <w:spacing w:beforeLines="0" w:afterLines="0" w:line="240" w:lineRule="auto"/>
              <w:ind w:left="0" w:leftChars="0" w:right="0" w:rightChars="0" w:firstLine="0" w:firstLineChars="0"/>
              <w:jc w:val="center"/>
              <w:textAlignment w:val="auto"/>
              <w:rPr>
                <w:rFonts w:hint="default" w:ascii="Times New Roman" w:hAnsi="Times New Roman" w:eastAsia="宋体" w:cs="Times New Roman"/>
                <w:snapToGrid w:val="0"/>
                <w:color w:val="auto"/>
                <w:kern w:val="21"/>
                <w:sz w:val="21"/>
                <w:szCs w:val="21"/>
                <w:lang w:val="en-US" w:eastAsia="zh-CN"/>
              </w:rPr>
            </w:pPr>
            <w:r>
              <w:rPr>
                <w:rFonts w:hint="default" w:ascii="Times New Roman" w:hAnsi="Times New Roman" w:eastAsia="宋体" w:cs="Times New Roman"/>
                <w:snapToGrid w:val="0"/>
                <w:color w:val="auto"/>
                <w:kern w:val="21"/>
                <w:sz w:val="21"/>
                <w:szCs w:val="21"/>
                <w:lang w:val="en-US" w:eastAsia="zh-CN"/>
              </w:rPr>
              <w:t>0</w:t>
            </w:r>
          </w:p>
        </w:tc>
        <w:tc>
          <w:tcPr>
            <w:tcW w:w="1701" w:type="dxa"/>
            <w:noWrap w:val="0"/>
            <w:vAlign w:val="center"/>
          </w:tcPr>
          <w:p w14:paraId="55A89D42">
            <w:pPr>
              <w:pStyle w:val="35"/>
              <w:keepNext w:val="0"/>
              <w:keepLines w:val="0"/>
              <w:pageBreakBefore w:val="0"/>
              <w:kinsoku/>
              <w:wordWrap/>
              <w:overflowPunct/>
              <w:topLinePunct w:val="0"/>
              <w:autoSpaceDE/>
              <w:autoSpaceDN/>
              <w:bidi w:val="0"/>
              <w:spacing w:beforeLines="0" w:afterLines="0" w:line="240" w:lineRule="auto"/>
              <w:ind w:left="0" w:leftChars="0" w:right="0" w:rightChars="0" w:firstLine="0" w:firstLineChars="0"/>
              <w:jc w:val="center"/>
              <w:textAlignment w:val="auto"/>
              <w:rPr>
                <w:rFonts w:hint="default" w:ascii="Times New Roman" w:hAnsi="Times New Roman" w:eastAsia="宋体" w:cs="Times New Roman"/>
                <w:snapToGrid w:val="0"/>
                <w:color w:val="auto"/>
                <w:kern w:val="21"/>
                <w:sz w:val="21"/>
                <w:szCs w:val="21"/>
                <w:lang w:val="en-US" w:eastAsia="zh-CN"/>
              </w:rPr>
            </w:pPr>
            <w:r>
              <w:rPr>
                <w:rFonts w:hint="default" w:ascii="Times New Roman" w:hAnsi="Times New Roman" w:eastAsia="宋体" w:cs="Times New Roman"/>
                <w:snapToGrid w:val="0"/>
                <w:color w:val="auto"/>
                <w:kern w:val="21"/>
                <w:sz w:val="21"/>
                <w:szCs w:val="21"/>
                <w:lang w:val="en-US" w:eastAsia="zh-CN"/>
              </w:rPr>
              <w:t>0</w:t>
            </w:r>
          </w:p>
        </w:tc>
        <w:tc>
          <w:tcPr>
            <w:tcW w:w="1559" w:type="dxa"/>
            <w:noWrap w:val="0"/>
            <w:vAlign w:val="center"/>
          </w:tcPr>
          <w:p w14:paraId="662C5332">
            <w:pPr>
              <w:pStyle w:val="35"/>
              <w:keepNext w:val="0"/>
              <w:keepLines w:val="0"/>
              <w:pageBreakBefore w:val="0"/>
              <w:kinsoku/>
              <w:wordWrap/>
              <w:overflowPunct/>
              <w:topLinePunct w:val="0"/>
              <w:autoSpaceDE/>
              <w:autoSpaceDN/>
              <w:bidi w:val="0"/>
              <w:spacing w:beforeLines="0" w:afterLines="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c>
          <w:tcPr>
            <w:tcW w:w="1761" w:type="dxa"/>
            <w:noWrap w:val="0"/>
            <w:vAlign w:val="center"/>
          </w:tcPr>
          <w:p w14:paraId="6D9DE36F">
            <w:pPr>
              <w:pStyle w:val="35"/>
              <w:keepNext w:val="0"/>
              <w:keepLines w:val="0"/>
              <w:pageBreakBefore w:val="0"/>
              <w:kinsoku/>
              <w:wordWrap/>
              <w:overflowPunct/>
              <w:topLinePunct w:val="0"/>
              <w:autoSpaceDE/>
              <w:autoSpaceDN/>
              <w:bidi w:val="0"/>
              <w:spacing w:beforeLines="0" w:afterLines="0" w:line="240" w:lineRule="auto"/>
              <w:ind w:left="0" w:leftChars="0" w:right="0" w:rightChars="0" w:firstLine="0" w:firstLineChars="0"/>
              <w:jc w:val="center"/>
              <w:textAlignment w:val="auto"/>
              <w:rPr>
                <w:rFonts w:hint="default" w:ascii="Times New Roman" w:hAnsi="Times New Roman" w:eastAsia="宋体" w:cs="Times New Roman"/>
                <w:snapToGrid w:val="0"/>
                <w:color w:val="auto"/>
                <w:kern w:val="21"/>
                <w:sz w:val="21"/>
                <w:szCs w:val="21"/>
                <w:lang w:eastAsia="zh-CN"/>
              </w:rPr>
            </w:pPr>
            <w:r>
              <w:rPr>
                <w:rFonts w:hint="default" w:ascii="Times New Roman" w:hAnsi="Times New Roman" w:eastAsia="宋体" w:cs="Times New Roman"/>
                <w:snapToGrid w:val="0"/>
                <w:color w:val="auto"/>
                <w:kern w:val="21"/>
                <w:sz w:val="21"/>
                <w:szCs w:val="21"/>
                <w:lang w:val="en-US" w:eastAsia="zh-CN"/>
              </w:rPr>
              <w:t>0</w:t>
            </w:r>
          </w:p>
        </w:tc>
        <w:tc>
          <w:tcPr>
            <w:tcW w:w="1477" w:type="dxa"/>
            <w:shd w:val="clear" w:color="auto" w:fill="auto"/>
            <w:noWrap w:val="0"/>
            <w:vAlign w:val="center"/>
          </w:tcPr>
          <w:p w14:paraId="6A5905E7">
            <w:pPr>
              <w:pStyle w:val="35"/>
              <w:keepNext w:val="0"/>
              <w:keepLines w:val="0"/>
              <w:pageBreakBefore w:val="0"/>
              <w:kinsoku/>
              <w:wordWrap/>
              <w:overflowPunct/>
              <w:topLinePunct w:val="0"/>
              <w:autoSpaceDE/>
              <w:autoSpaceDN/>
              <w:bidi w:val="0"/>
              <w:spacing w:beforeLines="0" w:afterLines="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0</w:t>
            </w:r>
          </w:p>
        </w:tc>
        <w:tc>
          <w:tcPr>
            <w:tcW w:w="1308" w:type="dxa"/>
            <w:shd w:val="clear" w:color="auto" w:fill="auto"/>
            <w:noWrap w:val="0"/>
            <w:vAlign w:val="center"/>
          </w:tcPr>
          <w:p w14:paraId="6270A2D4">
            <w:pPr>
              <w:pStyle w:val="35"/>
              <w:keepNext w:val="0"/>
              <w:keepLines w:val="0"/>
              <w:pageBreakBefore w:val="0"/>
              <w:kinsoku/>
              <w:wordWrap/>
              <w:overflowPunct/>
              <w:topLinePunct w:val="0"/>
              <w:autoSpaceDE/>
              <w:autoSpaceDN/>
              <w:bidi w:val="0"/>
              <w:spacing w:beforeLines="0" w:afterLines="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0</w:t>
            </w:r>
          </w:p>
        </w:tc>
      </w:tr>
      <w:tr w14:paraId="0ADC9DC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1282" w:type="dxa"/>
            <w:vMerge w:val="continue"/>
            <w:noWrap w:val="0"/>
            <w:vAlign w:val="center"/>
          </w:tcPr>
          <w:p w14:paraId="790C5F1F">
            <w:pPr>
              <w:pStyle w:val="35"/>
              <w:keepNext w:val="0"/>
              <w:keepLines w:val="0"/>
              <w:pageBreakBefore w:val="0"/>
              <w:kinsoku/>
              <w:wordWrap/>
              <w:overflowPunct/>
              <w:topLinePunct w:val="0"/>
              <w:autoSpaceDE/>
              <w:autoSpaceDN/>
              <w:bidi w:val="0"/>
              <w:spacing w:beforeLines="0" w:afterLines="0" w:line="240" w:lineRule="auto"/>
              <w:ind w:left="0" w:leftChars="0" w:right="0" w:rightChars="0" w:firstLine="0" w:firstLineChars="0"/>
              <w:jc w:val="center"/>
              <w:textAlignment w:val="auto"/>
              <w:rPr>
                <w:rFonts w:hint="default" w:ascii="Times New Roman" w:hAnsi="Times New Roman" w:eastAsia="宋体" w:cs="Times New Roman"/>
                <w:snapToGrid w:val="0"/>
                <w:color w:val="auto"/>
                <w:kern w:val="21"/>
                <w:sz w:val="21"/>
                <w:szCs w:val="21"/>
              </w:rPr>
            </w:pPr>
          </w:p>
        </w:tc>
        <w:tc>
          <w:tcPr>
            <w:tcW w:w="1723" w:type="dxa"/>
            <w:noWrap w:val="0"/>
            <w:vAlign w:val="center"/>
          </w:tcPr>
          <w:p w14:paraId="37B31E32">
            <w:pPr>
              <w:pStyle w:val="35"/>
              <w:keepNext w:val="0"/>
              <w:keepLines w:val="0"/>
              <w:pageBreakBefore w:val="0"/>
              <w:kinsoku/>
              <w:wordWrap/>
              <w:overflowPunct/>
              <w:topLinePunct w:val="0"/>
              <w:autoSpaceDE/>
              <w:autoSpaceDN/>
              <w:bidi w:val="0"/>
              <w:spacing w:beforeLines="0" w:afterLines="0" w:line="240" w:lineRule="auto"/>
              <w:ind w:left="0" w:leftChars="0" w:right="0" w:rightChars="0" w:firstLine="0" w:firstLineChars="0"/>
              <w:jc w:val="center"/>
              <w:textAlignment w:val="auto"/>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氨氮</w:t>
            </w:r>
          </w:p>
        </w:tc>
        <w:tc>
          <w:tcPr>
            <w:tcW w:w="1701" w:type="dxa"/>
            <w:shd w:val="clear" w:color="auto" w:fill="auto"/>
            <w:noWrap w:val="0"/>
            <w:vAlign w:val="center"/>
          </w:tcPr>
          <w:p w14:paraId="73840EDF">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kern w:val="2"/>
                <w:sz w:val="21"/>
                <w:szCs w:val="21"/>
                <w:highlight w:val="none"/>
                <w:vertAlign w:val="baseline"/>
                <w:lang w:val="en-US" w:eastAsia="zh-CN" w:bidi="ar-SA"/>
              </w:rPr>
              <w:t>0</w:t>
            </w:r>
          </w:p>
        </w:tc>
        <w:tc>
          <w:tcPr>
            <w:tcW w:w="1276" w:type="dxa"/>
            <w:noWrap w:val="0"/>
            <w:vAlign w:val="center"/>
          </w:tcPr>
          <w:p w14:paraId="139B0A20">
            <w:pPr>
              <w:pStyle w:val="35"/>
              <w:keepNext w:val="0"/>
              <w:keepLines w:val="0"/>
              <w:pageBreakBefore w:val="0"/>
              <w:kinsoku/>
              <w:wordWrap/>
              <w:overflowPunct/>
              <w:topLinePunct w:val="0"/>
              <w:autoSpaceDE/>
              <w:autoSpaceDN/>
              <w:bidi w:val="0"/>
              <w:spacing w:beforeLines="0" w:afterLines="0" w:line="240" w:lineRule="auto"/>
              <w:ind w:left="0" w:leftChars="0" w:right="0" w:rightChars="0" w:firstLine="0" w:firstLineChars="0"/>
              <w:jc w:val="center"/>
              <w:textAlignment w:val="auto"/>
              <w:rPr>
                <w:rFonts w:hint="default" w:ascii="Times New Roman" w:hAnsi="Times New Roman" w:eastAsia="宋体" w:cs="Times New Roman"/>
                <w:snapToGrid w:val="0"/>
                <w:color w:val="auto"/>
                <w:kern w:val="21"/>
                <w:sz w:val="21"/>
                <w:szCs w:val="21"/>
                <w:lang w:val="en-US" w:eastAsia="zh-CN"/>
              </w:rPr>
            </w:pPr>
            <w:r>
              <w:rPr>
                <w:rFonts w:hint="default" w:ascii="Times New Roman" w:hAnsi="Times New Roman" w:eastAsia="宋体" w:cs="Times New Roman"/>
                <w:snapToGrid w:val="0"/>
                <w:color w:val="auto"/>
                <w:kern w:val="21"/>
                <w:sz w:val="21"/>
                <w:szCs w:val="21"/>
                <w:lang w:val="en-US" w:eastAsia="zh-CN"/>
              </w:rPr>
              <w:t>0</w:t>
            </w:r>
          </w:p>
        </w:tc>
        <w:tc>
          <w:tcPr>
            <w:tcW w:w="1701" w:type="dxa"/>
            <w:noWrap w:val="0"/>
            <w:vAlign w:val="center"/>
          </w:tcPr>
          <w:p w14:paraId="42D768EB">
            <w:pPr>
              <w:pStyle w:val="35"/>
              <w:keepNext w:val="0"/>
              <w:keepLines w:val="0"/>
              <w:pageBreakBefore w:val="0"/>
              <w:kinsoku/>
              <w:wordWrap/>
              <w:overflowPunct/>
              <w:topLinePunct w:val="0"/>
              <w:autoSpaceDE/>
              <w:autoSpaceDN/>
              <w:bidi w:val="0"/>
              <w:spacing w:beforeLines="0" w:afterLines="0" w:line="240" w:lineRule="auto"/>
              <w:ind w:left="0" w:leftChars="0" w:right="0" w:rightChars="0" w:firstLine="0" w:firstLineChars="0"/>
              <w:jc w:val="center"/>
              <w:textAlignment w:val="auto"/>
              <w:rPr>
                <w:rFonts w:hint="default" w:ascii="Times New Roman" w:hAnsi="Times New Roman" w:eastAsia="宋体" w:cs="Times New Roman"/>
                <w:snapToGrid w:val="0"/>
                <w:color w:val="auto"/>
                <w:kern w:val="21"/>
                <w:sz w:val="21"/>
                <w:szCs w:val="21"/>
                <w:lang w:val="en-US" w:eastAsia="zh-CN"/>
              </w:rPr>
            </w:pPr>
            <w:r>
              <w:rPr>
                <w:rFonts w:hint="default" w:ascii="Times New Roman" w:hAnsi="Times New Roman" w:eastAsia="宋体" w:cs="Times New Roman"/>
                <w:snapToGrid w:val="0"/>
                <w:color w:val="auto"/>
                <w:kern w:val="21"/>
                <w:sz w:val="21"/>
                <w:szCs w:val="21"/>
                <w:lang w:val="en-US" w:eastAsia="zh-CN"/>
              </w:rPr>
              <w:t>0</w:t>
            </w:r>
          </w:p>
        </w:tc>
        <w:tc>
          <w:tcPr>
            <w:tcW w:w="1559" w:type="dxa"/>
            <w:noWrap w:val="0"/>
            <w:vAlign w:val="center"/>
          </w:tcPr>
          <w:p w14:paraId="1B9C4D98">
            <w:pPr>
              <w:pStyle w:val="35"/>
              <w:keepNext w:val="0"/>
              <w:keepLines w:val="0"/>
              <w:pageBreakBefore w:val="0"/>
              <w:kinsoku/>
              <w:wordWrap/>
              <w:overflowPunct/>
              <w:topLinePunct w:val="0"/>
              <w:autoSpaceDE/>
              <w:autoSpaceDN/>
              <w:bidi w:val="0"/>
              <w:spacing w:beforeLines="0" w:afterLines="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c>
          <w:tcPr>
            <w:tcW w:w="1761" w:type="dxa"/>
            <w:noWrap w:val="0"/>
            <w:vAlign w:val="center"/>
          </w:tcPr>
          <w:p w14:paraId="183E472F">
            <w:pPr>
              <w:pStyle w:val="35"/>
              <w:keepNext w:val="0"/>
              <w:keepLines w:val="0"/>
              <w:pageBreakBefore w:val="0"/>
              <w:kinsoku/>
              <w:wordWrap/>
              <w:overflowPunct/>
              <w:topLinePunct w:val="0"/>
              <w:autoSpaceDE/>
              <w:autoSpaceDN/>
              <w:bidi w:val="0"/>
              <w:spacing w:beforeLines="0" w:afterLines="0" w:line="240" w:lineRule="auto"/>
              <w:ind w:left="0" w:leftChars="0" w:right="0" w:rightChars="0" w:firstLine="0" w:firstLineChars="0"/>
              <w:jc w:val="center"/>
              <w:textAlignment w:val="auto"/>
              <w:rPr>
                <w:rFonts w:hint="default" w:ascii="Times New Roman" w:hAnsi="Times New Roman" w:eastAsia="宋体" w:cs="Times New Roman"/>
                <w:snapToGrid w:val="0"/>
                <w:color w:val="auto"/>
                <w:kern w:val="21"/>
                <w:sz w:val="21"/>
                <w:szCs w:val="21"/>
                <w:lang w:val="en-US" w:eastAsia="zh-CN"/>
              </w:rPr>
            </w:pPr>
            <w:r>
              <w:rPr>
                <w:rFonts w:hint="default" w:ascii="Times New Roman" w:hAnsi="Times New Roman" w:eastAsia="宋体" w:cs="Times New Roman"/>
                <w:snapToGrid w:val="0"/>
                <w:color w:val="auto"/>
                <w:kern w:val="21"/>
                <w:sz w:val="21"/>
                <w:szCs w:val="21"/>
                <w:lang w:val="en-US" w:eastAsia="zh-CN"/>
              </w:rPr>
              <w:t>0</w:t>
            </w:r>
          </w:p>
        </w:tc>
        <w:tc>
          <w:tcPr>
            <w:tcW w:w="1477" w:type="dxa"/>
            <w:shd w:val="clear" w:color="auto" w:fill="auto"/>
            <w:noWrap w:val="0"/>
            <w:vAlign w:val="center"/>
          </w:tcPr>
          <w:p w14:paraId="4532F947">
            <w:pPr>
              <w:pStyle w:val="35"/>
              <w:keepNext w:val="0"/>
              <w:keepLines w:val="0"/>
              <w:pageBreakBefore w:val="0"/>
              <w:kinsoku/>
              <w:wordWrap/>
              <w:overflowPunct/>
              <w:topLinePunct w:val="0"/>
              <w:autoSpaceDE/>
              <w:autoSpaceDN/>
              <w:bidi w:val="0"/>
              <w:spacing w:beforeLines="0" w:afterLines="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0</w:t>
            </w:r>
          </w:p>
        </w:tc>
        <w:tc>
          <w:tcPr>
            <w:tcW w:w="1308" w:type="dxa"/>
            <w:shd w:val="clear" w:color="auto" w:fill="auto"/>
            <w:noWrap w:val="0"/>
            <w:vAlign w:val="center"/>
          </w:tcPr>
          <w:p w14:paraId="2F5A7076">
            <w:pPr>
              <w:pStyle w:val="35"/>
              <w:keepNext w:val="0"/>
              <w:keepLines w:val="0"/>
              <w:pageBreakBefore w:val="0"/>
              <w:kinsoku/>
              <w:wordWrap/>
              <w:overflowPunct/>
              <w:topLinePunct w:val="0"/>
              <w:autoSpaceDE/>
              <w:autoSpaceDN/>
              <w:bidi w:val="0"/>
              <w:spacing w:beforeLines="0" w:afterLines="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z w:val="21"/>
                <w:szCs w:val="21"/>
                <w:lang w:val="en-US" w:eastAsia="zh-CN"/>
              </w:rPr>
              <w:t>0</w:t>
            </w:r>
          </w:p>
        </w:tc>
      </w:tr>
      <w:tr w14:paraId="4818BBE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1282" w:type="dxa"/>
            <w:noWrap w:val="0"/>
            <w:vAlign w:val="center"/>
          </w:tcPr>
          <w:p w14:paraId="2473A972">
            <w:pPr>
              <w:pStyle w:val="35"/>
              <w:keepNext w:val="0"/>
              <w:keepLines w:val="0"/>
              <w:pageBreakBefore w:val="0"/>
              <w:kinsoku/>
              <w:wordWrap/>
              <w:overflowPunct/>
              <w:topLinePunct w:val="0"/>
              <w:autoSpaceDE/>
              <w:autoSpaceDN/>
              <w:bidi w:val="0"/>
              <w:spacing w:beforeLines="0" w:afterLines="0" w:line="240" w:lineRule="auto"/>
              <w:ind w:left="0" w:leftChars="0" w:right="0" w:rightChars="0" w:firstLine="0" w:firstLineChars="0"/>
              <w:jc w:val="center"/>
              <w:textAlignment w:val="auto"/>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一般工业</w:t>
            </w:r>
          </w:p>
          <w:p w14:paraId="4F5C5CFB">
            <w:pPr>
              <w:pStyle w:val="35"/>
              <w:keepNext w:val="0"/>
              <w:keepLines w:val="0"/>
              <w:pageBreakBefore w:val="0"/>
              <w:kinsoku/>
              <w:wordWrap/>
              <w:overflowPunct/>
              <w:topLinePunct w:val="0"/>
              <w:autoSpaceDE/>
              <w:autoSpaceDN/>
              <w:bidi w:val="0"/>
              <w:spacing w:beforeLines="0" w:afterLines="0" w:line="240" w:lineRule="auto"/>
              <w:ind w:left="0" w:leftChars="0" w:right="0" w:rightChars="0" w:firstLine="0" w:firstLineChars="0"/>
              <w:jc w:val="center"/>
              <w:textAlignment w:val="auto"/>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固体废物</w:t>
            </w:r>
          </w:p>
        </w:tc>
        <w:tc>
          <w:tcPr>
            <w:tcW w:w="1723" w:type="dxa"/>
            <w:shd w:val="clear" w:color="auto" w:fill="auto"/>
            <w:noWrap w:val="0"/>
            <w:vAlign w:val="center"/>
          </w:tcPr>
          <w:p w14:paraId="42AFC055">
            <w:pPr>
              <w:adjustRightInd w:val="0"/>
              <w:snapToGrid w:val="0"/>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含铁物料</w:t>
            </w:r>
          </w:p>
        </w:tc>
        <w:tc>
          <w:tcPr>
            <w:tcW w:w="1701" w:type="dxa"/>
            <w:shd w:val="clear" w:color="auto" w:fill="auto"/>
            <w:noWrap w:val="0"/>
            <w:vAlign w:val="center"/>
          </w:tcPr>
          <w:p w14:paraId="7383258C">
            <w:pPr>
              <w:pStyle w:val="35"/>
              <w:keepNext w:val="0"/>
              <w:keepLines w:val="0"/>
              <w:pageBreakBefore w:val="0"/>
              <w:kinsoku/>
              <w:wordWrap/>
              <w:overflowPunct/>
              <w:topLinePunct w:val="0"/>
              <w:autoSpaceDE/>
              <w:autoSpaceDN/>
              <w:bidi w:val="0"/>
              <w:spacing w:beforeLines="0" w:afterLines="0" w:line="240" w:lineRule="auto"/>
              <w:ind w:left="0" w:leftChars="0" w:right="0" w:rightChars="0" w:firstLine="0" w:firstLineChars="0"/>
              <w:jc w:val="center"/>
              <w:textAlignment w:val="auto"/>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eastAsia="宋体" w:cs="Times New Roman"/>
                <w:snapToGrid w:val="0"/>
                <w:color w:val="auto"/>
                <w:kern w:val="21"/>
                <w:sz w:val="21"/>
                <w:szCs w:val="21"/>
                <w:lang w:val="en-US" w:eastAsia="zh-CN"/>
              </w:rPr>
              <w:t>1.6t/a</w:t>
            </w:r>
          </w:p>
        </w:tc>
        <w:tc>
          <w:tcPr>
            <w:tcW w:w="1276" w:type="dxa"/>
            <w:shd w:val="clear" w:color="auto" w:fill="auto"/>
            <w:noWrap w:val="0"/>
            <w:vAlign w:val="center"/>
          </w:tcPr>
          <w:p w14:paraId="56EE8BB2">
            <w:pPr>
              <w:pStyle w:val="35"/>
              <w:keepNext w:val="0"/>
              <w:keepLines w:val="0"/>
              <w:pageBreakBefore w:val="0"/>
              <w:kinsoku/>
              <w:wordWrap/>
              <w:overflowPunct/>
              <w:topLinePunct w:val="0"/>
              <w:autoSpaceDE/>
              <w:autoSpaceDN/>
              <w:bidi w:val="0"/>
              <w:spacing w:beforeLines="0" w:afterLines="0" w:line="240" w:lineRule="auto"/>
              <w:ind w:left="0" w:leftChars="0" w:right="0" w:rightChars="0" w:firstLine="0" w:firstLineChars="0"/>
              <w:jc w:val="center"/>
              <w:textAlignment w:val="auto"/>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eastAsia="宋体" w:cs="Times New Roman"/>
                <w:snapToGrid w:val="0"/>
                <w:color w:val="auto"/>
                <w:kern w:val="21"/>
                <w:sz w:val="21"/>
                <w:szCs w:val="21"/>
                <w:lang w:val="en-US" w:eastAsia="zh-CN"/>
              </w:rPr>
              <w:t>0</w:t>
            </w:r>
          </w:p>
        </w:tc>
        <w:tc>
          <w:tcPr>
            <w:tcW w:w="1701" w:type="dxa"/>
            <w:shd w:val="clear" w:color="auto" w:fill="auto"/>
            <w:noWrap w:val="0"/>
            <w:vAlign w:val="center"/>
          </w:tcPr>
          <w:p w14:paraId="3F91FD6A">
            <w:pPr>
              <w:pStyle w:val="35"/>
              <w:keepNext w:val="0"/>
              <w:keepLines w:val="0"/>
              <w:pageBreakBefore w:val="0"/>
              <w:kinsoku/>
              <w:wordWrap/>
              <w:overflowPunct/>
              <w:topLinePunct w:val="0"/>
              <w:autoSpaceDE/>
              <w:autoSpaceDN/>
              <w:bidi w:val="0"/>
              <w:spacing w:beforeLines="0" w:afterLines="0" w:line="240" w:lineRule="auto"/>
              <w:ind w:left="0" w:leftChars="0" w:right="0" w:rightChars="0" w:firstLine="0" w:firstLineChars="0"/>
              <w:jc w:val="center"/>
              <w:textAlignment w:val="auto"/>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eastAsia="宋体" w:cs="Times New Roman"/>
                <w:snapToGrid w:val="0"/>
                <w:color w:val="auto"/>
                <w:kern w:val="21"/>
                <w:sz w:val="21"/>
                <w:szCs w:val="21"/>
                <w:lang w:val="en-US" w:eastAsia="zh-CN"/>
              </w:rPr>
              <w:t>0</w:t>
            </w:r>
          </w:p>
        </w:tc>
        <w:tc>
          <w:tcPr>
            <w:tcW w:w="1559" w:type="dxa"/>
            <w:shd w:val="clear" w:color="auto" w:fill="auto"/>
            <w:noWrap w:val="0"/>
            <w:vAlign w:val="center"/>
          </w:tcPr>
          <w:p w14:paraId="5B062E54">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eastAsia="宋体" w:cs="Times New Roman"/>
                <w:color w:val="auto"/>
                <w:kern w:val="0"/>
                <w:sz w:val="21"/>
                <w:szCs w:val="21"/>
                <w:lang w:val="en-US" w:eastAsia="zh-CN"/>
              </w:rPr>
              <w:t>0.4</w:t>
            </w:r>
            <w:r>
              <w:rPr>
                <w:rFonts w:hint="default" w:ascii="Times New Roman" w:hAnsi="Times New Roman" w:eastAsia="宋体" w:cs="Times New Roman"/>
                <w:snapToGrid w:val="0"/>
                <w:color w:val="auto"/>
                <w:kern w:val="21"/>
                <w:sz w:val="21"/>
                <w:szCs w:val="21"/>
                <w:lang w:val="en-US" w:eastAsia="zh-CN"/>
              </w:rPr>
              <w:t>t/a</w:t>
            </w:r>
          </w:p>
        </w:tc>
        <w:tc>
          <w:tcPr>
            <w:tcW w:w="1761" w:type="dxa"/>
            <w:shd w:val="clear" w:color="auto" w:fill="auto"/>
            <w:noWrap w:val="0"/>
            <w:vAlign w:val="center"/>
          </w:tcPr>
          <w:p w14:paraId="5931F860">
            <w:pPr>
              <w:pStyle w:val="35"/>
              <w:keepNext w:val="0"/>
              <w:keepLines w:val="0"/>
              <w:pageBreakBefore w:val="0"/>
              <w:kinsoku/>
              <w:wordWrap/>
              <w:overflowPunct/>
              <w:topLinePunct w:val="0"/>
              <w:autoSpaceDE/>
              <w:autoSpaceDN/>
              <w:bidi w:val="0"/>
              <w:spacing w:beforeLines="0" w:afterLines="0" w:line="240" w:lineRule="auto"/>
              <w:ind w:left="0" w:leftChars="0" w:right="0" w:rightChars="0" w:firstLine="0" w:firstLineChars="0"/>
              <w:jc w:val="center"/>
              <w:textAlignment w:val="auto"/>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eastAsia="宋体" w:cs="Times New Roman"/>
                <w:snapToGrid w:val="0"/>
                <w:color w:val="auto"/>
                <w:kern w:val="21"/>
                <w:sz w:val="21"/>
                <w:szCs w:val="21"/>
                <w:lang w:val="en-US" w:eastAsia="zh-CN"/>
              </w:rPr>
              <w:t>0</w:t>
            </w:r>
          </w:p>
        </w:tc>
        <w:tc>
          <w:tcPr>
            <w:tcW w:w="1477" w:type="dxa"/>
            <w:shd w:val="clear" w:color="auto" w:fill="auto"/>
            <w:noWrap w:val="0"/>
            <w:vAlign w:val="center"/>
          </w:tcPr>
          <w:p w14:paraId="7BFEEA87">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eastAsia="宋体" w:cs="Times New Roman"/>
                <w:color w:val="auto"/>
                <w:kern w:val="0"/>
                <w:sz w:val="21"/>
                <w:szCs w:val="21"/>
                <w:lang w:val="en-US" w:eastAsia="zh-CN"/>
              </w:rPr>
              <w:t>2.0</w:t>
            </w:r>
            <w:r>
              <w:rPr>
                <w:rFonts w:hint="default" w:ascii="Times New Roman" w:hAnsi="Times New Roman" w:eastAsia="宋体" w:cs="Times New Roman"/>
                <w:snapToGrid w:val="0"/>
                <w:color w:val="auto"/>
                <w:kern w:val="21"/>
                <w:sz w:val="21"/>
                <w:szCs w:val="21"/>
                <w:lang w:val="en-US" w:eastAsia="zh-CN"/>
              </w:rPr>
              <w:t>t/a</w:t>
            </w:r>
          </w:p>
        </w:tc>
        <w:tc>
          <w:tcPr>
            <w:tcW w:w="1308" w:type="dxa"/>
            <w:shd w:val="clear" w:color="auto" w:fill="auto"/>
            <w:noWrap w:val="0"/>
            <w:vAlign w:val="center"/>
          </w:tcPr>
          <w:p w14:paraId="617C455C">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eastAsia="宋体" w:cs="Times New Roman"/>
                <w:color w:val="auto"/>
                <w:kern w:val="0"/>
                <w:sz w:val="21"/>
                <w:szCs w:val="21"/>
                <w:lang w:val="en-US" w:eastAsia="zh-CN"/>
              </w:rPr>
              <w:t>+0.4</w:t>
            </w:r>
            <w:r>
              <w:rPr>
                <w:rFonts w:hint="default" w:ascii="Times New Roman" w:hAnsi="Times New Roman" w:eastAsia="宋体" w:cs="Times New Roman"/>
                <w:snapToGrid w:val="0"/>
                <w:color w:val="auto"/>
                <w:kern w:val="21"/>
                <w:sz w:val="21"/>
                <w:szCs w:val="21"/>
                <w:lang w:val="en-US" w:eastAsia="zh-CN"/>
              </w:rPr>
              <w:t>t/a</w:t>
            </w:r>
          </w:p>
        </w:tc>
      </w:tr>
      <w:tr w14:paraId="559C366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1282" w:type="dxa"/>
            <w:noWrap w:val="0"/>
            <w:vAlign w:val="center"/>
          </w:tcPr>
          <w:p w14:paraId="69359C2F">
            <w:pPr>
              <w:pStyle w:val="35"/>
              <w:keepNext w:val="0"/>
              <w:keepLines w:val="0"/>
              <w:pageBreakBefore w:val="0"/>
              <w:kinsoku/>
              <w:wordWrap/>
              <w:overflowPunct/>
              <w:topLinePunct w:val="0"/>
              <w:autoSpaceDE/>
              <w:autoSpaceDN/>
              <w:bidi w:val="0"/>
              <w:spacing w:beforeLines="0" w:afterLines="0" w:line="240" w:lineRule="auto"/>
              <w:ind w:left="0" w:leftChars="0" w:right="0" w:rightChars="0" w:firstLine="0" w:firstLineChars="0"/>
              <w:jc w:val="center"/>
              <w:textAlignment w:val="auto"/>
              <w:rPr>
                <w:rFonts w:hint="default" w:ascii="Times New Roman" w:hAnsi="Times New Roman" w:eastAsia="宋体" w:cs="Times New Roman"/>
                <w:snapToGrid w:val="0"/>
                <w:color w:val="auto"/>
                <w:kern w:val="21"/>
                <w:sz w:val="21"/>
                <w:szCs w:val="21"/>
              </w:rPr>
            </w:pPr>
            <w:r>
              <w:rPr>
                <w:rFonts w:hint="default" w:ascii="Times New Roman" w:hAnsi="Times New Roman" w:eastAsia="宋体" w:cs="Times New Roman"/>
                <w:snapToGrid w:val="0"/>
                <w:color w:val="auto"/>
                <w:kern w:val="21"/>
                <w:sz w:val="21"/>
                <w:szCs w:val="21"/>
              </w:rPr>
              <w:t>生活垃圾</w:t>
            </w:r>
          </w:p>
        </w:tc>
        <w:tc>
          <w:tcPr>
            <w:tcW w:w="1723" w:type="dxa"/>
            <w:noWrap w:val="0"/>
            <w:vAlign w:val="center"/>
          </w:tcPr>
          <w:p w14:paraId="02B4A1DB">
            <w:pPr>
              <w:pStyle w:val="35"/>
              <w:keepNext w:val="0"/>
              <w:keepLines w:val="0"/>
              <w:pageBreakBefore w:val="0"/>
              <w:kinsoku/>
              <w:wordWrap/>
              <w:overflowPunct/>
              <w:topLinePunct w:val="0"/>
              <w:autoSpaceDE/>
              <w:autoSpaceDN/>
              <w:bidi w:val="0"/>
              <w:spacing w:beforeLines="0" w:afterLines="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生活垃圾</w:t>
            </w:r>
          </w:p>
        </w:tc>
        <w:tc>
          <w:tcPr>
            <w:tcW w:w="1701" w:type="dxa"/>
            <w:noWrap w:val="0"/>
            <w:vAlign w:val="center"/>
          </w:tcPr>
          <w:p w14:paraId="7D32E1F8">
            <w:pPr>
              <w:pStyle w:val="35"/>
              <w:keepNext w:val="0"/>
              <w:keepLines w:val="0"/>
              <w:pageBreakBefore w:val="0"/>
              <w:kinsoku/>
              <w:wordWrap/>
              <w:overflowPunct/>
              <w:topLinePunct w:val="0"/>
              <w:autoSpaceDE/>
              <w:autoSpaceDN/>
              <w:bidi w:val="0"/>
              <w:spacing w:beforeLines="0" w:afterLines="0" w:line="240" w:lineRule="auto"/>
              <w:ind w:left="0" w:leftChars="0" w:right="0" w:rightChars="0" w:firstLine="0" w:firstLineChars="0"/>
              <w:jc w:val="center"/>
              <w:textAlignment w:val="auto"/>
              <w:rPr>
                <w:rFonts w:hint="default" w:ascii="Times New Roman" w:hAnsi="Times New Roman" w:eastAsia="宋体" w:cs="Times New Roman"/>
                <w:snapToGrid w:val="0"/>
                <w:color w:val="auto"/>
                <w:kern w:val="21"/>
                <w:sz w:val="21"/>
                <w:szCs w:val="21"/>
                <w:lang w:val="en-US" w:eastAsia="zh-CN"/>
              </w:rPr>
            </w:pPr>
            <w:r>
              <w:rPr>
                <w:rFonts w:hint="default" w:ascii="Times New Roman" w:hAnsi="Times New Roman" w:eastAsia="宋体" w:cs="Times New Roman"/>
                <w:snapToGrid w:val="0"/>
                <w:color w:val="auto"/>
                <w:kern w:val="21"/>
                <w:sz w:val="21"/>
                <w:szCs w:val="21"/>
                <w:lang w:val="en-US" w:eastAsia="zh-CN"/>
              </w:rPr>
              <w:t>1.2t/a</w:t>
            </w:r>
          </w:p>
        </w:tc>
        <w:tc>
          <w:tcPr>
            <w:tcW w:w="1276" w:type="dxa"/>
            <w:noWrap w:val="0"/>
            <w:vAlign w:val="center"/>
          </w:tcPr>
          <w:p w14:paraId="77910601">
            <w:pPr>
              <w:pStyle w:val="35"/>
              <w:keepNext w:val="0"/>
              <w:keepLines w:val="0"/>
              <w:pageBreakBefore w:val="0"/>
              <w:kinsoku/>
              <w:wordWrap/>
              <w:overflowPunct/>
              <w:topLinePunct w:val="0"/>
              <w:autoSpaceDE/>
              <w:autoSpaceDN/>
              <w:bidi w:val="0"/>
              <w:spacing w:beforeLines="0" w:afterLines="0" w:line="240" w:lineRule="auto"/>
              <w:ind w:left="0" w:leftChars="0" w:right="0" w:rightChars="0" w:firstLine="0" w:firstLineChars="0"/>
              <w:jc w:val="center"/>
              <w:textAlignment w:val="auto"/>
              <w:rPr>
                <w:rFonts w:hint="default" w:ascii="Times New Roman" w:hAnsi="Times New Roman" w:eastAsia="宋体" w:cs="Times New Roman"/>
                <w:snapToGrid w:val="0"/>
                <w:color w:val="auto"/>
                <w:kern w:val="21"/>
                <w:sz w:val="21"/>
                <w:szCs w:val="21"/>
                <w:lang w:val="en-US" w:eastAsia="zh-CN"/>
              </w:rPr>
            </w:pPr>
            <w:r>
              <w:rPr>
                <w:rFonts w:hint="default" w:ascii="Times New Roman" w:hAnsi="Times New Roman" w:eastAsia="宋体" w:cs="Times New Roman"/>
                <w:snapToGrid w:val="0"/>
                <w:color w:val="auto"/>
                <w:kern w:val="21"/>
                <w:sz w:val="21"/>
                <w:szCs w:val="21"/>
                <w:lang w:val="en-US" w:eastAsia="zh-CN"/>
              </w:rPr>
              <w:t>0</w:t>
            </w:r>
          </w:p>
        </w:tc>
        <w:tc>
          <w:tcPr>
            <w:tcW w:w="1701" w:type="dxa"/>
            <w:noWrap w:val="0"/>
            <w:vAlign w:val="center"/>
          </w:tcPr>
          <w:p w14:paraId="22E42969">
            <w:pPr>
              <w:pStyle w:val="35"/>
              <w:keepNext w:val="0"/>
              <w:keepLines w:val="0"/>
              <w:pageBreakBefore w:val="0"/>
              <w:kinsoku/>
              <w:wordWrap/>
              <w:overflowPunct/>
              <w:topLinePunct w:val="0"/>
              <w:autoSpaceDE/>
              <w:autoSpaceDN/>
              <w:bidi w:val="0"/>
              <w:spacing w:beforeLines="0" w:afterLines="0" w:line="240" w:lineRule="auto"/>
              <w:ind w:left="0" w:leftChars="0" w:right="0" w:rightChars="0" w:firstLine="0" w:firstLineChars="0"/>
              <w:jc w:val="center"/>
              <w:textAlignment w:val="auto"/>
              <w:rPr>
                <w:rFonts w:hint="default" w:ascii="Times New Roman" w:hAnsi="Times New Roman" w:eastAsia="宋体" w:cs="Times New Roman"/>
                <w:snapToGrid w:val="0"/>
                <w:color w:val="auto"/>
                <w:kern w:val="21"/>
                <w:sz w:val="21"/>
                <w:szCs w:val="21"/>
                <w:lang w:val="en-US" w:eastAsia="zh-CN"/>
              </w:rPr>
            </w:pPr>
            <w:r>
              <w:rPr>
                <w:rFonts w:hint="default" w:ascii="Times New Roman" w:hAnsi="Times New Roman" w:eastAsia="宋体" w:cs="Times New Roman"/>
                <w:snapToGrid w:val="0"/>
                <w:color w:val="auto"/>
                <w:kern w:val="21"/>
                <w:sz w:val="21"/>
                <w:szCs w:val="21"/>
                <w:lang w:val="en-US" w:eastAsia="zh-CN"/>
              </w:rPr>
              <w:t>0</w:t>
            </w:r>
          </w:p>
        </w:tc>
        <w:tc>
          <w:tcPr>
            <w:tcW w:w="1559" w:type="dxa"/>
            <w:noWrap w:val="0"/>
            <w:vAlign w:val="center"/>
          </w:tcPr>
          <w:p w14:paraId="009BA3B3">
            <w:pPr>
              <w:pStyle w:val="35"/>
              <w:keepNext w:val="0"/>
              <w:keepLines w:val="0"/>
              <w:pageBreakBefore w:val="0"/>
              <w:kinsoku/>
              <w:wordWrap/>
              <w:overflowPunct/>
              <w:topLinePunct w:val="0"/>
              <w:autoSpaceDE/>
              <w:autoSpaceDN/>
              <w:bidi w:val="0"/>
              <w:spacing w:beforeLines="0" w:afterLines="0" w:line="240" w:lineRule="auto"/>
              <w:ind w:left="0" w:leftChars="0" w:right="0" w:rightChars="0" w:firstLine="0" w:firstLineChars="0"/>
              <w:jc w:val="center"/>
              <w:textAlignment w:val="auto"/>
              <w:rPr>
                <w:rFonts w:hint="default" w:ascii="Times New Roman" w:hAnsi="Times New Roman" w:eastAsia="宋体" w:cs="Times New Roman"/>
                <w:snapToGrid w:val="0"/>
                <w:color w:val="auto"/>
                <w:kern w:val="21"/>
                <w:sz w:val="21"/>
                <w:szCs w:val="21"/>
                <w:lang w:val="en-US" w:eastAsia="zh-CN"/>
              </w:rPr>
            </w:pPr>
            <w:r>
              <w:rPr>
                <w:rFonts w:hint="default" w:ascii="Times New Roman" w:hAnsi="Times New Roman" w:eastAsia="宋体" w:cs="Times New Roman"/>
                <w:color w:val="auto"/>
                <w:sz w:val="21"/>
                <w:szCs w:val="21"/>
                <w:highlight w:val="none"/>
                <w:lang w:val="en-US" w:eastAsia="zh-CN"/>
              </w:rPr>
              <w:t>0</w:t>
            </w:r>
          </w:p>
        </w:tc>
        <w:tc>
          <w:tcPr>
            <w:tcW w:w="1761" w:type="dxa"/>
            <w:noWrap w:val="0"/>
            <w:vAlign w:val="center"/>
          </w:tcPr>
          <w:p w14:paraId="193245DD">
            <w:pPr>
              <w:pStyle w:val="35"/>
              <w:keepNext w:val="0"/>
              <w:keepLines w:val="0"/>
              <w:pageBreakBefore w:val="0"/>
              <w:kinsoku/>
              <w:wordWrap/>
              <w:overflowPunct/>
              <w:topLinePunct w:val="0"/>
              <w:autoSpaceDE/>
              <w:autoSpaceDN/>
              <w:bidi w:val="0"/>
              <w:spacing w:beforeLines="0" w:afterLines="0" w:line="240" w:lineRule="auto"/>
              <w:ind w:left="0" w:leftChars="0" w:right="0" w:rightChars="0" w:firstLine="0" w:firstLineChars="0"/>
              <w:jc w:val="center"/>
              <w:textAlignment w:val="auto"/>
              <w:rPr>
                <w:rFonts w:hint="default" w:ascii="Times New Roman" w:hAnsi="Times New Roman" w:eastAsia="宋体" w:cs="Times New Roman"/>
                <w:snapToGrid w:val="0"/>
                <w:color w:val="auto"/>
                <w:kern w:val="21"/>
                <w:sz w:val="21"/>
                <w:szCs w:val="21"/>
                <w:lang w:val="en-US" w:eastAsia="zh-CN"/>
              </w:rPr>
            </w:pPr>
            <w:r>
              <w:rPr>
                <w:rFonts w:hint="default" w:ascii="Times New Roman" w:hAnsi="Times New Roman" w:eastAsia="宋体" w:cs="Times New Roman"/>
                <w:snapToGrid w:val="0"/>
                <w:color w:val="auto"/>
                <w:kern w:val="21"/>
                <w:sz w:val="21"/>
                <w:szCs w:val="21"/>
                <w:lang w:val="en-US" w:eastAsia="zh-CN"/>
              </w:rPr>
              <w:t>0</w:t>
            </w:r>
          </w:p>
        </w:tc>
        <w:tc>
          <w:tcPr>
            <w:tcW w:w="1477" w:type="dxa"/>
            <w:noWrap w:val="0"/>
            <w:vAlign w:val="center"/>
          </w:tcPr>
          <w:p w14:paraId="3A8C549C">
            <w:pPr>
              <w:pStyle w:val="35"/>
              <w:keepNext w:val="0"/>
              <w:keepLines w:val="0"/>
              <w:pageBreakBefore w:val="0"/>
              <w:kinsoku/>
              <w:wordWrap/>
              <w:overflowPunct/>
              <w:topLinePunct w:val="0"/>
              <w:autoSpaceDE/>
              <w:autoSpaceDN/>
              <w:bidi w:val="0"/>
              <w:spacing w:beforeLines="0" w:afterLines="0" w:line="240" w:lineRule="auto"/>
              <w:ind w:left="0" w:leftChars="0" w:right="0" w:rightChars="0" w:firstLine="0" w:firstLineChars="0"/>
              <w:jc w:val="center"/>
              <w:textAlignment w:val="auto"/>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eastAsia="宋体" w:cs="Times New Roman"/>
                <w:snapToGrid w:val="0"/>
                <w:color w:val="auto"/>
                <w:kern w:val="21"/>
                <w:sz w:val="21"/>
                <w:szCs w:val="21"/>
                <w:lang w:val="en-US" w:eastAsia="zh-CN"/>
              </w:rPr>
              <w:t>1.2t/a</w:t>
            </w:r>
          </w:p>
        </w:tc>
        <w:tc>
          <w:tcPr>
            <w:tcW w:w="1308" w:type="dxa"/>
            <w:noWrap w:val="0"/>
            <w:vAlign w:val="center"/>
          </w:tcPr>
          <w:p w14:paraId="4C9EBE17">
            <w:pPr>
              <w:pStyle w:val="35"/>
              <w:keepNext w:val="0"/>
              <w:keepLines w:val="0"/>
              <w:pageBreakBefore w:val="0"/>
              <w:kinsoku/>
              <w:wordWrap/>
              <w:overflowPunct/>
              <w:topLinePunct w:val="0"/>
              <w:autoSpaceDE/>
              <w:autoSpaceDN/>
              <w:bidi w:val="0"/>
              <w:spacing w:beforeLines="0" w:afterLines="0" w:line="240" w:lineRule="auto"/>
              <w:ind w:left="0" w:leftChars="0" w:right="0" w:rightChars="0" w:firstLine="0" w:firstLineChars="0"/>
              <w:jc w:val="center"/>
              <w:textAlignment w:val="auto"/>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eastAsia="宋体" w:cs="Times New Roman"/>
                <w:snapToGrid w:val="0"/>
                <w:color w:val="auto"/>
                <w:kern w:val="21"/>
                <w:sz w:val="21"/>
                <w:szCs w:val="21"/>
                <w:lang w:val="en-US" w:eastAsia="zh-CN"/>
              </w:rPr>
              <w:t>0</w:t>
            </w:r>
          </w:p>
        </w:tc>
      </w:tr>
    </w:tbl>
    <w:p w14:paraId="0E045041">
      <w:pPr>
        <w:pStyle w:val="35"/>
        <w:spacing w:before="192" w:beforeLines="80" w:after="24"/>
        <w:jc w:val="left"/>
        <w:rPr>
          <w:rFonts w:hint="default" w:ascii="Times New Roman" w:hAnsi="Times New Roman" w:eastAsia="宋体" w:cs="Times New Roman"/>
          <w:snapToGrid w:val="0"/>
          <w:color w:val="auto"/>
          <w:spacing w:val="-6"/>
          <w:kern w:val="21"/>
          <w:szCs w:val="21"/>
        </w:rPr>
        <w:sectPr>
          <w:footerReference r:id="rId6" w:type="default"/>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default" w:ascii="Times New Roman" w:hAnsi="Times New Roman" w:eastAsia="宋体" w:cs="Times New Roman"/>
          <w:snapToGrid w:val="0"/>
          <w:color w:val="auto"/>
          <w:kern w:val="21"/>
          <w:szCs w:val="21"/>
        </w:rPr>
        <w:t>注：</w:t>
      </w:r>
      <w:r>
        <w:rPr>
          <w:rFonts w:hint="default" w:ascii="Times New Roman" w:hAnsi="Times New Roman" w:eastAsia="宋体" w:cs="Times New Roman"/>
          <w:snapToGrid w:val="0"/>
          <w:color w:val="auto"/>
          <w:spacing w:val="-16"/>
          <w:kern w:val="21"/>
          <w:szCs w:val="21"/>
        </w:rPr>
        <w:fldChar w:fldCharType="begin"/>
      </w:r>
      <w:r>
        <w:rPr>
          <w:rFonts w:hint="default" w:ascii="Times New Roman" w:hAnsi="Times New Roman" w:eastAsia="宋体" w:cs="Times New Roman"/>
          <w:snapToGrid w:val="0"/>
          <w:color w:val="auto"/>
          <w:spacing w:val="-16"/>
          <w:kern w:val="21"/>
          <w:szCs w:val="21"/>
        </w:rPr>
        <w:instrText xml:space="preserve"> = 6 \* GB3 \* MERGEFORMAT </w:instrText>
      </w:r>
      <w:r>
        <w:rPr>
          <w:rFonts w:hint="default" w:ascii="Times New Roman" w:hAnsi="Times New Roman" w:eastAsia="宋体" w:cs="Times New Roman"/>
          <w:snapToGrid w:val="0"/>
          <w:color w:val="auto"/>
          <w:spacing w:val="-16"/>
          <w:kern w:val="21"/>
          <w:szCs w:val="21"/>
        </w:rPr>
        <w:fldChar w:fldCharType="separate"/>
      </w:r>
      <w:r>
        <w:rPr>
          <w:rFonts w:hint="default" w:ascii="Times New Roman" w:hAnsi="Times New Roman" w:eastAsia="宋体" w:cs="Times New Roman"/>
          <w:color w:val="auto"/>
          <w:szCs w:val="21"/>
        </w:rPr>
        <w:t>⑥</w:t>
      </w:r>
      <w:r>
        <w:rPr>
          <w:rFonts w:hint="default" w:ascii="Times New Roman" w:hAnsi="Times New Roman" w:eastAsia="宋体" w:cs="Times New Roman"/>
          <w:snapToGrid w:val="0"/>
          <w:color w:val="auto"/>
          <w:spacing w:val="-16"/>
          <w:kern w:val="21"/>
          <w:szCs w:val="21"/>
        </w:rPr>
        <w:fldChar w:fldCharType="end"/>
      </w:r>
      <w:r>
        <w:rPr>
          <w:rFonts w:hint="default" w:ascii="Times New Roman" w:hAnsi="Times New Roman" w:eastAsia="宋体" w:cs="Times New Roman"/>
          <w:snapToGrid w:val="0"/>
          <w:color w:val="auto"/>
          <w:spacing w:val="-16"/>
          <w:kern w:val="21"/>
          <w:szCs w:val="21"/>
        </w:rPr>
        <w:t>=</w:t>
      </w:r>
      <w:r>
        <w:rPr>
          <w:rFonts w:hint="default" w:ascii="Times New Roman" w:hAnsi="Times New Roman" w:eastAsia="宋体" w:cs="Times New Roman"/>
          <w:snapToGrid w:val="0"/>
          <w:color w:val="auto"/>
          <w:spacing w:val="-6"/>
          <w:kern w:val="21"/>
          <w:szCs w:val="21"/>
        </w:rPr>
        <w:fldChar w:fldCharType="begin"/>
      </w:r>
      <w:r>
        <w:rPr>
          <w:rFonts w:hint="default" w:ascii="Times New Roman" w:hAnsi="Times New Roman" w:eastAsia="宋体" w:cs="Times New Roman"/>
          <w:snapToGrid w:val="0"/>
          <w:color w:val="auto"/>
          <w:spacing w:val="-6"/>
          <w:kern w:val="21"/>
          <w:szCs w:val="21"/>
        </w:rPr>
        <w:instrText xml:space="preserve"> = 1 \* GB3 \* MERGEFORMAT </w:instrText>
      </w:r>
      <w:r>
        <w:rPr>
          <w:rFonts w:hint="default" w:ascii="Times New Roman" w:hAnsi="Times New Roman" w:eastAsia="宋体" w:cs="Times New Roman"/>
          <w:snapToGrid w:val="0"/>
          <w:color w:val="auto"/>
          <w:spacing w:val="-6"/>
          <w:kern w:val="21"/>
          <w:szCs w:val="21"/>
        </w:rPr>
        <w:fldChar w:fldCharType="separate"/>
      </w:r>
      <w:r>
        <w:rPr>
          <w:rFonts w:hint="default" w:ascii="Times New Roman" w:hAnsi="Times New Roman" w:eastAsia="宋体" w:cs="Times New Roman"/>
          <w:color w:val="auto"/>
          <w:szCs w:val="21"/>
        </w:rPr>
        <w:t>①</w:t>
      </w:r>
      <w:r>
        <w:rPr>
          <w:rFonts w:hint="default" w:ascii="Times New Roman" w:hAnsi="Times New Roman" w:eastAsia="宋体" w:cs="Times New Roman"/>
          <w:snapToGrid w:val="0"/>
          <w:color w:val="auto"/>
          <w:spacing w:val="-6"/>
          <w:kern w:val="21"/>
          <w:szCs w:val="21"/>
        </w:rPr>
        <w:fldChar w:fldCharType="end"/>
      </w:r>
      <w:r>
        <w:rPr>
          <w:rFonts w:hint="default" w:ascii="Times New Roman" w:hAnsi="Times New Roman" w:eastAsia="宋体" w:cs="Times New Roman"/>
          <w:snapToGrid w:val="0"/>
          <w:color w:val="auto"/>
          <w:spacing w:val="-6"/>
          <w:kern w:val="21"/>
          <w:szCs w:val="21"/>
        </w:rPr>
        <w:t>+</w:t>
      </w:r>
      <w:r>
        <w:rPr>
          <w:rFonts w:hint="default" w:ascii="Times New Roman" w:hAnsi="Times New Roman" w:eastAsia="宋体" w:cs="Times New Roman"/>
          <w:snapToGrid w:val="0"/>
          <w:color w:val="auto"/>
          <w:spacing w:val="-6"/>
          <w:kern w:val="21"/>
          <w:szCs w:val="21"/>
        </w:rPr>
        <w:fldChar w:fldCharType="begin"/>
      </w:r>
      <w:r>
        <w:rPr>
          <w:rFonts w:hint="default" w:ascii="Times New Roman" w:hAnsi="Times New Roman" w:eastAsia="宋体" w:cs="Times New Roman"/>
          <w:snapToGrid w:val="0"/>
          <w:color w:val="auto"/>
          <w:spacing w:val="-6"/>
          <w:kern w:val="21"/>
          <w:szCs w:val="21"/>
        </w:rPr>
        <w:instrText xml:space="preserve"> = 3 \* GB3 \* MERGEFORMAT </w:instrText>
      </w:r>
      <w:r>
        <w:rPr>
          <w:rFonts w:hint="default" w:ascii="Times New Roman" w:hAnsi="Times New Roman" w:eastAsia="宋体" w:cs="Times New Roman"/>
          <w:snapToGrid w:val="0"/>
          <w:color w:val="auto"/>
          <w:spacing w:val="-6"/>
          <w:kern w:val="21"/>
          <w:szCs w:val="21"/>
        </w:rPr>
        <w:fldChar w:fldCharType="separate"/>
      </w:r>
      <w:r>
        <w:rPr>
          <w:rFonts w:hint="default" w:ascii="Times New Roman" w:hAnsi="Times New Roman" w:eastAsia="宋体" w:cs="Times New Roman"/>
          <w:color w:val="auto"/>
          <w:szCs w:val="21"/>
        </w:rPr>
        <w:t>③</w:t>
      </w:r>
      <w:r>
        <w:rPr>
          <w:rFonts w:hint="default" w:ascii="Times New Roman" w:hAnsi="Times New Roman" w:eastAsia="宋体" w:cs="Times New Roman"/>
          <w:snapToGrid w:val="0"/>
          <w:color w:val="auto"/>
          <w:spacing w:val="-6"/>
          <w:kern w:val="21"/>
          <w:szCs w:val="21"/>
        </w:rPr>
        <w:fldChar w:fldCharType="end"/>
      </w:r>
      <w:r>
        <w:rPr>
          <w:rFonts w:hint="default" w:ascii="Times New Roman" w:hAnsi="Times New Roman" w:eastAsia="宋体" w:cs="Times New Roman"/>
          <w:snapToGrid w:val="0"/>
          <w:color w:val="auto"/>
          <w:spacing w:val="-6"/>
          <w:kern w:val="21"/>
          <w:szCs w:val="21"/>
        </w:rPr>
        <w:t>+</w:t>
      </w:r>
      <w:r>
        <w:rPr>
          <w:rFonts w:hint="default" w:ascii="Times New Roman" w:hAnsi="Times New Roman" w:eastAsia="宋体" w:cs="Times New Roman"/>
          <w:snapToGrid w:val="0"/>
          <w:color w:val="auto"/>
          <w:spacing w:val="-6"/>
          <w:kern w:val="21"/>
          <w:szCs w:val="21"/>
        </w:rPr>
        <w:fldChar w:fldCharType="begin"/>
      </w:r>
      <w:r>
        <w:rPr>
          <w:rFonts w:hint="default" w:ascii="Times New Roman" w:hAnsi="Times New Roman" w:eastAsia="宋体" w:cs="Times New Roman"/>
          <w:snapToGrid w:val="0"/>
          <w:color w:val="auto"/>
          <w:spacing w:val="-6"/>
          <w:kern w:val="21"/>
          <w:szCs w:val="21"/>
        </w:rPr>
        <w:instrText xml:space="preserve"> = 4 \* GB3 \* MERGEFORMAT </w:instrText>
      </w:r>
      <w:r>
        <w:rPr>
          <w:rFonts w:hint="default" w:ascii="Times New Roman" w:hAnsi="Times New Roman" w:eastAsia="宋体" w:cs="Times New Roman"/>
          <w:snapToGrid w:val="0"/>
          <w:color w:val="auto"/>
          <w:spacing w:val="-6"/>
          <w:kern w:val="21"/>
          <w:szCs w:val="21"/>
        </w:rPr>
        <w:fldChar w:fldCharType="separate"/>
      </w:r>
      <w:r>
        <w:rPr>
          <w:rFonts w:hint="default" w:ascii="Times New Roman" w:hAnsi="Times New Roman" w:eastAsia="宋体" w:cs="Times New Roman"/>
          <w:color w:val="auto"/>
          <w:szCs w:val="21"/>
        </w:rPr>
        <w:t>④</w:t>
      </w:r>
      <w:r>
        <w:rPr>
          <w:rFonts w:hint="default" w:ascii="Times New Roman" w:hAnsi="Times New Roman" w:eastAsia="宋体" w:cs="Times New Roman"/>
          <w:snapToGrid w:val="0"/>
          <w:color w:val="auto"/>
          <w:spacing w:val="-6"/>
          <w:kern w:val="21"/>
          <w:szCs w:val="21"/>
        </w:rPr>
        <w:fldChar w:fldCharType="end"/>
      </w:r>
      <w:r>
        <w:rPr>
          <w:rFonts w:hint="default" w:ascii="Times New Roman" w:hAnsi="Times New Roman" w:eastAsia="宋体" w:cs="Times New Roman"/>
          <w:snapToGrid w:val="0"/>
          <w:color w:val="auto"/>
          <w:spacing w:val="-6"/>
          <w:kern w:val="21"/>
          <w:szCs w:val="21"/>
        </w:rPr>
        <w:t>-</w:t>
      </w:r>
      <w:r>
        <w:rPr>
          <w:rFonts w:hint="default" w:ascii="Times New Roman" w:hAnsi="Times New Roman" w:eastAsia="宋体" w:cs="Times New Roman"/>
          <w:snapToGrid w:val="0"/>
          <w:color w:val="auto"/>
          <w:spacing w:val="-16"/>
          <w:kern w:val="21"/>
          <w:szCs w:val="21"/>
        </w:rPr>
        <w:fldChar w:fldCharType="begin"/>
      </w:r>
      <w:r>
        <w:rPr>
          <w:rFonts w:hint="default" w:ascii="Times New Roman" w:hAnsi="Times New Roman" w:eastAsia="宋体" w:cs="Times New Roman"/>
          <w:snapToGrid w:val="0"/>
          <w:color w:val="auto"/>
          <w:spacing w:val="-16"/>
          <w:kern w:val="21"/>
          <w:szCs w:val="21"/>
        </w:rPr>
        <w:instrText xml:space="preserve"> = 5 \* GB3 \* MERGEFORMAT </w:instrText>
      </w:r>
      <w:r>
        <w:rPr>
          <w:rFonts w:hint="default" w:ascii="Times New Roman" w:hAnsi="Times New Roman" w:eastAsia="宋体" w:cs="Times New Roman"/>
          <w:snapToGrid w:val="0"/>
          <w:color w:val="auto"/>
          <w:spacing w:val="-16"/>
          <w:kern w:val="21"/>
          <w:szCs w:val="21"/>
        </w:rPr>
        <w:fldChar w:fldCharType="separate"/>
      </w:r>
      <w:r>
        <w:rPr>
          <w:rFonts w:hint="default" w:ascii="Times New Roman" w:hAnsi="Times New Roman" w:eastAsia="宋体" w:cs="Times New Roman"/>
          <w:color w:val="auto"/>
          <w:szCs w:val="21"/>
        </w:rPr>
        <w:t>⑤</w:t>
      </w:r>
      <w:r>
        <w:rPr>
          <w:rFonts w:hint="default" w:ascii="Times New Roman" w:hAnsi="Times New Roman" w:eastAsia="宋体" w:cs="Times New Roman"/>
          <w:snapToGrid w:val="0"/>
          <w:color w:val="auto"/>
          <w:spacing w:val="-16"/>
          <w:kern w:val="21"/>
          <w:szCs w:val="21"/>
        </w:rPr>
        <w:fldChar w:fldCharType="end"/>
      </w:r>
      <w:r>
        <w:rPr>
          <w:rFonts w:hint="default" w:ascii="Times New Roman" w:hAnsi="Times New Roman" w:eastAsia="宋体" w:cs="Times New Roman"/>
          <w:snapToGrid w:val="0"/>
          <w:color w:val="auto"/>
          <w:spacing w:val="-16"/>
          <w:kern w:val="21"/>
          <w:szCs w:val="21"/>
        </w:rPr>
        <w:t>；</w:t>
      </w:r>
      <w:r>
        <w:rPr>
          <w:rFonts w:hint="default" w:ascii="Times New Roman" w:hAnsi="Times New Roman" w:eastAsia="宋体" w:cs="Times New Roman"/>
          <w:snapToGrid w:val="0"/>
          <w:color w:val="auto"/>
          <w:spacing w:val="-6"/>
          <w:kern w:val="21"/>
          <w:szCs w:val="21"/>
        </w:rPr>
        <w:fldChar w:fldCharType="begin"/>
      </w:r>
      <w:r>
        <w:rPr>
          <w:rFonts w:hint="default" w:ascii="Times New Roman" w:hAnsi="Times New Roman" w:eastAsia="宋体" w:cs="Times New Roman"/>
          <w:snapToGrid w:val="0"/>
          <w:color w:val="auto"/>
          <w:spacing w:val="-6"/>
          <w:kern w:val="21"/>
          <w:szCs w:val="21"/>
        </w:rPr>
        <w:instrText xml:space="preserve"> = 7 \* GB3 \* MERGEFORMAT </w:instrText>
      </w:r>
      <w:r>
        <w:rPr>
          <w:rFonts w:hint="default" w:ascii="Times New Roman" w:hAnsi="Times New Roman" w:eastAsia="宋体" w:cs="Times New Roman"/>
          <w:snapToGrid w:val="0"/>
          <w:color w:val="auto"/>
          <w:spacing w:val="-6"/>
          <w:kern w:val="21"/>
          <w:szCs w:val="21"/>
        </w:rPr>
        <w:fldChar w:fldCharType="separate"/>
      </w:r>
      <w:r>
        <w:rPr>
          <w:rFonts w:hint="default" w:ascii="Times New Roman" w:hAnsi="Times New Roman" w:eastAsia="宋体" w:cs="Times New Roman"/>
          <w:color w:val="auto"/>
          <w:szCs w:val="21"/>
        </w:rPr>
        <w:t>⑦</w:t>
      </w:r>
      <w:r>
        <w:rPr>
          <w:rFonts w:hint="default" w:ascii="Times New Roman" w:hAnsi="Times New Roman" w:eastAsia="宋体" w:cs="Times New Roman"/>
          <w:snapToGrid w:val="0"/>
          <w:color w:val="auto"/>
          <w:spacing w:val="-6"/>
          <w:kern w:val="21"/>
          <w:szCs w:val="21"/>
        </w:rPr>
        <w:fldChar w:fldCharType="end"/>
      </w:r>
      <w:r>
        <w:rPr>
          <w:rFonts w:hint="default" w:ascii="Times New Roman" w:hAnsi="Times New Roman" w:eastAsia="宋体" w:cs="Times New Roman"/>
          <w:snapToGrid w:val="0"/>
          <w:color w:val="auto"/>
          <w:spacing w:val="-6"/>
          <w:kern w:val="21"/>
          <w:szCs w:val="21"/>
        </w:rPr>
        <w:t>=</w:t>
      </w:r>
      <w:r>
        <w:rPr>
          <w:rFonts w:hint="default" w:ascii="Times New Roman" w:hAnsi="Times New Roman" w:eastAsia="宋体" w:cs="Times New Roman"/>
          <w:snapToGrid w:val="0"/>
          <w:color w:val="auto"/>
          <w:spacing w:val="-16"/>
          <w:kern w:val="21"/>
          <w:szCs w:val="21"/>
        </w:rPr>
        <w:fldChar w:fldCharType="begin"/>
      </w:r>
      <w:r>
        <w:rPr>
          <w:rFonts w:hint="default" w:ascii="Times New Roman" w:hAnsi="Times New Roman" w:eastAsia="宋体" w:cs="Times New Roman"/>
          <w:snapToGrid w:val="0"/>
          <w:color w:val="auto"/>
          <w:spacing w:val="-16"/>
          <w:kern w:val="21"/>
          <w:szCs w:val="21"/>
        </w:rPr>
        <w:instrText xml:space="preserve"> = 6 \* GB3 \* MERGEFORMAT </w:instrText>
      </w:r>
      <w:r>
        <w:rPr>
          <w:rFonts w:hint="default" w:ascii="Times New Roman" w:hAnsi="Times New Roman" w:eastAsia="宋体" w:cs="Times New Roman"/>
          <w:snapToGrid w:val="0"/>
          <w:color w:val="auto"/>
          <w:spacing w:val="-16"/>
          <w:kern w:val="21"/>
          <w:szCs w:val="21"/>
        </w:rPr>
        <w:fldChar w:fldCharType="separate"/>
      </w:r>
      <w:r>
        <w:rPr>
          <w:rFonts w:hint="default" w:ascii="Times New Roman" w:hAnsi="Times New Roman" w:eastAsia="宋体" w:cs="Times New Roman"/>
          <w:color w:val="auto"/>
          <w:szCs w:val="21"/>
        </w:rPr>
        <w:t>⑥</w:t>
      </w:r>
      <w:r>
        <w:rPr>
          <w:rFonts w:hint="default" w:ascii="Times New Roman" w:hAnsi="Times New Roman" w:eastAsia="宋体" w:cs="Times New Roman"/>
          <w:snapToGrid w:val="0"/>
          <w:color w:val="auto"/>
          <w:spacing w:val="-16"/>
          <w:kern w:val="21"/>
          <w:szCs w:val="21"/>
        </w:rPr>
        <w:fldChar w:fldCharType="end"/>
      </w:r>
      <w:r>
        <w:rPr>
          <w:rFonts w:hint="default" w:ascii="Times New Roman" w:hAnsi="Times New Roman" w:eastAsia="宋体" w:cs="Times New Roman"/>
          <w:snapToGrid w:val="0"/>
          <w:color w:val="auto"/>
          <w:spacing w:val="-16"/>
          <w:kern w:val="21"/>
          <w:szCs w:val="21"/>
        </w:rPr>
        <w:t>-</w:t>
      </w:r>
      <w:r>
        <w:rPr>
          <w:rFonts w:hint="default" w:ascii="Times New Roman" w:hAnsi="Times New Roman" w:eastAsia="宋体" w:cs="Times New Roman"/>
          <w:snapToGrid w:val="0"/>
          <w:color w:val="auto"/>
          <w:spacing w:val="-6"/>
          <w:kern w:val="21"/>
          <w:szCs w:val="21"/>
        </w:rPr>
        <w:fldChar w:fldCharType="begin"/>
      </w:r>
      <w:r>
        <w:rPr>
          <w:rFonts w:hint="default" w:ascii="Times New Roman" w:hAnsi="Times New Roman" w:eastAsia="宋体" w:cs="Times New Roman"/>
          <w:snapToGrid w:val="0"/>
          <w:color w:val="auto"/>
          <w:spacing w:val="-6"/>
          <w:kern w:val="21"/>
          <w:szCs w:val="21"/>
        </w:rPr>
        <w:instrText xml:space="preserve"> = 1 \* GB3 \* MERGEFORMAT </w:instrText>
      </w:r>
      <w:r>
        <w:rPr>
          <w:rFonts w:hint="default" w:ascii="Times New Roman" w:hAnsi="Times New Roman" w:eastAsia="宋体" w:cs="Times New Roman"/>
          <w:snapToGrid w:val="0"/>
          <w:color w:val="auto"/>
          <w:spacing w:val="-6"/>
          <w:kern w:val="21"/>
          <w:szCs w:val="21"/>
        </w:rPr>
        <w:fldChar w:fldCharType="separate"/>
      </w:r>
      <w:r>
        <w:rPr>
          <w:rFonts w:hint="default" w:ascii="Times New Roman" w:hAnsi="Times New Roman" w:eastAsia="宋体" w:cs="Times New Roman"/>
          <w:color w:val="auto"/>
          <w:szCs w:val="21"/>
        </w:rPr>
        <w:t>①</w:t>
      </w:r>
      <w:r>
        <w:rPr>
          <w:rFonts w:hint="default" w:ascii="Times New Roman" w:hAnsi="Times New Roman" w:eastAsia="宋体" w:cs="Times New Roman"/>
          <w:snapToGrid w:val="0"/>
          <w:color w:val="auto"/>
          <w:spacing w:val="-6"/>
          <w:kern w:val="21"/>
          <w:szCs w:val="21"/>
        </w:rPr>
        <w:fldChar w:fldCharType="end"/>
      </w:r>
    </w:p>
    <w:p w14:paraId="29D6F00E">
      <w:pPr>
        <w:pStyle w:val="8"/>
        <w:ind w:left="0" w:leftChars="0" w:firstLine="0" w:firstLineChars="0"/>
        <w:rPr>
          <w:rFonts w:hint="default" w:ascii="Times New Roman" w:hAnsi="Times New Roman" w:eastAsia="宋体" w:cs="Times New Roman"/>
          <w:b/>
          <w:bCs/>
          <w:color w:val="auto"/>
          <w:kern w:val="0"/>
          <w:sz w:val="28"/>
          <w:szCs w:val="28"/>
          <w:lang w:eastAsia="zh-CN"/>
        </w:rPr>
      </w:pPr>
      <w:r>
        <w:rPr>
          <w:rFonts w:hint="default" w:ascii="Times New Roman" w:hAnsi="Times New Roman" w:eastAsia="宋体" w:cs="Times New Roman"/>
          <w:b/>
          <w:bCs/>
          <w:color w:val="auto"/>
          <w:kern w:val="0"/>
          <w:szCs w:val="24"/>
        </w:rPr>
        <w:t>附件1 立项批准文件</w:t>
      </w:r>
    </w:p>
    <w:p w14:paraId="04D96D4A">
      <w:pPr>
        <w:rPr>
          <w:rFonts w:hint="default" w:ascii="Times New Roman" w:hAnsi="Times New Roman" w:eastAsia="宋体" w:cs="Times New Roman"/>
          <w:color w:val="auto"/>
          <w:lang w:eastAsia="zh-CN"/>
        </w:rPr>
      </w:pPr>
      <w:r>
        <w:rPr>
          <w:rFonts w:hint="default" w:ascii="Times New Roman" w:hAnsi="Times New Roman" w:eastAsia="宋体" w:cs="Times New Roman"/>
          <w:color w:val="auto"/>
        </w:rPr>
        <w:drawing>
          <wp:inline distT="0" distB="0" distL="114300" distR="114300">
            <wp:extent cx="5265420" cy="7434580"/>
            <wp:effectExtent l="0" t="0" r="11430" b="1397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31"/>
                    <a:stretch>
                      <a:fillRect/>
                    </a:stretch>
                  </pic:blipFill>
                  <pic:spPr>
                    <a:xfrm>
                      <a:off x="0" y="0"/>
                      <a:ext cx="5265420" cy="7434580"/>
                    </a:xfrm>
                    <a:prstGeom prst="rect">
                      <a:avLst/>
                    </a:prstGeom>
                    <a:noFill/>
                    <a:ln>
                      <a:noFill/>
                    </a:ln>
                  </pic:spPr>
                </pic:pic>
              </a:graphicData>
            </a:graphic>
          </wp:inline>
        </w:drawing>
      </w:r>
    </w:p>
    <w:p w14:paraId="4EAB1913">
      <w:pPr>
        <w:rPr>
          <w:rFonts w:hint="default" w:ascii="Times New Roman" w:hAnsi="Times New Roman" w:eastAsia="宋体" w:cs="Times New Roman"/>
          <w:color w:val="auto"/>
          <w:lang w:eastAsia="zh-CN"/>
        </w:rPr>
        <w:sectPr>
          <w:pgSz w:w="11906" w:h="16838"/>
          <w:pgMar w:top="1440" w:right="1803" w:bottom="1440" w:left="1803" w:header="850" w:footer="992" w:gutter="0"/>
          <w:pgBorders>
            <w:top w:val="none" w:sz="0" w:space="0"/>
            <w:left w:val="none" w:sz="0" w:space="0"/>
            <w:bottom w:val="none" w:sz="0" w:space="0"/>
            <w:right w:val="none" w:sz="0" w:space="0"/>
          </w:pgBorders>
          <w:pgNumType w:fmt="decimal"/>
          <w:cols w:space="720" w:num="1"/>
          <w:docGrid w:type="lines" w:linePitch="319" w:charSpace="0"/>
        </w:sectPr>
      </w:pPr>
    </w:p>
    <w:p w14:paraId="275D5A3A">
      <w:pPr>
        <w:pStyle w:val="8"/>
        <w:keepNext w:val="0"/>
        <w:keepLines w:val="0"/>
        <w:pageBreakBefore w:val="0"/>
        <w:widowControl w:val="0"/>
        <w:kinsoku/>
        <w:wordWrap/>
        <w:overflowPunct/>
        <w:topLinePunct w:val="0"/>
        <w:autoSpaceDE/>
        <w:autoSpaceDN/>
        <w:bidi w:val="0"/>
        <w:adjustRightInd/>
        <w:snapToGrid/>
        <w:spacing w:after="0"/>
        <w:ind w:left="0" w:leftChars="0" w:firstLine="0" w:firstLineChars="0"/>
        <w:textAlignment w:val="auto"/>
        <w:rPr>
          <w:rFonts w:hint="default" w:ascii="Times New Roman" w:hAnsi="Times New Roman" w:eastAsia="宋体" w:cs="Times New Roman"/>
          <w:b/>
          <w:bCs/>
          <w:color w:val="auto"/>
          <w:kern w:val="0"/>
          <w:sz w:val="28"/>
          <w:szCs w:val="28"/>
        </w:rPr>
      </w:pPr>
      <w:r>
        <w:rPr>
          <w:rFonts w:hint="default" w:ascii="Times New Roman" w:hAnsi="Times New Roman" w:eastAsia="宋体" w:cs="Times New Roman"/>
          <w:b/>
          <w:bCs/>
          <w:color w:val="auto"/>
          <w:kern w:val="0"/>
          <w:sz w:val="28"/>
          <w:szCs w:val="28"/>
        </w:rPr>
        <w:t>附件2 营业执照</w:t>
      </w:r>
    </w:p>
    <w:p w14:paraId="4444C794">
      <w:pPr>
        <w:jc w:val="center"/>
        <w:rPr>
          <w:rFonts w:hint="default" w:ascii="Times New Roman" w:hAnsi="Times New Roman" w:eastAsia="宋体" w:cs="Times New Roman"/>
          <w:color w:val="auto"/>
          <w:kern w:val="0"/>
          <w:lang w:eastAsia="zh-CN"/>
        </w:rPr>
      </w:pPr>
      <w:r>
        <w:rPr>
          <w:rFonts w:hint="default" w:ascii="Times New Roman" w:hAnsi="Times New Roman" w:eastAsia="宋体" w:cs="Times New Roman"/>
          <w:color w:val="auto"/>
        </w:rPr>
        <w:drawing>
          <wp:inline distT="0" distB="0" distL="114300" distR="114300">
            <wp:extent cx="6462395" cy="4576445"/>
            <wp:effectExtent l="0" t="0" r="14605" b="14605"/>
            <wp:docPr id="3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6"/>
                    <pic:cNvPicPr>
                      <a:picLocks noChangeAspect="1"/>
                    </pic:cNvPicPr>
                  </pic:nvPicPr>
                  <pic:blipFill>
                    <a:blip r:embed="rId32"/>
                    <a:stretch>
                      <a:fillRect/>
                    </a:stretch>
                  </pic:blipFill>
                  <pic:spPr>
                    <a:xfrm>
                      <a:off x="0" y="0"/>
                      <a:ext cx="6462395" cy="4576445"/>
                    </a:xfrm>
                    <a:prstGeom prst="rect">
                      <a:avLst/>
                    </a:prstGeom>
                    <a:noFill/>
                    <a:ln>
                      <a:noFill/>
                    </a:ln>
                  </pic:spPr>
                </pic:pic>
              </a:graphicData>
            </a:graphic>
          </wp:inline>
        </w:drawing>
      </w:r>
    </w:p>
    <w:p w14:paraId="3E590E56">
      <w:pPr>
        <w:jc w:val="center"/>
        <w:rPr>
          <w:rFonts w:hint="default" w:ascii="Times New Roman" w:hAnsi="Times New Roman" w:eastAsia="宋体" w:cs="Times New Roman"/>
          <w:color w:val="auto"/>
          <w:kern w:val="0"/>
          <w:lang w:eastAsia="zh-CN"/>
        </w:rPr>
        <w:sectPr>
          <w:pgSz w:w="16838" w:h="11906" w:orient="landscape"/>
          <w:pgMar w:top="1803" w:right="1440" w:bottom="1803" w:left="1440" w:header="850" w:footer="992" w:gutter="0"/>
          <w:pgBorders>
            <w:top w:val="none" w:sz="0" w:space="0"/>
            <w:left w:val="none" w:sz="0" w:space="0"/>
            <w:bottom w:val="none" w:sz="0" w:space="0"/>
            <w:right w:val="none" w:sz="0" w:space="0"/>
          </w:pgBorders>
          <w:pgNumType w:fmt="decimal"/>
          <w:cols w:space="720" w:num="1"/>
          <w:docGrid w:type="lines" w:linePitch="319" w:charSpace="0"/>
        </w:sectPr>
      </w:pPr>
    </w:p>
    <w:p w14:paraId="3846DDB1">
      <w:pPr>
        <w:rPr>
          <w:rFonts w:hint="default" w:ascii="Times New Roman" w:hAnsi="Times New Roman" w:eastAsia="宋体" w:cs="Times New Roman"/>
          <w:b/>
          <w:bCs/>
          <w:color w:val="auto"/>
          <w:kern w:val="0"/>
          <w:sz w:val="28"/>
          <w:szCs w:val="28"/>
        </w:rPr>
      </w:pPr>
      <w:r>
        <w:rPr>
          <w:rFonts w:hint="default" w:ascii="Times New Roman" w:hAnsi="Times New Roman" w:eastAsia="宋体" w:cs="Times New Roman"/>
          <w:b/>
          <w:bCs/>
          <w:color w:val="auto"/>
          <w:kern w:val="0"/>
          <w:sz w:val="28"/>
          <w:szCs w:val="28"/>
        </w:rPr>
        <w:t>附件3 委托书</w:t>
      </w:r>
    </w:p>
    <w:p w14:paraId="3774ED38">
      <w:pPr>
        <w:tabs>
          <w:tab w:val="left" w:pos="1589"/>
          <w:tab w:val="center" w:pos="4213"/>
        </w:tabs>
        <w:adjustRightInd w:val="0"/>
        <w:spacing w:line="800" w:lineRule="exact"/>
        <w:ind w:firstLine="3092" w:firstLineChars="700"/>
        <w:jc w:val="left"/>
        <w:textAlignment w:val="baseline"/>
        <w:rPr>
          <w:rFonts w:hint="default" w:ascii="Times New Roman" w:hAnsi="Times New Roman" w:eastAsia="宋体" w:cs="Times New Roman"/>
          <w:b/>
          <w:color w:val="auto"/>
          <w:kern w:val="0"/>
          <w:sz w:val="44"/>
          <w:szCs w:val="44"/>
        </w:rPr>
      </w:pPr>
      <w:r>
        <w:rPr>
          <w:rFonts w:hint="default" w:ascii="Times New Roman" w:hAnsi="Times New Roman" w:eastAsia="宋体" w:cs="Times New Roman"/>
          <w:b/>
          <w:color w:val="auto"/>
          <w:kern w:val="0"/>
          <w:sz w:val="44"/>
          <w:szCs w:val="44"/>
        </w:rPr>
        <w:t>委  托  书</w:t>
      </w:r>
    </w:p>
    <w:p w14:paraId="051D9442">
      <w:pPr>
        <w:adjustRightInd w:val="0"/>
        <w:spacing w:line="800" w:lineRule="exact"/>
        <w:textAlignment w:val="baseline"/>
        <w:rPr>
          <w:rFonts w:hint="default" w:ascii="Times New Roman" w:hAnsi="Times New Roman" w:eastAsia="宋体" w:cs="Times New Roman"/>
          <w:color w:val="auto"/>
          <w:kern w:val="0"/>
          <w:sz w:val="32"/>
          <w:szCs w:val="32"/>
        </w:rPr>
      </w:pPr>
    </w:p>
    <w:p w14:paraId="38612166">
      <w:pPr>
        <w:adjustRightInd w:val="0"/>
        <w:spacing w:line="800" w:lineRule="exact"/>
        <w:textAlignment w:val="baseline"/>
        <w:rPr>
          <w:rFonts w:hint="default" w:ascii="Times New Roman" w:hAnsi="Times New Roman" w:eastAsia="宋体" w:cs="Times New Roman"/>
          <w:b/>
          <w:color w:val="auto"/>
          <w:kern w:val="0"/>
          <w:sz w:val="32"/>
          <w:szCs w:val="32"/>
        </w:rPr>
      </w:pPr>
      <w:r>
        <w:rPr>
          <w:rFonts w:hint="default" w:ascii="Times New Roman" w:hAnsi="Times New Roman" w:eastAsia="宋体" w:cs="Times New Roman"/>
          <w:b/>
          <w:color w:val="auto"/>
          <w:kern w:val="0"/>
          <w:sz w:val="32"/>
          <w:szCs w:val="32"/>
        </w:rPr>
        <w:t>山东冠业环境技术有限公司：</w:t>
      </w:r>
    </w:p>
    <w:p w14:paraId="7159A98D">
      <w:pPr>
        <w:spacing w:line="800" w:lineRule="exact"/>
        <w:ind w:right="164" w:rightChars="78" w:firstLine="643" w:firstLineChars="200"/>
        <w:rPr>
          <w:rFonts w:hint="default" w:ascii="Times New Roman" w:hAnsi="Times New Roman" w:eastAsia="宋体" w:cs="Times New Roman"/>
          <w:b/>
          <w:color w:val="auto"/>
          <w:kern w:val="0"/>
          <w:sz w:val="32"/>
          <w:szCs w:val="32"/>
          <w:lang w:eastAsia="zh-CN"/>
        </w:rPr>
      </w:pPr>
      <w:r>
        <w:rPr>
          <w:rFonts w:hint="default" w:ascii="Times New Roman" w:hAnsi="Times New Roman" w:eastAsia="宋体" w:cs="Times New Roman"/>
          <w:b/>
          <w:color w:val="auto"/>
          <w:kern w:val="0"/>
          <w:sz w:val="32"/>
          <w:szCs w:val="32"/>
        </w:rPr>
        <w:t>根据国家《建设项目环境保护管理条例》和当地环保部门的要求，</w:t>
      </w:r>
      <w:r>
        <w:rPr>
          <w:rFonts w:hint="default" w:ascii="Times New Roman" w:hAnsi="Times New Roman" w:eastAsia="宋体" w:cs="Times New Roman"/>
          <w:b/>
          <w:color w:val="auto"/>
          <w:kern w:val="0"/>
          <w:sz w:val="32"/>
          <w:szCs w:val="32"/>
          <w:u w:val="single"/>
          <w:lang w:eastAsia="zh-CN"/>
        </w:rPr>
        <w:t>淄博启新新材料科技有限公司年产1万吨超硬复合新材料项目</w:t>
      </w:r>
      <w:r>
        <w:rPr>
          <w:rFonts w:hint="default" w:ascii="Times New Roman" w:hAnsi="Times New Roman" w:eastAsia="宋体" w:cs="Times New Roman"/>
          <w:b/>
          <w:color w:val="auto"/>
          <w:kern w:val="0"/>
          <w:sz w:val="32"/>
          <w:szCs w:val="32"/>
        </w:rPr>
        <w:t>需执行环境影响评价制度，</w:t>
      </w:r>
      <w:r>
        <w:rPr>
          <w:rFonts w:hint="default" w:ascii="Times New Roman" w:hAnsi="Times New Roman" w:eastAsia="宋体" w:cs="Times New Roman"/>
          <w:b/>
          <w:color w:val="auto"/>
          <w:kern w:val="0"/>
          <w:sz w:val="32"/>
          <w:szCs w:val="32"/>
          <w:lang w:eastAsia="zh-CN"/>
        </w:rPr>
        <w:t>现</w:t>
      </w:r>
      <w:r>
        <w:rPr>
          <w:rFonts w:hint="default" w:ascii="Times New Roman" w:hAnsi="Times New Roman" w:eastAsia="宋体" w:cs="Times New Roman"/>
          <w:b/>
          <w:color w:val="auto"/>
          <w:kern w:val="0"/>
          <w:sz w:val="32"/>
          <w:szCs w:val="32"/>
        </w:rPr>
        <w:t xml:space="preserve">委托贵公司承担该项目环境影响报告表的编制工作。 </w:t>
      </w:r>
    </w:p>
    <w:p w14:paraId="3F8F7F62">
      <w:pPr>
        <w:spacing w:line="800" w:lineRule="exact"/>
        <w:ind w:right="164" w:rightChars="78" w:firstLine="643" w:firstLineChars="200"/>
        <w:rPr>
          <w:rFonts w:hint="default" w:ascii="Times New Roman" w:hAnsi="Times New Roman" w:eastAsia="宋体" w:cs="Times New Roman"/>
          <w:b/>
          <w:color w:val="auto"/>
          <w:kern w:val="0"/>
          <w:sz w:val="32"/>
          <w:szCs w:val="32"/>
        </w:rPr>
      </w:pPr>
    </w:p>
    <w:p w14:paraId="700373A2">
      <w:pPr>
        <w:adjustRightInd w:val="0"/>
        <w:spacing w:line="580" w:lineRule="exact"/>
        <w:ind w:firstLine="600" w:firstLineChars="200"/>
        <w:textAlignment w:val="baseline"/>
        <w:rPr>
          <w:rFonts w:hint="default" w:ascii="Times New Roman" w:hAnsi="Times New Roman" w:eastAsia="宋体" w:cs="Times New Roman"/>
          <w:color w:val="auto"/>
          <w:kern w:val="0"/>
          <w:sz w:val="30"/>
          <w:szCs w:val="20"/>
          <w:lang w:eastAsia="zh-CN"/>
        </w:rPr>
      </w:pPr>
    </w:p>
    <w:p w14:paraId="1D1763FF">
      <w:pPr>
        <w:adjustRightInd w:val="0"/>
        <w:spacing w:line="800" w:lineRule="exact"/>
        <w:textAlignment w:val="baseline"/>
        <w:rPr>
          <w:rFonts w:hint="default" w:ascii="Times New Roman" w:hAnsi="Times New Roman" w:eastAsia="宋体" w:cs="Times New Roman"/>
          <w:color w:val="auto"/>
          <w:kern w:val="0"/>
          <w:sz w:val="32"/>
          <w:szCs w:val="32"/>
        </w:rPr>
      </w:pPr>
    </w:p>
    <w:p w14:paraId="20786BC8">
      <w:pPr>
        <w:spacing w:line="800" w:lineRule="exact"/>
        <w:ind w:right="164" w:rightChars="78" w:firstLine="643" w:firstLineChars="200"/>
        <w:jc w:val="right"/>
        <w:rPr>
          <w:rFonts w:hint="default" w:ascii="Times New Roman" w:hAnsi="Times New Roman" w:eastAsia="宋体" w:cs="Times New Roman"/>
          <w:b/>
          <w:color w:val="auto"/>
          <w:kern w:val="0"/>
          <w:sz w:val="32"/>
          <w:szCs w:val="32"/>
          <w:lang w:eastAsia="zh-CN"/>
        </w:rPr>
      </w:pPr>
      <w:r>
        <w:rPr>
          <w:rFonts w:hint="default" w:ascii="Times New Roman" w:hAnsi="Times New Roman" w:eastAsia="宋体" w:cs="Times New Roman"/>
          <w:b/>
          <w:color w:val="auto"/>
          <w:kern w:val="0"/>
          <w:sz w:val="32"/>
          <w:szCs w:val="32"/>
        </w:rPr>
        <w:t>委托方：</w:t>
      </w:r>
      <w:r>
        <w:rPr>
          <w:rFonts w:hint="default" w:ascii="Times New Roman" w:hAnsi="Times New Roman" w:eastAsia="宋体" w:cs="Times New Roman"/>
          <w:b/>
          <w:color w:val="auto"/>
          <w:kern w:val="0"/>
          <w:sz w:val="32"/>
          <w:szCs w:val="32"/>
          <w:lang w:eastAsia="zh-CN"/>
        </w:rPr>
        <w:t>淄博启新新材料科技有限公司</w:t>
      </w:r>
    </w:p>
    <w:p w14:paraId="1ADA5B6E">
      <w:pPr>
        <w:spacing w:line="800" w:lineRule="exact"/>
        <w:ind w:right="164" w:rightChars="78" w:firstLine="643" w:firstLineChars="200"/>
        <w:jc w:val="right"/>
        <w:rPr>
          <w:rFonts w:hint="default" w:ascii="Times New Roman" w:hAnsi="Times New Roman" w:eastAsia="宋体" w:cs="Times New Roman"/>
          <w:b/>
          <w:color w:val="auto"/>
          <w:kern w:val="0"/>
          <w:sz w:val="32"/>
          <w:szCs w:val="32"/>
        </w:rPr>
      </w:pPr>
      <w:r>
        <w:rPr>
          <w:rFonts w:hint="default" w:ascii="Times New Roman" w:hAnsi="Times New Roman" w:eastAsia="宋体" w:cs="Times New Roman"/>
          <w:b/>
          <w:color w:val="auto"/>
          <w:kern w:val="0"/>
          <w:sz w:val="32"/>
          <w:szCs w:val="32"/>
        </w:rPr>
        <w:t xml:space="preserve">         委托时间：     年    月</w:t>
      </w:r>
    </w:p>
    <w:p w14:paraId="5E74A8A1">
      <w:pPr>
        <w:pStyle w:val="8"/>
        <w:ind w:left="0" w:leftChars="0" w:firstLine="0" w:firstLineChars="0"/>
        <w:rPr>
          <w:rFonts w:hint="default" w:ascii="Times New Roman" w:hAnsi="Times New Roman" w:eastAsia="宋体" w:cs="Times New Roman"/>
          <w:color w:val="auto"/>
          <w:kern w:val="0"/>
          <w:sz w:val="30"/>
          <w:szCs w:val="30"/>
        </w:rPr>
      </w:pPr>
    </w:p>
    <w:p w14:paraId="77788CDD">
      <w:pPr>
        <w:rPr>
          <w:rFonts w:hint="default" w:ascii="Times New Roman" w:hAnsi="Times New Roman" w:eastAsia="宋体" w:cs="Times New Roman"/>
          <w:color w:val="auto"/>
          <w:kern w:val="0"/>
          <w:sz w:val="30"/>
          <w:szCs w:val="30"/>
        </w:rPr>
      </w:pPr>
    </w:p>
    <w:p w14:paraId="7E390EBE">
      <w:pPr>
        <w:pStyle w:val="8"/>
        <w:ind w:firstLine="600"/>
        <w:rPr>
          <w:rFonts w:hint="default" w:ascii="Times New Roman" w:hAnsi="Times New Roman" w:eastAsia="宋体" w:cs="Times New Roman"/>
          <w:color w:val="auto"/>
          <w:kern w:val="0"/>
          <w:sz w:val="30"/>
          <w:szCs w:val="30"/>
        </w:rPr>
      </w:pPr>
    </w:p>
    <w:p w14:paraId="354A2614">
      <w:pPr>
        <w:rPr>
          <w:rFonts w:hint="default" w:ascii="Times New Roman" w:hAnsi="Times New Roman" w:eastAsia="宋体" w:cs="Times New Roman"/>
          <w:color w:val="auto"/>
          <w:kern w:val="0"/>
          <w:sz w:val="30"/>
          <w:szCs w:val="30"/>
        </w:rPr>
      </w:pPr>
    </w:p>
    <w:p w14:paraId="7C8BEA68">
      <w:pPr>
        <w:pStyle w:val="8"/>
        <w:tabs>
          <w:tab w:val="left" w:pos="2659"/>
        </w:tabs>
        <w:spacing w:after="0"/>
        <w:ind w:left="0" w:leftChars="0" w:firstLine="0" w:firstLineChars="0"/>
        <w:rPr>
          <w:rFonts w:hint="default" w:ascii="Times New Roman" w:hAnsi="Times New Roman" w:eastAsia="宋体" w:cs="Times New Roman"/>
          <w:b/>
          <w:bCs/>
          <w:color w:val="auto"/>
          <w:kern w:val="0"/>
          <w:sz w:val="28"/>
          <w:szCs w:val="28"/>
        </w:rPr>
        <w:sectPr>
          <w:pgSz w:w="11906" w:h="16838"/>
          <w:pgMar w:top="1440" w:right="1803" w:bottom="1440" w:left="1803" w:header="850" w:footer="992" w:gutter="0"/>
          <w:pgBorders>
            <w:top w:val="none" w:sz="0" w:space="0"/>
            <w:left w:val="none" w:sz="0" w:space="0"/>
            <w:bottom w:val="none" w:sz="0" w:space="0"/>
            <w:right w:val="none" w:sz="0" w:space="0"/>
          </w:pgBorders>
          <w:pgNumType w:fmt="decimal"/>
          <w:cols w:space="720" w:num="1"/>
          <w:docGrid w:type="lines" w:linePitch="319" w:charSpace="0"/>
        </w:sectPr>
      </w:pPr>
    </w:p>
    <w:p w14:paraId="0D5FEF02">
      <w:pPr>
        <w:pStyle w:val="8"/>
        <w:ind w:left="0" w:leftChars="0" w:firstLine="0" w:firstLineChars="0"/>
        <w:rPr>
          <w:rFonts w:hint="default" w:ascii="Times New Roman" w:hAnsi="Times New Roman" w:eastAsia="宋体" w:cs="Times New Roman"/>
          <w:b/>
          <w:bCs/>
          <w:color w:val="auto"/>
          <w:kern w:val="0"/>
          <w:sz w:val="28"/>
          <w:szCs w:val="28"/>
        </w:rPr>
      </w:pPr>
      <w:r>
        <w:rPr>
          <w:rFonts w:hint="default" w:ascii="Times New Roman" w:hAnsi="Times New Roman" w:eastAsia="宋体" w:cs="Times New Roman"/>
          <w:b/>
          <w:bCs/>
          <w:color w:val="auto"/>
          <w:kern w:val="0"/>
          <w:sz w:val="28"/>
          <w:szCs w:val="28"/>
        </w:rPr>
        <w:t>附件</w:t>
      </w:r>
      <w:r>
        <w:rPr>
          <w:rFonts w:hint="default" w:ascii="Times New Roman" w:hAnsi="Times New Roman" w:eastAsia="宋体" w:cs="Times New Roman"/>
          <w:b/>
          <w:bCs/>
          <w:color w:val="auto"/>
          <w:kern w:val="0"/>
          <w:sz w:val="28"/>
          <w:szCs w:val="28"/>
          <w:lang w:val="en-US" w:eastAsia="zh-CN"/>
        </w:rPr>
        <w:t>4</w:t>
      </w:r>
      <w:r>
        <w:rPr>
          <w:rFonts w:hint="default" w:ascii="Times New Roman" w:hAnsi="Times New Roman" w:eastAsia="宋体" w:cs="Times New Roman"/>
          <w:b/>
          <w:bCs/>
          <w:color w:val="auto"/>
          <w:kern w:val="0"/>
          <w:sz w:val="28"/>
          <w:szCs w:val="28"/>
        </w:rPr>
        <w:t>承诺书</w:t>
      </w:r>
    </w:p>
    <w:p w14:paraId="7FD6221E">
      <w:pPr>
        <w:pStyle w:val="8"/>
        <w:spacing w:after="0" w:line="360" w:lineRule="auto"/>
        <w:ind w:left="0" w:leftChars="0" w:firstLine="0" w:firstLineChars="0"/>
        <w:rPr>
          <w:rFonts w:hint="default" w:ascii="Times New Roman" w:hAnsi="Times New Roman" w:eastAsia="宋体" w:cs="Times New Roman"/>
          <w:color w:val="auto"/>
          <w:kern w:val="0"/>
          <w:sz w:val="30"/>
          <w:szCs w:val="30"/>
        </w:rPr>
      </w:pPr>
    </w:p>
    <w:p w14:paraId="209EC9C5">
      <w:pPr>
        <w:tabs>
          <w:tab w:val="left" w:pos="1589"/>
          <w:tab w:val="center" w:pos="4213"/>
        </w:tabs>
        <w:adjustRightInd w:val="0"/>
        <w:spacing w:line="800" w:lineRule="exact"/>
        <w:jc w:val="center"/>
        <w:textAlignment w:val="baseline"/>
        <w:rPr>
          <w:rFonts w:hint="default" w:ascii="Times New Roman" w:hAnsi="Times New Roman" w:eastAsia="宋体" w:cs="Times New Roman"/>
          <w:b/>
          <w:color w:val="auto"/>
          <w:kern w:val="0"/>
          <w:sz w:val="44"/>
          <w:szCs w:val="44"/>
        </w:rPr>
      </w:pPr>
      <w:r>
        <w:rPr>
          <w:rFonts w:hint="default" w:ascii="Times New Roman" w:hAnsi="Times New Roman" w:eastAsia="宋体" w:cs="Times New Roman"/>
          <w:b/>
          <w:color w:val="auto"/>
          <w:kern w:val="0"/>
          <w:sz w:val="44"/>
          <w:szCs w:val="44"/>
        </w:rPr>
        <w:t>关于资料提供和环评内容的确认承诺函</w:t>
      </w:r>
    </w:p>
    <w:p w14:paraId="74B56D90">
      <w:pPr>
        <w:adjustRightInd w:val="0"/>
        <w:snapToGrid w:val="0"/>
        <w:spacing w:line="360" w:lineRule="auto"/>
        <w:rPr>
          <w:rFonts w:hint="default" w:ascii="Times New Roman" w:hAnsi="Times New Roman" w:eastAsia="宋体" w:cs="Times New Roman"/>
          <w:color w:val="auto"/>
          <w:kern w:val="0"/>
          <w:sz w:val="24"/>
          <w:szCs w:val="22"/>
        </w:rPr>
      </w:pPr>
    </w:p>
    <w:p w14:paraId="331FA251">
      <w:pPr>
        <w:adjustRightInd w:val="0"/>
        <w:snapToGrid w:val="0"/>
        <w:spacing w:line="360" w:lineRule="auto"/>
        <w:rPr>
          <w:rFonts w:hint="default" w:ascii="Times New Roman" w:hAnsi="Times New Roman" w:eastAsia="宋体" w:cs="Times New Roman"/>
          <w:color w:val="auto"/>
          <w:kern w:val="0"/>
          <w:sz w:val="28"/>
        </w:rPr>
      </w:pPr>
      <w:r>
        <w:rPr>
          <w:rFonts w:hint="default" w:ascii="Times New Roman" w:hAnsi="Times New Roman" w:eastAsia="宋体" w:cs="Times New Roman"/>
          <w:color w:val="auto"/>
          <w:kern w:val="0"/>
          <w:sz w:val="28"/>
        </w:rPr>
        <w:t>山东冠业环境技术有限公司：</w:t>
      </w:r>
    </w:p>
    <w:p w14:paraId="3981F4C7">
      <w:pPr>
        <w:adjustRightInd w:val="0"/>
        <w:snapToGrid w:val="0"/>
        <w:spacing w:line="360" w:lineRule="auto"/>
        <w:ind w:firstLine="560" w:firstLineChars="200"/>
        <w:rPr>
          <w:rFonts w:hint="default" w:ascii="Times New Roman" w:hAnsi="Times New Roman" w:eastAsia="宋体" w:cs="Times New Roman"/>
          <w:color w:val="auto"/>
          <w:kern w:val="0"/>
          <w:sz w:val="28"/>
        </w:rPr>
      </w:pPr>
      <w:r>
        <w:rPr>
          <w:rFonts w:hint="default" w:ascii="Times New Roman" w:hAnsi="Times New Roman" w:eastAsia="宋体" w:cs="Times New Roman"/>
          <w:color w:val="auto"/>
          <w:kern w:val="0"/>
          <w:sz w:val="28"/>
        </w:rPr>
        <w:t>依据双方签订的《</w:t>
      </w:r>
      <w:r>
        <w:rPr>
          <w:rFonts w:hint="default" w:ascii="Times New Roman" w:hAnsi="Times New Roman" w:eastAsia="宋体" w:cs="Times New Roman"/>
          <w:color w:val="auto"/>
          <w:kern w:val="0"/>
          <w:sz w:val="28"/>
          <w:lang w:eastAsia="zh-CN"/>
        </w:rPr>
        <w:t>淄博启新新材料科技有限公司年产1万吨超硬复合新材料项目</w:t>
      </w:r>
      <w:r>
        <w:rPr>
          <w:rFonts w:hint="default" w:ascii="Times New Roman" w:hAnsi="Times New Roman" w:eastAsia="宋体" w:cs="Times New Roman"/>
          <w:color w:val="auto"/>
          <w:kern w:val="0"/>
          <w:sz w:val="28"/>
        </w:rPr>
        <w:t>》约定，我单位承诺提供给贵单位的材料均为真实、合法的。</w:t>
      </w:r>
    </w:p>
    <w:p w14:paraId="04F12F1F">
      <w:pPr>
        <w:adjustRightInd w:val="0"/>
        <w:snapToGrid w:val="0"/>
        <w:spacing w:line="360" w:lineRule="auto"/>
        <w:ind w:firstLine="560" w:firstLineChars="200"/>
        <w:rPr>
          <w:rFonts w:hint="default" w:ascii="Times New Roman" w:hAnsi="Times New Roman" w:eastAsia="宋体" w:cs="Times New Roman"/>
          <w:color w:val="auto"/>
          <w:kern w:val="0"/>
          <w:sz w:val="28"/>
        </w:rPr>
      </w:pPr>
      <w:r>
        <w:rPr>
          <w:rFonts w:hint="default" w:ascii="Times New Roman" w:hAnsi="Times New Roman" w:eastAsia="宋体" w:cs="Times New Roman"/>
          <w:color w:val="auto"/>
          <w:kern w:val="0"/>
          <w:sz w:val="28"/>
        </w:rPr>
        <w:t>由贵单位编制的《</w:t>
      </w:r>
      <w:r>
        <w:rPr>
          <w:rFonts w:hint="default" w:ascii="Times New Roman" w:hAnsi="Times New Roman" w:eastAsia="宋体" w:cs="Times New Roman"/>
          <w:color w:val="auto"/>
          <w:kern w:val="0"/>
          <w:sz w:val="28"/>
          <w:lang w:eastAsia="zh-CN"/>
        </w:rPr>
        <w:t>淄博启新新材料科技有限公司年产1万吨超硬复合新材料项目</w:t>
      </w:r>
      <w:r>
        <w:rPr>
          <w:rFonts w:hint="default" w:ascii="Times New Roman" w:hAnsi="Times New Roman" w:eastAsia="宋体" w:cs="Times New Roman"/>
          <w:color w:val="auto"/>
          <w:kern w:val="0"/>
          <w:sz w:val="28"/>
        </w:rPr>
        <w:t>》已收悉，经对报告内容认真核对，我单位确认相关技术资料及支撑性文件均为我方提供，环评内容符合本项目合同规定的要求，可以上报主管部门审查。由于我方提供资料的真实性、合法性引起的法律责任，由我方承担。</w:t>
      </w:r>
    </w:p>
    <w:p w14:paraId="48731717">
      <w:pPr>
        <w:adjustRightInd w:val="0"/>
        <w:snapToGrid w:val="0"/>
        <w:spacing w:line="360" w:lineRule="auto"/>
        <w:ind w:firstLine="560" w:firstLineChars="200"/>
        <w:rPr>
          <w:rFonts w:hint="default" w:ascii="Times New Roman" w:hAnsi="Times New Roman" w:eastAsia="宋体" w:cs="Times New Roman"/>
          <w:color w:val="auto"/>
          <w:kern w:val="0"/>
          <w:sz w:val="28"/>
        </w:rPr>
      </w:pPr>
      <w:r>
        <w:rPr>
          <w:rFonts w:hint="default" w:ascii="Times New Roman" w:hAnsi="Times New Roman" w:eastAsia="宋体" w:cs="Times New Roman"/>
          <w:color w:val="auto"/>
          <w:kern w:val="0"/>
          <w:sz w:val="28"/>
        </w:rPr>
        <w:t>特此承诺！</w:t>
      </w:r>
    </w:p>
    <w:p w14:paraId="035F0112">
      <w:pPr>
        <w:adjustRightInd w:val="0"/>
        <w:snapToGrid w:val="0"/>
        <w:spacing w:line="360" w:lineRule="auto"/>
        <w:rPr>
          <w:rFonts w:hint="default" w:ascii="Times New Roman" w:hAnsi="Times New Roman" w:eastAsia="宋体" w:cs="Times New Roman"/>
          <w:color w:val="auto"/>
          <w:kern w:val="0"/>
          <w:sz w:val="28"/>
        </w:rPr>
      </w:pPr>
    </w:p>
    <w:p w14:paraId="2EE50454">
      <w:pPr>
        <w:wordWrap w:val="0"/>
        <w:adjustRightInd w:val="0"/>
        <w:snapToGrid w:val="0"/>
        <w:spacing w:line="360" w:lineRule="auto"/>
        <w:ind w:right="1120"/>
        <w:rPr>
          <w:rFonts w:hint="default" w:ascii="Times New Roman" w:hAnsi="Times New Roman" w:eastAsia="宋体" w:cs="Times New Roman"/>
          <w:color w:val="auto"/>
          <w:kern w:val="0"/>
          <w:sz w:val="28"/>
        </w:rPr>
      </w:pPr>
    </w:p>
    <w:p w14:paraId="03955E93">
      <w:pPr>
        <w:wordWrap w:val="0"/>
        <w:adjustRightInd w:val="0"/>
        <w:snapToGrid w:val="0"/>
        <w:spacing w:line="360" w:lineRule="auto"/>
        <w:jc w:val="right"/>
        <w:rPr>
          <w:rFonts w:hint="default" w:ascii="Times New Roman" w:hAnsi="Times New Roman" w:eastAsia="宋体" w:cs="Times New Roman"/>
          <w:color w:val="auto"/>
          <w:kern w:val="0"/>
          <w:sz w:val="28"/>
        </w:rPr>
      </w:pPr>
    </w:p>
    <w:p w14:paraId="6E456C81">
      <w:pPr>
        <w:adjustRightInd w:val="0"/>
        <w:snapToGrid w:val="0"/>
        <w:spacing w:line="360" w:lineRule="auto"/>
        <w:jc w:val="right"/>
        <w:rPr>
          <w:rFonts w:hint="default" w:ascii="Times New Roman" w:hAnsi="Times New Roman" w:eastAsia="宋体" w:cs="Times New Roman"/>
          <w:color w:val="auto"/>
          <w:kern w:val="0"/>
          <w:sz w:val="28"/>
        </w:rPr>
      </w:pPr>
      <w:r>
        <w:rPr>
          <w:rFonts w:hint="default" w:ascii="Times New Roman" w:hAnsi="Times New Roman" w:eastAsia="宋体" w:cs="Times New Roman"/>
          <w:color w:val="auto"/>
          <w:kern w:val="0"/>
          <w:sz w:val="28"/>
        </w:rPr>
        <w:t>建设单位（公章）</w:t>
      </w:r>
    </w:p>
    <w:p w14:paraId="5C42CBA2">
      <w:pPr>
        <w:wordWrap w:val="0"/>
        <w:adjustRightInd w:val="0"/>
        <w:snapToGrid w:val="0"/>
        <w:spacing w:line="360" w:lineRule="auto"/>
        <w:jc w:val="right"/>
        <w:rPr>
          <w:rFonts w:hint="default" w:ascii="Times New Roman" w:hAnsi="Times New Roman" w:eastAsia="宋体" w:cs="Times New Roman"/>
          <w:color w:val="auto"/>
          <w:kern w:val="0"/>
          <w:sz w:val="28"/>
          <w:lang w:val="en-US" w:eastAsia="zh-CN"/>
        </w:rPr>
        <w:sectPr>
          <w:pgSz w:w="11906" w:h="16838"/>
          <w:pgMar w:top="1440" w:right="1803" w:bottom="1440" w:left="1803" w:header="850" w:footer="992" w:gutter="0"/>
          <w:pgBorders>
            <w:top w:val="none" w:sz="0" w:space="0"/>
            <w:left w:val="none" w:sz="0" w:space="0"/>
            <w:bottom w:val="none" w:sz="0" w:space="0"/>
            <w:right w:val="none" w:sz="0" w:space="0"/>
          </w:pgBorders>
          <w:pgNumType w:fmt="decimal"/>
          <w:cols w:space="720" w:num="1"/>
          <w:docGrid w:type="lines" w:linePitch="319" w:charSpace="0"/>
        </w:sectPr>
      </w:pPr>
      <w:r>
        <w:rPr>
          <w:rFonts w:hint="default" w:ascii="Times New Roman" w:hAnsi="Times New Roman" w:eastAsia="宋体" w:cs="Times New Roman"/>
          <w:color w:val="auto"/>
          <w:kern w:val="0"/>
          <w:sz w:val="28"/>
        </w:rPr>
        <w:t xml:space="preserve">                                       年    月</w:t>
      </w:r>
      <w:r>
        <w:rPr>
          <w:rFonts w:hint="default" w:ascii="Times New Roman" w:hAnsi="Times New Roman" w:eastAsia="宋体" w:cs="Times New Roman"/>
          <w:color w:val="auto"/>
          <w:kern w:val="0"/>
          <w:sz w:val="28"/>
          <w:lang w:val="en-US" w:eastAsia="zh-CN"/>
        </w:rPr>
        <w:t xml:space="preserve"> </w:t>
      </w:r>
    </w:p>
    <w:p w14:paraId="2E5F27E6">
      <w:pPr>
        <w:wordWrap w:val="0"/>
        <w:adjustRightInd w:val="0"/>
        <w:snapToGrid w:val="0"/>
        <w:spacing w:line="360" w:lineRule="auto"/>
        <w:jc w:val="both"/>
        <w:rPr>
          <w:rFonts w:hint="default" w:ascii="Times New Roman" w:hAnsi="Times New Roman" w:eastAsia="宋体" w:cs="Times New Roman"/>
          <w:b/>
          <w:bCs/>
          <w:color w:val="auto"/>
          <w:kern w:val="0"/>
          <w:sz w:val="28"/>
          <w:lang w:val="en-US" w:eastAsia="zh-CN"/>
        </w:rPr>
      </w:pPr>
      <w:r>
        <w:rPr>
          <w:rFonts w:hint="default" w:ascii="Times New Roman" w:hAnsi="Times New Roman" w:eastAsia="宋体" w:cs="Times New Roman"/>
          <w:b/>
          <w:bCs/>
          <w:color w:val="auto"/>
          <w:kern w:val="0"/>
          <w:sz w:val="28"/>
          <w:lang w:val="en-US" w:eastAsia="zh-CN"/>
        </w:rPr>
        <w:t>附件5资料真实性承诺书</w:t>
      </w:r>
    </w:p>
    <w:p w14:paraId="434B5D2C">
      <w:pPr>
        <w:wordWrap w:val="0"/>
        <w:adjustRightInd w:val="0"/>
        <w:snapToGrid w:val="0"/>
        <w:spacing w:line="360" w:lineRule="auto"/>
        <w:jc w:val="both"/>
        <w:rPr>
          <w:rFonts w:hint="default" w:ascii="Times New Roman" w:hAnsi="Times New Roman" w:eastAsia="宋体" w:cs="Times New Roman"/>
          <w:color w:val="auto"/>
          <w:kern w:val="0"/>
          <w:sz w:val="28"/>
          <w:lang w:val="en-US" w:eastAsia="zh-CN"/>
        </w:rPr>
      </w:pPr>
      <w:r>
        <w:rPr>
          <w:rFonts w:hint="default" w:ascii="Times New Roman" w:hAnsi="Times New Roman" w:eastAsia="宋体" w:cs="Times New Roman"/>
          <w:color w:val="auto"/>
          <w:kern w:val="0"/>
          <w:sz w:val="28"/>
          <w:lang w:val="en-US" w:eastAsia="zh-CN"/>
        </w:rPr>
        <w:t xml:space="preserve">    </w:t>
      </w:r>
    </w:p>
    <w:p w14:paraId="1BC1AD32">
      <w:pPr>
        <w:jc w:val="center"/>
        <w:rPr>
          <w:rFonts w:hint="default" w:ascii="Times New Roman" w:hAnsi="Times New Roman" w:eastAsia="宋体" w:cs="Times New Roman"/>
          <w:b/>
          <w:color w:val="auto"/>
          <w:kern w:val="0"/>
          <w:sz w:val="36"/>
          <w:szCs w:val="36"/>
        </w:rPr>
      </w:pPr>
      <w:r>
        <w:rPr>
          <w:rFonts w:hint="default" w:ascii="Times New Roman" w:hAnsi="Times New Roman" w:eastAsia="宋体" w:cs="Times New Roman"/>
          <w:b/>
          <w:color w:val="auto"/>
          <w:kern w:val="0"/>
          <w:sz w:val="36"/>
          <w:szCs w:val="36"/>
        </w:rPr>
        <w:t>资料真实性承诺书</w:t>
      </w:r>
    </w:p>
    <w:p w14:paraId="744AF655">
      <w:pPr>
        <w:spacing w:line="360" w:lineRule="auto"/>
        <w:rPr>
          <w:rFonts w:hint="default" w:ascii="Times New Roman" w:hAnsi="Times New Roman" w:eastAsia="宋体" w:cs="Times New Roman"/>
          <w:color w:val="auto"/>
          <w:kern w:val="0"/>
          <w:sz w:val="28"/>
          <w:szCs w:val="28"/>
          <w:lang w:eastAsia="zh-CN"/>
        </w:rPr>
      </w:pPr>
    </w:p>
    <w:p w14:paraId="02342E91">
      <w:pPr>
        <w:autoSpaceDE w:val="0"/>
        <w:autoSpaceDN w:val="0"/>
        <w:adjustRightInd w:val="0"/>
        <w:spacing w:line="360" w:lineRule="auto"/>
        <w:jc w:val="left"/>
        <w:rPr>
          <w:rFonts w:hint="default" w:ascii="Times New Roman" w:hAnsi="Times New Roman" w:eastAsia="宋体" w:cs="Times New Roman"/>
          <w:color w:val="auto"/>
          <w:kern w:val="0"/>
          <w:sz w:val="32"/>
          <w:szCs w:val="32"/>
          <w:lang w:eastAsia="zh-CN"/>
        </w:rPr>
      </w:pPr>
      <w:r>
        <w:rPr>
          <w:rFonts w:hint="default" w:ascii="Times New Roman" w:hAnsi="Times New Roman" w:eastAsia="宋体" w:cs="Times New Roman"/>
          <w:color w:val="auto"/>
          <w:kern w:val="0"/>
          <w:sz w:val="32"/>
          <w:szCs w:val="32"/>
          <w:lang w:eastAsia="zh-CN"/>
        </w:rPr>
        <w:t>淄博文昌湖省级旅游度假区安全生产监管和环境保护局：</w:t>
      </w:r>
    </w:p>
    <w:p w14:paraId="7D19E5D0">
      <w:pPr>
        <w:autoSpaceDE w:val="0"/>
        <w:autoSpaceDN w:val="0"/>
        <w:adjustRightInd w:val="0"/>
        <w:spacing w:line="360" w:lineRule="auto"/>
        <w:ind w:firstLine="640" w:firstLineChars="200"/>
        <w:jc w:val="both"/>
        <w:rPr>
          <w:rFonts w:hint="default" w:ascii="Times New Roman" w:hAnsi="Times New Roman" w:eastAsia="宋体" w:cs="Times New Roman"/>
          <w:color w:val="auto"/>
          <w:kern w:val="0"/>
          <w:sz w:val="32"/>
          <w:szCs w:val="32"/>
        </w:rPr>
      </w:pPr>
      <w:r>
        <w:rPr>
          <w:rFonts w:hint="default" w:ascii="Times New Roman" w:hAnsi="Times New Roman" w:eastAsia="宋体" w:cs="Times New Roman"/>
          <w:color w:val="auto"/>
          <w:kern w:val="0"/>
          <w:sz w:val="32"/>
          <w:szCs w:val="32"/>
        </w:rPr>
        <w:t>今我单位委托</w:t>
      </w:r>
      <w:r>
        <w:rPr>
          <w:rFonts w:hint="default" w:ascii="Times New Roman" w:hAnsi="Times New Roman" w:eastAsia="宋体" w:cs="Times New Roman"/>
          <w:color w:val="auto"/>
          <w:kern w:val="0"/>
          <w:sz w:val="32"/>
          <w:szCs w:val="32"/>
          <w:lang w:eastAsia="zh-CN"/>
        </w:rPr>
        <w:t>山东冠业环境技术有限公司</w:t>
      </w:r>
      <w:r>
        <w:rPr>
          <w:rFonts w:hint="default" w:ascii="Times New Roman" w:hAnsi="Times New Roman" w:eastAsia="宋体" w:cs="Times New Roman"/>
          <w:color w:val="auto"/>
          <w:kern w:val="0"/>
          <w:sz w:val="32"/>
          <w:szCs w:val="32"/>
        </w:rPr>
        <w:t>为我公司编制</w:t>
      </w:r>
      <w:r>
        <w:rPr>
          <w:rFonts w:hint="default" w:ascii="Times New Roman" w:hAnsi="Times New Roman" w:eastAsia="宋体" w:cs="Times New Roman"/>
          <w:color w:val="auto"/>
          <w:kern w:val="0"/>
          <w:sz w:val="32"/>
          <w:szCs w:val="32"/>
          <w:u w:val="single"/>
          <w:lang w:eastAsia="zh-CN"/>
        </w:rPr>
        <w:t>淄博启新新材料科技有限公司年产1万吨超硬复合新材料项目</w:t>
      </w:r>
      <w:r>
        <w:rPr>
          <w:rFonts w:hint="default" w:ascii="Times New Roman" w:hAnsi="Times New Roman" w:eastAsia="宋体" w:cs="Times New Roman"/>
          <w:color w:val="auto"/>
          <w:kern w:val="0"/>
          <w:sz w:val="32"/>
          <w:szCs w:val="32"/>
        </w:rPr>
        <w:t>环境影响报告表，在报告编制过程中该项目的生产工艺流程、物料平衡、原辅材料、附图附件、相关证明文件等基础资料均由我们提供，内容真实可靠，没有虚假，如存在瞒报、假报和造假等情况，我单位愿依法承担因此带来的一切后果。</w:t>
      </w:r>
    </w:p>
    <w:p w14:paraId="10CB95F4">
      <w:pPr>
        <w:autoSpaceDE w:val="0"/>
        <w:autoSpaceDN w:val="0"/>
        <w:adjustRightInd w:val="0"/>
        <w:spacing w:line="360" w:lineRule="auto"/>
        <w:ind w:firstLine="640" w:firstLineChars="200"/>
        <w:jc w:val="left"/>
        <w:rPr>
          <w:rFonts w:hint="default" w:ascii="Times New Roman" w:hAnsi="Times New Roman" w:eastAsia="宋体" w:cs="Times New Roman"/>
          <w:color w:val="auto"/>
          <w:kern w:val="0"/>
          <w:sz w:val="32"/>
          <w:szCs w:val="32"/>
        </w:rPr>
      </w:pPr>
      <w:r>
        <w:rPr>
          <w:rFonts w:hint="default" w:ascii="Times New Roman" w:hAnsi="Times New Roman" w:eastAsia="宋体" w:cs="Times New Roman"/>
          <w:color w:val="auto"/>
          <w:kern w:val="0"/>
          <w:sz w:val="32"/>
          <w:szCs w:val="32"/>
        </w:rPr>
        <w:t>特此声明。</w:t>
      </w:r>
    </w:p>
    <w:p w14:paraId="0A63CD35">
      <w:pPr>
        <w:spacing w:line="360" w:lineRule="auto"/>
        <w:rPr>
          <w:rFonts w:hint="default" w:ascii="Times New Roman" w:hAnsi="Times New Roman" w:eastAsia="宋体" w:cs="Times New Roman"/>
          <w:color w:val="auto"/>
          <w:kern w:val="0"/>
        </w:rPr>
      </w:pPr>
    </w:p>
    <w:p w14:paraId="7A1BA700">
      <w:pPr>
        <w:spacing w:line="360" w:lineRule="auto"/>
        <w:rPr>
          <w:rFonts w:hint="default" w:ascii="Times New Roman" w:hAnsi="Times New Roman" w:eastAsia="宋体" w:cs="Times New Roman"/>
          <w:color w:val="auto"/>
          <w:kern w:val="0"/>
        </w:rPr>
      </w:pPr>
    </w:p>
    <w:p w14:paraId="66B49754">
      <w:pPr>
        <w:spacing w:line="360" w:lineRule="auto"/>
        <w:rPr>
          <w:rFonts w:hint="default" w:ascii="Times New Roman" w:hAnsi="Times New Roman" w:eastAsia="宋体" w:cs="Times New Roman"/>
          <w:color w:val="auto"/>
          <w:kern w:val="0"/>
        </w:rPr>
      </w:pPr>
    </w:p>
    <w:p w14:paraId="70231004">
      <w:pPr>
        <w:spacing w:line="360" w:lineRule="auto"/>
        <w:rPr>
          <w:rFonts w:hint="default" w:ascii="Times New Roman" w:hAnsi="Times New Roman" w:eastAsia="宋体" w:cs="Times New Roman"/>
          <w:color w:val="auto"/>
          <w:kern w:val="0"/>
        </w:rPr>
      </w:pPr>
    </w:p>
    <w:p w14:paraId="3ACC2890">
      <w:pPr>
        <w:spacing w:line="360" w:lineRule="auto"/>
        <w:rPr>
          <w:rFonts w:hint="default" w:ascii="Times New Roman" w:hAnsi="Times New Roman" w:eastAsia="宋体" w:cs="Times New Roman"/>
          <w:color w:val="auto"/>
          <w:kern w:val="0"/>
        </w:rPr>
      </w:pPr>
    </w:p>
    <w:p w14:paraId="1973CB13">
      <w:pPr>
        <w:spacing w:line="360" w:lineRule="auto"/>
        <w:rPr>
          <w:rFonts w:hint="default" w:ascii="Times New Roman" w:hAnsi="Times New Roman" w:eastAsia="宋体" w:cs="Times New Roman"/>
          <w:color w:val="auto"/>
          <w:kern w:val="0"/>
        </w:rPr>
      </w:pPr>
    </w:p>
    <w:p w14:paraId="717CA700">
      <w:pPr>
        <w:spacing w:line="360" w:lineRule="auto"/>
        <w:rPr>
          <w:rFonts w:hint="default" w:ascii="Times New Roman" w:hAnsi="Times New Roman" w:eastAsia="宋体" w:cs="Times New Roman"/>
          <w:color w:val="auto"/>
          <w:kern w:val="0"/>
        </w:rPr>
      </w:pPr>
    </w:p>
    <w:p w14:paraId="37582966">
      <w:pPr>
        <w:spacing w:line="360" w:lineRule="auto"/>
        <w:rPr>
          <w:rFonts w:hint="default" w:ascii="Times New Roman" w:hAnsi="Times New Roman" w:eastAsia="宋体" w:cs="Times New Roman"/>
          <w:color w:val="auto"/>
          <w:kern w:val="0"/>
        </w:rPr>
      </w:pPr>
    </w:p>
    <w:p w14:paraId="5A5CDE58">
      <w:pPr>
        <w:wordWrap w:val="0"/>
        <w:ind w:firstLine="3780" w:firstLineChars="1350"/>
        <w:jc w:val="right"/>
        <w:rPr>
          <w:rFonts w:hint="default" w:ascii="Times New Roman" w:hAnsi="Times New Roman" w:eastAsia="宋体" w:cs="Times New Roman"/>
          <w:color w:val="auto"/>
          <w:kern w:val="0"/>
          <w:sz w:val="28"/>
          <w:lang w:val="en-US" w:eastAsia="zh-CN"/>
        </w:rPr>
      </w:pPr>
      <w:r>
        <w:rPr>
          <w:rFonts w:hint="default" w:ascii="Times New Roman" w:hAnsi="Times New Roman" w:eastAsia="宋体" w:cs="Times New Roman"/>
          <w:color w:val="auto"/>
          <w:kern w:val="0"/>
          <w:sz w:val="28"/>
        </w:rPr>
        <w:t>委托单位（盖章）：</w:t>
      </w:r>
      <w:r>
        <w:rPr>
          <w:rFonts w:hint="default" w:ascii="Times New Roman" w:hAnsi="Times New Roman" w:eastAsia="宋体" w:cs="Times New Roman"/>
          <w:color w:val="auto"/>
          <w:kern w:val="0"/>
          <w:sz w:val="28"/>
          <w:lang w:val="en-US" w:eastAsia="zh-CN"/>
        </w:rPr>
        <w:t xml:space="preserve">      </w:t>
      </w:r>
    </w:p>
    <w:p w14:paraId="1C849BD0">
      <w:pPr>
        <w:wordWrap w:val="0"/>
        <w:ind w:firstLine="3780" w:firstLineChars="1350"/>
        <w:jc w:val="right"/>
        <w:rPr>
          <w:rFonts w:hint="default" w:ascii="Times New Roman" w:hAnsi="Times New Roman" w:eastAsia="宋体" w:cs="Times New Roman"/>
          <w:color w:val="auto"/>
          <w:kern w:val="0"/>
          <w:sz w:val="28"/>
          <w:lang w:val="en-US" w:eastAsia="zh-CN"/>
        </w:rPr>
      </w:pPr>
      <w:r>
        <w:rPr>
          <w:rFonts w:hint="default" w:ascii="Times New Roman" w:hAnsi="Times New Roman" w:eastAsia="宋体" w:cs="Times New Roman"/>
          <w:color w:val="auto"/>
          <w:kern w:val="0"/>
          <w:sz w:val="28"/>
        </w:rPr>
        <w:t>法人代表（签字）：</w:t>
      </w:r>
      <w:r>
        <w:rPr>
          <w:rFonts w:hint="default" w:ascii="Times New Roman" w:hAnsi="Times New Roman" w:eastAsia="宋体" w:cs="Times New Roman"/>
          <w:color w:val="auto"/>
          <w:kern w:val="0"/>
          <w:sz w:val="28"/>
          <w:lang w:val="en-US" w:eastAsia="zh-CN"/>
        </w:rPr>
        <w:t xml:space="preserve">      </w:t>
      </w:r>
    </w:p>
    <w:p w14:paraId="4CF148D8">
      <w:pPr>
        <w:pStyle w:val="8"/>
        <w:tabs>
          <w:tab w:val="left" w:pos="2659"/>
        </w:tabs>
        <w:wordWrap w:val="0"/>
        <w:spacing w:after="0"/>
        <w:ind w:left="0" w:leftChars="0" w:firstLine="0" w:firstLineChars="0"/>
        <w:jc w:val="right"/>
        <w:rPr>
          <w:rFonts w:hint="default" w:ascii="Times New Roman" w:hAnsi="Times New Roman" w:eastAsia="宋体" w:cs="Times New Roman"/>
          <w:color w:val="auto"/>
          <w:kern w:val="0"/>
          <w:sz w:val="28"/>
          <w:lang w:val="en-US" w:eastAsia="zh-CN"/>
        </w:rPr>
        <w:sectPr>
          <w:pgSz w:w="11906" w:h="16838"/>
          <w:pgMar w:top="1440" w:right="1803" w:bottom="1440" w:left="1803" w:header="850" w:footer="992" w:gutter="0"/>
          <w:pgBorders>
            <w:top w:val="none" w:sz="0" w:space="0"/>
            <w:left w:val="none" w:sz="0" w:space="0"/>
            <w:bottom w:val="none" w:sz="0" w:space="0"/>
            <w:right w:val="none" w:sz="0" w:space="0"/>
          </w:pgBorders>
          <w:pgNumType w:fmt="decimal"/>
          <w:cols w:space="720" w:num="1"/>
          <w:docGrid w:type="lines" w:linePitch="319" w:charSpace="0"/>
        </w:sectPr>
      </w:pPr>
      <w:r>
        <w:rPr>
          <w:rFonts w:hint="default" w:ascii="Times New Roman" w:hAnsi="Times New Roman" w:eastAsia="宋体" w:cs="Times New Roman"/>
          <w:color w:val="auto"/>
          <w:kern w:val="0"/>
          <w:sz w:val="28"/>
        </w:rPr>
        <w:t xml:space="preserve">年 </w:t>
      </w:r>
      <w:r>
        <w:rPr>
          <w:rFonts w:hint="default" w:ascii="Times New Roman" w:hAnsi="Times New Roman" w:eastAsia="宋体" w:cs="Times New Roman"/>
          <w:color w:val="auto"/>
          <w:kern w:val="0"/>
          <w:sz w:val="28"/>
          <w:lang w:val="en-US" w:eastAsia="zh-CN"/>
        </w:rPr>
        <w:t xml:space="preserve">  </w:t>
      </w:r>
      <w:r>
        <w:rPr>
          <w:rFonts w:hint="default" w:ascii="Times New Roman" w:hAnsi="Times New Roman" w:eastAsia="宋体" w:cs="Times New Roman"/>
          <w:color w:val="auto"/>
          <w:kern w:val="0"/>
          <w:sz w:val="28"/>
        </w:rPr>
        <w:t xml:space="preserve"> 月</w:t>
      </w:r>
      <w:r>
        <w:rPr>
          <w:rFonts w:hint="default" w:ascii="Times New Roman" w:hAnsi="Times New Roman" w:eastAsia="宋体" w:cs="Times New Roman"/>
          <w:color w:val="auto"/>
          <w:kern w:val="0"/>
          <w:sz w:val="28"/>
          <w:lang w:val="en-US" w:eastAsia="zh-CN"/>
        </w:rPr>
        <w:t xml:space="preserve">    日          </w:t>
      </w:r>
    </w:p>
    <w:p w14:paraId="6FFCA71C">
      <w:pPr>
        <w:pStyle w:val="8"/>
        <w:tabs>
          <w:tab w:val="left" w:pos="2659"/>
        </w:tabs>
        <w:spacing w:after="0"/>
        <w:ind w:left="0" w:leftChars="0" w:firstLine="0" w:firstLineChars="0"/>
        <w:rPr>
          <w:rFonts w:hint="default" w:ascii="Times New Roman" w:hAnsi="Times New Roman" w:eastAsia="宋体" w:cs="Times New Roman"/>
          <w:b/>
          <w:bCs/>
          <w:color w:val="auto"/>
          <w:kern w:val="0"/>
          <w:sz w:val="28"/>
          <w:szCs w:val="28"/>
          <w:lang w:val="en-US" w:eastAsia="zh-CN"/>
        </w:rPr>
      </w:pPr>
      <w:r>
        <w:rPr>
          <w:rFonts w:hint="default" w:ascii="Times New Roman" w:hAnsi="Times New Roman" w:eastAsia="宋体" w:cs="Times New Roman"/>
          <w:b/>
          <w:bCs/>
          <w:color w:val="auto"/>
          <w:kern w:val="0"/>
          <w:sz w:val="28"/>
          <w:szCs w:val="28"/>
          <w:lang w:eastAsia="zh-CN"/>
        </w:rPr>
        <w:t>附件</w:t>
      </w:r>
      <w:r>
        <w:rPr>
          <w:rFonts w:hint="default" w:ascii="Times New Roman" w:hAnsi="Times New Roman" w:eastAsia="宋体" w:cs="Times New Roman"/>
          <w:b/>
          <w:bCs/>
          <w:color w:val="auto"/>
          <w:kern w:val="0"/>
          <w:sz w:val="28"/>
          <w:szCs w:val="28"/>
          <w:lang w:val="en-US" w:eastAsia="zh-CN"/>
        </w:rPr>
        <w:t>6环境影响评价信息公开承诺书</w:t>
      </w:r>
    </w:p>
    <w:p w14:paraId="74A98473">
      <w:pPr>
        <w:rPr>
          <w:rFonts w:hint="default" w:ascii="Times New Roman" w:hAnsi="Times New Roman" w:eastAsia="宋体" w:cs="Times New Roman"/>
          <w:b/>
          <w:bCs/>
          <w:color w:val="auto"/>
          <w:kern w:val="0"/>
          <w:sz w:val="28"/>
          <w:szCs w:val="28"/>
          <w:lang w:val="en-US" w:eastAsia="zh-CN"/>
        </w:rPr>
      </w:pPr>
    </w:p>
    <w:p w14:paraId="4DEA1D0D">
      <w:pPr>
        <w:autoSpaceDE w:val="0"/>
        <w:autoSpaceDN w:val="0"/>
        <w:adjustRightInd w:val="0"/>
        <w:jc w:val="center"/>
        <w:rPr>
          <w:rFonts w:hint="default" w:ascii="Times New Roman" w:hAnsi="Times New Roman" w:eastAsia="宋体" w:cs="Times New Roman"/>
          <w:color w:val="auto"/>
          <w:sz w:val="44"/>
          <w:szCs w:val="32"/>
        </w:rPr>
      </w:pPr>
      <w:r>
        <w:rPr>
          <w:rFonts w:hint="default" w:ascii="Times New Roman" w:hAnsi="Times New Roman" w:eastAsia="宋体" w:cs="Times New Roman"/>
          <w:color w:val="auto"/>
          <w:sz w:val="44"/>
          <w:szCs w:val="32"/>
        </w:rPr>
        <w:t>环境影响评价信息公开承诺书</w:t>
      </w:r>
    </w:p>
    <w:p w14:paraId="17DFB6F1">
      <w:pPr>
        <w:autoSpaceDE w:val="0"/>
        <w:autoSpaceDN w:val="0"/>
        <w:adjustRightInd w:val="0"/>
        <w:snapToGrid w:val="0"/>
        <w:spacing w:line="360" w:lineRule="auto"/>
        <w:jc w:val="center"/>
        <w:rPr>
          <w:rFonts w:hint="default" w:ascii="Times New Roman" w:hAnsi="Times New Roman" w:eastAsia="宋体" w:cs="Times New Roman"/>
          <w:color w:val="auto"/>
          <w:sz w:val="44"/>
          <w:szCs w:val="32"/>
        </w:rPr>
      </w:pPr>
    </w:p>
    <w:p w14:paraId="7687DABD">
      <w:pPr>
        <w:autoSpaceDE w:val="0"/>
        <w:autoSpaceDN w:val="0"/>
        <w:adjustRightInd w:val="0"/>
        <w:snapToGrid w:val="0"/>
        <w:spacing w:line="360" w:lineRule="auto"/>
        <w:jc w:val="left"/>
        <w:rPr>
          <w:rFonts w:hint="default" w:ascii="Times New Roman" w:hAnsi="Times New Roman" w:eastAsia="宋体" w:cs="Times New Roman"/>
          <w:color w:val="auto"/>
          <w:sz w:val="32"/>
          <w:szCs w:val="32"/>
        </w:rPr>
      </w:pPr>
      <w:r>
        <w:rPr>
          <w:rFonts w:hint="default" w:ascii="Times New Roman" w:hAnsi="Times New Roman" w:eastAsia="宋体" w:cs="Times New Roman"/>
          <w:color w:val="auto"/>
          <w:sz w:val="32"/>
          <w:szCs w:val="32"/>
          <w:lang w:eastAsia="zh-CN"/>
        </w:rPr>
        <w:t>淄博文昌湖省级旅游度假区安全生产监管和环境保护局</w:t>
      </w:r>
      <w:r>
        <w:rPr>
          <w:rFonts w:hint="default" w:ascii="Times New Roman" w:hAnsi="Times New Roman" w:eastAsia="宋体" w:cs="Times New Roman"/>
          <w:color w:val="auto"/>
          <w:sz w:val="32"/>
          <w:szCs w:val="32"/>
        </w:rPr>
        <w:t>：</w:t>
      </w:r>
    </w:p>
    <w:p w14:paraId="74F6AE5B">
      <w:pPr>
        <w:autoSpaceDE w:val="0"/>
        <w:autoSpaceDN w:val="0"/>
        <w:adjustRightInd w:val="0"/>
        <w:snapToGrid w:val="0"/>
        <w:spacing w:line="360" w:lineRule="auto"/>
        <w:ind w:firstLine="640" w:firstLineChars="200"/>
        <w:rPr>
          <w:rFonts w:hint="default" w:ascii="Times New Roman" w:hAnsi="Times New Roman" w:eastAsia="宋体" w:cs="Times New Roman"/>
          <w:color w:val="auto"/>
          <w:kern w:val="0"/>
          <w:sz w:val="32"/>
          <w:szCs w:val="32"/>
        </w:rPr>
      </w:pPr>
      <w:r>
        <w:rPr>
          <w:rFonts w:hint="default" w:ascii="Times New Roman" w:hAnsi="Times New Roman" w:eastAsia="宋体" w:cs="Times New Roman"/>
          <w:color w:val="auto"/>
          <w:sz w:val="32"/>
          <w:szCs w:val="32"/>
        </w:rPr>
        <w:t>我单位</w:t>
      </w:r>
      <w:r>
        <w:rPr>
          <w:rFonts w:hint="default" w:ascii="Times New Roman" w:hAnsi="Times New Roman" w:eastAsia="宋体" w:cs="Times New Roman"/>
          <w:color w:val="auto"/>
          <w:sz w:val="32"/>
          <w:szCs w:val="32"/>
          <w:u w:val="single"/>
          <w:lang w:eastAsia="zh-CN"/>
        </w:rPr>
        <w:t>淄博启新新材料科技有限公司年产1万吨超硬复合新材料项目</w:t>
      </w:r>
      <w:r>
        <w:rPr>
          <w:rFonts w:hint="default" w:ascii="Times New Roman" w:hAnsi="Times New Roman" w:eastAsia="宋体" w:cs="Times New Roman"/>
          <w:color w:val="auto"/>
          <w:sz w:val="32"/>
          <w:szCs w:val="32"/>
        </w:rPr>
        <w:t>已达到受理条件，按照</w:t>
      </w:r>
      <w:r>
        <w:rPr>
          <w:rFonts w:hint="default" w:ascii="Times New Roman" w:hAnsi="Times New Roman" w:eastAsia="宋体" w:cs="Times New Roman"/>
          <w:color w:val="auto"/>
          <w:sz w:val="32"/>
          <w:szCs w:val="32"/>
          <w:lang w:eastAsia="zh-CN"/>
        </w:rPr>
        <w:t>生态环境部</w:t>
      </w:r>
      <w:r>
        <w:rPr>
          <w:rFonts w:hint="default" w:ascii="Times New Roman" w:hAnsi="Times New Roman" w:eastAsia="宋体" w:cs="Times New Roman"/>
          <w:color w:val="auto"/>
          <w:sz w:val="32"/>
          <w:szCs w:val="32"/>
        </w:rPr>
        <w:t>《建设项目环境影响评价政府信息公开指南（试行）》</w:t>
      </w:r>
      <w:r>
        <w:rPr>
          <w:rFonts w:hint="default" w:ascii="Times New Roman" w:hAnsi="Times New Roman" w:eastAsia="宋体" w:cs="Times New Roman"/>
          <w:color w:val="auto"/>
          <w:kern w:val="0"/>
          <w:sz w:val="32"/>
          <w:szCs w:val="32"/>
        </w:rPr>
        <w:t>（</w:t>
      </w:r>
      <w:r>
        <w:rPr>
          <w:rFonts w:hint="default" w:ascii="Times New Roman" w:hAnsi="Times New Roman" w:eastAsia="宋体" w:cs="Times New Roman"/>
          <w:color w:val="auto"/>
          <w:sz w:val="32"/>
          <w:szCs w:val="32"/>
        </w:rPr>
        <w:t>环办〔2013〕103号）文件要求，为认真履行企业职责，自愿</w:t>
      </w:r>
      <w:r>
        <w:rPr>
          <w:rFonts w:hint="default" w:ascii="Times New Roman" w:hAnsi="Times New Roman" w:eastAsia="宋体" w:cs="Times New Roman"/>
          <w:color w:val="auto"/>
          <w:kern w:val="0"/>
          <w:sz w:val="32"/>
          <w:szCs w:val="32"/>
        </w:rPr>
        <w:t>依法主动公开建设项目环境影响报告书、表全本信息（同时附删除涉及国家秘密、商业秘密等内容及删除依据和理由说明报告），并依法承担因信息公开带来的后果。</w:t>
      </w:r>
    </w:p>
    <w:p w14:paraId="4C2DA1BE">
      <w:pPr>
        <w:autoSpaceDE w:val="0"/>
        <w:autoSpaceDN w:val="0"/>
        <w:adjustRightInd w:val="0"/>
        <w:snapToGrid w:val="0"/>
        <w:spacing w:line="360" w:lineRule="auto"/>
        <w:ind w:firstLine="640" w:firstLineChars="200"/>
        <w:rPr>
          <w:rFonts w:hint="default" w:ascii="Times New Roman" w:hAnsi="Times New Roman" w:eastAsia="宋体" w:cs="Times New Roman"/>
          <w:color w:val="auto"/>
          <w:sz w:val="32"/>
          <w:szCs w:val="32"/>
        </w:rPr>
      </w:pPr>
      <w:r>
        <w:rPr>
          <w:rFonts w:hint="default" w:ascii="Times New Roman" w:hAnsi="Times New Roman" w:eastAsia="宋体" w:cs="Times New Roman"/>
          <w:color w:val="auto"/>
          <w:sz w:val="32"/>
          <w:szCs w:val="32"/>
        </w:rPr>
        <w:t>特此承诺！</w:t>
      </w:r>
    </w:p>
    <w:p w14:paraId="1DE5BA66">
      <w:pPr>
        <w:autoSpaceDE w:val="0"/>
        <w:autoSpaceDN w:val="0"/>
        <w:adjustRightInd w:val="0"/>
        <w:snapToGrid w:val="0"/>
        <w:spacing w:line="360" w:lineRule="auto"/>
        <w:ind w:firstLine="640" w:firstLineChars="200"/>
        <w:rPr>
          <w:rFonts w:hint="default" w:ascii="Times New Roman" w:hAnsi="Times New Roman" w:eastAsia="宋体" w:cs="Times New Roman"/>
          <w:color w:val="auto"/>
          <w:sz w:val="32"/>
          <w:szCs w:val="32"/>
        </w:rPr>
      </w:pPr>
    </w:p>
    <w:p w14:paraId="4E05C24A">
      <w:pPr>
        <w:wordWrap w:val="0"/>
        <w:autoSpaceDE w:val="0"/>
        <w:autoSpaceDN w:val="0"/>
        <w:adjustRightInd w:val="0"/>
        <w:snapToGrid w:val="0"/>
        <w:spacing w:line="360" w:lineRule="auto"/>
        <w:ind w:firstLine="640" w:firstLineChars="200"/>
        <w:jc w:val="right"/>
        <w:rPr>
          <w:rFonts w:hint="default" w:ascii="Times New Roman" w:hAnsi="Times New Roman" w:eastAsia="宋体" w:cs="Times New Roman"/>
          <w:color w:val="auto"/>
          <w:sz w:val="32"/>
          <w:szCs w:val="32"/>
        </w:rPr>
      </w:pPr>
      <w:r>
        <w:rPr>
          <w:rFonts w:hint="default" w:ascii="Times New Roman" w:hAnsi="Times New Roman" w:eastAsia="宋体" w:cs="Times New Roman"/>
          <w:color w:val="auto"/>
          <w:sz w:val="32"/>
          <w:szCs w:val="32"/>
        </w:rPr>
        <w:t xml:space="preserve">（公章）       </w:t>
      </w:r>
    </w:p>
    <w:p w14:paraId="0C5E5364">
      <w:pPr>
        <w:pStyle w:val="8"/>
        <w:jc w:val="right"/>
        <w:rPr>
          <w:rFonts w:hint="default" w:ascii="Times New Roman" w:hAnsi="Times New Roman" w:eastAsia="宋体" w:cs="Times New Roman"/>
          <w:b/>
          <w:bCs/>
          <w:color w:val="auto"/>
          <w:kern w:val="0"/>
          <w:sz w:val="28"/>
          <w:szCs w:val="28"/>
          <w:lang w:eastAsia="zh-CN"/>
        </w:rPr>
      </w:pPr>
      <w:r>
        <w:rPr>
          <w:rFonts w:hint="default" w:ascii="Times New Roman" w:hAnsi="Times New Roman" w:eastAsia="宋体" w:cs="Times New Roman"/>
          <w:color w:val="auto"/>
          <w:sz w:val="32"/>
          <w:szCs w:val="32"/>
          <w:lang w:val="en-US" w:eastAsia="zh-CN"/>
        </w:rPr>
        <w:t xml:space="preserve"> </w:t>
      </w:r>
      <w:r>
        <w:rPr>
          <w:rFonts w:hint="default" w:ascii="Times New Roman" w:hAnsi="Times New Roman" w:eastAsia="宋体" w:cs="Times New Roman"/>
          <w:color w:val="auto"/>
          <w:sz w:val="32"/>
          <w:szCs w:val="32"/>
        </w:rPr>
        <w:t>年</w:t>
      </w:r>
      <w:r>
        <w:rPr>
          <w:rFonts w:hint="default" w:ascii="Times New Roman" w:hAnsi="Times New Roman" w:eastAsia="宋体" w:cs="Times New Roman"/>
          <w:color w:val="auto"/>
          <w:sz w:val="32"/>
          <w:szCs w:val="32"/>
          <w:lang w:val="en-US" w:eastAsia="zh-CN"/>
        </w:rPr>
        <w:t xml:space="preserve">  </w:t>
      </w:r>
      <w:r>
        <w:rPr>
          <w:rFonts w:hint="default" w:ascii="Times New Roman" w:hAnsi="Times New Roman" w:eastAsia="宋体" w:cs="Times New Roman"/>
          <w:color w:val="auto"/>
          <w:sz w:val="32"/>
          <w:szCs w:val="32"/>
        </w:rPr>
        <w:t>月</w:t>
      </w:r>
      <w:r>
        <w:rPr>
          <w:rFonts w:hint="default" w:ascii="Times New Roman" w:hAnsi="Times New Roman" w:eastAsia="宋体" w:cs="Times New Roman"/>
          <w:color w:val="auto"/>
          <w:sz w:val="32"/>
          <w:szCs w:val="32"/>
          <w:lang w:val="en-US" w:eastAsia="zh-CN"/>
        </w:rPr>
        <w:t xml:space="preserve">  </w:t>
      </w:r>
      <w:r>
        <w:rPr>
          <w:rFonts w:hint="default" w:ascii="Times New Roman" w:hAnsi="Times New Roman" w:eastAsia="宋体" w:cs="Times New Roman"/>
          <w:color w:val="auto"/>
          <w:sz w:val="32"/>
          <w:szCs w:val="32"/>
        </w:rPr>
        <w:t xml:space="preserve">日   </w:t>
      </w:r>
      <w:r>
        <w:rPr>
          <w:rFonts w:hint="default" w:ascii="Times New Roman" w:hAnsi="Times New Roman" w:eastAsia="宋体" w:cs="Times New Roman"/>
          <w:b/>
          <w:bCs/>
          <w:color w:val="auto"/>
          <w:kern w:val="0"/>
          <w:sz w:val="28"/>
          <w:szCs w:val="28"/>
          <w:lang w:eastAsia="zh-CN"/>
        </w:rPr>
        <w:t xml:space="preserve"> </w:t>
      </w:r>
    </w:p>
    <w:p w14:paraId="4AF47FE0">
      <w:pPr>
        <w:pStyle w:val="8"/>
        <w:tabs>
          <w:tab w:val="left" w:pos="2659"/>
        </w:tabs>
        <w:spacing w:after="0"/>
        <w:ind w:left="0" w:leftChars="0" w:firstLine="0" w:firstLineChars="0"/>
        <w:rPr>
          <w:rFonts w:hint="default" w:ascii="Times New Roman" w:hAnsi="Times New Roman" w:eastAsia="宋体" w:cs="Times New Roman"/>
          <w:b/>
          <w:bCs/>
          <w:color w:val="auto"/>
          <w:kern w:val="0"/>
          <w:sz w:val="28"/>
          <w:szCs w:val="28"/>
          <w:lang w:eastAsia="zh-CN"/>
        </w:rPr>
      </w:pPr>
    </w:p>
    <w:p w14:paraId="53381DA3">
      <w:pPr>
        <w:rPr>
          <w:rFonts w:hint="default" w:ascii="Times New Roman" w:hAnsi="Times New Roman" w:eastAsia="宋体" w:cs="Times New Roman"/>
          <w:b/>
          <w:bCs/>
          <w:color w:val="auto"/>
          <w:kern w:val="0"/>
          <w:sz w:val="28"/>
          <w:szCs w:val="28"/>
          <w:lang w:val="en-US" w:eastAsia="zh-CN"/>
        </w:rPr>
      </w:pPr>
      <w:r>
        <w:rPr>
          <w:rFonts w:hint="default" w:ascii="Times New Roman" w:hAnsi="Times New Roman" w:eastAsia="宋体" w:cs="Times New Roman"/>
          <w:b/>
          <w:bCs/>
          <w:color w:val="auto"/>
          <w:kern w:val="0"/>
          <w:sz w:val="28"/>
          <w:szCs w:val="28"/>
          <w:lang w:val="en-US" w:eastAsia="zh-CN"/>
        </w:rPr>
        <w:br w:type="page"/>
      </w:r>
    </w:p>
    <w:p w14:paraId="0E645CFD">
      <w:pPr>
        <w:pStyle w:val="8"/>
        <w:tabs>
          <w:tab w:val="left" w:pos="2659"/>
        </w:tabs>
        <w:spacing w:after="0"/>
        <w:ind w:left="0" w:leftChars="0" w:firstLine="0" w:firstLineChars="0"/>
        <w:rPr>
          <w:rFonts w:hint="default" w:ascii="Times New Roman" w:hAnsi="Times New Roman" w:eastAsia="宋体" w:cs="Times New Roman"/>
          <w:b/>
          <w:bCs/>
          <w:color w:val="auto"/>
          <w:kern w:val="0"/>
          <w:sz w:val="28"/>
          <w:szCs w:val="28"/>
          <w:lang w:val="en-US" w:eastAsia="zh-CN"/>
        </w:rPr>
      </w:pPr>
      <w:r>
        <w:rPr>
          <w:rFonts w:hint="default" w:ascii="Times New Roman" w:hAnsi="Times New Roman" w:eastAsia="宋体" w:cs="Times New Roman"/>
          <w:b/>
          <w:bCs/>
          <w:color w:val="auto"/>
          <w:kern w:val="0"/>
          <w:sz w:val="28"/>
          <w:szCs w:val="28"/>
          <w:lang w:eastAsia="zh-CN"/>
        </w:rPr>
        <w:t>附件</w:t>
      </w:r>
      <w:r>
        <w:rPr>
          <w:rFonts w:hint="default" w:ascii="Times New Roman" w:hAnsi="Times New Roman" w:eastAsia="宋体" w:cs="Times New Roman"/>
          <w:b/>
          <w:bCs/>
          <w:color w:val="auto"/>
          <w:kern w:val="0"/>
          <w:sz w:val="28"/>
          <w:szCs w:val="28"/>
          <w:lang w:val="en-US" w:eastAsia="zh-CN"/>
        </w:rPr>
        <w:t>7 现有项目检测报告</w:t>
      </w:r>
    </w:p>
    <w:p w14:paraId="11CFEF15">
      <w:pPr>
        <w:rPr>
          <w:rFonts w:hint="default" w:ascii="Times New Roman" w:hAnsi="Times New Roman" w:eastAsia="宋体" w:cs="Times New Roman"/>
          <w:color w:val="auto"/>
        </w:rPr>
      </w:pPr>
      <w:r>
        <w:rPr>
          <w:rFonts w:hint="default" w:ascii="Times New Roman" w:hAnsi="Times New Roman" w:eastAsia="宋体" w:cs="Times New Roman"/>
          <w:color w:val="auto"/>
        </w:rPr>
        <w:drawing>
          <wp:inline distT="0" distB="0" distL="114300" distR="114300">
            <wp:extent cx="5265420" cy="7618095"/>
            <wp:effectExtent l="0" t="0" r="11430" b="1905"/>
            <wp:docPr id="1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7"/>
                    <pic:cNvPicPr>
                      <a:picLocks noChangeAspect="1"/>
                    </pic:cNvPicPr>
                  </pic:nvPicPr>
                  <pic:blipFill>
                    <a:blip r:embed="rId33"/>
                    <a:stretch>
                      <a:fillRect/>
                    </a:stretch>
                  </pic:blipFill>
                  <pic:spPr>
                    <a:xfrm>
                      <a:off x="0" y="0"/>
                      <a:ext cx="5265420" cy="7618095"/>
                    </a:xfrm>
                    <a:prstGeom prst="rect">
                      <a:avLst/>
                    </a:prstGeom>
                    <a:noFill/>
                    <a:ln>
                      <a:noFill/>
                    </a:ln>
                  </pic:spPr>
                </pic:pic>
              </a:graphicData>
            </a:graphic>
          </wp:inline>
        </w:drawing>
      </w:r>
      <w:r>
        <w:rPr>
          <w:rFonts w:hint="default" w:ascii="Times New Roman" w:hAnsi="Times New Roman" w:eastAsia="宋体" w:cs="Times New Roman"/>
          <w:color w:val="auto"/>
        </w:rPr>
        <w:drawing>
          <wp:inline distT="0" distB="0" distL="114300" distR="114300">
            <wp:extent cx="5095875" cy="7943850"/>
            <wp:effectExtent l="0" t="0" r="9525" b="0"/>
            <wp:docPr id="1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8"/>
                    <pic:cNvPicPr>
                      <a:picLocks noChangeAspect="1"/>
                    </pic:cNvPicPr>
                  </pic:nvPicPr>
                  <pic:blipFill>
                    <a:blip r:embed="rId34"/>
                    <a:stretch>
                      <a:fillRect/>
                    </a:stretch>
                  </pic:blipFill>
                  <pic:spPr>
                    <a:xfrm>
                      <a:off x="0" y="0"/>
                      <a:ext cx="5095875" cy="7943850"/>
                    </a:xfrm>
                    <a:prstGeom prst="rect">
                      <a:avLst/>
                    </a:prstGeom>
                    <a:noFill/>
                    <a:ln>
                      <a:noFill/>
                    </a:ln>
                  </pic:spPr>
                </pic:pic>
              </a:graphicData>
            </a:graphic>
          </wp:inline>
        </w:drawing>
      </w:r>
      <w:r>
        <w:rPr>
          <w:rFonts w:hint="default" w:ascii="Times New Roman" w:hAnsi="Times New Roman" w:eastAsia="宋体" w:cs="Times New Roman"/>
          <w:color w:val="auto"/>
        </w:rPr>
        <w:drawing>
          <wp:inline distT="0" distB="0" distL="114300" distR="114300">
            <wp:extent cx="5264785" cy="7627620"/>
            <wp:effectExtent l="0" t="0" r="12065" b="11430"/>
            <wp:docPr id="1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9"/>
                    <pic:cNvPicPr>
                      <a:picLocks noChangeAspect="1"/>
                    </pic:cNvPicPr>
                  </pic:nvPicPr>
                  <pic:blipFill>
                    <a:blip r:embed="rId35"/>
                    <a:stretch>
                      <a:fillRect/>
                    </a:stretch>
                  </pic:blipFill>
                  <pic:spPr>
                    <a:xfrm>
                      <a:off x="0" y="0"/>
                      <a:ext cx="5264785" cy="7627620"/>
                    </a:xfrm>
                    <a:prstGeom prst="rect">
                      <a:avLst/>
                    </a:prstGeom>
                    <a:noFill/>
                    <a:ln>
                      <a:noFill/>
                    </a:ln>
                  </pic:spPr>
                </pic:pic>
              </a:graphicData>
            </a:graphic>
          </wp:inline>
        </w:drawing>
      </w:r>
      <w:r>
        <w:rPr>
          <w:rFonts w:hint="default" w:ascii="Times New Roman" w:hAnsi="Times New Roman" w:eastAsia="宋体" w:cs="Times New Roman"/>
          <w:color w:val="auto"/>
        </w:rPr>
        <w:drawing>
          <wp:inline distT="0" distB="0" distL="114300" distR="114300">
            <wp:extent cx="4838700" cy="7410450"/>
            <wp:effectExtent l="0" t="0" r="0" b="0"/>
            <wp:docPr id="1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0"/>
                    <pic:cNvPicPr>
                      <a:picLocks noChangeAspect="1"/>
                    </pic:cNvPicPr>
                  </pic:nvPicPr>
                  <pic:blipFill>
                    <a:blip r:embed="rId36"/>
                    <a:stretch>
                      <a:fillRect/>
                    </a:stretch>
                  </pic:blipFill>
                  <pic:spPr>
                    <a:xfrm>
                      <a:off x="0" y="0"/>
                      <a:ext cx="4838700" cy="7410450"/>
                    </a:xfrm>
                    <a:prstGeom prst="rect">
                      <a:avLst/>
                    </a:prstGeom>
                    <a:noFill/>
                    <a:ln>
                      <a:noFill/>
                    </a:ln>
                  </pic:spPr>
                </pic:pic>
              </a:graphicData>
            </a:graphic>
          </wp:inline>
        </w:drawing>
      </w:r>
      <w:r>
        <w:rPr>
          <w:rFonts w:hint="default" w:ascii="Times New Roman" w:hAnsi="Times New Roman" w:eastAsia="宋体" w:cs="Times New Roman"/>
          <w:color w:val="auto"/>
        </w:rPr>
        <w:drawing>
          <wp:inline distT="0" distB="0" distL="114300" distR="114300">
            <wp:extent cx="5191125" cy="7991475"/>
            <wp:effectExtent l="0" t="0" r="9525" b="9525"/>
            <wp:docPr id="2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1"/>
                    <pic:cNvPicPr>
                      <a:picLocks noChangeAspect="1"/>
                    </pic:cNvPicPr>
                  </pic:nvPicPr>
                  <pic:blipFill>
                    <a:blip r:embed="rId37"/>
                    <a:stretch>
                      <a:fillRect/>
                    </a:stretch>
                  </pic:blipFill>
                  <pic:spPr>
                    <a:xfrm>
                      <a:off x="0" y="0"/>
                      <a:ext cx="5191125" cy="7991475"/>
                    </a:xfrm>
                    <a:prstGeom prst="rect">
                      <a:avLst/>
                    </a:prstGeom>
                    <a:noFill/>
                    <a:ln>
                      <a:noFill/>
                    </a:ln>
                  </pic:spPr>
                </pic:pic>
              </a:graphicData>
            </a:graphic>
          </wp:inline>
        </w:drawing>
      </w:r>
      <w:r>
        <w:rPr>
          <w:rFonts w:hint="default" w:ascii="Times New Roman" w:hAnsi="Times New Roman" w:eastAsia="宋体" w:cs="Times New Roman"/>
          <w:color w:val="auto"/>
        </w:rPr>
        <w:drawing>
          <wp:inline distT="0" distB="0" distL="114300" distR="114300">
            <wp:extent cx="5086350" cy="7762875"/>
            <wp:effectExtent l="0" t="0" r="0" b="9525"/>
            <wp:docPr id="2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2"/>
                    <pic:cNvPicPr>
                      <a:picLocks noChangeAspect="1"/>
                    </pic:cNvPicPr>
                  </pic:nvPicPr>
                  <pic:blipFill>
                    <a:blip r:embed="rId38"/>
                    <a:stretch>
                      <a:fillRect/>
                    </a:stretch>
                  </pic:blipFill>
                  <pic:spPr>
                    <a:xfrm>
                      <a:off x="0" y="0"/>
                      <a:ext cx="5086350" cy="7762875"/>
                    </a:xfrm>
                    <a:prstGeom prst="rect">
                      <a:avLst/>
                    </a:prstGeom>
                    <a:noFill/>
                    <a:ln>
                      <a:noFill/>
                    </a:ln>
                  </pic:spPr>
                </pic:pic>
              </a:graphicData>
            </a:graphic>
          </wp:inline>
        </w:drawing>
      </w:r>
      <w:r>
        <w:rPr>
          <w:rFonts w:hint="default" w:ascii="Times New Roman" w:hAnsi="Times New Roman" w:eastAsia="宋体" w:cs="Times New Roman"/>
          <w:color w:val="auto"/>
        </w:rPr>
        <w:drawing>
          <wp:inline distT="0" distB="0" distL="114300" distR="114300">
            <wp:extent cx="4933950" cy="7277100"/>
            <wp:effectExtent l="0" t="0" r="0" b="0"/>
            <wp:docPr id="2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3"/>
                    <pic:cNvPicPr>
                      <a:picLocks noChangeAspect="1"/>
                    </pic:cNvPicPr>
                  </pic:nvPicPr>
                  <pic:blipFill>
                    <a:blip r:embed="rId39"/>
                    <a:stretch>
                      <a:fillRect/>
                    </a:stretch>
                  </pic:blipFill>
                  <pic:spPr>
                    <a:xfrm>
                      <a:off x="0" y="0"/>
                      <a:ext cx="4933950" cy="7277100"/>
                    </a:xfrm>
                    <a:prstGeom prst="rect">
                      <a:avLst/>
                    </a:prstGeom>
                    <a:noFill/>
                    <a:ln>
                      <a:noFill/>
                    </a:ln>
                  </pic:spPr>
                </pic:pic>
              </a:graphicData>
            </a:graphic>
          </wp:inline>
        </w:drawing>
      </w:r>
      <w:r>
        <w:rPr>
          <w:rFonts w:hint="default" w:ascii="Times New Roman" w:hAnsi="Times New Roman" w:eastAsia="宋体" w:cs="Times New Roman"/>
          <w:color w:val="auto"/>
        </w:rPr>
        <w:drawing>
          <wp:inline distT="0" distB="0" distL="114300" distR="114300">
            <wp:extent cx="5181600" cy="8153400"/>
            <wp:effectExtent l="0" t="0" r="0" b="0"/>
            <wp:docPr id="2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4"/>
                    <pic:cNvPicPr>
                      <a:picLocks noChangeAspect="1"/>
                    </pic:cNvPicPr>
                  </pic:nvPicPr>
                  <pic:blipFill>
                    <a:blip r:embed="rId40"/>
                    <a:stretch>
                      <a:fillRect/>
                    </a:stretch>
                  </pic:blipFill>
                  <pic:spPr>
                    <a:xfrm>
                      <a:off x="0" y="0"/>
                      <a:ext cx="5181600" cy="8153400"/>
                    </a:xfrm>
                    <a:prstGeom prst="rect">
                      <a:avLst/>
                    </a:prstGeom>
                    <a:noFill/>
                    <a:ln>
                      <a:noFill/>
                    </a:ln>
                  </pic:spPr>
                </pic:pic>
              </a:graphicData>
            </a:graphic>
          </wp:inline>
        </w:drawing>
      </w:r>
    </w:p>
    <w:p w14:paraId="6D70AA25">
      <w:pPr>
        <w:rPr>
          <w:rFonts w:hint="default" w:ascii="Times New Roman" w:hAnsi="Times New Roman" w:eastAsia="宋体" w:cs="Times New Roman"/>
          <w:color w:val="auto"/>
        </w:rPr>
      </w:pPr>
      <w:r>
        <w:rPr>
          <w:rFonts w:hint="default" w:ascii="Times New Roman" w:hAnsi="Times New Roman" w:eastAsia="宋体" w:cs="Times New Roman"/>
          <w:color w:val="auto"/>
        </w:rPr>
        <w:br w:type="page"/>
      </w:r>
    </w:p>
    <w:p w14:paraId="3CFC99B2">
      <w:pPr>
        <w:pStyle w:val="8"/>
        <w:tabs>
          <w:tab w:val="left" w:pos="2659"/>
        </w:tabs>
        <w:spacing w:after="0"/>
        <w:ind w:left="0" w:leftChars="0" w:firstLine="0" w:firstLineChars="0"/>
        <w:rPr>
          <w:rFonts w:hint="default" w:ascii="Times New Roman" w:hAnsi="Times New Roman" w:eastAsia="宋体" w:cs="Times New Roman"/>
          <w:b/>
          <w:bCs/>
          <w:color w:val="auto"/>
          <w:kern w:val="0"/>
          <w:sz w:val="28"/>
          <w:szCs w:val="28"/>
          <w:lang w:val="en-US" w:eastAsia="zh-CN"/>
        </w:rPr>
      </w:pPr>
      <w:r>
        <w:rPr>
          <w:rFonts w:hint="default" w:ascii="Times New Roman" w:hAnsi="Times New Roman" w:eastAsia="宋体" w:cs="Times New Roman"/>
          <w:b/>
          <w:bCs/>
          <w:color w:val="auto"/>
          <w:kern w:val="0"/>
          <w:sz w:val="28"/>
          <w:szCs w:val="28"/>
          <w:lang w:eastAsia="zh-CN"/>
        </w:rPr>
        <w:t>附件</w:t>
      </w:r>
      <w:r>
        <w:rPr>
          <w:rFonts w:hint="default" w:ascii="Times New Roman" w:hAnsi="Times New Roman" w:eastAsia="宋体" w:cs="Times New Roman"/>
          <w:b/>
          <w:bCs/>
          <w:color w:val="auto"/>
          <w:kern w:val="0"/>
          <w:sz w:val="28"/>
          <w:szCs w:val="28"/>
          <w:lang w:val="en-US" w:eastAsia="zh-CN"/>
        </w:rPr>
        <w:t>8 现有项目环评批复</w:t>
      </w:r>
    </w:p>
    <w:p w14:paraId="2A12A006">
      <w:pPr>
        <w:rPr>
          <w:rFonts w:hint="default" w:ascii="Times New Roman" w:hAnsi="Times New Roman" w:eastAsia="宋体" w:cs="Times New Roman"/>
          <w:color w:val="auto"/>
        </w:rPr>
      </w:pPr>
      <w:r>
        <w:rPr>
          <w:rFonts w:hint="default" w:ascii="Times New Roman" w:hAnsi="Times New Roman" w:eastAsia="宋体" w:cs="Times New Roman"/>
          <w:color w:val="auto"/>
        </w:rPr>
        <w:drawing>
          <wp:inline distT="0" distB="0" distL="114300" distR="114300">
            <wp:extent cx="5268595" cy="7785735"/>
            <wp:effectExtent l="0" t="0" r="8255" b="5715"/>
            <wp:docPr id="4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7"/>
                    <pic:cNvPicPr>
                      <a:picLocks noChangeAspect="1"/>
                    </pic:cNvPicPr>
                  </pic:nvPicPr>
                  <pic:blipFill>
                    <a:blip r:embed="rId41"/>
                    <a:stretch>
                      <a:fillRect/>
                    </a:stretch>
                  </pic:blipFill>
                  <pic:spPr>
                    <a:xfrm>
                      <a:off x="0" y="0"/>
                      <a:ext cx="5268595" cy="7785735"/>
                    </a:xfrm>
                    <a:prstGeom prst="rect">
                      <a:avLst/>
                    </a:prstGeom>
                    <a:noFill/>
                    <a:ln>
                      <a:noFill/>
                    </a:ln>
                  </pic:spPr>
                </pic:pic>
              </a:graphicData>
            </a:graphic>
          </wp:inline>
        </w:drawing>
      </w:r>
      <w:r>
        <w:rPr>
          <w:rFonts w:hint="default" w:ascii="Times New Roman" w:hAnsi="Times New Roman" w:eastAsia="宋体" w:cs="Times New Roman"/>
          <w:color w:val="auto"/>
        </w:rPr>
        <w:drawing>
          <wp:inline distT="0" distB="0" distL="114300" distR="114300">
            <wp:extent cx="4810125" cy="7753350"/>
            <wp:effectExtent l="0" t="0" r="9525" b="0"/>
            <wp:docPr id="5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8"/>
                    <pic:cNvPicPr>
                      <a:picLocks noChangeAspect="1"/>
                    </pic:cNvPicPr>
                  </pic:nvPicPr>
                  <pic:blipFill>
                    <a:blip r:embed="rId42"/>
                    <a:stretch>
                      <a:fillRect/>
                    </a:stretch>
                  </pic:blipFill>
                  <pic:spPr>
                    <a:xfrm>
                      <a:off x="0" y="0"/>
                      <a:ext cx="4810125" cy="7753350"/>
                    </a:xfrm>
                    <a:prstGeom prst="rect">
                      <a:avLst/>
                    </a:prstGeom>
                    <a:noFill/>
                    <a:ln>
                      <a:noFill/>
                    </a:ln>
                  </pic:spPr>
                </pic:pic>
              </a:graphicData>
            </a:graphic>
          </wp:inline>
        </w:drawing>
      </w:r>
      <w:r>
        <w:rPr>
          <w:rFonts w:hint="default" w:ascii="Times New Roman" w:hAnsi="Times New Roman" w:eastAsia="宋体" w:cs="Times New Roman"/>
          <w:color w:val="auto"/>
        </w:rPr>
        <w:drawing>
          <wp:inline distT="0" distB="0" distL="114300" distR="114300">
            <wp:extent cx="4667250" cy="7305675"/>
            <wp:effectExtent l="0" t="0" r="0" b="9525"/>
            <wp:docPr id="5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9"/>
                    <pic:cNvPicPr>
                      <a:picLocks noChangeAspect="1"/>
                    </pic:cNvPicPr>
                  </pic:nvPicPr>
                  <pic:blipFill>
                    <a:blip r:embed="rId43"/>
                    <a:stretch>
                      <a:fillRect/>
                    </a:stretch>
                  </pic:blipFill>
                  <pic:spPr>
                    <a:xfrm>
                      <a:off x="0" y="0"/>
                      <a:ext cx="4667250" cy="7305675"/>
                    </a:xfrm>
                    <a:prstGeom prst="rect">
                      <a:avLst/>
                    </a:prstGeom>
                    <a:noFill/>
                    <a:ln>
                      <a:noFill/>
                    </a:ln>
                  </pic:spPr>
                </pic:pic>
              </a:graphicData>
            </a:graphic>
          </wp:inline>
        </w:drawing>
      </w:r>
    </w:p>
    <w:p w14:paraId="466A4C03">
      <w:pPr>
        <w:rPr>
          <w:rFonts w:hint="default" w:ascii="Times New Roman" w:hAnsi="Times New Roman" w:eastAsia="宋体" w:cs="Times New Roman"/>
          <w:color w:val="auto"/>
        </w:rPr>
      </w:pPr>
      <w:r>
        <w:rPr>
          <w:rFonts w:hint="default" w:ascii="Times New Roman" w:hAnsi="Times New Roman" w:eastAsia="宋体" w:cs="Times New Roman"/>
          <w:color w:val="auto"/>
        </w:rPr>
        <w:br w:type="page"/>
      </w:r>
    </w:p>
    <w:p w14:paraId="794F9A74">
      <w:pPr>
        <w:pStyle w:val="8"/>
        <w:tabs>
          <w:tab w:val="left" w:pos="2659"/>
        </w:tabs>
        <w:spacing w:after="0"/>
        <w:ind w:left="0" w:leftChars="0" w:firstLine="0" w:firstLineChars="0"/>
        <w:rPr>
          <w:rFonts w:hint="default" w:ascii="Times New Roman" w:hAnsi="Times New Roman" w:eastAsia="宋体" w:cs="Times New Roman"/>
          <w:b/>
          <w:bCs/>
          <w:color w:val="auto"/>
          <w:kern w:val="0"/>
          <w:sz w:val="28"/>
          <w:szCs w:val="28"/>
          <w:lang w:val="en-US" w:eastAsia="zh-CN"/>
        </w:rPr>
      </w:pPr>
      <w:r>
        <w:rPr>
          <w:rFonts w:hint="default" w:ascii="Times New Roman" w:hAnsi="Times New Roman" w:eastAsia="宋体" w:cs="Times New Roman"/>
          <w:b/>
          <w:bCs/>
          <w:color w:val="auto"/>
          <w:kern w:val="0"/>
          <w:sz w:val="28"/>
          <w:szCs w:val="28"/>
          <w:lang w:eastAsia="zh-CN"/>
        </w:rPr>
        <w:t>附件</w:t>
      </w:r>
      <w:r>
        <w:rPr>
          <w:rFonts w:hint="default" w:ascii="Times New Roman" w:hAnsi="Times New Roman" w:eastAsia="宋体" w:cs="Times New Roman"/>
          <w:b/>
          <w:bCs/>
          <w:color w:val="auto"/>
          <w:kern w:val="0"/>
          <w:sz w:val="28"/>
          <w:szCs w:val="28"/>
          <w:lang w:val="en-US" w:eastAsia="zh-CN"/>
        </w:rPr>
        <w:t>9 企业转让证明</w:t>
      </w:r>
    </w:p>
    <w:p w14:paraId="08E5B4E6">
      <w:pPr>
        <w:rPr>
          <w:rFonts w:hint="default" w:ascii="Times New Roman" w:hAnsi="Times New Roman" w:eastAsia="宋体" w:cs="Times New Roman"/>
          <w:b/>
          <w:bCs/>
          <w:color w:val="auto"/>
          <w:kern w:val="0"/>
          <w:sz w:val="28"/>
          <w:szCs w:val="28"/>
          <w:lang w:val="en-US" w:eastAsia="zh-CN"/>
        </w:rPr>
      </w:pPr>
      <w:r>
        <w:rPr>
          <w:rFonts w:hint="default" w:ascii="Times New Roman" w:hAnsi="Times New Roman" w:eastAsia="宋体" w:cs="Times New Roman"/>
          <w:color w:val="auto"/>
        </w:rPr>
        <w:drawing>
          <wp:inline distT="0" distB="0" distL="114300" distR="114300">
            <wp:extent cx="5269865" cy="7393940"/>
            <wp:effectExtent l="0" t="0" r="6985" b="16510"/>
            <wp:docPr id="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pic:cNvPicPr>
                      <a:picLocks noChangeAspect="1"/>
                    </pic:cNvPicPr>
                  </pic:nvPicPr>
                  <pic:blipFill>
                    <a:blip r:embed="rId44"/>
                    <a:stretch>
                      <a:fillRect/>
                    </a:stretch>
                  </pic:blipFill>
                  <pic:spPr>
                    <a:xfrm>
                      <a:off x="0" y="0"/>
                      <a:ext cx="5269865" cy="7393940"/>
                    </a:xfrm>
                    <a:prstGeom prst="rect">
                      <a:avLst/>
                    </a:prstGeom>
                    <a:noFill/>
                    <a:ln>
                      <a:noFill/>
                    </a:ln>
                  </pic:spPr>
                </pic:pic>
              </a:graphicData>
            </a:graphic>
          </wp:inline>
        </w:drawing>
      </w:r>
      <w:r>
        <w:rPr>
          <w:rFonts w:hint="default" w:ascii="Times New Roman" w:hAnsi="Times New Roman" w:eastAsia="宋体" w:cs="Times New Roman"/>
          <w:color w:val="auto"/>
        </w:rPr>
        <w:drawing>
          <wp:inline distT="0" distB="0" distL="114300" distR="114300">
            <wp:extent cx="5266690" cy="7258050"/>
            <wp:effectExtent l="0" t="0" r="10160" b="0"/>
            <wp:docPr id="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pic:cNvPicPr>
                      <a:picLocks noChangeAspect="1"/>
                    </pic:cNvPicPr>
                  </pic:nvPicPr>
                  <pic:blipFill>
                    <a:blip r:embed="rId45"/>
                    <a:stretch>
                      <a:fillRect/>
                    </a:stretch>
                  </pic:blipFill>
                  <pic:spPr>
                    <a:xfrm>
                      <a:off x="0" y="0"/>
                      <a:ext cx="5266690" cy="7258050"/>
                    </a:xfrm>
                    <a:prstGeom prst="rect">
                      <a:avLst/>
                    </a:prstGeom>
                    <a:noFill/>
                    <a:ln>
                      <a:noFill/>
                    </a:ln>
                  </pic:spPr>
                </pic:pic>
              </a:graphicData>
            </a:graphic>
          </wp:inline>
        </w:drawing>
      </w:r>
      <w:r>
        <w:rPr>
          <w:rFonts w:hint="default" w:ascii="Times New Roman" w:hAnsi="Times New Roman" w:eastAsia="宋体" w:cs="Times New Roman"/>
          <w:b/>
          <w:bCs/>
          <w:color w:val="auto"/>
          <w:kern w:val="0"/>
          <w:sz w:val="28"/>
          <w:szCs w:val="28"/>
          <w:lang w:val="en-US" w:eastAsia="zh-CN"/>
        </w:rPr>
        <w:br w:type="page"/>
      </w:r>
    </w:p>
    <w:p w14:paraId="4DCF62BF">
      <w:pPr>
        <w:rPr>
          <w:rFonts w:hint="default" w:ascii="Times New Roman" w:hAnsi="Times New Roman" w:eastAsia="宋体" w:cs="Times New Roman"/>
          <w:color w:val="auto"/>
          <w:lang w:val="en-US" w:eastAsia="zh-CN"/>
        </w:rPr>
        <w:sectPr>
          <w:pgSz w:w="11906" w:h="16838"/>
          <w:pgMar w:top="1440" w:right="1803" w:bottom="1440" w:left="1803" w:header="850" w:footer="992" w:gutter="0"/>
          <w:pgBorders>
            <w:top w:val="none" w:sz="0" w:space="0"/>
            <w:left w:val="none" w:sz="0" w:space="0"/>
            <w:bottom w:val="none" w:sz="0" w:space="0"/>
            <w:right w:val="none" w:sz="0" w:space="0"/>
          </w:pgBorders>
          <w:pgNumType w:fmt="decimal"/>
          <w:cols w:space="720" w:num="1"/>
          <w:docGrid w:type="lines" w:linePitch="319" w:charSpace="0"/>
        </w:sectPr>
      </w:pPr>
    </w:p>
    <w:p w14:paraId="0D776F89">
      <w:pPr>
        <w:pStyle w:val="20"/>
        <w:ind w:left="0" w:leftChars="0" w:firstLine="0" w:firstLineChars="0"/>
        <w:jc w:val="both"/>
        <w:rPr>
          <w:rFonts w:hint="default" w:ascii="Times New Roman" w:hAnsi="Times New Roman" w:eastAsia="宋体" w:cs="Times New Roman"/>
          <w:b/>
          <w:bCs/>
          <w:color w:val="auto"/>
          <w:kern w:val="0"/>
          <w:szCs w:val="24"/>
        </w:rPr>
      </w:pPr>
      <w:r>
        <w:rPr>
          <w:rFonts w:hint="default" w:ascii="Times New Roman" w:hAnsi="Times New Roman" w:eastAsia="宋体" w:cs="Times New Roman"/>
          <w:b/>
          <w:bCs/>
          <w:color w:val="auto"/>
          <w:kern w:val="0"/>
          <w:szCs w:val="24"/>
        </w:rPr>
        <w:t>附图1 项目地理位置图（比例尺1:</w:t>
      </w:r>
      <w:r>
        <w:rPr>
          <w:rFonts w:hint="default" w:ascii="Times New Roman" w:hAnsi="Times New Roman" w:eastAsia="宋体" w:cs="Times New Roman"/>
          <w:b/>
          <w:bCs/>
          <w:color w:val="auto"/>
          <w:kern w:val="0"/>
          <w:szCs w:val="24"/>
          <w:lang w:val="en-US" w:eastAsia="zh-CN"/>
        </w:rPr>
        <w:t>3618</w:t>
      </w:r>
      <w:r>
        <w:rPr>
          <w:rFonts w:hint="default" w:ascii="Times New Roman" w:hAnsi="Times New Roman" w:eastAsia="宋体" w:cs="Times New Roman"/>
          <w:b/>
          <w:bCs/>
          <w:color w:val="auto"/>
          <w:kern w:val="0"/>
          <w:szCs w:val="24"/>
        </w:rPr>
        <w:t>）</w:t>
      </w:r>
    </w:p>
    <w:p w14:paraId="03BDF07C">
      <w:pPr>
        <w:rPr>
          <w:rFonts w:hint="default" w:ascii="Times New Roman" w:hAnsi="Times New Roman" w:eastAsia="宋体" w:cs="Times New Roman"/>
          <w:color w:val="auto"/>
          <w:kern w:val="0"/>
          <w:lang w:eastAsia="zh-CN"/>
        </w:rPr>
        <w:sectPr>
          <w:pgSz w:w="16838" w:h="11906" w:orient="landscape"/>
          <w:pgMar w:top="1803" w:right="1440" w:bottom="1803" w:left="1440" w:header="850" w:footer="992" w:gutter="0"/>
          <w:pgBorders>
            <w:top w:val="none" w:sz="0" w:space="0"/>
            <w:left w:val="none" w:sz="0" w:space="0"/>
            <w:bottom w:val="none" w:sz="0" w:space="0"/>
            <w:right w:val="none" w:sz="0" w:space="0"/>
          </w:pgBorders>
          <w:pgNumType w:fmt="decimal"/>
          <w:cols w:space="720" w:num="1"/>
          <w:docGrid w:type="lines" w:linePitch="319" w:charSpace="0"/>
        </w:sectPr>
      </w:pPr>
      <w:r>
        <w:rPr>
          <w:rFonts w:hint="default" w:ascii="Times New Roman" w:hAnsi="Times New Roman" w:eastAsia="宋体" w:cs="Times New Roman"/>
          <w:color w:val="auto"/>
          <w:lang w:eastAsia="zh-CN"/>
        </w:rPr>
        <w:drawing>
          <wp:anchor distT="0" distB="0" distL="114300" distR="114300" simplePos="0" relativeHeight="251673600" behindDoc="0" locked="0" layoutInCell="1" allowOverlap="1">
            <wp:simplePos x="0" y="0"/>
            <wp:positionH relativeFrom="column">
              <wp:posOffset>7902575</wp:posOffset>
            </wp:positionH>
            <wp:positionV relativeFrom="paragraph">
              <wp:posOffset>62230</wp:posOffset>
            </wp:positionV>
            <wp:extent cx="965200" cy="1022350"/>
            <wp:effectExtent l="0" t="0" r="6350" b="6350"/>
            <wp:wrapNone/>
            <wp:docPr id="43" name="图片 43" descr="1691552473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1691552473889"/>
                    <pic:cNvPicPr>
                      <a:picLocks noChangeAspect="1"/>
                    </pic:cNvPicPr>
                  </pic:nvPicPr>
                  <pic:blipFill>
                    <a:blip r:embed="rId46"/>
                    <a:stretch>
                      <a:fillRect/>
                    </a:stretch>
                  </pic:blipFill>
                  <pic:spPr>
                    <a:xfrm>
                      <a:off x="0" y="0"/>
                      <a:ext cx="965200" cy="1022350"/>
                    </a:xfrm>
                    <a:prstGeom prst="rect">
                      <a:avLst/>
                    </a:prstGeom>
                  </pic:spPr>
                </pic:pic>
              </a:graphicData>
            </a:graphic>
          </wp:anchor>
        </w:drawing>
      </w:r>
      <w:r>
        <w:rPr>
          <w:rFonts w:hint="default" w:ascii="Times New Roman" w:hAnsi="Times New Roman" w:eastAsia="宋体" w:cs="Times New Roman"/>
          <w:color w:val="auto"/>
          <w:sz w:val="21"/>
        </w:rPr>
        <mc:AlternateContent>
          <mc:Choice Requires="wps">
            <w:drawing>
              <wp:anchor distT="0" distB="0" distL="114300" distR="114300" simplePos="0" relativeHeight="251664384" behindDoc="0" locked="0" layoutInCell="1" allowOverlap="1">
                <wp:simplePos x="0" y="0"/>
                <wp:positionH relativeFrom="column">
                  <wp:posOffset>4829175</wp:posOffset>
                </wp:positionH>
                <wp:positionV relativeFrom="paragraph">
                  <wp:posOffset>1792605</wp:posOffset>
                </wp:positionV>
                <wp:extent cx="1018540" cy="263525"/>
                <wp:effectExtent l="156210" t="6350" r="6350" b="415925"/>
                <wp:wrapNone/>
                <wp:docPr id="11" name="矩形标注 11"/>
                <wp:cNvGraphicFramePr/>
                <a:graphic xmlns:a="http://schemas.openxmlformats.org/drawingml/2006/main">
                  <a:graphicData uri="http://schemas.microsoft.com/office/word/2010/wordprocessingShape">
                    <wps:wsp>
                      <wps:cNvSpPr/>
                      <wps:spPr>
                        <a:xfrm>
                          <a:off x="4081780" y="2398395"/>
                          <a:ext cx="1018540" cy="263525"/>
                        </a:xfrm>
                        <a:prstGeom prst="wedgeRectCallout">
                          <a:avLst>
                            <a:gd name="adj1" fmla="val -62344"/>
                            <a:gd name="adj2" fmla="val 191204"/>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3AFB914">
                            <w:pPr>
                              <w:jc w:val="center"/>
                              <w:rPr>
                                <w:rFonts w:hint="eastAsia" w:eastAsia="宋体"/>
                                <w:lang w:eastAsia="zh-CN"/>
                              </w:rPr>
                            </w:pPr>
                            <w:r>
                              <w:rPr>
                                <w:rFonts w:hint="eastAsia"/>
                                <w:lang w:eastAsia="zh-CN"/>
                              </w:rPr>
                              <w:t>项目所在地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80.25pt;margin-top:141.15pt;height:20.75pt;width:80.2pt;z-index:251664384;v-text-anchor:middle;mso-width-relative:page;mso-height-relative:page;" fillcolor="#4874CB [3204]" filled="t" stroked="t" coordsize="21600,21600" o:gfxdata="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" adj="-2666,52100">
                <v:fill on="t" focussize="0,0"/>
                <v:stroke weight="1pt" color="#325395 [3204]" miterlimit="8" joinstyle="miter"/>
                <v:imagedata o:title=""/>
                <o:lock v:ext="edit" aspectratio="f"/>
                <v:textbox>
                  <w:txbxContent>
                    <w:p w14:paraId="13AFB914">
                      <w:pPr>
                        <w:jc w:val="center"/>
                        <w:rPr>
                          <w:rFonts w:hint="eastAsia" w:eastAsia="宋体"/>
                          <w:lang w:eastAsia="zh-CN"/>
                        </w:rPr>
                      </w:pPr>
                      <w:r>
                        <w:rPr>
                          <w:rFonts w:hint="eastAsia"/>
                          <w:lang w:eastAsia="zh-CN"/>
                        </w:rPr>
                        <w:t>项目所在地</w:t>
                      </w:r>
                    </w:p>
                  </w:txbxContent>
                </v:textbox>
              </v:shape>
            </w:pict>
          </mc:Fallback>
        </mc:AlternateContent>
      </w:r>
      <w:r>
        <w:rPr>
          <w:rFonts w:hint="default" w:ascii="Times New Roman" w:hAnsi="Times New Roman" w:eastAsia="宋体" w:cs="Times New Roman"/>
          <w:color w:val="auto"/>
        </w:rPr>
        <w:drawing>
          <wp:inline distT="0" distB="0" distL="114300" distR="114300">
            <wp:extent cx="8854440" cy="4518025"/>
            <wp:effectExtent l="0" t="0" r="3810" b="15875"/>
            <wp:docPr id="4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7"/>
                    <pic:cNvPicPr>
                      <a:picLocks noChangeAspect="1"/>
                    </pic:cNvPicPr>
                  </pic:nvPicPr>
                  <pic:blipFill>
                    <a:blip r:embed="rId47"/>
                    <a:stretch>
                      <a:fillRect/>
                    </a:stretch>
                  </pic:blipFill>
                  <pic:spPr>
                    <a:xfrm>
                      <a:off x="0" y="0"/>
                      <a:ext cx="8854440" cy="4518025"/>
                    </a:xfrm>
                    <a:prstGeom prst="rect">
                      <a:avLst/>
                    </a:prstGeom>
                    <a:noFill/>
                    <a:ln>
                      <a:noFill/>
                    </a:ln>
                  </pic:spPr>
                </pic:pic>
              </a:graphicData>
            </a:graphic>
          </wp:inline>
        </w:drawing>
      </w:r>
    </w:p>
    <w:p w14:paraId="09E64981">
      <w:pPr>
        <w:pStyle w:val="8"/>
        <w:ind w:left="0" w:leftChars="0" w:firstLine="0" w:firstLineChars="0"/>
        <w:rPr>
          <w:rFonts w:hint="default" w:ascii="Times New Roman" w:hAnsi="Times New Roman" w:eastAsia="宋体" w:cs="Times New Roman"/>
          <w:b/>
          <w:bCs/>
          <w:color w:val="auto"/>
          <w:kern w:val="0"/>
          <w:sz w:val="24"/>
          <w:szCs w:val="32"/>
          <w:lang w:eastAsia="zh-CN"/>
        </w:rPr>
      </w:pPr>
      <w:r>
        <w:rPr>
          <w:rFonts w:hint="default" w:ascii="Times New Roman" w:hAnsi="Times New Roman" w:eastAsia="宋体" w:cs="Times New Roman"/>
          <w:color w:val="auto"/>
          <w:sz w:val="24"/>
          <w:szCs w:val="32"/>
          <w:lang w:eastAsia="zh-CN"/>
        </w:rPr>
        <w:drawing>
          <wp:anchor distT="0" distB="0" distL="114300" distR="114300" simplePos="0" relativeHeight="251687936" behindDoc="0" locked="0" layoutInCell="1" allowOverlap="1">
            <wp:simplePos x="0" y="0"/>
            <wp:positionH relativeFrom="column">
              <wp:posOffset>4277360</wp:posOffset>
            </wp:positionH>
            <wp:positionV relativeFrom="paragraph">
              <wp:posOffset>227330</wp:posOffset>
            </wp:positionV>
            <wp:extent cx="965200" cy="1022350"/>
            <wp:effectExtent l="0" t="0" r="6350" b="6350"/>
            <wp:wrapNone/>
            <wp:docPr id="15" name="图片 15" descr="1691552473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1691552473889"/>
                    <pic:cNvPicPr>
                      <a:picLocks noChangeAspect="1"/>
                    </pic:cNvPicPr>
                  </pic:nvPicPr>
                  <pic:blipFill>
                    <a:blip r:embed="rId46"/>
                    <a:stretch>
                      <a:fillRect/>
                    </a:stretch>
                  </pic:blipFill>
                  <pic:spPr>
                    <a:xfrm>
                      <a:off x="0" y="0"/>
                      <a:ext cx="965200" cy="1022350"/>
                    </a:xfrm>
                    <a:prstGeom prst="rect">
                      <a:avLst/>
                    </a:prstGeom>
                  </pic:spPr>
                </pic:pic>
              </a:graphicData>
            </a:graphic>
          </wp:anchor>
        </w:drawing>
      </w:r>
      <w:r>
        <w:rPr>
          <w:rFonts w:hint="default" w:ascii="Times New Roman" w:hAnsi="Times New Roman" w:eastAsia="宋体" w:cs="Times New Roman"/>
          <w:color w:val="auto"/>
          <w:sz w:val="24"/>
          <w:szCs w:val="32"/>
          <w:lang w:eastAsia="zh-CN"/>
        </w:rPr>
        <w:drawing>
          <wp:anchor distT="0" distB="0" distL="114300" distR="114300" simplePos="0" relativeHeight="251674624" behindDoc="0" locked="0" layoutInCell="1" allowOverlap="1">
            <wp:simplePos x="0" y="0"/>
            <wp:positionH relativeFrom="column">
              <wp:posOffset>7672070</wp:posOffset>
            </wp:positionH>
            <wp:positionV relativeFrom="paragraph">
              <wp:posOffset>575945</wp:posOffset>
            </wp:positionV>
            <wp:extent cx="965200" cy="1022350"/>
            <wp:effectExtent l="0" t="0" r="6350" b="6350"/>
            <wp:wrapNone/>
            <wp:docPr id="44" name="图片 44" descr="1691552473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1691552473889"/>
                    <pic:cNvPicPr>
                      <a:picLocks noChangeAspect="1"/>
                    </pic:cNvPicPr>
                  </pic:nvPicPr>
                  <pic:blipFill>
                    <a:blip r:embed="rId46"/>
                    <a:stretch>
                      <a:fillRect/>
                    </a:stretch>
                  </pic:blipFill>
                  <pic:spPr>
                    <a:xfrm>
                      <a:off x="0" y="0"/>
                      <a:ext cx="965200" cy="1022350"/>
                    </a:xfrm>
                    <a:prstGeom prst="rect">
                      <a:avLst/>
                    </a:prstGeom>
                  </pic:spPr>
                </pic:pic>
              </a:graphicData>
            </a:graphic>
          </wp:anchor>
        </w:drawing>
      </w:r>
      <w:r>
        <w:rPr>
          <w:rFonts w:hint="default" w:ascii="Times New Roman" w:hAnsi="Times New Roman" w:eastAsia="宋体" w:cs="Times New Roman"/>
          <w:b/>
          <w:bCs/>
          <w:color w:val="auto"/>
          <w:kern w:val="0"/>
          <w:sz w:val="24"/>
          <w:szCs w:val="32"/>
        </w:rPr>
        <w:t xml:space="preserve">附图2 </w:t>
      </w:r>
      <w:r>
        <w:rPr>
          <w:rFonts w:hint="default" w:ascii="Times New Roman" w:hAnsi="Times New Roman" w:eastAsia="宋体" w:cs="Times New Roman"/>
          <w:b/>
          <w:bCs/>
          <w:color w:val="auto"/>
          <w:kern w:val="0"/>
          <w:sz w:val="24"/>
          <w:szCs w:val="32"/>
          <w:lang w:eastAsia="zh-CN"/>
        </w:rPr>
        <w:t>厂</w:t>
      </w:r>
      <w:r>
        <w:rPr>
          <w:rFonts w:hint="default" w:ascii="Times New Roman" w:hAnsi="Times New Roman" w:eastAsia="宋体" w:cs="Times New Roman"/>
          <w:b/>
          <w:bCs/>
          <w:color w:val="auto"/>
          <w:kern w:val="0"/>
          <w:sz w:val="24"/>
          <w:szCs w:val="32"/>
        </w:rPr>
        <w:t>区总体平面布置图</w:t>
      </w:r>
      <w:r>
        <w:rPr>
          <w:rFonts w:hint="default" w:ascii="Times New Roman" w:hAnsi="Times New Roman" w:eastAsia="宋体" w:cs="Times New Roman"/>
          <w:b/>
          <w:bCs/>
          <w:color w:val="auto"/>
          <w:kern w:val="0"/>
          <w:sz w:val="24"/>
          <w:szCs w:val="32"/>
          <w:lang w:eastAsia="zh-CN"/>
        </w:rPr>
        <w:t>（</w:t>
      </w:r>
      <w:r>
        <w:rPr>
          <w:rFonts w:hint="default" w:ascii="Times New Roman" w:hAnsi="Times New Roman" w:eastAsia="宋体" w:cs="Times New Roman"/>
          <w:b/>
          <w:bCs/>
          <w:color w:val="auto"/>
          <w:kern w:val="0"/>
          <w:sz w:val="24"/>
          <w:szCs w:val="32"/>
          <w:lang w:val="en-US" w:eastAsia="zh-CN"/>
        </w:rPr>
        <w:t>1:200</w:t>
      </w:r>
      <w:r>
        <w:rPr>
          <w:rFonts w:hint="default" w:ascii="Times New Roman" w:hAnsi="Times New Roman" w:eastAsia="宋体" w:cs="Times New Roman"/>
          <w:b/>
          <w:bCs/>
          <w:color w:val="auto"/>
          <w:kern w:val="0"/>
          <w:sz w:val="24"/>
          <w:szCs w:val="32"/>
          <w:lang w:eastAsia="zh-CN"/>
        </w:rPr>
        <w:t>）</w:t>
      </w:r>
    </w:p>
    <w:p w14:paraId="5778C385">
      <w:pPr>
        <w:pStyle w:val="9"/>
        <w:rPr>
          <w:rFonts w:hint="default" w:ascii="Times New Roman" w:hAnsi="Times New Roman" w:eastAsia="宋体" w:cs="Times New Roman"/>
          <w:b/>
          <w:bCs/>
          <w:color w:val="auto"/>
          <w:kern w:val="0"/>
          <w:lang w:eastAsia="zh-CN"/>
        </w:rPr>
      </w:pPr>
      <w:r>
        <w:rPr>
          <w:rFonts w:hint="default" w:ascii="Times New Roman" w:hAnsi="Times New Roman" w:eastAsia="宋体" w:cs="Times New Roman"/>
          <w:color w:val="auto"/>
          <w:lang w:eastAsia="zh-CN"/>
        </w:rPr>
        <w:drawing>
          <wp:anchor distT="0" distB="0" distL="114300" distR="114300" simplePos="0" relativeHeight="251685888" behindDoc="0" locked="0" layoutInCell="1" allowOverlap="1">
            <wp:simplePos x="0" y="0"/>
            <wp:positionH relativeFrom="column">
              <wp:posOffset>7672070</wp:posOffset>
            </wp:positionH>
            <wp:positionV relativeFrom="paragraph">
              <wp:posOffset>411480</wp:posOffset>
            </wp:positionV>
            <wp:extent cx="965200" cy="1022350"/>
            <wp:effectExtent l="0" t="0" r="6350" b="6350"/>
            <wp:wrapNone/>
            <wp:docPr id="10" name="图片 10" descr="1691552473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1691552473889"/>
                    <pic:cNvPicPr>
                      <a:picLocks noChangeAspect="1"/>
                    </pic:cNvPicPr>
                  </pic:nvPicPr>
                  <pic:blipFill>
                    <a:blip r:embed="rId46"/>
                    <a:stretch>
                      <a:fillRect/>
                    </a:stretch>
                  </pic:blipFill>
                  <pic:spPr>
                    <a:xfrm>
                      <a:off x="0" y="0"/>
                      <a:ext cx="965200" cy="1022350"/>
                    </a:xfrm>
                    <a:prstGeom prst="rect">
                      <a:avLst/>
                    </a:prstGeom>
                  </pic:spPr>
                </pic:pic>
              </a:graphicData>
            </a:graphic>
          </wp:anchor>
        </w:drawing>
      </w:r>
    </w:p>
    <w:p w14:paraId="33ECDD4F">
      <w:pPr>
        <w:rPr>
          <w:rFonts w:hint="default" w:ascii="Times New Roman" w:hAnsi="Times New Roman" w:eastAsia="宋体" w:cs="Times New Roman"/>
          <w:b/>
          <w:bCs/>
          <w:color w:val="auto"/>
          <w:kern w:val="0"/>
          <w:lang w:eastAsia="zh-CN"/>
        </w:rPr>
      </w:pPr>
    </w:p>
    <w:p w14:paraId="1AD97EB8">
      <w:pPr>
        <w:pStyle w:val="8"/>
        <w:rPr>
          <w:rFonts w:hint="default" w:ascii="Times New Roman" w:hAnsi="Times New Roman" w:eastAsia="宋体" w:cs="Times New Roman"/>
          <w:b/>
          <w:bCs/>
          <w:color w:val="auto"/>
          <w:kern w:val="0"/>
          <w:lang w:eastAsia="zh-CN"/>
        </w:rPr>
      </w:pPr>
    </w:p>
    <w:p w14:paraId="2ECADEC9">
      <w:pPr>
        <w:pStyle w:val="9"/>
        <w:rPr>
          <w:rFonts w:hint="default" w:ascii="Times New Roman" w:hAnsi="Times New Roman" w:eastAsia="宋体" w:cs="Times New Roman"/>
          <w:b/>
          <w:bCs/>
          <w:color w:val="auto"/>
          <w:kern w:val="0"/>
          <w:lang w:eastAsia="zh-CN"/>
        </w:rPr>
      </w:pPr>
    </w:p>
    <w:p w14:paraId="0E64E012">
      <w:pPr>
        <w:rPr>
          <w:rFonts w:hint="default" w:ascii="Times New Roman" w:hAnsi="Times New Roman" w:eastAsia="宋体" w:cs="Times New Roman"/>
          <w:color w:val="auto"/>
          <w:lang w:eastAsia="zh-CN"/>
        </w:rPr>
      </w:pPr>
    </w:p>
    <w:p w14:paraId="5DF09638">
      <w:pPr>
        <w:pStyle w:val="8"/>
        <w:spacing w:after="0"/>
        <w:ind w:left="0" w:leftChars="0" w:firstLine="0" w:firstLineChars="0"/>
        <w:jc w:val="center"/>
        <w:rPr>
          <w:rFonts w:hint="default" w:ascii="Times New Roman" w:hAnsi="Times New Roman" w:eastAsia="宋体" w:cs="Times New Roman"/>
          <w:color w:val="auto"/>
          <w:kern w:val="0"/>
          <w:lang w:eastAsia="zh-CN"/>
        </w:rPr>
      </w:pPr>
      <w:r>
        <w:rPr>
          <w:rFonts w:hint="default" w:ascii="Times New Roman" w:hAnsi="Times New Roman" w:eastAsia="宋体" w:cs="Times New Roman"/>
          <w:color w:val="auto"/>
        </w:rPr>
        <w:drawing>
          <wp:inline distT="0" distB="0" distL="114300" distR="114300">
            <wp:extent cx="5265420" cy="5246370"/>
            <wp:effectExtent l="0" t="0" r="11430" b="11430"/>
            <wp:docPr id="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6"/>
                    <pic:cNvPicPr>
                      <a:picLocks noChangeAspect="1"/>
                    </pic:cNvPicPr>
                  </pic:nvPicPr>
                  <pic:blipFill>
                    <a:blip r:embed="rId48"/>
                    <a:stretch>
                      <a:fillRect/>
                    </a:stretch>
                  </pic:blipFill>
                  <pic:spPr>
                    <a:xfrm>
                      <a:off x="0" y="0"/>
                      <a:ext cx="5265420" cy="5246370"/>
                    </a:xfrm>
                    <a:prstGeom prst="rect">
                      <a:avLst/>
                    </a:prstGeom>
                    <a:noFill/>
                    <a:ln>
                      <a:noFill/>
                    </a:ln>
                  </pic:spPr>
                </pic:pic>
              </a:graphicData>
            </a:graphic>
          </wp:inline>
        </w:drawing>
      </w:r>
      <w:r>
        <w:rPr>
          <w:rFonts w:hint="default" w:ascii="Times New Roman" w:hAnsi="Times New Roman" w:eastAsia="宋体" w:cs="Times New Roman"/>
          <w:color w:val="auto"/>
          <w:lang w:eastAsia="zh-CN"/>
        </w:rPr>
        <w:drawing>
          <wp:anchor distT="0" distB="0" distL="114300" distR="114300" simplePos="0" relativeHeight="251675648" behindDoc="0" locked="0" layoutInCell="1" allowOverlap="1">
            <wp:simplePos x="0" y="0"/>
            <wp:positionH relativeFrom="column">
              <wp:posOffset>7672070</wp:posOffset>
            </wp:positionH>
            <wp:positionV relativeFrom="paragraph">
              <wp:posOffset>411480</wp:posOffset>
            </wp:positionV>
            <wp:extent cx="965200" cy="1022350"/>
            <wp:effectExtent l="0" t="0" r="6350" b="6350"/>
            <wp:wrapNone/>
            <wp:docPr id="45" name="图片 45" descr="1691552473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1691552473889"/>
                    <pic:cNvPicPr>
                      <a:picLocks noChangeAspect="1"/>
                    </pic:cNvPicPr>
                  </pic:nvPicPr>
                  <pic:blipFill>
                    <a:blip r:embed="rId46"/>
                    <a:stretch>
                      <a:fillRect/>
                    </a:stretch>
                  </pic:blipFill>
                  <pic:spPr>
                    <a:xfrm>
                      <a:off x="0" y="0"/>
                      <a:ext cx="965200" cy="1022350"/>
                    </a:xfrm>
                    <a:prstGeom prst="rect">
                      <a:avLst/>
                    </a:prstGeom>
                  </pic:spPr>
                </pic:pic>
              </a:graphicData>
            </a:graphic>
          </wp:anchor>
        </w:drawing>
      </w:r>
      <w:r>
        <w:rPr>
          <w:rFonts w:hint="default" w:ascii="Times New Roman" w:hAnsi="Times New Roman" w:eastAsia="宋体" w:cs="Times New Roman"/>
          <w:color w:val="auto"/>
          <w:lang w:eastAsia="zh-CN"/>
        </w:rPr>
        <w:drawing>
          <wp:anchor distT="0" distB="0" distL="114300" distR="114300" simplePos="0" relativeHeight="251676672" behindDoc="0" locked="0" layoutInCell="1" allowOverlap="1">
            <wp:simplePos x="0" y="0"/>
            <wp:positionH relativeFrom="column">
              <wp:posOffset>7824470</wp:posOffset>
            </wp:positionH>
            <wp:positionV relativeFrom="paragraph">
              <wp:posOffset>563880</wp:posOffset>
            </wp:positionV>
            <wp:extent cx="965200" cy="1022350"/>
            <wp:effectExtent l="0" t="0" r="6350" b="6350"/>
            <wp:wrapNone/>
            <wp:docPr id="46" name="图片 46" descr="1691552473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1691552473889"/>
                    <pic:cNvPicPr>
                      <a:picLocks noChangeAspect="1"/>
                    </pic:cNvPicPr>
                  </pic:nvPicPr>
                  <pic:blipFill>
                    <a:blip r:embed="rId46"/>
                    <a:stretch>
                      <a:fillRect/>
                    </a:stretch>
                  </pic:blipFill>
                  <pic:spPr>
                    <a:xfrm>
                      <a:off x="0" y="0"/>
                      <a:ext cx="965200" cy="1022350"/>
                    </a:xfrm>
                    <a:prstGeom prst="rect">
                      <a:avLst/>
                    </a:prstGeom>
                  </pic:spPr>
                </pic:pic>
              </a:graphicData>
            </a:graphic>
          </wp:anchor>
        </w:drawing>
      </w:r>
    </w:p>
    <w:p w14:paraId="2203E912">
      <w:pPr>
        <w:pStyle w:val="8"/>
        <w:ind w:left="0" w:leftChars="0" w:firstLine="0" w:firstLineChars="0"/>
        <w:rPr>
          <w:rFonts w:hint="default" w:ascii="Times New Roman" w:hAnsi="Times New Roman" w:eastAsia="宋体" w:cs="Times New Roman"/>
          <w:b/>
          <w:bCs/>
          <w:color w:val="auto"/>
          <w:kern w:val="0"/>
        </w:rPr>
        <w:sectPr>
          <w:pgSz w:w="11906" w:h="16838"/>
          <w:pgMar w:top="1440" w:right="1803" w:bottom="1440" w:left="1803" w:header="850" w:footer="992" w:gutter="0"/>
          <w:pgBorders>
            <w:top w:val="none" w:sz="0" w:space="0"/>
            <w:left w:val="none" w:sz="0" w:space="0"/>
            <w:bottom w:val="none" w:sz="0" w:space="0"/>
            <w:right w:val="none" w:sz="0" w:space="0"/>
          </w:pgBorders>
          <w:pgNumType w:fmt="decimal"/>
          <w:cols w:space="720" w:num="1"/>
          <w:docGrid w:type="lines" w:linePitch="319" w:charSpace="0"/>
        </w:sectPr>
      </w:pPr>
      <w:r>
        <w:rPr>
          <w:rFonts w:hint="default" w:ascii="Times New Roman" w:hAnsi="Times New Roman" w:eastAsia="宋体" w:cs="Times New Roman"/>
          <w:color w:val="auto"/>
          <w:lang w:eastAsia="zh-CN"/>
        </w:rPr>
        <w:drawing>
          <wp:anchor distT="0" distB="0" distL="114300" distR="114300" simplePos="0" relativeHeight="251686912" behindDoc="0" locked="0" layoutInCell="1" allowOverlap="1">
            <wp:simplePos x="0" y="0"/>
            <wp:positionH relativeFrom="column">
              <wp:posOffset>7814945</wp:posOffset>
            </wp:positionH>
            <wp:positionV relativeFrom="paragraph">
              <wp:posOffset>-5987415</wp:posOffset>
            </wp:positionV>
            <wp:extent cx="965200" cy="1022350"/>
            <wp:effectExtent l="0" t="0" r="6350" b="6350"/>
            <wp:wrapNone/>
            <wp:docPr id="12" name="图片 12" descr="1691552473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1691552473889"/>
                    <pic:cNvPicPr>
                      <a:picLocks noChangeAspect="1"/>
                    </pic:cNvPicPr>
                  </pic:nvPicPr>
                  <pic:blipFill>
                    <a:blip r:embed="rId46"/>
                    <a:stretch>
                      <a:fillRect/>
                    </a:stretch>
                  </pic:blipFill>
                  <pic:spPr>
                    <a:xfrm>
                      <a:off x="0" y="0"/>
                      <a:ext cx="965200" cy="1022350"/>
                    </a:xfrm>
                    <a:prstGeom prst="rect">
                      <a:avLst/>
                    </a:prstGeom>
                  </pic:spPr>
                </pic:pic>
              </a:graphicData>
            </a:graphic>
          </wp:anchor>
        </w:drawing>
      </w:r>
    </w:p>
    <w:p w14:paraId="2D8EE436">
      <w:pPr>
        <w:pStyle w:val="8"/>
        <w:ind w:left="0" w:leftChars="0" w:firstLine="0" w:firstLineChars="0"/>
        <w:rPr>
          <w:rFonts w:hint="default" w:ascii="Times New Roman" w:hAnsi="Times New Roman" w:eastAsia="宋体" w:cs="Times New Roman"/>
          <w:b/>
          <w:bCs/>
          <w:color w:val="auto"/>
          <w:lang w:eastAsia="zh-CN"/>
        </w:rPr>
      </w:pPr>
      <w:r>
        <w:rPr>
          <w:rFonts w:hint="default" w:ascii="Times New Roman" w:hAnsi="Times New Roman" w:eastAsia="宋体" w:cs="Times New Roman"/>
          <w:b/>
          <w:bCs/>
          <w:color w:val="auto"/>
        </w:rPr>
        <w:t>附图</w:t>
      </w:r>
      <w:r>
        <w:rPr>
          <w:rFonts w:hint="default" w:ascii="Times New Roman" w:hAnsi="Times New Roman" w:eastAsia="宋体" w:cs="Times New Roman"/>
          <w:b/>
          <w:bCs/>
          <w:color w:val="auto"/>
          <w:lang w:val="en-US" w:eastAsia="zh-CN"/>
        </w:rPr>
        <w:t>3</w:t>
      </w:r>
      <w:r>
        <w:rPr>
          <w:rFonts w:hint="default" w:ascii="Times New Roman" w:hAnsi="Times New Roman" w:eastAsia="宋体" w:cs="Times New Roman"/>
          <w:b/>
          <w:bCs/>
          <w:color w:val="auto"/>
        </w:rPr>
        <w:t xml:space="preserve"> 环境保护目标分布图（比例尺1:</w:t>
      </w:r>
      <w:r>
        <w:rPr>
          <w:rFonts w:hint="default" w:ascii="Times New Roman" w:hAnsi="Times New Roman" w:eastAsia="宋体" w:cs="Times New Roman"/>
          <w:b/>
          <w:bCs/>
          <w:color w:val="auto"/>
          <w:lang w:val="en-US" w:eastAsia="zh-CN"/>
        </w:rPr>
        <w:t>7236</w:t>
      </w:r>
      <w:r>
        <w:rPr>
          <w:rFonts w:hint="default" w:ascii="Times New Roman" w:hAnsi="Times New Roman" w:eastAsia="宋体" w:cs="Times New Roman"/>
          <w:b/>
          <w:bCs/>
          <w:color w:val="auto"/>
        </w:rPr>
        <w:t>）</w:t>
      </w:r>
    </w:p>
    <w:p w14:paraId="6E7D0C76">
      <w:pPr>
        <w:rPr>
          <w:rFonts w:hint="default" w:ascii="Times New Roman" w:hAnsi="Times New Roman" w:eastAsia="宋体" w:cs="Times New Roman"/>
          <w:color w:val="auto"/>
        </w:rPr>
        <w:sectPr>
          <w:pgSz w:w="16838" w:h="11906" w:orient="landscape"/>
          <w:pgMar w:top="1803" w:right="1440" w:bottom="1803" w:left="1440" w:header="850" w:footer="992" w:gutter="0"/>
          <w:pgBorders>
            <w:top w:val="none" w:sz="0" w:space="0"/>
            <w:left w:val="none" w:sz="0" w:space="0"/>
            <w:bottom w:val="none" w:sz="0" w:space="0"/>
            <w:right w:val="none" w:sz="0" w:space="0"/>
          </w:pgBorders>
          <w:pgNumType w:fmt="decimal"/>
          <w:cols w:space="720" w:num="1"/>
          <w:docGrid w:type="lines" w:linePitch="319" w:charSpace="0"/>
        </w:sectPr>
      </w:pPr>
      <w:r>
        <w:rPr>
          <w:rFonts w:hint="default" w:ascii="Times New Roman" w:hAnsi="Times New Roman" w:eastAsia="宋体" w:cs="Times New Roman"/>
          <w:color w:val="auto"/>
          <w:sz w:val="21"/>
        </w:rPr>
        <mc:AlternateContent>
          <mc:Choice Requires="wps">
            <w:drawing>
              <wp:anchor distT="0" distB="0" distL="114300" distR="114300" simplePos="0" relativeHeight="251684864" behindDoc="0" locked="0" layoutInCell="1" allowOverlap="1">
                <wp:simplePos x="0" y="0"/>
                <wp:positionH relativeFrom="column">
                  <wp:posOffset>121920</wp:posOffset>
                </wp:positionH>
                <wp:positionV relativeFrom="paragraph">
                  <wp:posOffset>4021455</wp:posOffset>
                </wp:positionV>
                <wp:extent cx="229870" cy="219075"/>
                <wp:effectExtent l="6350" t="6350" r="11430" b="22225"/>
                <wp:wrapNone/>
                <wp:docPr id="56" name="椭圆 56"/>
                <wp:cNvGraphicFramePr/>
                <a:graphic xmlns:a="http://schemas.openxmlformats.org/drawingml/2006/main">
                  <a:graphicData uri="http://schemas.microsoft.com/office/word/2010/wordprocessingShape">
                    <wps:wsp>
                      <wps:cNvSpPr/>
                      <wps:spPr>
                        <a:xfrm>
                          <a:off x="0" y="0"/>
                          <a:ext cx="229870" cy="219075"/>
                        </a:xfrm>
                        <a:prstGeom prst="ellipse">
                          <a:avLst/>
                        </a:prstGeom>
                        <a:solidFill>
                          <a:srgbClr val="FFFF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9.6pt;margin-top:316.65pt;height:17.25pt;width:18.1pt;z-index:251684864;v-text-anchor:middle;mso-width-relative:page;mso-height-relative:page;" fillcolor="#FFFF00" filled="t" stroked="t" coordsize="21600,21600" o:gfxdata="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&#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FgUCsDaAAAACQEAAA8AAAAAAAAAAQAgAAAAIgAAAGRy&#10;cy9kb3ducmV2LnhtbFBLAQIUABQAAAAIAIdO4kDQMi9MdQIAAPgEAAAOAAAAAAAAAAEAIAAAACkB&#10;AABkcnMvZTJvRG9jLnhtbFBLBQYAAAAABgAGAFkBAAAQBgAAAAA=&#10;">
                <v:fill on="t" focussize="0,0"/>
                <v:stroke weight="1pt" color="#FF0000 [2404]" miterlimit="8" joinstyle="miter"/>
                <v:imagedata o:title=""/>
                <o:lock v:ext="edit" aspectratio="f"/>
              </v:shape>
            </w:pict>
          </mc:Fallback>
        </mc:AlternateContent>
      </w:r>
      <w:r>
        <w:rPr>
          <w:rFonts w:hint="default" w:ascii="Times New Roman" w:hAnsi="Times New Roman" w:eastAsia="宋体" w:cs="Times New Roman"/>
          <w:color w:val="auto"/>
          <w:sz w:val="21"/>
        </w:rPr>
        <mc:AlternateContent>
          <mc:Choice Requires="wps">
            <w:drawing>
              <wp:anchor distT="0" distB="0" distL="114300" distR="114300" simplePos="0" relativeHeight="251671552" behindDoc="0" locked="0" layoutInCell="1" allowOverlap="1">
                <wp:simplePos x="0" y="0"/>
                <wp:positionH relativeFrom="column">
                  <wp:posOffset>26670</wp:posOffset>
                </wp:positionH>
                <wp:positionV relativeFrom="paragraph">
                  <wp:posOffset>3983355</wp:posOffset>
                </wp:positionV>
                <wp:extent cx="1409700" cy="552450"/>
                <wp:effectExtent l="4445" t="4445" r="14605" b="14605"/>
                <wp:wrapNone/>
                <wp:docPr id="14" name="文本框 14"/>
                <wp:cNvGraphicFramePr/>
                <a:graphic xmlns:a="http://schemas.openxmlformats.org/drawingml/2006/main">
                  <a:graphicData uri="http://schemas.microsoft.com/office/word/2010/wordprocessingShape">
                    <wps:wsp>
                      <wps:cNvSpPr txBox="1"/>
                      <wps:spPr>
                        <a:xfrm>
                          <a:off x="2131695" y="5616575"/>
                          <a:ext cx="1409700" cy="55245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3AB50881">
                            <w:pPr>
                              <w:keepNext w:val="0"/>
                              <w:keepLines w:val="0"/>
                              <w:pageBreakBefore w:val="0"/>
                              <w:widowControl w:val="0"/>
                              <w:kinsoku/>
                              <w:wordWrap/>
                              <w:overflowPunct/>
                              <w:topLinePunct w:val="0"/>
                              <w:bidi w:val="0"/>
                              <w:adjustRightInd/>
                              <w:snapToGrid/>
                              <w:textAlignment w:val="auto"/>
                              <w:rPr>
                                <w:rFonts w:hint="eastAsia"/>
                                <w:lang w:val="en-US" w:eastAsia="zh-CN"/>
                              </w:rPr>
                            </w:pPr>
                            <w:r>
                              <w:rPr>
                                <w:rFonts w:hint="eastAsia"/>
                                <w:lang w:val="en-US" w:eastAsia="zh-CN"/>
                              </w:rPr>
                              <w:t xml:space="preserve">      敏感目标</w:t>
                            </w:r>
                          </w:p>
                          <w:p w14:paraId="6CD3015E">
                            <w:pPr>
                              <w:keepNext w:val="0"/>
                              <w:keepLines w:val="0"/>
                              <w:pageBreakBefore w:val="0"/>
                              <w:widowControl w:val="0"/>
                              <w:kinsoku/>
                              <w:wordWrap/>
                              <w:overflowPunct/>
                              <w:topLinePunct w:val="0"/>
                              <w:bidi w:val="0"/>
                              <w:adjustRightInd/>
                              <w:snapToGrid/>
                              <w:ind w:firstLine="630" w:firstLineChars="300"/>
                              <w:textAlignment w:val="auto"/>
                              <w:rPr>
                                <w:rFonts w:hint="default" w:eastAsia="宋体"/>
                                <w:lang w:val="en-US" w:eastAsia="zh-CN"/>
                              </w:rPr>
                            </w:pPr>
                            <w:r>
                              <w:rPr>
                                <w:rFonts w:hint="eastAsia"/>
                                <w:lang w:val="en-US" w:eastAsia="zh-CN"/>
                              </w:rPr>
                              <w:t>500m范围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pt;margin-top:313.65pt;height:43.5pt;width:111pt;z-index:251671552;mso-width-relative:page;mso-height-relative:page;" fillcolor="#FFFFFF [3201]" filled="t" stroked="t" coordsize="21600,21600" o:gfxdata="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DT9Liv1gAAAAkBAAAPAAAAAAAAAAEAIAAAACIAAABkcnMvZG93bnJldi54bWxQSwECFAAU&#10;AAAACACHTuJAKDoCnmUCAADFBAAADgAAAAAAAAABACAAAAAlAQAAZHJzL2Uyb0RvYy54bWxQSwUG&#10;AAAAAAYABgBZAQAA/AUAAAAA&#10;">
                <v:fill on="t" focussize="0,0"/>
                <v:stroke weight="0.5pt" color="#000000 [3204]" joinstyle="round"/>
                <v:imagedata o:title=""/>
                <o:lock v:ext="edit" aspectratio="f"/>
                <v:textbox>
                  <w:txbxContent>
                    <w:p w14:paraId="3AB50881">
                      <w:pPr>
                        <w:keepNext w:val="0"/>
                        <w:keepLines w:val="0"/>
                        <w:pageBreakBefore w:val="0"/>
                        <w:widowControl w:val="0"/>
                        <w:kinsoku/>
                        <w:wordWrap/>
                        <w:overflowPunct/>
                        <w:topLinePunct w:val="0"/>
                        <w:bidi w:val="0"/>
                        <w:adjustRightInd/>
                        <w:snapToGrid/>
                        <w:textAlignment w:val="auto"/>
                        <w:rPr>
                          <w:rFonts w:hint="eastAsia"/>
                          <w:lang w:val="en-US" w:eastAsia="zh-CN"/>
                        </w:rPr>
                      </w:pPr>
                      <w:r>
                        <w:rPr>
                          <w:rFonts w:hint="eastAsia"/>
                          <w:lang w:val="en-US" w:eastAsia="zh-CN"/>
                        </w:rPr>
                        <w:t xml:space="preserve">      敏感目标</w:t>
                      </w:r>
                    </w:p>
                    <w:p w14:paraId="6CD3015E">
                      <w:pPr>
                        <w:keepNext w:val="0"/>
                        <w:keepLines w:val="0"/>
                        <w:pageBreakBefore w:val="0"/>
                        <w:widowControl w:val="0"/>
                        <w:kinsoku/>
                        <w:wordWrap/>
                        <w:overflowPunct/>
                        <w:topLinePunct w:val="0"/>
                        <w:bidi w:val="0"/>
                        <w:adjustRightInd/>
                        <w:snapToGrid/>
                        <w:ind w:firstLine="630" w:firstLineChars="300"/>
                        <w:textAlignment w:val="auto"/>
                        <w:rPr>
                          <w:rFonts w:hint="default" w:eastAsia="宋体"/>
                          <w:lang w:val="en-US" w:eastAsia="zh-CN"/>
                        </w:rPr>
                      </w:pPr>
                      <w:r>
                        <w:rPr>
                          <w:rFonts w:hint="eastAsia"/>
                          <w:lang w:val="en-US" w:eastAsia="zh-CN"/>
                        </w:rPr>
                        <w:t>500m范围</w:t>
                      </w:r>
                    </w:p>
                  </w:txbxContent>
                </v:textbox>
              </v:shape>
            </w:pict>
          </mc:Fallback>
        </mc:AlternateContent>
      </w:r>
      <w:r>
        <w:rPr>
          <w:rFonts w:hint="default" w:ascii="Times New Roman" w:hAnsi="Times New Roman" w:eastAsia="宋体" w:cs="Times New Roman"/>
          <w:color w:val="auto"/>
        </w:rPr>
        <w:drawing>
          <wp:anchor distT="0" distB="0" distL="114300" distR="114300" simplePos="0" relativeHeight="251683840" behindDoc="0" locked="0" layoutInCell="1" allowOverlap="1">
            <wp:simplePos x="0" y="0"/>
            <wp:positionH relativeFrom="column">
              <wp:posOffset>9525</wp:posOffset>
            </wp:positionH>
            <wp:positionV relativeFrom="paragraph">
              <wp:posOffset>71755</wp:posOffset>
            </wp:positionV>
            <wp:extent cx="2814320" cy="1429385"/>
            <wp:effectExtent l="0" t="0" r="5080" b="18415"/>
            <wp:wrapNone/>
            <wp:docPr id="5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1"/>
                    <pic:cNvPicPr>
                      <a:picLocks noChangeAspect="1"/>
                    </pic:cNvPicPr>
                  </pic:nvPicPr>
                  <pic:blipFill>
                    <a:blip r:embed="rId49"/>
                    <a:stretch>
                      <a:fillRect/>
                    </a:stretch>
                  </pic:blipFill>
                  <pic:spPr>
                    <a:xfrm>
                      <a:off x="0" y="0"/>
                      <a:ext cx="2814320" cy="1429385"/>
                    </a:xfrm>
                    <a:prstGeom prst="rect">
                      <a:avLst/>
                    </a:prstGeom>
                    <a:noFill/>
                    <a:ln>
                      <a:noFill/>
                    </a:ln>
                  </pic:spPr>
                </pic:pic>
              </a:graphicData>
            </a:graphic>
          </wp:anchor>
        </w:drawing>
      </w:r>
      <w:r>
        <w:rPr>
          <w:rFonts w:hint="default" w:ascii="Times New Roman" w:hAnsi="Times New Roman" w:eastAsia="宋体" w:cs="Times New Roman"/>
          <w:color w:val="auto"/>
          <w:lang w:eastAsia="zh-CN"/>
        </w:rPr>
        <w:drawing>
          <wp:anchor distT="0" distB="0" distL="114300" distR="114300" simplePos="0" relativeHeight="251677696" behindDoc="0" locked="0" layoutInCell="1" allowOverlap="1">
            <wp:simplePos x="0" y="0"/>
            <wp:positionH relativeFrom="column">
              <wp:posOffset>7893050</wp:posOffset>
            </wp:positionH>
            <wp:positionV relativeFrom="paragraph">
              <wp:posOffset>66675</wp:posOffset>
            </wp:positionV>
            <wp:extent cx="965200" cy="1022350"/>
            <wp:effectExtent l="0" t="0" r="6350" b="6350"/>
            <wp:wrapNone/>
            <wp:docPr id="48" name="图片 48" descr="1691552473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1691552473889"/>
                    <pic:cNvPicPr>
                      <a:picLocks noChangeAspect="1"/>
                    </pic:cNvPicPr>
                  </pic:nvPicPr>
                  <pic:blipFill>
                    <a:blip r:embed="rId46"/>
                    <a:stretch>
                      <a:fillRect/>
                    </a:stretch>
                  </pic:blipFill>
                  <pic:spPr>
                    <a:xfrm>
                      <a:off x="0" y="0"/>
                      <a:ext cx="965200" cy="1022350"/>
                    </a:xfrm>
                    <a:prstGeom prst="rect">
                      <a:avLst/>
                    </a:prstGeom>
                  </pic:spPr>
                </pic:pic>
              </a:graphicData>
            </a:graphic>
          </wp:anchor>
        </w:drawing>
      </w:r>
      <w:r>
        <w:rPr>
          <w:rFonts w:hint="default" w:ascii="Times New Roman" w:hAnsi="Times New Roman" w:eastAsia="宋体" w:cs="Times New Roman"/>
          <w:color w:val="auto"/>
          <w:sz w:val="21"/>
        </w:rPr>
        <mc:AlternateContent>
          <mc:Choice Requires="wps">
            <w:drawing>
              <wp:anchor distT="0" distB="0" distL="114300" distR="114300" simplePos="0" relativeHeight="251672576" behindDoc="0" locked="0" layoutInCell="1" allowOverlap="1">
                <wp:simplePos x="0" y="0"/>
                <wp:positionH relativeFrom="column">
                  <wp:posOffset>121920</wp:posOffset>
                </wp:positionH>
                <wp:positionV relativeFrom="paragraph">
                  <wp:posOffset>4278630</wp:posOffset>
                </wp:positionV>
                <wp:extent cx="229870" cy="219075"/>
                <wp:effectExtent l="6350" t="6350" r="11430" b="22225"/>
                <wp:wrapNone/>
                <wp:docPr id="35" name="椭圆 35"/>
                <wp:cNvGraphicFramePr/>
                <a:graphic xmlns:a="http://schemas.openxmlformats.org/drawingml/2006/main">
                  <a:graphicData uri="http://schemas.microsoft.com/office/word/2010/wordprocessingShape">
                    <wps:wsp>
                      <wps:cNvSpPr/>
                      <wps:spPr>
                        <a:xfrm>
                          <a:off x="2303145" y="5292725"/>
                          <a:ext cx="229870" cy="219075"/>
                        </a:xfrm>
                        <a:prstGeom prst="ellipse">
                          <a:avLst/>
                        </a:prstGeom>
                        <a:solidFill>
                          <a:schemeClr val="accent1">
                            <a:lumMod val="75000"/>
                          </a:schemeClr>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9.6pt;margin-top:336.9pt;height:17.25pt;width:18.1pt;z-index:251672576;v-text-anchor:middle;mso-width-relative:page;mso-height-relative:page;" fillcolor="#2E54A1 [2404]" filled="t" stroked="t" coordsize="21600,21600" o:gfxdata="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">
                <v:fill on="t" focussize="0,0"/>
                <v:stroke weight="1pt" color="#FF0000 [2404]" miterlimit="8" joinstyle="miter"/>
                <v:imagedata o:title=""/>
                <o:lock v:ext="edit" aspectratio="f"/>
              </v:shape>
            </w:pict>
          </mc:Fallback>
        </mc:AlternateContent>
      </w:r>
      <w:r>
        <w:rPr>
          <w:rFonts w:hint="default" w:ascii="Times New Roman" w:hAnsi="Times New Roman" w:eastAsia="宋体" w:cs="Times New Roman"/>
          <w:color w:val="auto"/>
        </w:rPr>
        <w:drawing>
          <wp:inline distT="0" distB="0" distL="114300" distR="114300">
            <wp:extent cx="8854440" cy="4518025"/>
            <wp:effectExtent l="0" t="0" r="3810" b="15875"/>
            <wp:docPr id="4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8"/>
                    <pic:cNvPicPr>
                      <a:picLocks noChangeAspect="1"/>
                    </pic:cNvPicPr>
                  </pic:nvPicPr>
                  <pic:blipFill>
                    <a:blip r:embed="rId50"/>
                    <a:stretch>
                      <a:fillRect/>
                    </a:stretch>
                  </pic:blipFill>
                  <pic:spPr>
                    <a:xfrm>
                      <a:off x="0" y="0"/>
                      <a:ext cx="8854440" cy="4518025"/>
                    </a:xfrm>
                    <a:prstGeom prst="rect">
                      <a:avLst/>
                    </a:prstGeom>
                    <a:noFill/>
                    <a:ln>
                      <a:noFill/>
                    </a:ln>
                  </pic:spPr>
                </pic:pic>
              </a:graphicData>
            </a:graphic>
          </wp:inline>
        </w:drawing>
      </w:r>
    </w:p>
    <w:p w14:paraId="36504849">
      <w:pPr>
        <w:pStyle w:val="8"/>
        <w:ind w:left="0" w:leftChars="0" w:firstLine="0" w:firstLineChars="0"/>
        <w:rPr>
          <w:rFonts w:hint="default" w:ascii="Times New Roman" w:hAnsi="Times New Roman" w:eastAsia="宋体" w:cs="Times New Roman"/>
          <w:b/>
          <w:bCs/>
          <w:color w:val="auto"/>
          <w:kern w:val="0"/>
        </w:rPr>
      </w:pPr>
      <w:r>
        <w:rPr>
          <w:rFonts w:hint="default" w:ascii="Times New Roman" w:hAnsi="Times New Roman" w:eastAsia="宋体" w:cs="Times New Roman"/>
          <w:b/>
          <w:bCs/>
          <w:color w:val="auto"/>
          <w:kern w:val="0"/>
        </w:rPr>
        <w:t>附图</w:t>
      </w:r>
      <w:r>
        <w:rPr>
          <w:rFonts w:hint="default" w:ascii="Times New Roman" w:hAnsi="Times New Roman" w:eastAsia="宋体" w:cs="Times New Roman"/>
          <w:b/>
          <w:bCs/>
          <w:color w:val="auto"/>
          <w:kern w:val="0"/>
          <w:lang w:val="en-US" w:eastAsia="zh-CN"/>
        </w:rPr>
        <w:t>4</w:t>
      </w:r>
      <w:r>
        <w:rPr>
          <w:rFonts w:hint="default" w:ascii="Times New Roman" w:hAnsi="Times New Roman" w:eastAsia="宋体" w:cs="Times New Roman"/>
          <w:b/>
          <w:bCs/>
          <w:color w:val="auto"/>
          <w:kern w:val="0"/>
        </w:rPr>
        <w:t xml:space="preserve"> 项目周边关系图（比例尺1:</w:t>
      </w:r>
      <w:r>
        <w:rPr>
          <w:rFonts w:hint="default" w:ascii="Times New Roman" w:hAnsi="Times New Roman" w:eastAsia="宋体" w:cs="Times New Roman"/>
          <w:b/>
          <w:bCs/>
          <w:color w:val="auto"/>
          <w:kern w:val="0"/>
          <w:lang w:val="en-US" w:eastAsia="zh-CN"/>
        </w:rPr>
        <w:t>904</w:t>
      </w:r>
      <w:r>
        <w:rPr>
          <w:rFonts w:hint="default" w:ascii="Times New Roman" w:hAnsi="Times New Roman" w:eastAsia="宋体" w:cs="Times New Roman"/>
          <w:b/>
          <w:bCs/>
          <w:color w:val="auto"/>
          <w:kern w:val="0"/>
        </w:rPr>
        <w:t>）</w:t>
      </w:r>
    </w:p>
    <w:p w14:paraId="4BD6AAFC">
      <w:pPr>
        <w:jc w:val="both"/>
        <w:rPr>
          <w:rFonts w:hint="default" w:ascii="Times New Roman" w:hAnsi="Times New Roman" w:eastAsia="宋体" w:cs="Times New Roman"/>
          <w:color w:val="auto"/>
          <w:kern w:val="0"/>
        </w:rPr>
        <w:sectPr>
          <w:pgSz w:w="16838" w:h="11906" w:orient="landscape"/>
          <w:pgMar w:top="1803" w:right="1440" w:bottom="1803" w:left="1440" w:header="850" w:footer="992" w:gutter="0"/>
          <w:pgBorders>
            <w:top w:val="none" w:sz="0" w:space="0"/>
            <w:left w:val="none" w:sz="0" w:space="0"/>
            <w:bottom w:val="none" w:sz="0" w:space="0"/>
            <w:right w:val="none" w:sz="0" w:space="0"/>
          </w:pgBorders>
          <w:pgNumType w:fmt="decimal"/>
          <w:cols w:space="720" w:num="1"/>
          <w:docGrid w:type="lines" w:linePitch="319" w:charSpace="0"/>
        </w:sectPr>
      </w:pPr>
      <w:r>
        <w:rPr>
          <w:rFonts w:hint="default" w:ascii="Times New Roman" w:hAnsi="Times New Roman" w:eastAsia="宋体" w:cs="Times New Roman"/>
          <w:color w:val="auto"/>
          <w:sz w:val="21"/>
        </w:rPr>
        <mc:AlternateContent>
          <mc:Choice Requires="wps">
            <w:drawing>
              <wp:anchor distT="0" distB="0" distL="114300" distR="114300" simplePos="0" relativeHeight="251668480" behindDoc="0" locked="0" layoutInCell="1" allowOverlap="1">
                <wp:simplePos x="0" y="0"/>
                <wp:positionH relativeFrom="column">
                  <wp:posOffset>2360295</wp:posOffset>
                </wp:positionH>
                <wp:positionV relativeFrom="paragraph">
                  <wp:posOffset>2079625</wp:posOffset>
                </wp:positionV>
                <wp:extent cx="387985" cy="1356360"/>
                <wp:effectExtent l="6350" t="6350" r="672465" b="8890"/>
                <wp:wrapNone/>
                <wp:docPr id="30" name="矩形标注 30"/>
                <wp:cNvGraphicFramePr/>
                <a:graphic xmlns:a="http://schemas.openxmlformats.org/drawingml/2006/main">
                  <a:graphicData uri="http://schemas.microsoft.com/office/word/2010/wordprocessingShape">
                    <wps:wsp>
                      <wps:cNvSpPr/>
                      <wps:spPr>
                        <a:xfrm>
                          <a:off x="0" y="0"/>
                          <a:ext cx="387985" cy="1356360"/>
                        </a:xfrm>
                        <a:prstGeom prst="wedgeRectCallout">
                          <a:avLst>
                            <a:gd name="adj1" fmla="val 215630"/>
                            <a:gd name="adj2" fmla="val -43726"/>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1D623F3">
                            <w:pPr>
                              <w:rPr>
                                <w:rFonts w:hint="default" w:cs="Times New Roman"/>
                                <w:color w:val="auto"/>
                                <w:kern w:val="0"/>
                                <w:szCs w:val="21"/>
                                <w:lang w:val="en-US" w:eastAsia="zh-CN"/>
                              </w:rPr>
                            </w:pPr>
                            <w:r>
                              <w:rPr>
                                <w:rFonts w:hint="eastAsia" w:cs="Times New Roman"/>
                                <w:color w:val="auto"/>
                                <w:kern w:val="0"/>
                                <w:szCs w:val="21"/>
                                <w:lang w:val="en-US" w:eastAsia="zh-CN"/>
                              </w:rPr>
                              <w:t>闲置厂房</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85.85pt;margin-top:163.75pt;height:106.8pt;width:30.55pt;z-index:251668480;v-text-anchor:middle;mso-width-relative:page;mso-height-relative:page;" fillcolor="#4874CB [3204]" filled="t" stroked="t" coordsize="21600,21600" o:gfxdata="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" adj="57376,1355">
                <v:fill on="t" focussize="0,0"/>
                <v:stroke weight="1pt" color="#325395 [3204]" miterlimit="8" joinstyle="miter"/>
                <v:imagedata o:title=""/>
                <o:lock v:ext="edit" aspectratio="f"/>
                <v:textbox>
                  <w:txbxContent>
                    <w:p w14:paraId="31D623F3">
                      <w:pPr>
                        <w:rPr>
                          <w:rFonts w:hint="default" w:cs="Times New Roman"/>
                          <w:color w:val="auto"/>
                          <w:kern w:val="0"/>
                          <w:szCs w:val="21"/>
                          <w:lang w:val="en-US" w:eastAsia="zh-CN"/>
                        </w:rPr>
                      </w:pPr>
                      <w:r>
                        <w:rPr>
                          <w:rFonts w:hint="eastAsia" w:cs="Times New Roman"/>
                          <w:color w:val="auto"/>
                          <w:kern w:val="0"/>
                          <w:szCs w:val="21"/>
                          <w:lang w:val="en-US" w:eastAsia="zh-CN"/>
                        </w:rPr>
                        <w:t>闲置厂房</w:t>
                      </w:r>
                    </w:p>
                  </w:txbxContent>
                </v:textbox>
              </v:shape>
            </w:pict>
          </mc:Fallback>
        </mc:AlternateContent>
      </w:r>
      <w:r>
        <w:rPr>
          <w:rFonts w:hint="default" w:ascii="Times New Roman" w:hAnsi="Times New Roman" w:eastAsia="宋体" w:cs="Times New Roman"/>
          <w:color w:val="auto"/>
          <w:sz w:val="21"/>
        </w:rPr>
        <mc:AlternateContent>
          <mc:Choice Requires="wps">
            <w:drawing>
              <wp:anchor distT="0" distB="0" distL="114300" distR="114300" simplePos="0" relativeHeight="251666432" behindDoc="0" locked="0" layoutInCell="1" allowOverlap="1">
                <wp:simplePos x="0" y="0"/>
                <wp:positionH relativeFrom="column">
                  <wp:posOffset>3416300</wp:posOffset>
                </wp:positionH>
                <wp:positionV relativeFrom="paragraph">
                  <wp:posOffset>3352165</wp:posOffset>
                </wp:positionV>
                <wp:extent cx="1577340" cy="318135"/>
                <wp:effectExtent l="6350" t="478790" r="16510" b="22225"/>
                <wp:wrapNone/>
                <wp:docPr id="32" name="矩形标注 32"/>
                <wp:cNvGraphicFramePr/>
                <a:graphic xmlns:a="http://schemas.openxmlformats.org/drawingml/2006/main">
                  <a:graphicData uri="http://schemas.microsoft.com/office/word/2010/wordprocessingShape">
                    <wps:wsp>
                      <wps:cNvSpPr/>
                      <wps:spPr>
                        <a:xfrm>
                          <a:off x="0" y="0"/>
                          <a:ext cx="1577340" cy="318135"/>
                        </a:xfrm>
                        <a:prstGeom prst="wedgeRectCallout">
                          <a:avLst>
                            <a:gd name="adj1" fmla="val -18236"/>
                            <a:gd name="adj2" fmla="val -195309"/>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44A9DBF">
                            <w:pPr>
                              <w:ind w:left="0" w:leftChars="0" w:right="0" w:rightChars="0" w:firstLine="0" w:firstLineChars="0"/>
                              <w:jc w:val="center"/>
                              <w:rPr>
                                <w:rFonts w:hint="eastAsia" w:cs="Times New Roman"/>
                                <w:color w:val="auto"/>
                                <w:kern w:val="0"/>
                                <w:szCs w:val="21"/>
                                <w:lang w:val="en-US" w:eastAsia="zh-CN"/>
                              </w:rPr>
                            </w:pPr>
                            <w:r>
                              <w:rPr>
                                <w:rFonts w:hint="eastAsia" w:cs="Times New Roman"/>
                                <w:color w:val="auto"/>
                                <w:kern w:val="0"/>
                                <w:szCs w:val="21"/>
                                <w:lang w:val="en-US" w:eastAsia="zh-CN"/>
                              </w:rPr>
                              <w:t>绿化带</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69pt;margin-top:263.95pt;height:25.05pt;width:124.2pt;z-index:251666432;v-text-anchor:middle;mso-width-relative:page;mso-height-relative:page;" fillcolor="#4874CB [3204]" filled="t" stroked="t" coordsize="21600,21600" o:gfxdata="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" adj="6861,-31387">
                <v:fill on="t" focussize="0,0"/>
                <v:stroke weight="1pt" color="#325395 [3204]" miterlimit="8" joinstyle="miter"/>
                <v:imagedata o:title=""/>
                <o:lock v:ext="edit" aspectratio="f"/>
                <v:textbox>
                  <w:txbxContent>
                    <w:p w14:paraId="544A9DBF">
                      <w:pPr>
                        <w:ind w:left="0" w:leftChars="0" w:right="0" w:rightChars="0" w:firstLine="0" w:firstLineChars="0"/>
                        <w:jc w:val="center"/>
                        <w:rPr>
                          <w:rFonts w:hint="eastAsia" w:cs="Times New Roman"/>
                          <w:color w:val="auto"/>
                          <w:kern w:val="0"/>
                          <w:szCs w:val="21"/>
                          <w:lang w:val="en-US" w:eastAsia="zh-CN"/>
                        </w:rPr>
                      </w:pPr>
                      <w:r>
                        <w:rPr>
                          <w:rFonts w:hint="eastAsia" w:cs="Times New Roman"/>
                          <w:color w:val="auto"/>
                          <w:kern w:val="0"/>
                          <w:szCs w:val="21"/>
                          <w:lang w:val="en-US" w:eastAsia="zh-CN"/>
                        </w:rPr>
                        <w:t>绿化带</w:t>
                      </w:r>
                    </w:p>
                  </w:txbxContent>
                </v:textbox>
              </v:shape>
            </w:pict>
          </mc:Fallback>
        </mc:AlternateContent>
      </w:r>
      <w:r>
        <w:rPr>
          <w:rFonts w:hint="default" w:ascii="Times New Roman" w:hAnsi="Times New Roman" w:eastAsia="宋体" w:cs="Times New Roman"/>
          <w:color w:val="auto"/>
          <w:sz w:val="21"/>
        </w:rPr>
        <mc:AlternateContent>
          <mc:Choice Requires="wps">
            <w:drawing>
              <wp:anchor distT="0" distB="0" distL="114300" distR="114300" simplePos="0" relativeHeight="251665408" behindDoc="0" locked="0" layoutInCell="1" allowOverlap="1">
                <wp:simplePos x="0" y="0"/>
                <wp:positionH relativeFrom="column">
                  <wp:posOffset>5390515</wp:posOffset>
                </wp:positionH>
                <wp:positionV relativeFrom="paragraph">
                  <wp:posOffset>1767205</wp:posOffset>
                </wp:positionV>
                <wp:extent cx="642620" cy="1023620"/>
                <wp:effectExtent l="704850" t="6350" r="24130" b="17780"/>
                <wp:wrapNone/>
                <wp:docPr id="31" name="矩形标注 31"/>
                <wp:cNvGraphicFramePr/>
                <a:graphic xmlns:a="http://schemas.openxmlformats.org/drawingml/2006/main">
                  <a:graphicData uri="http://schemas.microsoft.com/office/word/2010/wordprocessingShape">
                    <wps:wsp>
                      <wps:cNvSpPr/>
                      <wps:spPr>
                        <a:xfrm>
                          <a:off x="0" y="0"/>
                          <a:ext cx="642620" cy="1023620"/>
                        </a:xfrm>
                        <a:prstGeom prst="wedgeRectCallout">
                          <a:avLst>
                            <a:gd name="adj1" fmla="val -154347"/>
                            <a:gd name="adj2" fmla="val 11600"/>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28B13AB">
                            <w:pPr>
                              <w:rPr>
                                <w:rFonts w:hint="default" w:cs="Times New Roman"/>
                                <w:color w:val="auto"/>
                                <w:kern w:val="0"/>
                                <w:szCs w:val="21"/>
                                <w:lang w:val="en-US" w:eastAsia="zh-CN"/>
                              </w:rPr>
                            </w:pPr>
                            <w:r>
                              <w:rPr>
                                <w:rFonts w:hint="eastAsia" w:cs="Times New Roman"/>
                                <w:color w:val="auto"/>
                                <w:kern w:val="0"/>
                                <w:szCs w:val="21"/>
                                <w:lang w:val="en-US" w:eastAsia="zh-CN"/>
                              </w:rPr>
                              <w:t>淄博恒业研磨材料有限公司</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424.45pt;margin-top:139.15pt;height:80.6pt;width:50.6pt;z-index:251665408;v-text-anchor:middle;mso-width-relative:page;mso-height-relative:page;" fillcolor="#4874CB [3204]" filled="t" stroked="t" coordsize="21600,21600" o:gfxdata="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" adj="-22539,13306">
                <v:fill on="t" focussize="0,0"/>
                <v:stroke weight="1pt" color="#325395 [3204]" miterlimit="8" joinstyle="miter"/>
                <v:imagedata o:title=""/>
                <o:lock v:ext="edit" aspectratio="f"/>
                <v:textbox>
                  <w:txbxContent>
                    <w:p w14:paraId="028B13AB">
                      <w:pPr>
                        <w:rPr>
                          <w:rFonts w:hint="default" w:cs="Times New Roman"/>
                          <w:color w:val="auto"/>
                          <w:kern w:val="0"/>
                          <w:szCs w:val="21"/>
                          <w:lang w:val="en-US" w:eastAsia="zh-CN"/>
                        </w:rPr>
                      </w:pPr>
                      <w:r>
                        <w:rPr>
                          <w:rFonts w:hint="eastAsia" w:cs="Times New Roman"/>
                          <w:color w:val="auto"/>
                          <w:kern w:val="0"/>
                          <w:szCs w:val="21"/>
                          <w:lang w:val="en-US" w:eastAsia="zh-CN"/>
                        </w:rPr>
                        <w:t>淄博恒业研磨材料有限公司</w:t>
                      </w:r>
                    </w:p>
                  </w:txbxContent>
                </v:textbox>
              </v:shape>
            </w:pict>
          </mc:Fallback>
        </mc:AlternateContent>
      </w:r>
      <w:r>
        <w:rPr>
          <w:rFonts w:hint="default" w:ascii="Times New Roman" w:hAnsi="Times New Roman" w:eastAsia="宋体" w:cs="Times New Roman"/>
          <w:color w:val="auto"/>
          <w:sz w:val="21"/>
        </w:rPr>
        <mc:AlternateContent>
          <mc:Choice Requires="wps">
            <w:drawing>
              <wp:anchor distT="0" distB="0" distL="114300" distR="114300" simplePos="0" relativeHeight="251667456" behindDoc="0" locked="0" layoutInCell="1" allowOverlap="1">
                <wp:simplePos x="0" y="0"/>
                <wp:positionH relativeFrom="column">
                  <wp:posOffset>3754755</wp:posOffset>
                </wp:positionH>
                <wp:positionV relativeFrom="paragraph">
                  <wp:posOffset>650240</wp:posOffset>
                </wp:positionV>
                <wp:extent cx="882650" cy="565785"/>
                <wp:effectExtent l="6350" t="6350" r="6350" b="532765"/>
                <wp:wrapNone/>
                <wp:docPr id="29" name="矩形标注 29"/>
                <wp:cNvGraphicFramePr/>
                <a:graphic xmlns:a="http://schemas.openxmlformats.org/drawingml/2006/main">
                  <a:graphicData uri="http://schemas.microsoft.com/office/word/2010/wordprocessingShape">
                    <wps:wsp>
                      <wps:cNvSpPr/>
                      <wps:spPr>
                        <a:xfrm>
                          <a:off x="0" y="0"/>
                          <a:ext cx="882650" cy="565785"/>
                        </a:xfrm>
                        <a:prstGeom prst="wedgeRectCallout">
                          <a:avLst>
                            <a:gd name="adj1" fmla="val -20486"/>
                            <a:gd name="adj2" fmla="val 138664"/>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FA971EB">
                            <w:pPr>
                              <w:ind w:left="0" w:leftChars="0" w:right="0" w:rightChars="0" w:firstLine="0" w:firstLineChars="0"/>
                              <w:jc w:val="center"/>
                              <w:rPr>
                                <w:rFonts w:hint="default" w:ascii="宋体" w:hAnsi="宋体" w:eastAsia="宋体" w:cs="宋体"/>
                                <w:sz w:val="24"/>
                                <w:szCs w:val="32"/>
                                <w:lang w:val="en-US" w:eastAsia="zh-CN"/>
                              </w:rPr>
                            </w:pPr>
                            <w:r>
                              <w:rPr>
                                <w:rFonts w:hint="eastAsia" w:ascii="宋体" w:hAnsi="宋体" w:eastAsia="宋体" w:cs="宋体"/>
                                <w:sz w:val="24"/>
                                <w:szCs w:val="32"/>
                                <w:lang w:val="en-US" w:eastAsia="zh-CN"/>
                              </w:rPr>
                              <w:t>道路</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95.65pt;margin-top:51.2pt;height:44.55pt;width:69.5pt;z-index:251667456;v-text-anchor:middle;mso-width-relative:page;mso-height-relative:page;" fillcolor="#4874CB [3204]" filled="t" stroked="t" coordsize="21600,21600" o:gfxdata="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" adj="6375,40751">
                <v:fill on="t" focussize="0,0"/>
                <v:stroke weight="1pt" color="#325395 [3204]" miterlimit="8" joinstyle="miter"/>
                <v:imagedata o:title=""/>
                <o:lock v:ext="edit" aspectratio="f"/>
                <v:textbox>
                  <w:txbxContent>
                    <w:p w14:paraId="7FA971EB">
                      <w:pPr>
                        <w:ind w:left="0" w:leftChars="0" w:right="0" w:rightChars="0" w:firstLine="0" w:firstLineChars="0"/>
                        <w:jc w:val="center"/>
                        <w:rPr>
                          <w:rFonts w:hint="default" w:ascii="宋体" w:hAnsi="宋体" w:eastAsia="宋体" w:cs="宋体"/>
                          <w:sz w:val="24"/>
                          <w:szCs w:val="32"/>
                          <w:lang w:val="en-US" w:eastAsia="zh-CN"/>
                        </w:rPr>
                      </w:pPr>
                      <w:r>
                        <w:rPr>
                          <w:rFonts w:hint="eastAsia" w:ascii="宋体" w:hAnsi="宋体" w:eastAsia="宋体" w:cs="宋体"/>
                          <w:sz w:val="24"/>
                          <w:szCs w:val="32"/>
                          <w:lang w:val="en-US" w:eastAsia="zh-CN"/>
                        </w:rPr>
                        <w:t>道路</w:t>
                      </w:r>
                    </w:p>
                  </w:txbxContent>
                </v:textbox>
              </v:shape>
            </w:pict>
          </mc:Fallback>
        </mc:AlternateContent>
      </w:r>
      <w:r>
        <w:rPr>
          <w:rFonts w:hint="default" w:ascii="Times New Roman" w:hAnsi="Times New Roman" w:eastAsia="宋体" w:cs="Times New Roman"/>
          <w:color w:val="auto"/>
          <w:lang w:eastAsia="zh-CN"/>
        </w:rPr>
        <w:drawing>
          <wp:anchor distT="0" distB="0" distL="114300" distR="114300" simplePos="0" relativeHeight="251678720" behindDoc="0" locked="0" layoutInCell="1" allowOverlap="1">
            <wp:simplePos x="0" y="0"/>
            <wp:positionH relativeFrom="column">
              <wp:posOffset>7893050</wp:posOffset>
            </wp:positionH>
            <wp:positionV relativeFrom="paragraph">
              <wp:posOffset>66675</wp:posOffset>
            </wp:positionV>
            <wp:extent cx="965200" cy="1022350"/>
            <wp:effectExtent l="0" t="0" r="6350" b="6350"/>
            <wp:wrapNone/>
            <wp:docPr id="50" name="图片 50" descr="1691552473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1691552473889"/>
                    <pic:cNvPicPr>
                      <a:picLocks noChangeAspect="1"/>
                    </pic:cNvPicPr>
                  </pic:nvPicPr>
                  <pic:blipFill>
                    <a:blip r:embed="rId46"/>
                    <a:stretch>
                      <a:fillRect/>
                    </a:stretch>
                  </pic:blipFill>
                  <pic:spPr>
                    <a:xfrm>
                      <a:off x="0" y="0"/>
                      <a:ext cx="965200" cy="1022350"/>
                    </a:xfrm>
                    <a:prstGeom prst="rect">
                      <a:avLst/>
                    </a:prstGeom>
                  </pic:spPr>
                </pic:pic>
              </a:graphicData>
            </a:graphic>
          </wp:anchor>
        </w:drawing>
      </w:r>
      <w:r>
        <w:rPr>
          <w:rFonts w:hint="default" w:ascii="Times New Roman" w:hAnsi="Times New Roman" w:eastAsia="宋体" w:cs="Times New Roman"/>
          <w:color w:val="auto"/>
        </w:rPr>
        <w:drawing>
          <wp:inline distT="0" distB="0" distL="114300" distR="114300">
            <wp:extent cx="8854440" cy="4518025"/>
            <wp:effectExtent l="0" t="0" r="3810" b="15875"/>
            <wp:docPr id="4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9"/>
                    <pic:cNvPicPr>
                      <a:picLocks noChangeAspect="1"/>
                    </pic:cNvPicPr>
                  </pic:nvPicPr>
                  <pic:blipFill>
                    <a:blip r:embed="rId51"/>
                    <a:stretch>
                      <a:fillRect/>
                    </a:stretch>
                  </pic:blipFill>
                  <pic:spPr>
                    <a:xfrm>
                      <a:off x="0" y="0"/>
                      <a:ext cx="8854440" cy="4518025"/>
                    </a:xfrm>
                    <a:prstGeom prst="rect">
                      <a:avLst/>
                    </a:prstGeom>
                    <a:noFill/>
                    <a:ln>
                      <a:noFill/>
                    </a:ln>
                  </pic:spPr>
                </pic:pic>
              </a:graphicData>
            </a:graphic>
          </wp:inline>
        </w:drawing>
      </w:r>
    </w:p>
    <w:p w14:paraId="392154E4">
      <w:pPr>
        <w:rPr>
          <w:rFonts w:hint="default" w:ascii="Times New Roman" w:hAnsi="Times New Roman" w:eastAsia="宋体" w:cs="Times New Roman"/>
          <w:b/>
          <w:bCs/>
          <w:color w:val="auto"/>
          <w:kern w:val="0"/>
          <w:sz w:val="24"/>
          <w:szCs w:val="32"/>
          <w:lang w:val="en-US" w:eastAsia="zh-CN"/>
        </w:rPr>
      </w:pPr>
      <w:r>
        <w:rPr>
          <w:rFonts w:hint="default" w:ascii="Times New Roman" w:hAnsi="Times New Roman" w:eastAsia="宋体" w:cs="Times New Roman"/>
          <w:b/>
          <w:bCs/>
          <w:color w:val="auto"/>
          <w:kern w:val="0"/>
          <w:sz w:val="24"/>
          <w:szCs w:val="32"/>
          <w:lang w:eastAsia="zh-CN"/>
        </w:rPr>
        <w:t>附图</w:t>
      </w:r>
      <w:r>
        <w:rPr>
          <w:rFonts w:hint="default" w:ascii="Times New Roman" w:hAnsi="Times New Roman" w:eastAsia="宋体" w:cs="Times New Roman"/>
          <w:b/>
          <w:bCs/>
          <w:color w:val="auto"/>
          <w:kern w:val="0"/>
          <w:sz w:val="24"/>
          <w:szCs w:val="32"/>
          <w:lang w:val="en-US" w:eastAsia="zh-CN"/>
        </w:rPr>
        <w:t>5淄博市环境管控单元图（动态更新版）</w:t>
      </w:r>
    </w:p>
    <w:p w14:paraId="25FFFD8E">
      <w:pPr>
        <w:pStyle w:val="8"/>
        <w:keepNext w:val="0"/>
        <w:keepLines w:val="0"/>
        <w:pageBreakBefore w:val="0"/>
        <w:widowControl w:val="0"/>
        <w:kinsoku/>
        <w:wordWrap/>
        <w:overflowPunct/>
        <w:topLinePunct w:val="0"/>
        <w:autoSpaceDE/>
        <w:autoSpaceDN/>
        <w:bidi w:val="0"/>
        <w:adjustRightInd/>
        <w:snapToGrid/>
        <w:spacing w:after="0"/>
        <w:ind w:left="0" w:leftChars="0" w:firstLine="0" w:firstLineChars="0"/>
        <w:textAlignment w:val="auto"/>
        <w:rPr>
          <w:rFonts w:hint="default" w:ascii="Times New Roman" w:hAnsi="Times New Roman" w:eastAsia="宋体" w:cs="Times New Roman"/>
          <w:color w:val="auto"/>
          <w:kern w:val="0"/>
          <w:lang w:eastAsia="zh-CN"/>
        </w:rPr>
      </w:pPr>
      <w:r>
        <w:rPr>
          <w:rFonts w:hint="default" w:ascii="Times New Roman" w:hAnsi="Times New Roman" w:eastAsia="宋体" w:cs="Times New Roman"/>
          <w:color w:val="auto"/>
          <w:kern w:val="0"/>
        </w:rPr>
        <mc:AlternateContent>
          <mc:Choice Requires="wps">
            <w:drawing>
              <wp:anchor distT="0" distB="0" distL="114300" distR="114300" simplePos="0" relativeHeight="251663360" behindDoc="0" locked="0" layoutInCell="1" allowOverlap="1">
                <wp:simplePos x="0" y="0"/>
                <wp:positionH relativeFrom="margin">
                  <wp:posOffset>1777365</wp:posOffset>
                </wp:positionH>
                <wp:positionV relativeFrom="paragraph">
                  <wp:posOffset>2828290</wp:posOffset>
                </wp:positionV>
                <wp:extent cx="914400" cy="356870"/>
                <wp:effectExtent l="4445" t="4445" r="14605" b="362585"/>
                <wp:wrapNone/>
                <wp:docPr id="20" name="AutoShape 3"/>
                <wp:cNvGraphicFramePr/>
                <a:graphic xmlns:a="http://schemas.openxmlformats.org/drawingml/2006/main">
                  <a:graphicData uri="http://schemas.microsoft.com/office/word/2010/wordprocessingShape">
                    <wps:wsp>
                      <wps:cNvSpPr/>
                      <wps:spPr>
                        <a:xfrm>
                          <a:off x="0" y="0"/>
                          <a:ext cx="914400" cy="356870"/>
                        </a:xfrm>
                        <a:prstGeom prst="wedgeRectCallout">
                          <a:avLst>
                            <a:gd name="adj1" fmla="val 31319"/>
                            <a:gd name="adj2" fmla="val 142704"/>
                          </a:avLst>
                        </a:prstGeom>
                        <a:noFill/>
                        <a:ln w="9525" cap="flat" cmpd="sng">
                          <a:solidFill>
                            <a:srgbClr val="000000"/>
                          </a:solidFill>
                          <a:prstDash val="solid"/>
                          <a:miter/>
                          <a:headEnd type="none" w="med" len="med"/>
                          <a:tailEnd type="none" w="med" len="med"/>
                        </a:ln>
                      </wps:spPr>
                      <wps:txbx>
                        <w:txbxContent>
                          <w:p w14:paraId="382F60AC">
                            <w:pPr>
                              <w:rPr>
                                <w:b/>
                                <w:bCs/>
                                <w:color w:val="FF0000"/>
                              </w:rPr>
                            </w:pPr>
                            <w:r>
                              <w:rPr>
                                <w:rFonts w:hint="eastAsia"/>
                                <w:b/>
                                <w:bCs/>
                                <w:color w:val="FF0000"/>
                              </w:rPr>
                              <w:t>项目所在地</w:t>
                            </w:r>
                          </w:p>
                        </w:txbxContent>
                      </wps:txbx>
                      <wps:bodyPr wrap="square" upright="1"/>
                    </wps:wsp>
                  </a:graphicData>
                </a:graphic>
              </wp:anchor>
            </w:drawing>
          </mc:Choice>
          <mc:Fallback>
            <w:pict>
              <v:shape id="AutoShape 3" o:spid="_x0000_s1026" o:spt="61" type="#_x0000_t61" style="position:absolute;left:0pt;margin-left:139.95pt;margin-top:222.7pt;height:28.1pt;width:72pt;mso-position-horizontal-relative:margin;z-index:251663360;mso-width-relative:page;mso-height-relative:page;" filled="f" stroked="t" coordsize="21600,21600" o:gfxdata="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HBMOtjdAAAACwEAAA8AAAAAAAAAAQAgAAAAIgAAAGRycy9kb3ducmV2LnhtbFBLAQIU&#10;ABQAAAAIAIdO4kD1VMyEJwIAAG8EAAAOAAAAAAAAAAEAIAAAACwBAABkcnMvZTJvRG9jLnhtbFBL&#10;BQYAAAAABgAGAFkBAADFBQAAAAA=&#10;" adj="17565,41624">
                <v:fill on="f" focussize="0,0"/>
                <v:stroke color="#000000" joinstyle="miter"/>
                <v:imagedata o:title=""/>
                <o:lock v:ext="edit" aspectratio="f"/>
                <v:textbox>
                  <w:txbxContent>
                    <w:p w14:paraId="382F60AC">
                      <w:pPr>
                        <w:rPr>
                          <w:b/>
                          <w:bCs/>
                          <w:color w:val="FF0000"/>
                        </w:rPr>
                      </w:pPr>
                      <w:r>
                        <w:rPr>
                          <w:rFonts w:hint="eastAsia"/>
                          <w:b/>
                          <w:bCs/>
                          <w:color w:val="FF0000"/>
                        </w:rPr>
                        <w:t>项目所在地</w:t>
                      </w:r>
                    </w:p>
                  </w:txbxContent>
                </v:textbox>
              </v:shape>
            </w:pict>
          </mc:Fallback>
        </mc:AlternateContent>
      </w:r>
      <w:r>
        <w:rPr>
          <w:rFonts w:hint="default" w:ascii="Times New Roman" w:hAnsi="Times New Roman" w:eastAsia="宋体" w:cs="Times New Roman"/>
          <w:color w:val="auto"/>
          <w:kern w:val="0"/>
        </w:rPr>
        <mc:AlternateContent>
          <mc:Choice Requires="wps">
            <w:drawing>
              <wp:anchor distT="0" distB="0" distL="114300" distR="114300" simplePos="0" relativeHeight="251662336" behindDoc="0" locked="0" layoutInCell="1" allowOverlap="1">
                <wp:simplePos x="0" y="0"/>
                <wp:positionH relativeFrom="margin">
                  <wp:posOffset>2491105</wp:posOffset>
                </wp:positionH>
                <wp:positionV relativeFrom="paragraph">
                  <wp:posOffset>3479800</wp:posOffset>
                </wp:positionV>
                <wp:extent cx="76200" cy="76200"/>
                <wp:effectExtent l="10160" t="11430" r="27940" b="26670"/>
                <wp:wrapNone/>
                <wp:docPr id="22" name="AutoShape 2"/>
                <wp:cNvGraphicFramePr/>
                <a:graphic xmlns:a="http://schemas.openxmlformats.org/drawingml/2006/main">
                  <a:graphicData uri="http://schemas.microsoft.com/office/word/2010/wordprocessingShape">
                    <wps:wsp>
                      <wps:cNvSpPr>
                        <a:spLocks noChangeArrowheads="1"/>
                      </wps:cNvSpPr>
                      <wps:spPr bwMode="auto">
                        <a:xfrm>
                          <a:off x="0" y="0"/>
                          <a:ext cx="76200" cy="76200"/>
                        </a:xfrm>
                        <a:prstGeom prst="star5">
                          <a:avLst>
                            <a:gd name="adj" fmla="val 24802"/>
                            <a:gd name="hf" fmla="val 105146"/>
                            <a:gd name="vf" fmla="val 110557"/>
                          </a:avLst>
                        </a:prstGeom>
                        <a:solidFill>
                          <a:srgbClr val="FF0000"/>
                        </a:solidFill>
                        <a:ln w="9525">
                          <a:solidFill>
                            <a:srgbClr val="FF0000"/>
                          </a:solidFill>
                          <a:miter lim="800000"/>
                        </a:ln>
                        <a:effectLst/>
                      </wps:spPr>
                      <wps:bodyPr rot="0" vert="horz" wrap="square" lIns="91440" tIns="45720" rIns="91440" bIns="45720" anchor="t" anchorCtr="0" upright="1">
                        <a:noAutofit/>
                      </wps:bodyPr>
                    </wps:wsp>
                  </a:graphicData>
                </a:graphic>
              </wp:anchor>
            </w:drawing>
          </mc:Choice>
          <mc:Fallback>
            <w:pict>
              <v:shape id="AutoShape 2" o:spid="_x0000_s1026" style="position:absolute;left:0pt;margin-left:196.15pt;margin-top:274pt;height:6pt;width:6pt;mso-position-horizontal-relative:margin;z-index:251662336;mso-width-relative:page;mso-height-relative:page;" fillcolor="#FF0000" filled="t" stroked="t" coordsize="76200,76200" o:gfxdata="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BiQjAm2AAAAAsB&#10;AAAPAAAAAAAAAAEAIAAAACIAAABkcnMvZG93bnJldi54bWxQSwECFAAUAAAACACHTuJAYGvAU1QC&#10;AADxBAAADgAAAAAAAAABACAAAAAnAQAAZHJzL2Uyb0RvYy54bWxQSwUGAAAAAAYABgBZAQAA7QUA&#10;AAAA&#10;" path="m0,29105l26419,25218,38100,0,49780,25218,76199,29105,56999,48578,61647,76199,38100,63016,14552,76199,19200,48578xe">
                <v:path o:connectlocs="38100,0;0,29105;14552,76199;61647,76199;76199,29105" o:connectangles="247,164,82,82,0"/>
                <v:fill on="t" focussize="0,0"/>
                <v:stroke color="#FF0000" miterlimit="8" joinstyle="miter"/>
                <v:imagedata o:title=""/>
                <o:lock v:ext="edit" aspectratio="f"/>
              </v:shape>
            </w:pict>
          </mc:Fallback>
        </mc:AlternateContent>
      </w:r>
      <w:r>
        <w:rPr>
          <w:rFonts w:hint="default" w:ascii="Times New Roman" w:hAnsi="Times New Roman" w:eastAsia="宋体" w:cs="Times New Roman"/>
          <w:color w:val="auto"/>
          <w:sz w:val="44"/>
          <w:szCs w:val="44"/>
          <w:lang w:val="en-US" w:eastAsia="zh-CN"/>
        </w:rPr>
        <w:drawing>
          <wp:inline distT="0" distB="0" distL="114300" distR="114300">
            <wp:extent cx="5300345" cy="8462645"/>
            <wp:effectExtent l="0" t="0" r="14605" b="14605"/>
            <wp:docPr id="68" name="图片 11"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11" descr="图片1"/>
                    <pic:cNvPicPr>
                      <a:picLocks noChangeAspect="1"/>
                    </pic:cNvPicPr>
                  </pic:nvPicPr>
                  <pic:blipFill>
                    <a:blip r:embed="rId52"/>
                    <a:stretch>
                      <a:fillRect/>
                    </a:stretch>
                  </pic:blipFill>
                  <pic:spPr>
                    <a:xfrm>
                      <a:off x="0" y="0"/>
                      <a:ext cx="5300345" cy="8462645"/>
                    </a:xfrm>
                    <a:prstGeom prst="rect">
                      <a:avLst/>
                    </a:prstGeom>
                    <a:noFill/>
                    <a:ln>
                      <a:noFill/>
                    </a:ln>
                  </pic:spPr>
                </pic:pic>
              </a:graphicData>
            </a:graphic>
          </wp:inline>
        </w:drawing>
      </w:r>
    </w:p>
    <w:p w14:paraId="2BBCAF33">
      <w:pPr>
        <w:keepNext w:val="0"/>
        <w:keepLines w:val="0"/>
        <w:pageBreakBefore w:val="0"/>
        <w:widowControl w:val="0"/>
        <w:kinsoku/>
        <w:wordWrap/>
        <w:overflowPunct/>
        <w:topLinePunct w:val="0"/>
        <w:autoSpaceDE/>
        <w:autoSpaceDN/>
        <w:bidi w:val="0"/>
        <w:adjustRightInd/>
        <w:snapToGrid/>
        <w:spacing w:after="161" w:afterLines="50"/>
        <w:textAlignment w:val="auto"/>
        <w:rPr>
          <w:rFonts w:hint="default" w:ascii="Times New Roman" w:hAnsi="Times New Roman" w:eastAsia="宋体" w:cs="Times New Roman"/>
          <w:b/>
          <w:bCs/>
          <w:color w:val="auto"/>
          <w:kern w:val="0"/>
          <w:sz w:val="24"/>
          <w:szCs w:val="32"/>
          <w:lang w:val="en-US" w:eastAsia="zh-CN"/>
        </w:rPr>
      </w:pPr>
      <w:r>
        <w:rPr>
          <w:rFonts w:hint="default" w:ascii="Times New Roman" w:hAnsi="Times New Roman" w:eastAsia="宋体" w:cs="Times New Roman"/>
          <w:b/>
          <w:bCs/>
          <w:color w:val="auto"/>
          <w:kern w:val="0"/>
          <w:sz w:val="24"/>
          <w:szCs w:val="32"/>
          <w:lang w:val="en-US" w:eastAsia="zh-CN"/>
        </w:rPr>
        <w:t>附图6市域国土空间控制线规划图</w:t>
      </w:r>
    </w:p>
    <w:p w14:paraId="5FD78607">
      <w:pPr>
        <w:jc w:val="center"/>
        <w:rPr>
          <w:rFonts w:hint="default" w:ascii="Times New Roman" w:hAnsi="Times New Roman" w:eastAsia="宋体" w:cs="Times New Roman"/>
          <w:color w:val="auto"/>
        </w:rPr>
      </w:pPr>
      <w:r>
        <w:rPr>
          <w:rFonts w:hint="default" w:ascii="Times New Roman" w:hAnsi="Times New Roman" w:eastAsia="宋体" w:cs="Times New Roman"/>
          <w:color w:val="auto"/>
          <w:sz w:val="21"/>
        </w:rPr>
        <mc:AlternateContent>
          <mc:Choice Requires="wps">
            <w:drawing>
              <wp:anchor distT="0" distB="0" distL="114300" distR="114300" simplePos="0" relativeHeight="251681792" behindDoc="0" locked="0" layoutInCell="1" allowOverlap="1">
                <wp:simplePos x="0" y="0"/>
                <wp:positionH relativeFrom="column">
                  <wp:posOffset>554355</wp:posOffset>
                </wp:positionH>
                <wp:positionV relativeFrom="paragraph">
                  <wp:posOffset>4229100</wp:posOffset>
                </wp:positionV>
                <wp:extent cx="914400" cy="449580"/>
                <wp:effectExtent l="6350" t="628650" r="12700" b="7620"/>
                <wp:wrapNone/>
                <wp:docPr id="53" name="矩形标注 53"/>
                <wp:cNvGraphicFramePr/>
                <a:graphic xmlns:a="http://schemas.openxmlformats.org/drawingml/2006/main">
                  <a:graphicData uri="http://schemas.microsoft.com/office/word/2010/wordprocessingShape">
                    <wps:wsp>
                      <wps:cNvSpPr/>
                      <wps:spPr>
                        <a:xfrm>
                          <a:off x="1823085" y="4831715"/>
                          <a:ext cx="914400" cy="449580"/>
                        </a:xfrm>
                        <a:prstGeom prst="wedgeRectCallout">
                          <a:avLst>
                            <a:gd name="adj1" fmla="val -38541"/>
                            <a:gd name="adj2" fmla="val -182087"/>
                          </a:avLst>
                        </a:prstGeom>
                        <a:noFill/>
                      </wps:spPr>
                      <wps:style>
                        <a:lnRef idx="2">
                          <a:schemeClr val="accent1">
                            <a:lumMod val="75000"/>
                          </a:schemeClr>
                        </a:lnRef>
                        <a:fillRef idx="1">
                          <a:schemeClr val="accent1"/>
                        </a:fillRef>
                        <a:effectRef idx="0">
                          <a:srgbClr val="FFFFFF"/>
                        </a:effectRef>
                        <a:fontRef idx="minor">
                          <a:schemeClr val="lt1"/>
                        </a:fontRef>
                      </wps:style>
                      <wps:txbx>
                        <w:txbxContent>
                          <w:p w14:paraId="7CDCCD5D">
                            <w:pPr>
                              <w:jc w:val="center"/>
                              <w:rPr>
                                <w:rFonts w:hint="default" w:eastAsia="宋体"/>
                                <w:color w:val="FF0000"/>
                                <w:lang w:val="en-US" w:eastAsia="zh-CN"/>
                              </w:rPr>
                            </w:pPr>
                            <w:r>
                              <w:rPr>
                                <w:rFonts w:hint="eastAsia"/>
                                <w:color w:val="FF0000"/>
                                <w:lang w:val="en-US" w:eastAsia="zh-CN"/>
                              </w:rPr>
                              <w:t>项目所在地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43.65pt;margin-top:333pt;height:35.4pt;width:72pt;z-index:251681792;v-text-anchor:middle;mso-width-relative:page;mso-height-relative:page;" filled="f" stroked="t" coordsize="21600,21600" o:gfxdata="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" adj="2475,-28531">
                <v:fill on="f" focussize="0,0"/>
                <v:stroke weight="1pt" color="#2E54A1 [2404]" miterlimit="8" joinstyle="miter"/>
                <v:imagedata o:title=""/>
                <o:lock v:ext="edit" aspectratio="f"/>
                <v:textbox>
                  <w:txbxContent>
                    <w:p w14:paraId="7CDCCD5D">
                      <w:pPr>
                        <w:jc w:val="center"/>
                        <w:rPr>
                          <w:rFonts w:hint="default" w:eastAsia="宋体"/>
                          <w:color w:val="FF0000"/>
                          <w:lang w:val="en-US" w:eastAsia="zh-CN"/>
                        </w:rPr>
                      </w:pPr>
                      <w:r>
                        <w:rPr>
                          <w:rFonts w:hint="eastAsia"/>
                          <w:color w:val="FF0000"/>
                          <w:lang w:val="en-US" w:eastAsia="zh-CN"/>
                        </w:rPr>
                        <w:t>项目所在地</w:t>
                      </w:r>
                    </w:p>
                  </w:txbxContent>
                </v:textbox>
              </v:shape>
            </w:pict>
          </mc:Fallback>
        </mc:AlternateContent>
      </w:r>
      <w:r>
        <w:rPr>
          <w:rFonts w:hint="default" w:ascii="Times New Roman" w:hAnsi="Times New Roman" w:eastAsia="宋体" w:cs="Times New Roman"/>
          <w:color w:val="auto"/>
          <w:sz w:val="21"/>
        </w:rPr>
        <mc:AlternateContent>
          <mc:Choice Requires="wps">
            <w:drawing>
              <wp:anchor distT="0" distB="0" distL="114300" distR="114300" simplePos="0" relativeHeight="251680768" behindDoc="0" locked="0" layoutInCell="1" allowOverlap="1">
                <wp:simplePos x="0" y="0"/>
                <wp:positionH relativeFrom="column">
                  <wp:posOffset>592455</wp:posOffset>
                </wp:positionH>
                <wp:positionV relativeFrom="paragraph">
                  <wp:posOffset>3524250</wp:posOffset>
                </wp:positionV>
                <wp:extent cx="125095" cy="142875"/>
                <wp:effectExtent l="2540" t="0" r="5715" b="9525"/>
                <wp:wrapNone/>
                <wp:docPr id="52" name="五角星 52"/>
                <wp:cNvGraphicFramePr/>
                <a:graphic xmlns:a="http://schemas.openxmlformats.org/drawingml/2006/main">
                  <a:graphicData uri="http://schemas.microsoft.com/office/word/2010/wordprocessingShape">
                    <wps:wsp>
                      <wps:cNvSpPr/>
                      <wps:spPr>
                        <a:xfrm>
                          <a:off x="1937385" y="4784090"/>
                          <a:ext cx="125095" cy="142875"/>
                        </a:xfrm>
                        <a:prstGeom prst="star5">
                          <a:avLst>
                            <a:gd name="adj" fmla="val 0"/>
                            <a:gd name="hf" fmla="val 105146"/>
                            <a:gd name="vf" fmla="val 110557"/>
                          </a:avLst>
                        </a:prstGeom>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46.65pt;margin-top:277.5pt;height:11.25pt;width:9.85pt;z-index:251680768;v-text-anchor:middle;mso-width-relative:page;mso-height-relative:page;" fillcolor="#4874CB [3204]" filled="t" stroked="t" coordsize="125095,142875" o:gfxdata="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" path="m0,54573l62547,78979,62547,0,62547,78979,125094,54573,62547,78979,101203,142874,62547,78979,23891,142874,62547,78979xe">
                <v:path o:connectlocs="62547,0;0,54573;23891,142874;101203,142874;125094,54573" o:connectangles="247,164,82,82,0"/>
                <v:fill on="t" focussize="0,0"/>
                <v:stroke weight="1pt" color="#FF0000 [2404]" miterlimit="8" joinstyle="miter"/>
                <v:imagedata o:title=""/>
                <o:lock v:ext="edit" aspectratio="f"/>
              </v:shape>
            </w:pict>
          </mc:Fallback>
        </mc:AlternateContent>
      </w:r>
      <w:r>
        <w:rPr>
          <w:rFonts w:hint="default" w:ascii="Times New Roman" w:hAnsi="Times New Roman" w:eastAsia="宋体" w:cs="Times New Roman"/>
          <w:color w:val="auto"/>
        </w:rPr>
        <w:drawing>
          <wp:anchor distT="0" distB="0" distL="114300" distR="114300" simplePos="0" relativeHeight="251679744" behindDoc="0" locked="0" layoutInCell="1" allowOverlap="1">
            <wp:simplePos x="0" y="0"/>
            <wp:positionH relativeFrom="column">
              <wp:posOffset>6350</wp:posOffset>
            </wp:positionH>
            <wp:positionV relativeFrom="paragraph">
              <wp:posOffset>3074670</wp:posOffset>
            </wp:positionV>
            <wp:extent cx="1160145" cy="1038225"/>
            <wp:effectExtent l="0" t="0" r="1905" b="9525"/>
            <wp:wrapNone/>
            <wp:docPr id="5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0"/>
                    <pic:cNvPicPr>
                      <a:picLocks noChangeAspect="1"/>
                    </pic:cNvPicPr>
                  </pic:nvPicPr>
                  <pic:blipFill>
                    <a:blip r:embed="rId53"/>
                    <a:stretch>
                      <a:fillRect/>
                    </a:stretch>
                  </pic:blipFill>
                  <pic:spPr>
                    <a:xfrm>
                      <a:off x="0" y="0"/>
                      <a:ext cx="1160145" cy="1038225"/>
                    </a:xfrm>
                    <a:prstGeom prst="rect">
                      <a:avLst/>
                    </a:prstGeom>
                    <a:noFill/>
                    <a:ln>
                      <a:noFill/>
                    </a:ln>
                  </pic:spPr>
                </pic:pic>
              </a:graphicData>
            </a:graphic>
          </wp:anchor>
        </w:drawing>
      </w:r>
      <w:r>
        <w:rPr>
          <w:rFonts w:hint="default" w:ascii="Times New Roman" w:hAnsi="Times New Roman" w:eastAsia="宋体" w:cs="Times New Roman"/>
          <w:color w:val="auto"/>
          <w:sz w:val="21"/>
        </w:rPr>
        <mc:AlternateContent>
          <mc:Choice Requires="wps">
            <w:drawing>
              <wp:anchor distT="0" distB="0" distL="114300" distR="114300" simplePos="0" relativeHeight="251669504" behindDoc="0" locked="0" layoutInCell="1" allowOverlap="1">
                <wp:simplePos x="0" y="0"/>
                <wp:positionH relativeFrom="column">
                  <wp:posOffset>1135380</wp:posOffset>
                </wp:positionH>
                <wp:positionV relativeFrom="paragraph">
                  <wp:posOffset>3093085</wp:posOffset>
                </wp:positionV>
                <wp:extent cx="991235" cy="554355"/>
                <wp:effectExtent l="3175" t="5715" r="15240" b="11430"/>
                <wp:wrapNone/>
                <wp:docPr id="37" name="直接连接符 37"/>
                <wp:cNvGraphicFramePr/>
                <a:graphic xmlns:a="http://schemas.openxmlformats.org/drawingml/2006/main">
                  <a:graphicData uri="http://schemas.microsoft.com/office/word/2010/wordprocessingShape">
                    <wps:wsp>
                      <wps:cNvCnPr/>
                      <wps:spPr>
                        <a:xfrm flipH="1" flipV="1">
                          <a:off x="2940050" y="3128010"/>
                          <a:ext cx="991235" cy="554355"/>
                        </a:xfrm>
                        <a:prstGeom prst="line">
                          <a:avLst/>
                        </a:prstGeom>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 y;margin-left:89.4pt;margin-top:243.55pt;height:43.65pt;width:78.05pt;z-index:251669504;mso-width-relative:page;mso-height-relative:page;" filled="f" stroked="t" coordsize="21600,21600" o:gfxdata="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N+2RK3WAAAACwEAAA8AAAAAAAAAAQAgAAAAIgAAAGRy&#10;cy9kb3ducmV2LnhtbFBLAQIUABQAAAAIAIdO4kB8OOT0BwIAANgDAAAOAAAAAAAAAAEAIAAAACUB&#10;AABkcnMvZTJvRG9jLnhtbFBLBQYAAAAABgAGAFkBAACeBQAAAAA=&#10;">
                <v:fill on="f" focussize="0,0"/>
                <v:stroke weight="1pt" color="#4874CB [3204]" miterlimit="8" joinstyle="miter"/>
                <v:imagedata o:title=""/>
                <o:lock v:ext="edit" aspectratio="f"/>
              </v:line>
            </w:pict>
          </mc:Fallback>
        </mc:AlternateContent>
      </w:r>
      <w:r>
        <w:rPr>
          <w:rFonts w:hint="default" w:ascii="Times New Roman" w:hAnsi="Times New Roman" w:eastAsia="宋体" w:cs="Times New Roman"/>
          <w:color w:val="auto"/>
          <w:sz w:val="21"/>
        </w:rPr>
        <mc:AlternateContent>
          <mc:Choice Requires="wps">
            <w:drawing>
              <wp:anchor distT="0" distB="0" distL="114300" distR="114300" simplePos="0" relativeHeight="251670528" behindDoc="0" locked="0" layoutInCell="1" allowOverlap="1">
                <wp:simplePos x="0" y="0"/>
                <wp:positionH relativeFrom="column">
                  <wp:posOffset>1116330</wp:posOffset>
                </wp:positionH>
                <wp:positionV relativeFrom="paragraph">
                  <wp:posOffset>3656965</wp:posOffset>
                </wp:positionV>
                <wp:extent cx="1029335" cy="426720"/>
                <wp:effectExtent l="2540" t="5715" r="15875" b="5715"/>
                <wp:wrapNone/>
                <wp:docPr id="36" name="直接连接符 36"/>
                <wp:cNvGraphicFramePr/>
                <a:graphic xmlns:a="http://schemas.openxmlformats.org/drawingml/2006/main">
                  <a:graphicData uri="http://schemas.microsoft.com/office/word/2010/wordprocessingShape">
                    <wps:wsp>
                      <wps:cNvCnPr/>
                      <wps:spPr>
                        <a:xfrm flipH="1">
                          <a:off x="2942590" y="4227195"/>
                          <a:ext cx="1029335" cy="426720"/>
                        </a:xfrm>
                        <a:prstGeom prst="line">
                          <a:avLst/>
                        </a:prstGeom>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margin-left:87.9pt;margin-top:287.95pt;height:33.6pt;width:81.05pt;z-index:251670528;mso-width-relative:page;mso-height-relative:page;" filled="f" stroked="t" coordsize="21600,21600" o:gfxdata="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&#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A7kaRtcAAAALAQAADwAAAAAAAAABACAAAAAiAAAAZHJz&#10;L2Rvd25yZXYueG1sUEsBAhQAFAAAAAgAh07iQJhfbY8FAgAAzwMAAA4AAAAAAAAAAQAgAAAAJgEA&#10;AGRycy9lMm9Eb2MueG1sUEsFBgAAAAAGAAYAWQEAAJ0FAAAAAA==&#10;">
                <v:fill on="f" focussize="0,0"/>
                <v:stroke weight="1pt" color="#4874CB [3204]" miterlimit="8" joinstyle="miter"/>
                <v:imagedata o:title=""/>
                <o:lock v:ext="edit" aspectratio="f"/>
              </v:line>
            </w:pict>
          </mc:Fallback>
        </mc:AlternateContent>
      </w:r>
      <w:r>
        <w:rPr>
          <w:rFonts w:hint="default" w:ascii="Times New Roman" w:hAnsi="Times New Roman" w:eastAsia="宋体" w:cs="Times New Roman"/>
          <w:color w:val="auto"/>
        </w:rPr>
        <w:drawing>
          <wp:inline distT="0" distB="0" distL="114300" distR="114300">
            <wp:extent cx="5323205" cy="8037830"/>
            <wp:effectExtent l="0" t="0" r="10795" b="1270"/>
            <wp:docPr id="80" name="图片 80" descr="b1594b526f0f846935f742b2e7c248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b1594b526f0f846935f742b2e7c248a"/>
                    <pic:cNvPicPr>
                      <a:picLocks noChangeAspect="1"/>
                    </pic:cNvPicPr>
                  </pic:nvPicPr>
                  <pic:blipFill>
                    <a:blip r:embed="rId54"/>
                    <a:stretch>
                      <a:fillRect/>
                    </a:stretch>
                  </pic:blipFill>
                  <pic:spPr>
                    <a:xfrm>
                      <a:off x="0" y="0"/>
                      <a:ext cx="5323205" cy="8037830"/>
                    </a:xfrm>
                    <a:prstGeom prst="rect">
                      <a:avLst/>
                    </a:prstGeom>
                  </pic:spPr>
                </pic:pic>
              </a:graphicData>
            </a:graphic>
          </wp:inline>
        </w:drawing>
      </w:r>
    </w:p>
    <w:p w14:paraId="625837D1">
      <w:pPr>
        <w:rPr>
          <w:rFonts w:hint="default" w:ascii="Times New Roman" w:hAnsi="Times New Roman" w:eastAsia="宋体" w:cs="Times New Roman"/>
          <w:snapToGrid w:val="0"/>
          <w:color w:val="auto"/>
          <w:sz w:val="30"/>
          <w:szCs w:val="30"/>
        </w:rPr>
      </w:pPr>
      <w:r>
        <w:rPr>
          <w:rFonts w:hint="default" w:ascii="Times New Roman" w:hAnsi="Times New Roman" w:eastAsia="宋体" w:cs="Times New Roman"/>
          <w:snapToGrid w:val="0"/>
          <w:color w:val="auto"/>
          <w:sz w:val="30"/>
          <w:szCs w:val="30"/>
        </w:rPr>
        <w:br w:type="page"/>
      </w:r>
    </w:p>
    <w:p w14:paraId="46049C73">
      <w:pPr>
        <w:pStyle w:val="8"/>
        <w:ind w:left="0" w:leftChars="0" w:firstLine="0" w:firstLineChars="0"/>
        <w:rPr>
          <w:rFonts w:hint="default" w:ascii="Times New Roman" w:hAnsi="Times New Roman" w:eastAsia="宋体" w:cs="Times New Roman"/>
          <w:b/>
          <w:bCs/>
          <w:color w:val="auto"/>
          <w:lang w:val="en-US" w:eastAsia="zh-CN"/>
        </w:rPr>
        <w:sectPr>
          <w:pgSz w:w="11906" w:h="16838"/>
          <w:pgMar w:top="1440" w:right="1803" w:bottom="1440" w:left="1803" w:header="851" w:footer="992" w:gutter="0"/>
          <w:pgBorders>
            <w:top w:val="none" w:sz="0" w:space="0"/>
            <w:left w:val="none" w:sz="0" w:space="0"/>
            <w:bottom w:val="none" w:sz="0" w:space="0"/>
            <w:right w:val="none" w:sz="0" w:space="0"/>
          </w:pgBorders>
          <w:pgNumType w:fmt="decimal"/>
          <w:cols w:space="0" w:num="1"/>
          <w:rtlGutter w:val="0"/>
          <w:docGrid w:type="lines" w:linePitch="319" w:charSpace="0"/>
        </w:sectPr>
      </w:pPr>
    </w:p>
    <w:p w14:paraId="1E9A7208">
      <w:pPr>
        <w:pStyle w:val="8"/>
        <w:ind w:left="0" w:leftChars="0" w:firstLine="0" w:firstLineChars="0"/>
        <w:rPr>
          <w:rFonts w:hint="default" w:ascii="Times New Roman" w:hAnsi="Times New Roman" w:eastAsia="宋体" w:cs="Times New Roman"/>
          <w:b/>
          <w:bCs/>
          <w:color w:val="auto"/>
          <w:sz w:val="24"/>
          <w:szCs w:val="32"/>
          <w:lang w:val="en-US" w:eastAsia="zh-CN"/>
        </w:rPr>
      </w:pPr>
      <w:r>
        <w:rPr>
          <w:rFonts w:hint="default" w:ascii="Times New Roman" w:hAnsi="Times New Roman" w:eastAsia="宋体" w:cs="Times New Roman"/>
          <w:b/>
          <w:bCs/>
          <w:color w:val="auto"/>
          <w:sz w:val="24"/>
          <w:szCs w:val="32"/>
          <w:lang w:val="en-US" w:eastAsia="zh-CN"/>
        </w:rPr>
        <w:t>附件7 淄博文昌湖省级旅游度假区局部地块控制性详细规划</w:t>
      </w:r>
    </w:p>
    <w:p w14:paraId="0D1EEF37">
      <w:pPr>
        <w:keepNext w:val="0"/>
        <w:keepLines w:val="0"/>
        <w:pageBreakBefore w:val="0"/>
        <w:widowControl w:val="0"/>
        <w:numPr>
          <w:ilvl w:val="0"/>
          <w:numId w:val="0"/>
        </w:numPr>
        <w:kinsoku/>
        <w:wordWrap/>
        <w:overflowPunct/>
        <w:topLinePunct w:val="0"/>
        <w:bidi w:val="0"/>
        <w:ind w:left="0" w:leftChars="0" w:right="0" w:rightChars="0" w:firstLine="0" w:firstLineChars="0"/>
        <w:jc w:val="center"/>
        <w:rPr>
          <w:rFonts w:hint="default" w:ascii="Times New Roman" w:hAnsi="Times New Roman" w:eastAsia="宋体" w:cs="Times New Roman"/>
          <w:snapToGrid w:val="0"/>
          <w:color w:val="auto"/>
          <w:sz w:val="30"/>
          <w:szCs w:val="30"/>
        </w:rPr>
      </w:pPr>
      <w:r>
        <w:rPr>
          <w:rFonts w:hint="default" w:ascii="Times New Roman" w:hAnsi="Times New Roman" w:eastAsia="宋体" w:cs="Times New Roman"/>
          <w:color w:val="auto"/>
          <w:sz w:val="24"/>
        </w:rPr>
        <mc:AlternateContent>
          <mc:Choice Requires="wps">
            <w:drawing>
              <wp:anchor distT="0" distB="0" distL="114300" distR="114300" simplePos="0" relativeHeight="251682816" behindDoc="0" locked="0" layoutInCell="1" allowOverlap="1">
                <wp:simplePos x="0" y="0"/>
                <wp:positionH relativeFrom="column">
                  <wp:posOffset>5248275</wp:posOffset>
                </wp:positionH>
                <wp:positionV relativeFrom="paragraph">
                  <wp:posOffset>1340485</wp:posOffset>
                </wp:positionV>
                <wp:extent cx="628650" cy="333375"/>
                <wp:effectExtent l="6350" t="6350" r="12700" b="327025"/>
                <wp:wrapNone/>
                <wp:docPr id="13" name="矩形标注 13"/>
                <wp:cNvGraphicFramePr/>
                <a:graphic xmlns:a="http://schemas.openxmlformats.org/drawingml/2006/main">
                  <a:graphicData uri="http://schemas.microsoft.com/office/word/2010/wordprocessingShape">
                    <wps:wsp>
                      <wps:cNvSpPr/>
                      <wps:spPr>
                        <a:xfrm>
                          <a:off x="6147435" y="3577590"/>
                          <a:ext cx="628650" cy="333375"/>
                        </a:xfrm>
                        <a:prstGeom prst="wedgeRectCallout">
                          <a:avLst>
                            <a:gd name="adj1" fmla="val -46868"/>
                            <a:gd name="adj2" fmla="val 135714"/>
                          </a:avLst>
                        </a:prstGeom>
                        <a:noFill/>
                      </wps:spPr>
                      <wps:style>
                        <a:lnRef idx="2">
                          <a:schemeClr val="accent1">
                            <a:lumMod val="75000"/>
                          </a:schemeClr>
                        </a:lnRef>
                        <a:fillRef idx="1">
                          <a:schemeClr val="accent1"/>
                        </a:fillRef>
                        <a:effectRef idx="0">
                          <a:srgbClr val="FFFFFF"/>
                        </a:effectRef>
                        <a:fontRef idx="minor">
                          <a:schemeClr val="lt1"/>
                        </a:fontRef>
                      </wps:style>
                      <wps:txbx>
                        <w:txbxContent>
                          <w:p w14:paraId="2690ECAE">
                            <w:pPr>
                              <w:jc w:val="center"/>
                              <w:rPr>
                                <w:rFonts w:hint="eastAsia" w:eastAsia="宋体"/>
                                <w:color w:val="FF0000"/>
                                <w:lang w:val="en-US" w:eastAsia="zh-CN"/>
                              </w:rPr>
                            </w:pPr>
                            <w:r>
                              <w:rPr>
                                <w:rFonts w:hint="eastAsia"/>
                                <w:color w:val="FF0000"/>
                                <w:lang w:val="en-US" w:eastAsia="zh-CN"/>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413.25pt;margin-top:105.55pt;height:26.25pt;width:49.5pt;z-index:251682816;v-text-anchor:middle;mso-width-relative:page;mso-height-relative:page;" filled="f" stroked="t" coordsize="21600,21600" o:gfxdata="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" adj="677,40114">
                <v:fill on="f" focussize="0,0"/>
                <v:stroke weight="1pt" color="#2E54A1 [2404]" miterlimit="8" joinstyle="miter"/>
                <v:imagedata o:title=""/>
                <o:lock v:ext="edit" aspectratio="f"/>
                <v:textbox>
                  <w:txbxContent>
                    <w:p w14:paraId="2690ECAE">
                      <w:pPr>
                        <w:jc w:val="center"/>
                        <w:rPr>
                          <w:rFonts w:hint="eastAsia" w:eastAsia="宋体"/>
                          <w:color w:val="FF0000"/>
                          <w:lang w:val="en-US" w:eastAsia="zh-CN"/>
                        </w:rPr>
                      </w:pPr>
                      <w:r>
                        <w:rPr>
                          <w:rFonts w:hint="eastAsia"/>
                          <w:color w:val="FF0000"/>
                          <w:lang w:val="en-US" w:eastAsia="zh-CN"/>
                        </w:rPr>
                        <w:t>本项目</w:t>
                      </w:r>
                    </w:p>
                  </w:txbxContent>
                </v:textbox>
              </v:shape>
            </w:pict>
          </mc:Fallback>
        </mc:AlternateContent>
      </w:r>
      <w:r>
        <w:rPr>
          <w:rFonts w:hint="default" w:ascii="Times New Roman" w:hAnsi="Times New Roman" w:eastAsia="宋体" w:cs="Times New Roman"/>
          <w:color w:val="auto"/>
          <w:sz w:val="24"/>
        </w:rPr>
        <mc:AlternateContent>
          <mc:Choice Requires="wps">
            <w:drawing>
              <wp:anchor distT="0" distB="0" distL="114300" distR="114300" simplePos="0" relativeHeight="251683840" behindDoc="0" locked="0" layoutInCell="1" allowOverlap="1">
                <wp:simplePos x="0" y="0"/>
                <wp:positionH relativeFrom="column">
                  <wp:posOffset>5139690</wp:posOffset>
                </wp:positionH>
                <wp:positionV relativeFrom="paragraph">
                  <wp:posOffset>1862455</wp:posOffset>
                </wp:positionV>
                <wp:extent cx="219075" cy="181610"/>
                <wp:effectExtent l="1905" t="0" r="7620" b="8890"/>
                <wp:wrapNone/>
                <wp:docPr id="23" name="五角星 23"/>
                <wp:cNvGraphicFramePr/>
                <a:graphic xmlns:a="http://schemas.openxmlformats.org/drawingml/2006/main">
                  <a:graphicData uri="http://schemas.microsoft.com/office/word/2010/wordprocessingShape">
                    <wps:wsp>
                      <wps:cNvSpPr/>
                      <wps:spPr>
                        <a:xfrm>
                          <a:off x="7309485" y="5596890"/>
                          <a:ext cx="219075" cy="181610"/>
                        </a:xfrm>
                        <a:prstGeom prst="star5">
                          <a:avLst>
                            <a:gd name="adj" fmla="val 0"/>
                            <a:gd name="hf" fmla="val 105146"/>
                            <a:gd name="vf" fmla="val 110557"/>
                          </a:avLst>
                        </a:prstGeom>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404.7pt;margin-top:146.65pt;height:14.3pt;width:17.25pt;z-index:251683840;v-text-anchor:middle;mso-width-relative:page;mso-height-relative:page;" fillcolor="#4874CB [3204]" filled="t" stroked="t" coordsize="219075,181610" o:gfxdata="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" path="m0,69368l109537,100391,109537,0,109537,100391,219074,69368,109537,100391,177235,181609,109537,100391,41839,181609,109537,100391xe">
                <v:path o:connectlocs="109537,0;0,69368;41839,181609;177235,181609;219074,69368" o:connectangles="247,164,82,82,0"/>
                <v:fill on="t" focussize="0,0"/>
                <v:stroke weight="1pt" color="#FF0000 [2404]" miterlimit="8" joinstyle="miter"/>
                <v:imagedata o:title=""/>
                <o:lock v:ext="edit" aspectratio="f"/>
              </v:shape>
            </w:pict>
          </mc:Fallback>
        </mc:AlternateContent>
      </w:r>
      <w:r>
        <w:rPr>
          <w:rFonts w:hint="default" w:ascii="Times New Roman" w:hAnsi="Times New Roman" w:eastAsia="宋体" w:cs="Times New Roman"/>
          <w:color w:val="auto"/>
          <w:sz w:val="24"/>
          <w:szCs w:val="24"/>
        </w:rPr>
        <w:drawing>
          <wp:inline distT="0" distB="0" distL="114300" distR="114300">
            <wp:extent cx="6686550" cy="4730115"/>
            <wp:effectExtent l="0" t="0" r="0" b="13335"/>
            <wp:docPr id="54"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4" descr="IMG_256"/>
                    <pic:cNvPicPr>
                      <a:picLocks noChangeAspect="1"/>
                    </pic:cNvPicPr>
                  </pic:nvPicPr>
                  <pic:blipFill>
                    <a:blip r:embed="rId55"/>
                    <a:stretch>
                      <a:fillRect/>
                    </a:stretch>
                  </pic:blipFill>
                  <pic:spPr>
                    <a:xfrm>
                      <a:off x="0" y="0"/>
                      <a:ext cx="6686550" cy="4730115"/>
                    </a:xfrm>
                    <a:prstGeom prst="rect">
                      <a:avLst/>
                    </a:prstGeom>
                    <a:noFill/>
                    <a:ln w="9525">
                      <a:noFill/>
                    </a:ln>
                  </pic:spPr>
                </pic:pic>
              </a:graphicData>
            </a:graphic>
          </wp:inline>
        </w:drawing>
      </w:r>
    </w:p>
    <w:sectPr>
      <w:pgSz w:w="16838" w:h="11906" w:orient="landscape"/>
      <w:pgMar w:top="1803" w:right="1440" w:bottom="1803" w:left="1440" w:header="851" w:footer="992" w:gutter="0"/>
      <w:pgBorders>
        <w:top w:val="none" w:sz="0" w:space="0"/>
        <w:left w:val="none" w:sz="0" w:space="0"/>
        <w:bottom w:val="none" w:sz="0" w:space="0"/>
        <w:right w:val="none" w:sz="0" w:space="0"/>
      </w:pgBorders>
      <w:pgNumType w:fmt="decimal"/>
      <w:cols w:space="0" w:num="1"/>
      <w:rtlGutter w:val="0"/>
      <w:docGrid w:type="lines" w:linePitch="319"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1"/>
    <w:family w:val="auto"/>
    <w:pitch w:val="default"/>
    <w:sig w:usb0="E0002EFF" w:usb1="C000785B" w:usb2="00000009" w:usb3="00000000" w:csb0="400001FF" w:csb1="FFFF0000"/>
  </w:font>
  <w:font w:name="宋体">
    <w:panose1 w:val="02010600030101010101"/>
    <w:charset w:val="34"/>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Microsoft JhengHei">
    <w:panose1 w:val="020B0604030504040204"/>
    <w:charset w:val="88"/>
    <w:family w:val="swiss"/>
    <w:pitch w:val="default"/>
    <w:sig w:usb0="000002A7" w:usb1="28CF4400" w:usb2="00000016" w:usb3="00000000" w:csb0="00100009"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AFBB06B">
    <w:pPr>
      <w:pStyle w:val="11"/>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0A1D47F">
    <w:pPr>
      <w:pStyle w:val="11"/>
      <w:framePr w:wrap="around" w:vAnchor="text" w:hAnchor="margin" w:xAlign="center" w:y="1"/>
      <w:rPr>
        <w:rStyle w:val="17"/>
      </w:rPr>
    </w:pPr>
    <w:r>
      <w:fldChar w:fldCharType="begin"/>
    </w:r>
    <w:r>
      <w:rPr>
        <w:rStyle w:val="17"/>
      </w:rPr>
      <w:instrText xml:space="preserve">PAGE  </w:instrText>
    </w:r>
    <w:r>
      <w:fldChar w:fldCharType="end"/>
    </w:r>
  </w:p>
  <w:p w14:paraId="7B61C501">
    <w:pPr>
      <w:pStyle w:val="11"/>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4454664">
    <w:pPr>
      <w:pStyle w:val="11"/>
      <w:ind w:right="360" w:firstLine="360"/>
      <w:jc w:val="center"/>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38" name="文本框 3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18A3A62">
                          <w:pPr>
                            <w:pStyle w:val="11"/>
                          </w:pPr>
                          <w:r>
                            <w:fldChar w:fldCharType="begin"/>
                          </w:r>
                          <w:r>
                            <w:instrText xml:space="preserve"> PAGE  \* MERGEFORMAT </w:instrText>
                          </w:r>
                          <w:r>
                            <w:fldChar w:fldCharType="separate"/>
                          </w:r>
                          <w:r>
                            <w:t>5</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Sb3G8zAgAAYwQAAA4AAABkcnMvZTJvRG9jLnhtbK1US44TMRDdI3EH&#10;y3vSSUa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NSb3G8zAgAAYwQAAA4AAAAAAAAAAQAgAAAAHwEAAGRycy9lMm9Eb2MueG1sUEsF&#10;BgAAAAAGAAYAWQEAAMQFAAAAAA==&#10;">
              <v:fill on="f" focussize="0,0"/>
              <v:stroke on="f" weight="0.5pt"/>
              <v:imagedata o:title=""/>
              <o:lock v:ext="edit" aspectratio="f"/>
              <v:textbox inset="0mm,0mm,0mm,0mm" style="mso-fit-shape-to-text:t;">
                <w:txbxContent>
                  <w:p w14:paraId="718A3A62">
                    <w:pPr>
                      <w:pStyle w:val="11"/>
                    </w:pPr>
                    <w:r>
                      <w:fldChar w:fldCharType="begin"/>
                    </w:r>
                    <w:r>
                      <w:instrText xml:space="preserve"> PAGE  \* MERGEFORMAT </w:instrText>
                    </w:r>
                    <w:r>
                      <w:fldChar w:fldCharType="separate"/>
                    </w:r>
                    <w:r>
                      <w:t>5</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2584704">
    <w:pPr>
      <w:pStyle w:val="11"/>
      <w:ind w:right="360" w:firstLine="360"/>
    </w:pPr>
    <w:r>
      <w:rPr>
        <w:sz w:val="18"/>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39" name="文本框 3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B4DBC02">
                          <w:pPr>
                            <w:pStyle w:val="11"/>
                          </w:pPr>
                          <w:r>
                            <w:fldChar w:fldCharType="begin"/>
                          </w:r>
                          <w:r>
                            <w:instrText xml:space="preserve"> PAGE  \* MERGEFORMAT </w:instrText>
                          </w:r>
                          <w:r>
                            <w:fldChar w:fldCharType="separate"/>
                          </w:r>
                          <w:r>
                            <w:t>49</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YzS4AzAgAAYwQAAA4AAABkcnMvZTJvRG9jLnhtbK1UzY7TMBC+I/EO&#10;lu80aVesSt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JYzS4AzAgAAYwQAAA4AAAAAAAAAAQAgAAAAHwEAAGRycy9lMm9Eb2MueG1sUEsF&#10;BgAAAAAGAAYAWQEAAMQFAAAAAA==&#10;">
              <v:fill on="f" focussize="0,0"/>
              <v:stroke on="f" weight="0.5pt"/>
              <v:imagedata o:title=""/>
              <o:lock v:ext="edit" aspectratio="f"/>
              <v:textbox inset="0mm,0mm,0mm,0mm" style="mso-fit-shape-to-text:t;">
                <w:txbxContent>
                  <w:p w14:paraId="4B4DBC02">
                    <w:pPr>
                      <w:pStyle w:val="11"/>
                    </w:pPr>
                    <w:r>
                      <w:fldChar w:fldCharType="begin"/>
                    </w:r>
                    <w:r>
                      <w:instrText xml:space="preserve"> PAGE  \* MERGEFORMAT </w:instrText>
                    </w:r>
                    <w:r>
                      <w:fldChar w:fldCharType="separate"/>
                    </w:r>
                    <w:r>
                      <w:t>49</w:t>
                    </w:r>
                    <w: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9BD126F"/>
    <w:multiLevelType w:val="singleLevel"/>
    <w:tmpl w:val="C9BD126F"/>
    <w:lvl w:ilvl="0" w:tentative="0">
      <w:start w:val="3"/>
      <w:numFmt w:val="decimal"/>
      <w:suff w:val="nothing"/>
      <w:lvlText w:val="%1、"/>
      <w:lvlJc w:val="left"/>
    </w:lvl>
  </w:abstractNum>
  <w:abstractNum w:abstractNumId="1">
    <w:nsid w:val="EEECEEBB"/>
    <w:multiLevelType w:val="singleLevel"/>
    <w:tmpl w:val="EEECEEBB"/>
    <w:lvl w:ilvl="0" w:tentative="0">
      <w:start w:val="1"/>
      <w:numFmt w:val="decimal"/>
      <w:suff w:val="nothing"/>
      <w:lvlText w:val="（%1）"/>
      <w:lvlJc w:val="left"/>
    </w:lvl>
  </w:abstractNum>
  <w:abstractNum w:abstractNumId="2">
    <w:nsid w:val="46BC0810"/>
    <w:multiLevelType w:val="singleLevel"/>
    <w:tmpl w:val="46BC0810"/>
    <w:lvl w:ilvl="0" w:tentative="0">
      <w:start w:val="1"/>
      <w:numFmt w:val="chineseCounting"/>
      <w:suff w:val="nothing"/>
      <w:lvlText w:val="%1、"/>
      <w:lvlJc w:val="left"/>
      <w:rPr>
        <w:rFonts w:hint="eastAsia"/>
      </w:rPr>
    </w:lvl>
  </w:abstractNum>
  <w:abstractNum w:abstractNumId="3">
    <w:nsid w:val="667DF160"/>
    <w:multiLevelType w:val="singleLevel"/>
    <w:tmpl w:val="667DF160"/>
    <w:lvl w:ilvl="0" w:tentative="0">
      <w:start w:val="1"/>
      <w:numFmt w:val="decimal"/>
      <w:suff w:val="nothing"/>
      <w:lvlText w:val="%1）"/>
      <w:lvlJc w:val="left"/>
    </w:lvl>
  </w:abstractNum>
  <w:abstractNum w:abstractNumId="4">
    <w:nsid w:val="6C68E2BA"/>
    <w:multiLevelType w:val="singleLevel"/>
    <w:tmpl w:val="6C68E2BA"/>
    <w:lvl w:ilvl="0" w:tentative="0">
      <w:start w:val="4"/>
      <w:numFmt w:val="chineseCounting"/>
      <w:suff w:val="nothing"/>
      <w:lvlText w:val="%1、"/>
      <w:lvlJc w:val="left"/>
      <w:rPr>
        <w:rFonts w:hint="eastAsia"/>
      </w:rPr>
    </w:lvl>
  </w:abstractNum>
  <w:num w:numId="1">
    <w:abstractNumId w:val="4"/>
  </w:num>
  <w:num w:numId="2">
    <w:abstractNumId w:val="2"/>
  </w:num>
  <w:num w:numId="3">
    <w:abstractNumId w:val="1"/>
  </w:num>
  <w:num w:numId="4">
    <w:abstractNumId w:val="3"/>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9"/>
  <w:displayHorizontalDrawingGridEvery w:val="1"/>
  <w:displayVerticalDrawingGridEvery w:val="2"/>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00172E78"/>
    <w:rsid w:val="017A24DD"/>
    <w:rsid w:val="01A324E9"/>
    <w:rsid w:val="0200675A"/>
    <w:rsid w:val="02BB01B7"/>
    <w:rsid w:val="05F257ED"/>
    <w:rsid w:val="090D63EC"/>
    <w:rsid w:val="0A577718"/>
    <w:rsid w:val="0B41524D"/>
    <w:rsid w:val="0B7D4D3B"/>
    <w:rsid w:val="0BFC1E7A"/>
    <w:rsid w:val="0D9E6AB2"/>
    <w:rsid w:val="0E2C1E67"/>
    <w:rsid w:val="11A300AF"/>
    <w:rsid w:val="11D44ABA"/>
    <w:rsid w:val="121711BB"/>
    <w:rsid w:val="13062306"/>
    <w:rsid w:val="130E58EF"/>
    <w:rsid w:val="14500489"/>
    <w:rsid w:val="145C3683"/>
    <w:rsid w:val="145F7303"/>
    <w:rsid w:val="1670228E"/>
    <w:rsid w:val="171E4377"/>
    <w:rsid w:val="1733291C"/>
    <w:rsid w:val="183314EC"/>
    <w:rsid w:val="1A74499F"/>
    <w:rsid w:val="1B6B1E72"/>
    <w:rsid w:val="1C16643E"/>
    <w:rsid w:val="1F6F1930"/>
    <w:rsid w:val="1FA22F01"/>
    <w:rsid w:val="221E379A"/>
    <w:rsid w:val="23176670"/>
    <w:rsid w:val="262C4B47"/>
    <w:rsid w:val="270E19C3"/>
    <w:rsid w:val="29694A4D"/>
    <w:rsid w:val="29DD6440"/>
    <w:rsid w:val="2E373815"/>
    <w:rsid w:val="2F2D14C0"/>
    <w:rsid w:val="2FF678CB"/>
    <w:rsid w:val="31B508B5"/>
    <w:rsid w:val="31F75407"/>
    <w:rsid w:val="33C939ED"/>
    <w:rsid w:val="34EA7184"/>
    <w:rsid w:val="36DB3CFC"/>
    <w:rsid w:val="36E357EC"/>
    <w:rsid w:val="374B6987"/>
    <w:rsid w:val="39182437"/>
    <w:rsid w:val="3A500759"/>
    <w:rsid w:val="3AFB06C4"/>
    <w:rsid w:val="3B044808"/>
    <w:rsid w:val="3BAD5940"/>
    <w:rsid w:val="3BEB698B"/>
    <w:rsid w:val="3C493DAC"/>
    <w:rsid w:val="3D452638"/>
    <w:rsid w:val="3EC27F84"/>
    <w:rsid w:val="407A2597"/>
    <w:rsid w:val="412F3758"/>
    <w:rsid w:val="41A6426F"/>
    <w:rsid w:val="42065F2D"/>
    <w:rsid w:val="443133A9"/>
    <w:rsid w:val="45714FCF"/>
    <w:rsid w:val="48213E18"/>
    <w:rsid w:val="4B167370"/>
    <w:rsid w:val="4B3C2D5F"/>
    <w:rsid w:val="4B9761E7"/>
    <w:rsid w:val="4D886C4A"/>
    <w:rsid w:val="50630D8E"/>
    <w:rsid w:val="51241543"/>
    <w:rsid w:val="521D515B"/>
    <w:rsid w:val="55524F2D"/>
    <w:rsid w:val="577B4C0F"/>
    <w:rsid w:val="57DD1235"/>
    <w:rsid w:val="58922210"/>
    <w:rsid w:val="5A85096F"/>
    <w:rsid w:val="5BCE032C"/>
    <w:rsid w:val="5CC3449E"/>
    <w:rsid w:val="5D0B07E3"/>
    <w:rsid w:val="5D6D3280"/>
    <w:rsid w:val="5E131E03"/>
    <w:rsid w:val="606F6ECB"/>
    <w:rsid w:val="61C027C0"/>
    <w:rsid w:val="620871DF"/>
    <w:rsid w:val="64041AE8"/>
    <w:rsid w:val="65285E45"/>
    <w:rsid w:val="65547DB4"/>
    <w:rsid w:val="65FC2D4C"/>
    <w:rsid w:val="68842122"/>
    <w:rsid w:val="6BFE703A"/>
    <w:rsid w:val="6C5D0D16"/>
    <w:rsid w:val="6DCD594A"/>
    <w:rsid w:val="724A21DA"/>
    <w:rsid w:val="74CA49D2"/>
    <w:rsid w:val="766E250E"/>
    <w:rsid w:val="7682541A"/>
    <w:rsid w:val="773D7ED4"/>
    <w:rsid w:val="797777F3"/>
    <w:rsid w:val="7C720E6D"/>
    <w:rsid w:val="7E031971"/>
    <w:rsid w:val="7E1A1847"/>
    <w:rsid w:val="7E5D34D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nhideWhenUsed="0" w:uiPriority="9"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3"/>
    <w:basedOn w:val="1"/>
    <w:next w:val="1"/>
    <w:semiHidden/>
    <w:unhideWhenUsed/>
    <w:qFormat/>
    <w:uiPriority w:val="0"/>
    <w:pPr>
      <w:spacing w:beforeAutospacing="1" w:afterAutospacing="1"/>
      <w:jc w:val="left"/>
      <w:outlineLvl w:val="2"/>
    </w:pPr>
    <w:rPr>
      <w:rFonts w:hint="eastAsia" w:ascii="宋体" w:hAnsi="宋体"/>
      <w:b/>
      <w:bCs/>
      <w:kern w:val="0"/>
      <w:sz w:val="27"/>
      <w:szCs w:val="27"/>
    </w:rPr>
  </w:style>
  <w:style w:type="paragraph" w:styleId="3">
    <w:name w:val="heading 4"/>
    <w:basedOn w:val="1"/>
    <w:next w:val="1"/>
    <w:qFormat/>
    <w:uiPriority w:val="9"/>
    <w:pPr>
      <w:keepNext/>
      <w:keepLines/>
      <w:adjustRightInd w:val="0"/>
      <w:snapToGrid w:val="0"/>
      <w:spacing w:line="360" w:lineRule="auto"/>
      <w:jc w:val="both"/>
      <w:outlineLvl w:val="3"/>
    </w:pPr>
    <w:rPr>
      <w:rFonts w:ascii="Times New Roman" w:hAnsi="Times New Roman" w:eastAsia="黑体" w:cs="Times New Roman"/>
      <w:bCs/>
      <w:kern w:val="2"/>
      <w:sz w:val="24"/>
      <w:szCs w:val="28"/>
      <w:lang w:val="en-US" w:eastAsia="zh-CN" w:bidi="ar-SA"/>
    </w:rPr>
  </w:style>
  <w:style w:type="character" w:default="1" w:styleId="16">
    <w:name w:val="Default Paragraph Font"/>
    <w:semiHidden/>
    <w:qFormat/>
    <w:uiPriority w:val="0"/>
  </w:style>
  <w:style w:type="table" w:default="1" w:styleId="14">
    <w:name w:val="Normal Table"/>
    <w:semiHidden/>
    <w:qFormat/>
    <w:uiPriority w:val="0"/>
    <w:tblPr>
      <w:tblCellMar>
        <w:top w:w="0" w:type="dxa"/>
        <w:left w:w="108" w:type="dxa"/>
        <w:bottom w:w="0" w:type="dxa"/>
        <w:right w:w="108" w:type="dxa"/>
      </w:tblCellMar>
    </w:tblPr>
  </w:style>
  <w:style w:type="paragraph" w:styleId="4">
    <w:name w:val="Normal Indent"/>
    <w:basedOn w:val="1"/>
    <w:qFormat/>
    <w:uiPriority w:val="0"/>
    <w:pPr>
      <w:ind w:firstLine="420"/>
    </w:pPr>
  </w:style>
  <w:style w:type="paragraph" w:styleId="5">
    <w:name w:val="caption"/>
    <w:basedOn w:val="1"/>
    <w:next w:val="1"/>
    <w:semiHidden/>
    <w:unhideWhenUsed/>
    <w:qFormat/>
    <w:uiPriority w:val="0"/>
    <w:rPr>
      <w:rFonts w:ascii="Arial" w:hAnsi="Arial" w:eastAsia="黑体"/>
      <w:sz w:val="20"/>
    </w:rPr>
  </w:style>
  <w:style w:type="paragraph" w:styleId="6">
    <w:name w:val="Body Text"/>
    <w:basedOn w:val="1"/>
    <w:next w:val="1"/>
    <w:qFormat/>
    <w:uiPriority w:val="0"/>
    <w:pPr>
      <w:widowControl/>
      <w:snapToGrid w:val="0"/>
      <w:spacing w:before="60" w:after="160" w:line="259" w:lineRule="auto"/>
      <w:ind w:right="113"/>
    </w:pPr>
    <w:rPr>
      <w:kern w:val="0"/>
      <w:sz w:val="18"/>
      <w:szCs w:val="20"/>
    </w:rPr>
  </w:style>
  <w:style w:type="paragraph" w:styleId="7">
    <w:name w:val="Body Text Indent"/>
    <w:basedOn w:val="1"/>
    <w:next w:val="8"/>
    <w:qFormat/>
    <w:uiPriority w:val="0"/>
    <w:pPr>
      <w:spacing w:after="120"/>
      <w:ind w:left="420" w:leftChars="200"/>
    </w:pPr>
    <w:rPr>
      <w:kern w:val="0"/>
      <w:sz w:val="24"/>
      <w:szCs w:val="20"/>
    </w:rPr>
  </w:style>
  <w:style w:type="paragraph" w:styleId="8">
    <w:name w:val="Body Text First Indent 2"/>
    <w:basedOn w:val="7"/>
    <w:next w:val="9"/>
    <w:qFormat/>
    <w:uiPriority w:val="0"/>
    <w:pPr>
      <w:ind w:firstLine="420" w:firstLineChars="200"/>
    </w:pPr>
    <w:rPr>
      <w:kern w:val="2"/>
      <w:sz w:val="21"/>
      <w:szCs w:val="24"/>
    </w:rPr>
  </w:style>
  <w:style w:type="paragraph" w:styleId="9">
    <w:name w:val="Body Text First Indent"/>
    <w:basedOn w:val="6"/>
    <w:next w:val="1"/>
    <w:qFormat/>
    <w:uiPriority w:val="0"/>
    <w:pPr>
      <w:ind w:firstLine="420" w:firstLineChars="100"/>
    </w:pPr>
  </w:style>
  <w:style w:type="paragraph" w:styleId="10">
    <w:name w:val="Plain Text"/>
    <w:basedOn w:val="1"/>
    <w:qFormat/>
    <w:uiPriority w:val="0"/>
    <w:rPr>
      <w:rFonts w:ascii="宋体" w:hAnsi="Courier New"/>
      <w:sz w:val="30"/>
    </w:rPr>
  </w:style>
  <w:style w:type="paragraph" w:styleId="11">
    <w:name w:val="footer"/>
    <w:basedOn w:val="1"/>
    <w:qFormat/>
    <w:uiPriority w:val="99"/>
    <w:pPr>
      <w:tabs>
        <w:tab w:val="center" w:pos="4153"/>
        <w:tab w:val="right" w:pos="8306"/>
      </w:tabs>
      <w:snapToGrid w:val="0"/>
      <w:jc w:val="left"/>
    </w:pPr>
    <w:rPr>
      <w:kern w:val="0"/>
      <w:sz w:val="18"/>
      <w:szCs w:val="20"/>
    </w:rPr>
  </w:style>
  <w:style w:type="paragraph" w:styleId="12">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3">
    <w:name w:val="Normal (Web)"/>
    <w:basedOn w:val="1"/>
    <w:qFormat/>
    <w:uiPriority w:val="99"/>
    <w:pPr>
      <w:widowControl/>
      <w:spacing w:before="100" w:beforeAutospacing="1" w:after="100" w:afterAutospacing="1"/>
      <w:jc w:val="left"/>
    </w:pPr>
    <w:rPr>
      <w:rFonts w:ascii="宋体" w:hAnsi="宋体"/>
      <w:kern w:val="0"/>
      <w:sz w:val="24"/>
      <w:szCs w:val="20"/>
    </w:rPr>
  </w:style>
  <w:style w:type="table" w:styleId="15">
    <w:name w:val="Table Grid"/>
    <w:basedOn w:val="14"/>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7">
    <w:name w:val="page number"/>
    <w:basedOn w:val="16"/>
    <w:qFormat/>
    <w:uiPriority w:val="0"/>
  </w:style>
  <w:style w:type="paragraph" w:customStyle="1" w:styleId="18">
    <w:name w:val="样式 正文文本缩进 + 行距: 1.5 倍行距"/>
    <w:basedOn w:val="19"/>
    <w:next w:val="1"/>
    <w:qFormat/>
    <w:uiPriority w:val="0"/>
    <w:pPr>
      <w:spacing w:after="120" w:line="360" w:lineRule="auto"/>
      <w:ind w:left="90" w:leftChars="32" w:firstLine="560" w:firstLineChars="200"/>
    </w:pPr>
    <w:rPr>
      <w:rFonts w:cs="宋体"/>
    </w:rPr>
  </w:style>
  <w:style w:type="paragraph" w:customStyle="1" w:styleId="19">
    <w:name w:val="正文文本缩进1"/>
    <w:basedOn w:val="1"/>
    <w:next w:val="18"/>
    <w:qFormat/>
    <w:uiPriority w:val="0"/>
    <w:pPr>
      <w:ind w:left="420" w:leftChars="200"/>
    </w:pPr>
    <w:rPr>
      <w:rFonts w:ascii="Times New Roman" w:hAnsi="Times New Roman" w:eastAsia="宋体"/>
      <w:sz w:val="24"/>
    </w:rPr>
  </w:style>
  <w:style w:type="paragraph" w:customStyle="1" w:styleId="20">
    <w:name w:val="Default"/>
    <w:basedOn w:val="21"/>
    <w:next w:val="1"/>
    <w:qFormat/>
    <w:uiPriority w:val="0"/>
    <w:pPr>
      <w:autoSpaceDE w:val="0"/>
      <w:autoSpaceDN w:val="0"/>
      <w:adjustRightInd w:val="0"/>
      <w:snapToGrid w:val="0"/>
      <w:spacing w:beforeLines="50" w:line="360" w:lineRule="auto"/>
      <w:ind w:firstLine="480"/>
      <w:jc w:val="center"/>
    </w:pPr>
    <w:rPr>
      <w:rFonts w:hint="eastAsia" w:ascii="宋体" w:cs="宋体"/>
      <w:color w:val="000000"/>
      <w:sz w:val="24"/>
    </w:rPr>
  </w:style>
  <w:style w:type="paragraph" w:customStyle="1" w:styleId="21">
    <w:name w:val="批注文字1"/>
    <w:autoRedefine/>
    <w:qFormat/>
    <w:uiPriority w:val="0"/>
    <w:pPr>
      <w:widowControl w:val="0"/>
    </w:pPr>
    <w:rPr>
      <w:rFonts w:ascii="Times New Roman" w:hAnsi="Times New Roman" w:eastAsia="宋体" w:cs="Times New Roman"/>
      <w:color w:val="000000"/>
      <w:kern w:val="2"/>
      <w:sz w:val="21"/>
      <w:szCs w:val="24"/>
      <w:lang w:val="en-US" w:eastAsia="zh-CN" w:bidi="ar-SA"/>
    </w:rPr>
  </w:style>
  <w:style w:type="paragraph" w:customStyle="1" w:styleId="22">
    <w:name w:val="Table Paragraph"/>
    <w:qFormat/>
    <w:uiPriority w:val="1"/>
    <w:rPr>
      <w:rFonts w:ascii="Calibri" w:hAnsi="Calibri" w:eastAsia="宋体" w:cs="Times New Roman"/>
      <w:sz w:val="22"/>
      <w:szCs w:val="22"/>
      <w:lang w:val="en-US" w:eastAsia="zh-CN" w:bidi="ar-SA"/>
    </w:rPr>
  </w:style>
  <w:style w:type="character" w:customStyle="1" w:styleId="23">
    <w:name w:val="font21"/>
    <w:qFormat/>
    <w:uiPriority w:val="0"/>
    <w:rPr>
      <w:rFonts w:hint="default" w:ascii="Times New Roman" w:hAnsi="Times New Roman" w:cs="Times New Roman"/>
      <w:b/>
      <w:bCs/>
      <w:color w:val="000000"/>
      <w:sz w:val="21"/>
      <w:szCs w:val="21"/>
      <w:u w:val="none"/>
      <w:vertAlign w:val="subscript"/>
    </w:rPr>
  </w:style>
  <w:style w:type="paragraph" w:customStyle="1" w:styleId="24">
    <w:name w:val="表格标题"/>
    <w:basedOn w:val="1"/>
    <w:next w:val="1"/>
    <w:qFormat/>
    <w:uiPriority w:val="0"/>
    <w:pPr>
      <w:jc w:val="center"/>
    </w:pPr>
    <w:rPr>
      <w:b/>
      <w:kern w:val="0"/>
      <w:sz w:val="20"/>
      <w:szCs w:val="20"/>
    </w:rPr>
  </w:style>
  <w:style w:type="paragraph" w:customStyle="1" w:styleId="25">
    <w:name w:val="表格内容"/>
    <w:basedOn w:val="1"/>
    <w:qFormat/>
    <w:uiPriority w:val="0"/>
    <w:pPr>
      <w:jc w:val="center"/>
    </w:pPr>
    <w:rPr>
      <w:kern w:val="0"/>
      <w:sz w:val="20"/>
      <w:szCs w:val="21"/>
    </w:rPr>
  </w:style>
  <w:style w:type="paragraph" w:customStyle="1" w:styleId="26">
    <w:name w:val="表格-居中"/>
    <w:basedOn w:val="1"/>
    <w:qFormat/>
    <w:uiPriority w:val="0"/>
    <w:pPr>
      <w:spacing w:line="320" w:lineRule="exact"/>
      <w:jc w:val="center"/>
    </w:pPr>
    <w:rPr>
      <w:rFonts w:ascii="宋体"/>
      <w:szCs w:val="21"/>
    </w:rPr>
  </w:style>
  <w:style w:type="character" w:customStyle="1" w:styleId="27">
    <w:name w:val="font41"/>
    <w:qFormat/>
    <w:uiPriority w:val="0"/>
    <w:rPr>
      <w:rFonts w:hint="eastAsia" w:ascii="Microsoft JhengHei" w:hAnsi="Microsoft JhengHei" w:eastAsia="Microsoft JhengHei" w:cs="Microsoft JhengHei"/>
      <w:b/>
      <w:color w:val="000000"/>
      <w:sz w:val="22"/>
      <w:szCs w:val="22"/>
      <w:u w:val="none"/>
    </w:rPr>
  </w:style>
  <w:style w:type="paragraph" w:customStyle="1" w:styleId="28">
    <w:name w:val="表格内容1"/>
    <w:basedOn w:val="1"/>
    <w:qFormat/>
    <w:uiPriority w:val="0"/>
    <w:pPr>
      <w:adjustRightInd w:val="0"/>
      <w:snapToGrid w:val="0"/>
      <w:jc w:val="center"/>
    </w:pPr>
    <w:rPr>
      <w:color w:val="0C0C0C"/>
      <w:szCs w:val="21"/>
    </w:rPr>
  </w:style>
  <w:style w:type="paragraph" w:customStyle="1" w:styleId="29">
    <w:name w:val="Char Char Char1"/>
    <w:basedOn w:val="1"/>
    <w:qFormat/>
    <w:uiPriority w:val="0"/>
    <w:rPr>
      <w:sz w:val="24"/>
    </w:rPr>
  </w:style>
  <w:style w:type="paragraph" w:customStyle="1" w:styleId="30">
    <w:name w:val="表内文字"/>
    <w:basedOn w:val="24"/>
    <w:next w:val="1"/>
    <w:autoRedefine/>
    <w:qFormat/>
    <w:uiPriority w:val="0"/>
    <w:pPr>
      <w:spacing w:line="240" w:lineRule="auto"/>
      <w:ind w:firstLine="0" w:firstLineChars="0"/>
      <w:jc w:val="center"/>
    </w:pPr>
    <w:rPr>
      <w:rFonts w:ascii="Times New Roman" w:hAnsi="Times New Roman"/>
      <w:b w:val="0"/>
    </w:rPr>
  </w:style>
  <w:style w:type="character" w:customStyle="1" w:styleId="31">
    <w:name w:val="font31"/>
    <w:basedOn w:val="16"/>
    <w:qFormat/>
    <w:uiPriority w:val="0"/>
    <w:rPr>
      <w:rFonts w:hint="default" w:ascii="Times New Roman" w:hAnsi="Times New Roman" w:cs="Times New Roman"/>
      <w:b/>
      <w:bCs/>
      <w:color w:val="000000"/>
      <w:sz w:val="22"/>
      <w:szCs w:val="22"/>
      <w:u w:val="none"/>
    </w:rPr>
  </w:style>
  <w:style w:type="paragraph" w:customStyle="1" w:styleId="32">
    <w:name w:val="li_正文"/>
    <w:basedOn w:val="1"/>
    <w:qFormat/>
    <w:uiPriority w:val="0"/>
    <w:pPr>
      <w:tabs>
        <w:tab w:val="left" w:pos="2340"/>
        <w:tab w:val="left" w:pos="4320"/>
      </w:tabs>
      <w:ind w:firstLine="530" w:firstLineChars="200"/>
      <w:jc w:val="left"/>
    </w:pPr>
    <w:rPr>
      <w:sz w:val="28"/>
      <w:szCs w:val="28"/>
    </w:rPr>
  </w:style>
  <w:style w:type="paragraph" w:customStyle="1" w:styleId="33">
    <w:name w:val="Default1"/>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34">
    <w:name w:val="正文 首行缩进:  2 字符"/>
    <w:basedOn w:val="1"/>
    <w:autoRedefine/>
    <w:qFormat/>
    <w:uiPriority w:val="0"/>
    <w:rPr>
      <w:rFonts w:cs="宋体"/>
      <w:szCs w:val="20"/>
    </w:rPr>
  </w:style>
  <w:style w:type="paragraph" w:customStyle="1" w:styleId="35">
    <w:name w:val="表格"/>
    <w:basedOn w:val="1"/>
    <w:next w:val="1"/>
    <w:autoRedefine/>
    <w:qFormat/>
    <w:uiPriority w:val="0"/>
    <w:pPr>
      <w:adjustRightInd w:val="0"/>
      <w:snapToGrid w:val="0"/>
      <w:spacing w:beforeLines="10" w:afterLines="10" w:line="259" w:lineRule="auto"/>
      <w:jc w:val="center"/>
    </w:pPr>
    <w:rPr>
      <w:rFonts w:ascii="宋体"/>
      <w:kern w:val="0"/>
      <w:szCs w:val="20"/>
    </w:rPr>
  </w:style>
</w:styles>
</file>

<file path=word/_rels/document.xml.rels><?xml version="1.0" encoding="UTF-8" standalone="yes"?>
<Relationships xmlns="http://schemas.openxmlformats.org/package/2006/relationships"><Relationship Id="rId9" Type="http://schemas.openxmlformats.org/officeDocument/2006/relationships/image" Target="media/image2.jpeg"/><Relationship Id="rId8" Type="http://schemas.openxmlformats.org/officeDocument/2006/relationships/image" Target="media/image1.png"/><Relationship Id="rId7" Type="http://schemas.openxmlformats.org/officeDocument/2006/relationships/theme" Target="theme/theme1.xml"/><Relationship Id="rId6" Type="http://schemas.openxmlformats.org/officeDocument/2006/relationships/footer" Target="footer4.xml"/><Relationship Id="rId58" Type="http://schemas.openxmlformats.org/officeDocument/2006/relationships/fontTable" Target="fontTable.xml"/><Relationship Id="rId57" Type="http://schemas.openxmlformats.org/officeDocument/2006/relationships/numbering" Target="numbering.xml"/><Relationship Id="rId56" Type="http://schemas.openxmlformats.org/officeDocument/2006/relationships/customXml" Target="../customXml/item1.xml"/><Relationship Id="rId55" Type="http://schemas.openxmlformats.org/officeDocument/2006/relationships/image" Target="media/image43.png"/><Relationship Id="rId54" Type="http://schemas.openxmlformats.org/officeDocument/2006/relationships/image" Target="media/image42.png"/><Relationship Id="rId53" Type="http://schemas.openxmlformats.org/officeDocument/2006/relationships/image" Target="media/image41.png"/><Relationship Id="rId52" Type="http://schemas.openxmlformats.org/officeDocument/2006/relationships/image" Target="media/image40.png"/><Relationship Id="rId51" Type="http://schemas.openxmlformats.org/officeDocument/2006/relationships/image" Target="media/image39.png"/><Relationship Id="rId50" Type="http://schemas.openxmlformats.org/officeDocument/2006/relationships/image" Target="media/image38.png"/><Relationship Id="rId5" Type="http://schemas.openxmlformats.org/officeDocument/2006/relationships/footer" Target="footer3.xml"/><Relationship Id="rId49" Type="http://schemas.openxmlformats.org/officeDocument/2006/relationships/image" Target="media/image37.png"/><Relationship Id="rId48" Type="http://schemas.openxmlformats.org/officeDocument/2006/relationships/image" Target="media/image36.png"/><Relationship Id="rId47" Type="http://schemas.openxmlformats.org/officeDocument/2006/relationships/image" Target="media/image35.png"/><Relationship Id="rId46" Type="http://schemas.openxmlformats.org/officeDocument/2006/relationships/image" Target="media/image34.png"/><Relationship Id="rId45" Type="http://schemas.openxmlformats.org/officeDocument/2006/relationships/image" Target="media/image33.png"/><Relationship Id="rId44" Type="http://schemas.openxmlformats.org/officeDocument/2006/relationships/image" Target="media/image32.png"/><Relationship Id="rId43" Type="http://schemas.openxmlformats.org/officeDocument/2006/relationships/image" Target="media/image31.png"/><Relationship Id="rId42" Type="http://schemas.openxmlformats.org/officeDocument/2006/relationships/image" Target="media/image30.png"/><Relationship Id="rId41" Type="http://schemas.openxmlformats.org/officeDocument/2006/relationships/image" Target="media/image29.png"/><Relationship Id="rId40" Type="http://schemas.openxmlformats.org/officeDocument/2006/relationships/image" Target="media/image28.png"/><Relationship Id="rId4" Type="http://schemas.openxmlformats.org/officeDocument/2006/relationships/footer" Target="footer2.xml"/><Relationship Id="rId39" Type="http://schemas.openxmlformats.org/officeDocument/2006/relationships/image" Target="media/image27.png"/><Relationship Id="rId38" Type="http://schemas.openxmlformats.org/officeDocument/2006/relationships/image" Target="media/image26.png"/><Relationship Id="rId37" Type="http://schemas.openxmlformats.org/officeDocument/2006/relationships/image" Target="media/image25.png"/><Relationship Id="rId36" Type="http://schemas.openxmlformats.org/officeDocument/2006/relationships/image" Target="media/image24.png"/><Relationship Id="rId35" Type="http://schemas.openxmlformats.org/officeDocument/2006/relationships/image" Target="media/image23.png"/><Relationship Id="rId34" Type="http://schemas.openxmlformats.org/officeDocument/2006/relationships/image" Target="media/image22.png"/><Relationship Id="rId33" Type="http://schemas.openxmlformats.org/officeDocument/2006/relationships/image" Target="media/image21.png"/><Relationship Id="rId32" Type="http://schemas.openxmlformats.org/officeDocument/2006/relationships/image" Target="media/image20.png"/><Relationship Id="rId31" Type="http://schemas.openxmlformats.org/officeDocument/2006/relationships/image" Target="media/image19.png"/><Relationship Id="rId30" Type="http://schemas.openxmlformats.org/officeDocument/2006/relationships/image" Target="media/image18.png"/><Relationship Id="rId3" Type="http://schemas.openxmlformats.org/officeDocument/2006/relationships/footer" Target="footer1.xml"/><Relationship Id="rId29" Type="http://schemas.openxmlformats.org/officeDocument/2006/relationships/image" Target="media/image17.png"/><Relationship Id="rId28" Type="http://schemas.openxmlformats.org/officeDocument/2006/relationships/image" Target="media/image16.wmf"/><Relationship Id="rId27" Type="http://schemas.openxmlformats.org/officeDocument/2006/relationships/image" Target="media/image15.wmf"/><Relationship Id="rId26" Type="http://schemas.openxmlformats.org/officeDocument/2006/relationships/oleObject" Target="embeddings/oleObject5.bin"/><Relationship Id="rId25" Type="http://schemas.openxmlformats.org/officeDocument/2006/relationships/image" Target="media/image14.wmf"/><Relationship Id="rId24" Type="http://schemas.openxmlformats.org/officeDocument/2006/relationships/oleObject" Target="embeddings/oleObject4.bin"/><Relationship Id="rId23" Type="http://schemas.openxmlformats.org/officeDocument/2006/relationships/image" Target="media/image13.wmf"/><Relationship Id="rId22" Type="http://schemas.openxmlformats.org/officeDocument/2006/relationships/oleObject" Target="embeddings/oleObject3.bin"/><Relationship Id="rId21" Type="http://schemas.openxmlformats.org/officeDocument/2006/relationships/image" Target="media/image12.wmf"/><Relationship Id="rId20" Type="http://schemas.openxmlformats.org/officeDocument/2006/relationships/oleObject" Target="embeddings/oleObject2.bin"/><Relationship Id="rId2" Type="http://schemas.openxmlformats.org/officeDocument/2006/relationships/settings" Target="settings.xml"/><Relationship Id="rId19" Type="http://schemas.openxmlformats.org/officeDocument/2006/relationships/image" Target="media/image11.wmf"/><Relationship Id="rId18" Type="http://schemas.openxmlformats.org/officeDocument/2006/relationships/oleObject" Target="embeddings/oleObject1.bin"/><Relationship Id="rId17" Type="http://schemas.openxmlformats.org/officeDocument/2006/relationships/image" Target="media/image10.png"/><Relationship Id="rId16" Type="http://schemas.openxmlformats.org/officeDocument/2006/relationships/image" Target="media/image9.png"/><Relationship Id="rId15" Type="http://schemas.openxmlformats.org/officeDocument/2006/relationships/image" Target="media/image8.png"/><Relationship Id="rId14" Type="http://schemas.openxmlformats.org/officeDocument/2006/relationships/image" Target="media/image7.png"/><Relationship Id="rId13" Type="http://schemas.openxmlformats.org/officeDocument/2006/relationships/image" Target="media/image6.png"/><Relationship Id="rId12" Type="http://schemas.openxmlformats.org/officeDocument/2006/relationships/image" Target="media/image5.png"/><Relationship Id="rId11" Type="http://schemas.openxmlformats.org/officeDocument/2006/relationships/image" Target="media/image4.png"/><Relationship Id="rId10" Type="http://schemas.openxmlformats.org/officeDocument/2006/relationships/image" Target="media/image3.jpe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83</Pages>
  <Words>142</Words>
  <Characters>168</Characters>
  <Lines>0</Lines>
  <Paragraphs>0</Paragraphs>
  <TotalTime>33</TotalTime>
  <ScaleCrop>false</ScaleCrop>
  <LinksUpToDate>false</LinksUpToDate>
  <CharactersWithSpaces>168</CharactersWithSpaces>
  <Application>WPS Office_12.1.0.21171_F1E327BC-269C-435d-A152-05C5408002CA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2025-03-17T02:19:00Z</dcterms:created>
  <dc:creator>ASUS</dc:creator>
  <cp:lastModifiedBy>lenovo</cp:lastModifiedBy>
  <dcterms:modified xsi:type="dcterms:W3CDTF">2025-05-22T01:57:40Z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2052-12.1.0.21171</vt:lpwstr>
  </property>
  <property fmtid="{D5CDD505-2E9C-101B-9397-08002B2CF9AE}" pid="3" name="KSOTemplateDocerSaveRecord">
    <vt:lpwstr>eyJoZGlkIjoiMWYwMTZhNjAxZDlmZWM0MDY3MmIwMTkzZTVhYzZiYjcifQ==</vt:lpwstr>
  </property>
  <property fmtid="{D5CDD505-2E9C-101B-9397-08002B2CF9AE}" pid="4" name="ICV">
    <vt:lpwstr>45D3B8C1576040FDBA9F1F687C2C34B3_13</vt:lpwstr>
  </property>
</Properties>
</file>