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rPr>
          <w:rFonts w:hint="default" w:ascii="Times New Roman" w:hAnsi="Times New Roman" w:eastAsia="宋体" w:cs="Times New Roman"/>
          <w:color w:val="auto"/>
          <w:sz w:val="36"/>
          <w:szCs w:val="36"/>
        </w:rPr>
      </w:pPr>
    </w:p>
    <w:p>
      <w:pPr>
        <w:shd w:val="clear"/>
        <w:rPr>
          <w:rFonts w:hint="default" w:ascii="Times New Roman" w:hAnsi="Times New Roman" w:eastAsia="宋体" w:cs="Times New Roman"/>
          <w:color w:val="auto"/>
          <w:sz w:val="36"/>
          <w:szCs w:val="36"/>
        </w:rPr>
      </w:pPr>
    </w:p>
    <w:p>
      <w:pPr>
        <w:shd w:val="clear"/>
        <w:rPr>
          <w:rFonts w:hint="default" w:ascii="Times New Roman" w:hAnsi="Times New Roman" w:eastAsia="宋体" w:cs="Times New Roman"/>
          <w:color w:val="auto"/>
          <w:sz w:val="36"/>
          <w:szCs w:val="36"/>
        </w:rPr>
      </w:pPr>
    </w:p>
    <w:p>
      <w:pPr>
        <w:shd w:val="clear"/>
        <w:rPr>
          <w:rFonts w:hint="default" w:ascii="Times New Roman" w:hAnsi="Times New Roman" w:eastAsia="宋体" w:cs="Times New Roman"/>
          <w:color w:val="auto"/>
          <w:sz w:val="36"/>
          <w:szCs w:val="36"/>
        </w:rPr>
      </w:pPr>
    </w:p>
    <w:p>
      <w:pPr>
        <w:shd w:val="clear"/>
        <w:adjustRightInd w:val="0"/>
        <w:snapToGrid w:val="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snapToGrid w:val="0"/>
          <w:color w:val="auto"/>
          <w:spacing w:val="9"/>
          <w:kern w:val="0"/>
          <w:sz w:val="72"/>
          <w:szCs w:val="72"/>
          <w:lang w:eastAsia="en-US"/>
        </w:rPr>
        <w:t>建设项目环境影响报告表</w:t>
      </w:r>
    </w:p>
    <w:p>
      <w:pPr>
        <w:widowControl/>
        <w:shd w:val="clear"/>
        <w:kinsoku w:val="0"/>
        <w:autoSpaceDE w:val="0"/>
        <w:autoSpaceDN w:val="0"/>
        <w:adjustRightInd w:val="0"/>
        <w:snapToGrid w:val="0"/>
        <w:spacing w:before="152" w:line="227" w:lineRule="auto"/>
        <w:ind w:left="2541"/>
        <w:jc w:val="left"/>
        <w:textAlignment w:val="baseline"/>
        <w:rPr>
          <w:rFonts w:hint="default" w:ascii="Times New Roman" w:hAnsi="Times New Roman" w:eastAsia="宋体" w:cs="Times New Roman"/>
          <w:snapToGrid w:val="0"/>
          <w:color w:val="auto"/>
          <w:kern w:val="0"/>
          <w:sz w:val="48"/>
          <w:szCs w:val="48"/>
          <w:lang w:eastAsia="zh-CN"/>
        </w:rPr>
      </w:pPr>
      <w:r>
        <w:rPr>
          <w:rFonts w:hint="default" w:ascii="Times New Roman" w:hAnsi="Times New Roman" w:eastAsia="宋体" w:cs="Times New Roman"/>
          <w:snapToGrid w:val="0"/>
          <w:color w:val="auto"/>
          <w:kern w:val="0"/>
          <w:sz w:val="48"/>
          <w:szCs w:val="48"/>
          <w:lang w:eastAsia="en-US"/>
        </w:rPr>
        <w:t>（污染影响类）</w:t>
      </w:r>
    </w:p>
    <w:p>
      <w:pPr>
        <w:shd w:val="clea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pPr>
        <w:shd w:val="clear"/>
        <w:jc w:val="center"/>
        <w:rPr>
          <w:rFonts w:hint="default" w:ascii="Times New Roman" w:hAnsi="Times New Roman" w:eastAsia="宋体" w:cs="Times New Roman"/>
          <w:color w:val="auto"/>
          <w:sz w:val="52"/>
          <w:szCs w:val="52"/>
        </w:rPr>
      </w:pPr>
    </w:p>
    <w:p>
      <w:pPr>
        <w:shd w:val="clear"/>
        <w:ind w:firstLine="1040"/>
        <w:rPr>
          <w:rFonts w:hint="default" w:ascii="Times New Roman" w:hAnsi="Times New Roman" w:eastAsia="宋体" w:cs="Times New Roman"/>
          <w:color w:val="auto"/>
          <w:sz w:val="44"/>
          <w:szCs w:val="44"/>
        </w:rPr>
      </w:pPr>
    </w:p>
    <w:p>
      <w:pPr>
        <w:shd w:val="clear"/>
        <w:ind w:firstLine="1040"/>
        <w:rPr>
          <w:rFonts w:hint="default" w:ascii="Times New Roman" w:hAnsi="Times New Roman" w:eastAsia="宋体" w:cs="Times New Roman"/>
          <w:color w:val="auto"/>
          <w:sz w:val="44"/>
          <w:szCs w:val="44"/>
        </w:rPr>
      </w:pPr>
    </w:p>
    <w:p>
      <w:pPr>
        <w:shd w:val="clear"/>
        <w:ind w:firstLine="1040"/>
        <w:rPr>
          <w:rFonts w:hint="default" w:ascii="Times New Roman" w:hAnsi="Times New Roman" w:eastAsia="宋体" w:cs="Times New Roman"/>
          <w:color w:val="auto"/>
          <w:sz w:val="44"/>
          <w:szCs w:val="44"/>
        </w:rPr>
      </w:pPr>
    </w:p>
    <w:p>
      <w:pPr>
        <w:shd w:val="clear"/>
        <w:ind w:firstLine="1040"/>
        <w:rPr>
          <w:rFonts w:hint="default" w:ascii="Times New Roman" w:hAnsi="Times New Roman" w:eastAsia="宋体" w:cs="Times New Roman"/>
          <w:color w:val="auto"/>
          <w:sz w:val="44"/>
          <w:szCs w:val="44"/>
        </w:rPr>
      </w:pPr>
    </w:p>
    <w:p>
      <w:pPr>
        <w:widowControl/>
        <w:shd w:val="clear"/>
        <w:tabs>
          <w:tab w:val="left" w:pos="8565"/>
        </w:tabs>
        <w:kinsoku w:val="0"/>
        <w:autoSpaceDE w:val="0"/>
        <w:autoSpaceDN w:val="0"/>
        <w:adjustRightInd w:val="0"/>
        <w:snapToGrid w:val="0"/>
        <w:spacing w:before="113" w:line="370" w:lineRule="auto"/>
        <w:ind w:left="129" w:right="24" w:firstLine="1"/>
        <w:jc w:val="both"/>
        <w:textAlignment w:val="baseline"/>
        <w:rPr>
          <w:rFonts w:hint="default" w:ascii="Times New Roman" w:hAnsi="Times New Roman" w:eastAsia="宋体" w:cs="Times New Roman"/>
          <w:snapToGrid w:val="0"/>
          <w:color w:val="auto"/>
          <w:spacing w:val="6"/>
          <w:kern w:val="0"/>
          <w:sz w:val="36"/>
          <w:szCs w:val="36"/>
          <w:u w:val="single"/>
          <w:lang w:eastAsia="zh-CN"/>
        </w:rPr>
      </w:pPr>
      <w:r>
        <w:rPr>
          <w:rFonts w:hint="default" w:ascii="Times New Roman" w:hAnsi="Times New Roman" w:eastAsia="宋体" w:cs="Times New Roman"/>
          <w:snapToGrid w:val="0"/>
          <w:color w:val="auto"/>
          <w:spacing w:val="6"/>
          <w:kern w:val="0"/>
          <w:sz w:val="36"/>
          <w:szCs w:val="36"/>
          <w:lang w:eastAsia="en-US"/>
        </w:rPr>
        <w:t>项目名称：</w:t>
      </w:r>
      <w:r>
        <w:rPr>
          <w:rFonts w:hint="default" w:ascii="Times New Roman" w:hAnsi="Times New Roman" w:eastAsia="宋体" w:cs="Times New Roman"/>
          <w:snapToGrid w:val="0"/>
          <w:color w:val="auto"/>
          <w:spacing w:val="6"/>
          <w:kern w:val="0"/>
          <w:sz w:val="36"/>
          <w:szCs w:val="36"/>
          <w:u w:val="single"/>
          <w:lang w:eastAsia="zh-CN"/>
        </w:rPr>
        <w:t>淄博诚泰化工设备有限公司防腐搪玻璃搅</w:t>
      </w:r>
    </w:p>
    <w:p>
      <w:pPr>
        <w:widowControl/>
        <w:shd w:val="clear"/>
        <w:tabs>
          <w:tab w:val="left" w:pos="8565"/>
        </w:tabs>
        <w:kinsoku w:val="0"/>
        <w:autoSpaceDE w:val="0"/>
        <w:autoSpaceDN w:val="0"/>
        <w:adjustRightInd w:val="0"/>
        <w:snapToGrid w:val="0"/>
        <w:spacing w:before="113" w:line="370" w:lineRule="auto"/>
        <w:ind w:left="129" w:right="24" w:firstLine="1860" w:firstLineChars="500"/>
        <w:jc w:val="both"/>
        <w:textAlignment w:val="baseline"/>
        <w:rPr>
          <w:rFonts w:hint="default" w:ascii="Times New Roman" w:hAnsi="Times New Roman" w:eastAsia="宋体" w:cs="Times New Roman"/>
          <w:snapToGrid w:val="0"/>
          <w:color w:val="auto"/>
          <w:spacing w:val="6"/>
          <w:kern w:val="0"/>
          <w:sz w:val="36"/>
          <w:szCs w:val="36"/>
          <w:lang w:eastAsia="zh-CN"/>
        </w:rPr>
      </w:pPr>
      <w:r>
        <w:rPr>
          <w:rFonts w:hint="default" w:ascii="Times New Roman" w:hAnsi="Times New Roman" w:eastAsia="宋体" w:cs="Times New Roman"/>
          <w:snapToGrid w:val="0"/>
          <w:color w:val="auto"/>
          <w:spacing w:val="6"/>
          <w:kern w:val="0"/>
          <w:sz w:val="36"/>
          <w:szCs w:val="36"/>
          <w:u w:val="single"/>
          <w:lang w:eastAsia="zh-CN"/>
        </w:rPr>
        <w:t>拌器和管件项目</w:t>
      </w:r>
    </w:p>
    <w:p>
      <w:pPr>
        <w:widowControl/>
        <w:shd w:val="clear"/>
        <w:tabs>
          <w:tab w:val="left" w:pos="8565"/>
        </w:tabs>
        <w:kinsoku w:val="0"/>
        <w:autoSpaceDE w:val="0"/>
        <w:autoSpaceDN w:val="0"/>
        <w:adjustRightInd w:val="0"/>
        <w:snapToGrid w:val="0"/>
        <w:spacing w:before="113" w:line="370" w:lineRule="auto"/>
        <w:ind w:left="129" w:right="24" w:firstLine="1"/>
        <w:jc w:val="both"/>
        <w:textAlignment w:val="baseline"/>
        <w:rPr>
          <w:rFonts w:hint="default" w:ascii="Times New Roman" w:hAnsi="Times New Roman" w:eastAsia="宋体" w:cs="Times New Roman"/>
          <w:snapToGrid w:val="0"/>
          <w:color w:val="auto"/>
          <w:spacing w:val="6"/>
          <w:kern w:val="0"/>
          <w:sz w:val="36"/>
          <w:szCs w:val="36"/>
          <w:lang w:eastAsia="zh-CN"/>
        </w:rPr>
      </w:pPr>
      <w:r>
        <w:rPr>
          <w:rFonts w:hint="default" w:ascii="Times New Roman" w:hAnsi="Times New Roman" w:eastAsia="宋体" w:cs="Times New Roman"/>
          <w:snapToGrid w:val="0"/>
          <w:color w:val="auto"/>
          <w:spacing w:val="6"/>
          <w:kern w:val="0"/>
          <w:sz w:val="36"/>
          <w:szCs w:val="36"/>
          <w:lang w:eastAsia="en-US"/>
        </w:rPr>
        <w:t>建设单位（盖章）：</w:t>
      </w:r>
      <w:r>
        <w:rPr>
          <w:rFonts w:hint="default" w:ascii="Times New Roman" w:hAnsi="Times New Roman" w:eastAsia="宋体" w:cs="Times New Roman"/>
          <w:snapToGrid w:val="0"/>
          <w:color w:val="auto"/>
          <w:spacing w:val="6"/>
          <w:kern w:val="0"/>
          <w:sz w:val="36"/>
          <w:szCs w:val="36"/>
          <w:u w:val="single"/>
          <w:lang w:eastAsia="zh-CN"/>
        </w:rPr>
        <w:t>淄博诚泰化工设备有限公司</w:t>
      </w:r>
    </w:p>
    <w:p>
      <w:pPr>
        <w:widowControl/>
        <w:shd w:val="clear"/>
        <w:tabs>
          <w:tab w:val="left" w:pos="8565"/>
        </w:tabs>
        <w:kinsoku w:val="0"/>
        <w:autoSpaceDE w:val="0"/>
        <w:autoSpaceDN w:val="0"/>
        <w:adjustRightInd w:val="0"/>
        <w:snapToGrid w:val="0"/>
        <w:spacing w:before="113" w:line="370" w:lineRule="auto"/>
        <w:ind w:left="129" w:right="24" w:firstLine="1"/>
        <w:jc w:val="both"/>
        <w:textAlignment w:val="baseline"/>
        <w:rPr>
          <w:rFonts w:hint="default" w:ascii="Times New Roman" w:hAnsi="Times New Roman" w:eastAsia="宋体" w:cs="Times New Roman"/>
          <w:snapToGrid w:val="0"/>
          <w:color w:val="auto"/>
          <w:spacing w:val="6"/>
          <w:kern w:val="0"/>
          <w:sz w:val="36"/>
          <w:szCs w:val="36"/>
          <w:lang w:eastAsia="zh-CN"/>
        </w:rPr>
      </w:pPr>
      <w:r>
        <w:rPr>
          <w:rFonts w:hint="default" w:ascii="Times New Roman" w:hAnsi="Times New Roman" w:eastAsia="宋体" w:cs="Times New Roman"/>
          <w:snapToGrid w:val="0"/>
          <w:color w:val="auto"/>
          <w:spacing w:val="6"/>
          <w:kern w:val="0"/>
          <w:sz w:val="36"/>
          <w:szCs w:val="36"/>
          <w:lang w:eastAsia="en-US"/>
        </w:rPr>
        <w:t>编制日期：</w:t>
      </w:r>
      <w:r>
        <w:rPr>
          <w:rFonts w:hint="default" w:ascii="Times New Roman" w:hAnsi="Times New Roman" w:eastAsia="宋体" w:cs="Times New Roman"/>
          <w:snapToGrid w:val="0"/>
          <w:color w:val="auto"/>
          <w:spacing w:val="6"/>
          <w:kern w:val="0"/>
          <w:sz w:val="36"/>
          <w:szCs w:val="36"/>
          <w:u w:val="single"/>
          <w:lang w:eastAsia="en-US"/>
        </w:rPr>
        <w:t>202</w:t>
      </w:r>
      <w:r>
        <w:rPr>
          <w:rFonts w:hint="default" w:ascii="Times New Roman" w:hAnsi="Times New Roman" w:eastAsia="宋体" w:cs="Times New Roman"/>
          <w:snapToGrid w:val="0"/>
          <w:color w:val="auto"/>
          <w:spacing w:val="6"/>
          <w:kern w:val="0"/>
          <w:sz w:val="36"/>
          <w:szCs w:val="36"/>
          <w:u w:val="single"/>
          <w:lang w:val="en-US" w:eastAsia="zh-CN"/>
        </w:rPr>
        <w:t>3</w:t>
      </w:r>
      <w:r>
        <w:rPr>
          <w:rFonts w:hint="default" w:ascii="Times New Roman" w:hAnsi="Times New Roman" w:eastAsia="宋体" w:cs="Times New Roman"/>
          <w:snapToGrid w:val="0"/>
          <w:color w:val="auto"/>
          <w:spacing w:val="6"/>
          <w:kern w:val="0"/>
          <w:sz w:val="36"/>
          <w:szCs w:val="36"/>
          <w:u w:val="single"/>
          <w:lang w:eastAsia="en-US"/>
        </w:rPr>
        <w:t>年</w:t>
      </w:r>
      <w:r>
        <w:rPr>
          <w:rFonts w:hint="default" w:ascii="Times New Roman" w:hAnsi="Times New Roman" w:eastAsia="宋体" w:cs="Times New Roman"/>
          <w:snapToGrid w:val="0"/>
          <w:color w:val="auto"/>
          <w:spacing w:val="6"/>
          <w:kern w:val="0"/>
          <w:sz w:val="36"/>
          <w:szCs w:val="36"/>
          <w:u w:val="single"/>
          <w:lang w:val="en-US" w:eastAsia="zh-CN"/>
        </w:rPr>
        <w:t>11</w:t>
      </w:r>
      <w:r>
        <w:rPr>
          <w:rFonts w:hint="default" w:ascii="Times New Roman" w:hAnsi="Times New Roman" w:eastAsia="宋体" w:cs="Times New Roman"/>
          <w:snapToGrid w:val="0"/>
          <w:color w:val="auto"/>
          <w:spacing w:val="6"/>
          <w:kern w:val="0"/>
          <w:sz w:val="36"/>
          <w:szCs w:val="36"/>
          <w:u w:val="single"/>
          <w:lang w:eastAsia="en-US"/>
        </w:rPr>
        <w:t>月</w:t>
      </w:r>
    </w:p>
    <w:p>
      <w:pPr>
        <w:shd w:val="clea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pPr>
        <w:shd w:val="clear"/>
        <w:adjustRightInd w:val="0"/>
        <w:snapToGrid w:val="0"/>
        <w:spacing w:line="288" w:lineRule="auto"/>
        <w:ind w:firstLine="1040"/>
        <w:rPr>
          <w:rFonts w:hint="default" w:ascii="Times New Roman" w:hAnsi="Times New Roman" w:eastAsia="宋体" w:cs="Times New Roman"/>
          <w:color w:val="auto"/>
          <w:sz w:val="36"/>
          <w:szCs w:val="36"/>
        </w:rPr>
      </w:pPr>
    </w:p>
    <w:p>
      <w:pPr>
        <w:shd w:val="clear"/>
        <w:adjustRightInd w:val="0"/>
        <w:snapToGrid w:val="0"/>
        <w:spacing w:line="288" w:lineRule="auto"/>
        <w:ind w:firstLine="1040"/>
        <w:rPr>
          <w:rFonts w:hint="default" w:ascii="Times New Roman" w:hAnsi="Times New Roman" w:eastAsia="宋体" w:cs="Times New Roman"/>
          <w:color w:val="auto"/>
          <w:sz w:val="36"/>
          <w:szCs w:val="36"/>
        </w:rPr>
      </w:pPr>
    </w:p>
    <w:p>
      <w:pPr>
        <w:shd w:val="clear"/>
        <w:adjustRightInd w:val="0"/>
        <w:snapToGrid w:val="0"/>
        <w:spacing w:line="288" w:lineRule="auto"/>
        <w:ind w:firstLine="1040"/>
        <w:rPr>
          <w:rFonts w:hint="default" w:ascii="Times New Roman" w:hAnsi="Times New Roman" w:eastAsia="宋体" w:cs="Times New Roman"/>
          <w:color w:val="auto"/>
          <w:sz w:val="36"/>
          <w:szCs w:val="36"/>
        </w:rPr>
      </w:pPr>
    </w:p>
    <w:bookmarkEnd w:id="0"/>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napToGrid w:val="0"/>
          <w:color w:val="auto"/>
          <w:spacing w:val="5"/>
          <w:kern w:val="0"/>
          <w:sz w:val="36"/>
          <w:szCs w:val="36"/>
          <w:lang w:eastAsia="en-US"/>
        </w:rPr>
      </w:pPr>
      <w:r>
        <w:rPr>
          <w:rFonts w:hint="default" w:ascii="Times New Roman" w:hAnsi="Times New Roman" w:eastAsia="宋体" w:cs="Times New Roman"/>
          <w:snapToGrid w:val="0"/>
          <w:color w:val="auto"/>
          <w:spacing w:val="5"/>
          <w:kern w:val="0"/>
          <w:sz w:val="36"/>
          <w:szCs w:val="36"/>
          <w:lang w:eastAsia="en-US"/>
        </w:rPr>
        <w:t>中华人民共和国生态环境部制</w:t>
      </w:r>
    </w:p>
    <w:p>
      <w:pPr>
        <w:rPr>
          <w:rFonts w:hint="default" w:ascii="Times New Roman" w:hAnsi="Times New Roman" w:eastAsia="宋体" w:cs="Times New Roman"/>
          <w:snapToGrid w:val="0"/>
          <w:color w:val="auto"/>
          <w:spacing w:val="5"/>
          <w:kern w:val="0"/>
          <w:sz w:val="36"/>
          <w:szCs w:val="36"/>
          <w:lang w:eastAsia="en-US"/>
        </w:rPr>
      </w:pPr>
      <w:r>
        <w:rPr>
          <w:rFonts w:hint="default" w:ascii="Times New Roman" w:hAnsi="Times New Roman" w:eastAsia="宋体" w:cs="Times New Roman"/>
          <w:snapToGrid w:val="0"/>
          <w:color w:val="auto"/>
          <w:spacing w:val="5"/>
          <w:kern w:val="0"/>
          <w:sz w:val="36"/>
          <w:szCs w:val="36"/>
          <w:lang w:eastAsia="en-US"/>
        </w:rPr>
        <w:br w:type="page"/>
      </w:r>
    </w:p>
    <w:p>
      <w:pPr>
        <w:rPr>
          <w:rFonts w:hint="default"/>
        </w:rPr>
      </w:pPr>
      <w:r>
        <w:rPr>
          <w:rFonts w:hint="default"/>
        </w:rPr>
        <w:br w:type="page"/>
      </w:r>
    </w:p>
    <w:p>
      <w:pPr>
        <w:rPr>
          <w:rFonts w:hint="default"/>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shd w:val="clear"/>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6"/>
        <w:gridCol w:w="2135"/>
        <w:gridCol w:w="2170"/>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3969" w:type="pct"/>
            <w:gridSpan w:val="3"/>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淄博诚泰化工设备有限公司防腐搪玻璃搅拌器和管件项目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3969" w:type="pct"/>
            <w:gridSpan w:val="3"/>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2307-370392-89-02-718991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20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姚文益</w:t>
            </w:r>
          </w:p>
        </w:tc>
        <w:tc>
          <w:tcPr>
            <w:tcW w:w="122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54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13964370458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3969" w:type="pct"/>
            <w:gridSpan w:val="3"/>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文昌湖区萌水镇金山村北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3969" w:type="pct"/>
            <w:gridSpan w:val="3"/>
            <w:tcBorders>
              <w:tl2br w:val="nil"/>
              <w:tr2bl w:val="nil"/>
            </w:tcBorders>
            <w:noWrap w:val="0"/>
            <w:vAlign w:val="center"/>
          </w:tcPr>
          <w:p>
            <w:pPr>
              <w:shd w:val="clea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东经</w:t>
            </w:r>
            <w:r>
              <w:rPr>
                <w:rFonts w:hint="default" w:ascii="Times New Roman" w:hAnsi="Times New Roman" w:eastAsia="宋体" w:cs="Times New Roman"/>
                <w:color w:val="auto"/>
                <w:sz w:val="24"/>
                <w:szCs w:val="24"/>
                <w:u w:val="single"/>
              </w:rPr>
              <w:t>11</w:t>
            </w:r>
            <w:r>
              <w:rPr>
                <w:rFonts w:hint="default" w:ascii="Times New Roman" w:hAnsi="Times New Roman" w:eastAsia="宋体" w:cs="Times New Roman"/>
                <w:color w:val="auto"/>
                <w:sz w:val="24"/>
                <w:szCs w:val="24"/>
                <w:u w:val="single"/>
                <w:lang w:val="en-US" w:eastAsia="zh-CN"/>
              </w:rPr>
              <w:t>7</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lang w:val="en-US" w:eastAsia="zh-CN"/>
              </w:rPr>
              <w:t>50</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lang w:val="en-US" w:eastAsia="zh-CN"/>
              </w:rPr>
              <w:t>20.966</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lang w:val="en-US" w:eastAsia="zh-CN"/>
              </w:rPr>
              <w:t>北纬</w:t>
            </w:r>
            <w:r>
              <w:rPr>
                <w:rFonts w:hint="default" w:ascii="Times New Roman" w:hAnsi="Times New Roman" w:eastAsia="宋体" w:cs="Times New Roman"/>
                <w:color w:val="auto"/>
                <w:sz w:val="24"/>
                <w:szCs w:val="24"/>
                <w:u w:val="single"/>
              </w:rPr>
              <w:t>36</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lang w:val="en-US" w:eastAsia="zh-CN"/>
              </w:rPr>
              <w:t>44</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lang w:val="en-US" w:eastAsia="zh-CN"/>
              </w:rPr>
              <w:t>6.089</w:t>
            </w:r>
            <w:r>
              <w:rPr>
                <w:rFonts w:hint="default" w:ascii="Times New Roman" w:hAnsi="Times New Roman" w:eastAsia="宋体" w:cs="Times New Roman"/>
                <w:color w:val="auto"/>
                <w:sz w:val="24"/>
                <w:szCs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20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C3371生产专用搪瓷制品制造</w:t>
            </w:r>
          </w:p>
        </w:tc>
        <w:tc>
          <w:tcPr>
            <w:tcW w:w="122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1540" w:type="pct"/>
            <w:tcBorders>
              <w:tl2br w:val="nil"/>
              <w:tr2bl w:val="nil"/>
            </w:tcBorders>
            <w:noWrap w:val="0"/>
            <w:vAlign w:val="center"/>
          </w:tcPr>
          <w:p>
            <w:pPr>
              <w:keepNext w:val="0"/>
              <w:keepLines w:val="0"/>
              <w:widowControl/>
              <w:suppressLineNumbers w:val="0"/>
              <w:shd w:val="clear"/>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
              </w:rPr>
              <w:t>三十、金属制品业，搪瓷制品制造 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6"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204" w:type="pct"/>
            <w:tcBorders>
              <w:tl2br w:val="nil"/>
              <w:tr2bl w:val="nil"/>
            </w:tcBorders>
            <w:noWrap w:val="0"/>
            <w:vAlign w:val="center"/>
          </w:tcPr>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新建（迁建）</w:t>
            </w:r>
          </w:p>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22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540" w:type="pct"/>
            <w:tcBorders>
              <w:tl2br w:val="nil"/>
              <w:tr2bl w:val="nil"/>
            </w:tcBorders>
            <w:noWrap w:val="0"/>
            <w:vAlign w:val="center"/>
          </w:tcPr>
          <w:p>
            <w:pPr>
              <w:shd w:val="clear"/>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首次申报项目</w:t>
            </w:r>
          </w:p>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shd w:val="clear"/>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超五年重新审核项目</w:t>
            </w:r>
          </w:p>
          <w:p>
            <w:pPr>
              <w:shd w:val="clea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120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淄博市文昌湖省级旅游度假区经济发展局</w:t>
            </w:r>
          </w:p>
        </w:tc>
        <w:tc>
          <w:tcPr>
            <w:tcW w:w="122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54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2307-370392-89-02-718991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20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520</w:t>
            </w:r>
          </w:p>
        </w:tc>
        <w:tc>
          <w:tcPr>
            <w:tcW w:w="1224"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54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204"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7.69</w:t>
            </w:r>
          </w:p>
        </w:tc>
        <w:tc>
          <w:tcPr>
            <w:tcW w:w="1224"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54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030"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204" w:type="pct"/>
            <w:tcBorders>
              <w:tl2br w:val="nil"/>
              <w:tr2bl w:val="nil"/>
            </w:tcBorders>
            <w:noWrap w:val="0"/>
            <w:vAlign w:val="center"/>
          </w:tcPr>
          <w:p>
            <w:pPr>
              <w:shd w:val="clea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否</w:t>
            </w:r>
          </w:p>
          <w:p>
            <w:pPr>
              <w:shd w:val="clea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p>
        </w:tc>
        <w:tc>
          <w:tcPr>
            <w:tcW w:w="1224" w:type="pct"/>
            <w:tcBorders>
              <w:tl2br w:val="nil"/>
              <w:tr2bl w:val="nil"/>
            </w:tcBorders>
            <w:noWrap w:val="0"/>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54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30" w:type="pct"/>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4"/>
                <w:szCs w:val="24"/>
              </w:rPr>
              <w:t>专项评价设置情况</w:t>
            </w:r>
          </w:p>
        </w:tc>
        <w:tc>
          <w:tcPr>
            <w:tcW w:w="3969" w:type="pct"/>
            <w:gridSpan w:val="3"/>
            <w:tcBorders>
              <w:tl2br w:val="nil"/>
              <w:tr2bl w:val="nil"/>
            </w:tcBorders>
            <w:noWrap w:val="0"/>
            <w:vAlign w:val="center"/>
          </w:tcPr>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421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3"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专项评价的类别</w:t>
                  </w:r>
                </w:p>
              </w:tc>
              <w:tc>
                <w:tcPr>
                  <w:tcW w:w="3091"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设置原则</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大气</w:t>
                  </w:r>
                </w:p>
              </w:tc>
              <w:tc>
                <w:tcPr>
                  <w:tcW w:w="3091" w:type="pct"/>
                  <w:shd w:val="clear" w:color="auto" w:fill="auto"/>
                  <w:noWrap w:val="0"/>
                  <w:vAlign w:val="center"/>
                </w:tcPr>
                <w:p>
                  <w:pPr>
                    <w:keepNext w:val="0"/>
                    <w:keepLines w:val="0"/>
                    <w:widowControl/>
                    <w:suppressLineNumbers w:val="0"/>
                    <w:shd w:val="clear"/>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排放废气含有毒有害污染物、二噁英、苯并[a]芘、氰化物、氯气且厂界外500米范围内有环境空气保护目标的建设项目。</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不涉及，</w:t>
                  </w:r>
                  <w:r>
                    <w:rPr>
                      <w:rFonts w:hint="eastAsia" w:cs="Times New Roman"/>
                      <w:color w:val="auto"/>
                      <w:kern w:val="0"/>
                      <w:sz w:val="18"/>
                      <w:szCs w:val="18"/>
                      <w:lang w:val="en-US" w:eastAsia="zh-CN" w:bidi="ar"/>
                    </w:rPr>
                    <w:t>无须设置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地表水</w:t>
                  </w:r>
                </w:p>
              </w:tc>
              <w:tc>
                <w:tcPr>
                  <w:tcW w:w="3091" w:type="pct"/>
                  <w:shd w:val="clear" w:color="auto" w:fill="auto"/>
                  <w:noWrap w:val="0"/>
                  <w:vAlign w:val="center"/>
                </w:tcPr>
                <w:p>
                  <w:pPr>
                    <w:keepNext w:val="0"/>
                    <w:keepLines w:val="0"/>
                    <w:widowControl/>
                    <w:suppressLineNumbers w:val="0"/>
                    <w:shd w:val="clear"/>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新增工业废水直排建设项目（槽罐车外送污水处理厂的除外）；新增废水直排的污水集中处理厂。</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不涉及，</w:t>
                  </w:r>
                  <w:r>
                    <w:rPr>
                      <w:rFonts w:hint="eastAsia" w:cs="Times New Roman"/>
                      <w:color w:val="auto"/>
                      <w:kern w:val="0"/>
                      <w:sz w:val="18"/>
                      <w:szCs w:val="18"/>
                      <w:lang w:val="en-US" w:eastAsia="zh-CN" w:bidi="ar"/>
                    </w:rPr>
                    <w:t>无须设置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环境风险</w:t>
                  </w:r>
                </w:p>
              </w:tc>
              <w:tc>
                <w:tcPr>
                  <w:tcW w:w="3091" w:type="pct"/>
                  <w:shd w:val="clear" w:color="auto" w:fill="auto"/>
                  <w:noWrap w:val="0"/>
                  <w:vAlign w:val="center"/>
                </w:tcPr>
                <w:p>
                  <w:pPr>
                    <w:keepNext w:val="0"/>
                    <w:keepLines w:val="0"/>
                    <w:widowControl/>
                    <w:suppressLineNumbers w:val="0"/>
                    <w:shd w:val="clear"/>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有毒有害和易燃易爆危险物质存储量超过临界量的建设项目。</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0"/>
                      <w:sz w:val="18"/>
                      <w:szCs w:val="18"/>
                      <w:lang w:val="en-US" w:eastAsia="zh-CN" w:bidi="ar"/>
                    </w:rPr>
                    <w:t>本项目涉及易燃易爆物质，但存储量未超临界量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生态</w:t>
                  </w:r>
                </w:p>
              </w:tc>
              <w:tc>
                <w:tcPr>
                  <w:tcW w:w="3091" w:type="pct"/>
                  <w:shd w:val="clear" w:color="auto" w:fill="auto"/>
                  <w:noWrap w:val="0"/>
                  <w:vAlign w:val="center"/>
                </w:tcPr>
                <w:p>
                  <w:pPr>
                    <w:keepNext w:val="0"/>
                    <w:keepLines w:val="0"/>
                    <w:widowControl/>
                    <w:suppressLineNumbers w:val="0"/>
                    <w:shd w:val="clear"/>
                    <w:ind w:firstLine="360" w:firstLineChars="20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取水口下游500米范围内有重要水生生物的自然产卵场、索饵场、越冬场和洄游通道的新增河道取水的污染类建设项目。</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不涉及，</w:t>
                  </w:r>
                  <w:r>
                    <w:rPr>
                      <w:rFonts w:hint="eastAsia" w:cs="Times New Roman"/>
                      <w:color w:val="auto"/>
                      <w:kern w:val="0"/>
                      <w:sz w:val="18"/>
                      <w:szCs w:val="18"/>
                      <w:lang w:val="en-US" w:eastAsia="zh-CN" w:bidi="ar"/>
                    </w:rPr>
                    <w:t>无须设置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海洋</w:t>
                  </w:r>
                </w:p>
              </w:tc>
              <w:tc>
                <w:tcPr>
                  <w:tcW w:w="3091" w:type="pct"/>
                  <w:shd w:val="clear" w:color="auto" w:fill="auto"/>
                  <w:noWrap w:val="0"/>
                  <w:vAlign w:val="center"/>
                </w:tcPr>
                <w:p>
                  <w:pPr>
                    <w:keepNext w:val="0"/>
                    <w:keepLines w:val="0"/>
                    <w:widowControl/>
                    <w:suppressLineNumbers w:val="0"/>
                    <w:shd w:val="clear"/>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直接向海排放污染物的海洋工程建设项目。</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不涉及，</w:t>
                  </w:r>
                  <w:r>
                    <w:rPr>
                      <w:rFonts w:hint="eastAsia" w:cs="Times New Roman"/>
                      <w:color w:val="auto"/>
                      <w:kern w:val="0"/>
                      <w:sz w:val="18"/>
                      <w:szCs w:val="18"/>
                      <w:lang w:val="en-US" w:eastAsia="zh-CN" w:bidi="ar"/>
                    </w:rPr>
                    <w:t>无须设置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土壤、声环境</w:t>
                  </w:r>
                </w:p>
              </w:tc>
              <w:tc>
                <w:tcPr>
                  <w:tcW w:w="3091"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不开展专项评价</w:t>
                  </w:r>
                </w:p>
              </w:tc>
              <w:tc>
                <w:tcPr>
                  <w:tcW w:w="1124"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shd w:val="clear" w:color="auto" w:fill="auto"/>
                  <w:noWrap w:val="0"/>
                  <w:vAlign w:val="center"/>
                </w:tcPr>
                <w:p>
                  <w:pPr>
                    <w:pStyle w:val="30"/>
                    <w:shd w:val="clea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地下水</w:t>
                  </w:r>
                </w:p>
              </w:tc>
              <w:tc>
                <w:tcPr>
                  <w:tcW w:w="3091" w:type="pct"/>
                  <w:shd w:val="clear" w:color="auto" w:fill="auto"/>
                  <w:noWrap w:val="0"/>
                  <w:vAlign w:val="center"/>
                </w:tcPr>
                <w:p>
                  <w:pPr>
                    <w:pStyle w:val="30"/>
                    <w:shd w:val="clear"/>
                    <w:ind w:firstLine="360" w:firstLineChars="200"/>
                    <w:jc w:val="both"/>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原则上不开展专项评价，涉及集中式饮用水水源和热水、矿泉水、温泉等特殊地下水</w:t>
                  </w:r>
                  <w:r>
                    <w:rPr>
                      <w:rFonts w:hint="default" w:ascii="Times New Roman" w:hAnsi="Times New Roman" w:eastAsia="宋体" w:cs="Times New Roman"/>
                      <w:color w:val="auto"/>
                      <w:sz w:val="18"/>
                      <w:szCs w:val="18"/>
                      <w:lang w:val="en-US" w:eastAsia="zh-CN"/>
                    </w:rPr>
                    <w:t>资</w:t>
                  </w:r>
                  <w:r>
                    <w:rPr>
                      <w:rFonts w:hint="default" w:ascii="Times New Roman" w:hAnsi="Times New Roman" w:eastAsia="宋体" w:cs="Times New Roman"/>
                      <w:color w:val="auto"/>
                      <w:sz w:val="18"/>
                      <w:szCs w:val="18"/>
                    </w:rPr>
                    <w:t>源保护区的开展地下水专项评价工作</w:t>
                  </w:r>
                  <w:r>
                    <w:rPr>
                      <w:rFonts w:hint="default" w:ascii="Times New Roman" w:hAnsi="Times New Roman" w:eastAsia="宋体" w:cs="Times New Roman"/>
                      <w:color w:val="auto"/>
                      <w:sz w:val="18"/>
                      <w:szCs w:val="18"/>
                      <w:lang w:eastAsia="zh-CN"/>
                    </w:rPr>
                    <w:t>。</w:t>
                  </w:r>
                </w:p>
              </w:tc>
              <w:tc>
                <w:tcPr>
                  <w:tcW w:w="1124" w:type="pct"/>
                  <w:shd w:val="clear" w:color="auto" w:fill="auto"/>
                  <w:noWrap w:val="0"/>
                  <w:vAlign w:val="center"/>
                </w:tcPr>
                <w:p>
                  <w:pPr>
                    <w:keepNext w:val="0"/>
                    <w:keepLines w:val="0"/>
                    <w:widowControl/>
                    <w:suppressLineNumbers w:val="0"/>
                    <w:shd w:val="clea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不涉及，</w:t>
                  </w:r>
                  <w:r>
                    <w:rPr>
                      <w:rFonts w:hint="eastAsia" w:cs="Times New Roman"/>
                      <w:color w:val="auto"/>
                      <w:kern w:val="0"/>
                      <w:sz w:val="18"/>
                      <w:szCs w:val="18"/>
                      <w:lang w:val="en-US" w:eastAsia="zh-CN" w:bidi="ar"/>
                    </w:rPr>
                    <w:t>无须设置</w:t>
                  </w:r>
                </w:p>
              </w:tc>
            </w:tr>
          </w:tbl>
          <w:p>
            <w:pPr>
              <w:shd w:val="clear"/>
              <w:autoSpaceDE w:val="0"/>
              <w:autoSpaceDN w:val="0"/>
              <w:adjustRightInd w:val="0"/>
              <w:snapToGrid w:val="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3969" w:type="pct"/>
            <w:gridSpan w:val="3"/>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淄博文昌湖省级旅游度假区管理委员会关于规划萌水镇、商家镇工业集聚区的意见（淄文昌管发【2021】12号）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3969" w:type="pct"/>
            <w:gridSpan w:val="3"/>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pct"/>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w:t>
            </w:r>
          </w:p>
          <w:p>
            <w:pPr>
              <w:shd w:val="clea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影响评价符合性分析</w:t>
            </w:r>
          </w:p>
        </w:tc>
        <w:tc>
          <w:tcPr>
            <w:tcW w:w="3969" w:type="pct"/>
            <w:gridSpan w:val="3"/>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本项目与淄博文昌湖省级旅游度假区管理委员会关于规划萌水镇、商家镇工业集聚区的意见（淄文昌管发【2021】12号）符合性分析：</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淄博文昌湖省级旅游度假区管理委员会出具关于规划萌水镇、商家镇工业集聚区的意见：为推动经济高质量发展和生态环境高水平保护，按照省生态环境厅、省发展和改革委员会、省工业和信息化厅、省自然资源厅联合下发的《关于严格项目审批工作坚决防止新上“散乱污”项目的通知》(鲁环字[2021]58号)要求，新建有污染物排放的工业项目，除在安全生产等方面有特殊要求的以外，应当进入工业园区或工业集聚区。经区管委会研究，确定在萌水镇和商家镇划定工业集聚区范围，按照产业定位和有关要求，规范审批工业项目，推动经济发展。</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一、萌水镇工业集聚区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1.萌水镇新材料产业片区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位于庆淄路两侧、文昌大道以北、杨萌路以南、张博附线以西，总占地约1300余亩。主导产业:金属磨料、非金属磨料、其它新材料等，形成新材料产业集群。</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2.萌水镇智能制造产业片区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位于张博附线以东及原三衣工业园，总占地约1500余亩。主导产业:装备制造、新能源汽车配套装备等，形成智能制造产业集群。</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3.萌水镇仓储物流产业片区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位于文昌湖高速路下路口两侧及对面,总占地约360余亩。主导产业:冷链物流、仓储运输、集散配送等，形成物流仓储产业集群。</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4.三衣西片(龙口龙泉北安扈家)产业片区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包含龙口、龙泉、北安村内产业片区，占地约1157亩，企业77家，园区内分布有磨料、玻璃制品、机械、针织等行业为主。</w:t>
            </w:r>
            <w:r>
              <w:rPr>
                <w:rFonts w:hint="eastAsia" w:ascii="Times New Roman" w:cs="Times New Roman"/>
                <w:color w:val="auto"/>
                <w:kern w:val="0"/>
                <w:sz w:val="24"/>
                <w:szCs w:val="24"/>
                <w:lang w:val="en-US" w:eastAsia="zh-CN" w:bidi="ar-SA"/>
              </w:rPr>
              <w:t xml:space="preserve">   </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5.萌水镇中心工业片区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括镇政府驻地、官三村、水磨工业园内原三元公司、三利绸缎印染、现丰雁电子元件、淄博瑞泽非制造布有限公司等企业及湿地公园、污水处理厂、嘉丰公司等，规划约800余亩，主要有电子元件和玻璃机械等行业。</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6.萌水镇西工业片区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包括萌水镇城乡统筹服务中心、北王工业园及正阳路以西、S102两侧的部分企业，总占地面积约300亩，主要以医疗器械、机械制造、纺织、家具制造为主。</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二、商家镇工业集聚区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1.山东松柳智能制造产业片区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东起杨家村中心大街，西至冶西村，北至胶王路，南至冲山。规划占地面积约600亩，以承接高端装备制造、工业机器人、高端电子靶材等为主。</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2.齐鲁智能制造产业片区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位于商家镇西部，东起山东宜景生态科技有限公司，西至镇边界，北至商中路，南至冲山。规划总用地40.96公顷，园区以胶王路为界划分为南、北两个区域，以汽车配件、五金机械配件、新材料等产业为主。</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3.冶头工业片区</w:t>
            </w:r>
          </w:p>
          <w:p>
            <w:pPr>
              <w:pStyle w:val="31"/>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bidi="ar-SA"/>
              </w:rPr>
              <w:t>东起正阳西路，西至七河</w:t>
            </w:r>
            <w:r>
              <w:rPr>
                <w:rFonts w:hint="eastAsia" w:ascii="Times New Roman" w:cs="Times New Roman"/>
                <w:color w:val="auto"/>
                <w:kern w:val="0"/>
                <w:sz w:val="24"/>
                <w:szCs w:val="24"/>
                <w:lang w:val="en-US" w:eastAsia="zh-CN" w:bidi="ar-SA"/>
              </w:rPr>
              <w:t>村</w:t>
            </w:r>
            <w:r>
              <w:rPr>
                <w:rFonts w:hint="default" w:ascii="Times New Roman" w:hAnsi="Times New Roman" w:eastAsia="宋体" w:cs="Times New Roman"/>
                <w:color w:val="auto"/>
                <w:kern w:val="0"/>
                <w:sz w:val="24"/>
                <w:szCs w:val="24"/>
                <w:lang w:val="en-US" w:eastAsia="zh-CN" w:bidi="ar-SA"/>
              </w:rPr>
              <w:t>西端，南至胶王路、齐鲁智能制造产业园，北至七河</w:t>
            </w:r>
            <w:r>
              <w:rPr>
                <w:rFonts w:hint="eastAsia" w:ascii="Times New Roman" w:cs="Times New Roman"/>
                <w:color w:val="auto"/>
                <w:kern w:val="0"/>
                <w:sz w:val="24"/>
                <w:szCs w:val="24"/>
                <w:lang w:val="en-US" w:eastAsia="zh-CN" w:bidi="ar-SA"/>
              </w:rPr>
              <w:t>村</w:t>
            </w:r>
            <w:r>
              <w:rPr>
                <w:rFonts w:hint="default" w:ascii="Times New Roman" w:hAnsi="Times New Roman" w:eastAsia="宋体" w:cs="Times New Roman"/>
                <w:color w:val="auto"/>
                <w:kern w:val="0"/>
                <w:sz w:val="24"/>
                <w:szCs w:val="24"/>
                <w:lang w:val="en-US" w:eastAsia="zh-CN" w:bidi="ar-SA"/>
              </w:rPr>
              <w:t>北端，总占地面积约800亩，</w:t>
            </w:r>
            <w:r>
              <w:rPr>
                <w:rFonts w:hint="default" w:ascii="Times New Roman" w:hAnsi="Times New Roman" w:eastAsia="宋体" w:cs="Times New Roman"/>
                <w:color w:val="auto"/>
                <w:kern w:val="0"/>
                <w:sz w:val="24"/>
                <w:szCs w:val="24"/>
                <w:highlight w:val="none"/>
                <w:lang w:val="en-US" w:eastAsia="zh-CN" w:bidi="ar-SA"/>
              </w:rPr>
              <w:t>以机械制造、五金加工、服装加工、建材、木器加工、新材料等产业为主。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contextualSpacing/>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lang w:val="en-US" w:eastAsia="zh-CN" w:bidi="ar-SA"/>
              </w:rPr>
              <w:t>新建项目为</w:t>
            </w:r>
            <w:r>
              <w:rPr>
                <w:rFonts w:hint="default" w:ascii="Times New Roman" w:hAnsi="Times New Roman" w:eastAsia="宋体" w:cs="Times New Roman"/>
                <w:color w:val="auto"/>
                <w:sz w:val="24"/>
                <w:szCs w:val="24"/>
                <w:lang w:val="en-US" w:eastAsia="zh-CN"/>
              </w:rPr>
              <w:t>专用搪瓷制品制造</w:t>
            </w: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lang w:val="en-US" w:eastAsia="zh-CN" w:bidi="ar-SA"/>
              </w:rPr>
              <w:t>位于</w:t>
            </w:r>
            <w:r>
              <w:rPr>
                <w:rFonts w:hint="default" w:ascii="Times New Roman" w:hAnsi="Times New Roman" w:eastAsia="宋体" w:cs="Times New Roman"/>
                <w:color w:val="auto"/>
                <w:kern w:val="0"/>
                <w:sz w:val="24"/>
                <w:szCs w:val="24"/>
                <w:lang w:val="en-US" w:eastAsia="zh-CN" w:bidi="ar-SA"/>
              </w:rPr>
              <w:t>萌水镇西工业片区，属于</w:t>
            </w:r>
            <w:r>
              <w:rPr>
                <w:rFonts w:hint="default" w:ascii="Times New Roman" w:hAnsi="Times New Roman" w:eastAsia="宋体" w:cs="Times New Roman"/>
                <w:color w:val="auto"/>
                <w:kern w:val="0"/>
                <w:sz w:val="24"/>
                <w:szCs w:val="24"/>
                <w:highlight w:val="none"/>
                <w:lang w:val="en-US" w:eastAsia="zh-CN" w:bidi="ar-SA"/>
              </w:rPr>
              <w:t>萌水镇工业聚集区，符合国土空间规划和产业发展规划要求。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0" w:type="pct"/>
            <w:tcBorders>
              <w:tl2br w:val="nil"/>
              <w:tr2bl w:val="nil"/>
            </w:tcBorders>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3969" w:type="pct"/>
            <w:gridSpan w:val="3"/>
            <w:tcBorders>
              <w:tl2br w:val="nil"/>
              <w:tr2bl w:val="nil"/>
            </w:tcBorders>
            <w:noWrap w:val="0"/>
            <w:vAlign w:val="center"/>
          </w:tcPr>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1、产业政策的符合性</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为专用搪瓷制品制造</w:t>
            </w: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sz w:val="24"/>
                <w:szCs w:val="24"/>
                <w:lang w:eastAsia="zh-CN"/>
              </w:rPr>
              <w:t>不</w:t>
            </w:r>
            <w:r>
              <w:rPr>
                <w:rFonts w:hint="default" w:ascii="Times New Roman" w:hAnsi="Times New Roman" w:eastAsia="宋体" w:cs="Times New Roman"/>
                <w:color w:val="auto"/>
                <w:sz w:val="24"/>
                <w:szCs w:val="24"/>
              </w:rPr>
              <w:t>属于国家发展和改革委员会发布的《产业结构调整指导目录（2019年本）》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国家发改委第29号令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鼓励类、限制类、淘汰类项目，故属于允许类项目，因此符合国家产业政策。</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迁建项目所用设备、生产工艺不属于淄博市《全市重点淘汰的落后工艺技术、装备及产品目录》中落后的工艺技术、装备及产品项目，不属于淄博市人民政府办公厅发布的《关于印发淄博市产业结构调整指导意见和指导目录的通知》（淄政办发〔2011〕35号）中鼓励类、限制类和淘汰类之列，故该项目属允许类项目，符合淄博市的产业政策</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淄博市文昌湖省级旅游度假区经济发展局</w:t>
            </w:r>
            <w:r>
              <w:rPr>
                <w:rFonts w:hint="default" w:ascii="Times New Roman" w:hAnsi="Times New Roman" w:eastAsia="宋体" w:cs="Times New Roman"/>
                <w:color w:val="auto"/>
                <w:sz w:val="24"/>
                <w:szCs w:val="24"/>
              </w:rPr>
              <w:t>已进行项目登记备案（</w:t>
            </w:r>
            <w:r>
              <w:rPr>
                <w:rFonts w:hint="default" w:ascii="Times New Roman" w:hAnsi="Times New Roman" w:eastAsia="宋体" w:cs="Times New Roman"/>
                <w:color w:val="auto"/>
                <w:sz w:val="24"/>
                <w:szCs w:val="24"/>
                <w:lang w:eastAsia="zh-CN"/>
              </w:rPr>
              <w:t>2307-370392-89-02-718991</w:t>
            </w:r>
            <w:r>
              <w:rPr>
                <w:rFonts w:hint="default" w:ascii="Times New Roman" w:hAnsi="Times New Roman" w:eastAsia="宋体" w:cs="Times New Roman"/>
                <w:color w:val="auto"/>
                <w:sz w:val="24"/>
                <w:szCs w:val="24"/>
              </w:rPr>
              <w:t>）。</w:t>
            </w:r>
          </w:p>
          <w:p>
            <w:pPr>
              <w:keepNext w:val="0"/>
              <w:keepLines w:val="0"/>
              <w:pageBreakBefore w:val="0"/>
              <w:numPr>
                <w:ilvl w:val="0"/>
                <w:numId w:val="1"/>
              </w:numPr>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土地政策符合性</w:t>
            </w:r>
          </w:p>
          <w:p>
            <w:pPr>
              <w:keepNext w:val="0"/>
              <w:keepLines w:val="0"/>
              <w:pageBreakBefore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根据《限制用地项目目录》（2012年本）和《禁止用地项目目录》（2012年本），项目不属于限制或禁止用地项目。项目周围区域内无自然保护区、</w:t>
            </w:r>
            <w:r>
              <w:rPr>
                <w:rFonts w:hint="default" w:ascii="Times New Roman" w:hAnsi="Times New Roman" w:eastAsia="宋体" w:cs="Times New Roman"/>
                <w:color w:val="auto"/>
                <w:sz w:val="24"/>
                <w:szCs w:val="24"/>
              </w:rPr>
              <w:t>饮用水水源保护区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风景名胜区</w:t>
            </w:r>
            <w:r>
              <w:rPr>
                <w:rFonts w:hint="default" w:ascii="Times New Roman" w:hAnsi="Times New Roman" w:eastAsia="宋体" w:cs="Times New Roman"/>
                <w:color w:val="auto"/>
                <w:sz w:val="24"/>
                <w:szCs w:val="24"/>
                <w:lang w:val="en-US" w:eastAsia="zh-CN"/>
              </w:rPr>
              <w:t>及珍稀动植物等重点保护目标，环境现状良好。</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lang w:eastAsia="zh-CN"/>
              </w:rPr>
              <w:t>《淄博文昌湖省级旅游度假区村庄布局规划（2021-2035年）》，</w:t>
            </w:r>
            <w:r>
              <w:rPr>
                <w:rFonts w:hint="default" w:ascii="Times New Roman" w:hAnsi="Times New Roman" w:eastAsia="宋体" w:cs="Times New Roman"/>
                <w:color w:val="auto"/>
                <w:lang w:val="en-US" w:eastAsia="zh-CN"/>
              </w:rPr>
              <w:t>金山村属于城郊融合类村庄，属于</w:t>
            </w:r>
            <w:r>
              <w:rPr>
                <w:rFonts w:hint="default" w:ascii="Times New Roman" w:hAnsi="Times New Roman" w:eastAsia="宋体" w:cs="Times New Roman"/>
                <w:color w:val="auto"/>
                <w:sz w:val="24"/>
                <w:szCs w:val="24"/>
              </w:rPr>
              <w:t>萌水镇西工业片区</w:t>
            </w:r>
            <w:r>
              <w:rPr>
                <w:rFonts w:hint="default" w:ascii="Times New Roman" w:hAnsi="Times New Roman" w:eastAsia="宋体" w:cs="Times New Roman"/>
                <w:color w:val="auto"/>
                <w:sz w:val="24"/>
                <w:szCs w:val="24"/>
                <w:lang w:eastAsia="zh-CN"/>
              </w:rPr>
              <w:t>。</w:t>
            </w:r>
          </w:p>
          <w:p>
            <w:pPr>
              <w:keepNext w:val="0"/>
              <w:keepLines w:val="0"/>
              <w:pageBreakBefore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项目位于山东省淄博市文昌湖区萌水镇金山村委北600米，位于萌水镇西工业片区，属于萌水镇工业聚集区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项目用地属于工业用地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依据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淄博市土地利用总体规划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2006-2020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《周村区土地利用总体规划》（2006-2020），</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属于允许建设区，符合</w:t>
            </w:r>
            <w:r>
              <w:rPr>
                <w:rFonts w:hint="default" w:ascii="Times New Roman" w:hAnsi="Times New Roman" w:eastAsia="宋体" w:cs="Times New Roman"/>
                <w:color w:val="auto"/>
                <w:sz w:val="24"/>
                <w:szCs w:val="24"/>
                <w:lang w:val="en-US" w:eastAsia="zh-CN"/>
              </w:rPr>
              <w:t>文昌湖区、淄博市</w:t>
            </w:r>
            <w:r>
              <w:rPr>
                <w:rFonts w:hint="default" w:ascii="Times New Roman" w:hAnsi="Times New Roman" w:eastAsia="宋体" w:cs="Times New Roman"/>
                <w:color w:val="auto"/>
                <w:sz w:val="24"/>
                <w:szCs w:val="24"/>
              </w:rPr>
              <w:t>及国家的土地利用总体规划。</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3、项目选址合理性分析</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该项目位于</w:t>
            </w:r>
            <w:r>
              <w:rPr>
                <w:rFonts w:hint="default" w:ascii="Times New Roman" w:hAnsi="Times New Roman" w:eastAsia="宋体" w:cs="Times New Roman"/>
                <w:color w:val="auto"/>
                <w:sz w:val="24"/>
                <w:szCs w:val="24"/>
                <w:lang w:eastAsia="zh-CN"/>
              </w:rPr>
              <w:t>文昌湖区萌水镇金山村北</w:t>
            </w:r>
            <w:r>
              <w:rPr>
                <w:rFonts w:hint="default" w:ascii="Times New Roman" w:hAnsi="Times New Roman" w:eastAsia="宋体" w:cs="Times New Roman"/>
                <w:color w:val="auto"/>
                <w:sz w:val="24"/>
                <w:szCs w:val="24"/>
              </w:rPr>
              <w:t>（东经：11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20.966</w:t>
            </w:r>
            <w:r>
              <w:rPr>
                <w:rFonts w:hint="default" w:ascii="Times New Roman" w:hAnsi="Times New Roman" w:eastAsia="宋体" w:cs="Times New Roman"/>
                <w:color w:val="auto"/>
                <w:sz w:val="24"/>
                <w:szCs w:val="24"/>
              </w:rPr>
              <w:t>"、北纬：36°</w:t>
            </w:r>
            <w:r>
              <w:rPr>
                <w:rFonts w:hint="default" w:ascii="Times New Roman" w:hAnsi="Times New Roman" w:eastAsia="宋体" w:cs="Times New Roman"/>
                <w:color w:val="auto"/>
                <w:sz w:val="24"/>
                <w:szCs w:val="24"/>
                <w:lang w:val="en-US" w:eastAsia="zh-CN"/>
              </w:rPr>
              <w:t>44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6.089</w:t>
            </w:r>
            <w:r>
              <w:rPr>
                <w:rFonts w:hint="default" w:ascii="Times New Roman" w:hAnsi="Times New Roman" w:eastAsia="宋体" w:cs="Times New Roman"/>
                <w:color w:val="auto"/>
                <w:sz w:val="24"/>
                <w:szCs w:val="24"/>
              </w:rPr>
              <w:t>"），用地性质属于</w:t>
            </w:r>
            <w:r>
              <w:rPr>
                <w:rFonts w:hint="default" w:ascii="Times New Roman" w:hAnsi="Times New Roman" w:eastAsia="宋体" w:cs="Times New Roman"/>
                <w:color w:val="auto"/>
                <w:sz w:val="24"/>
                <w:szCs w:val="24"/>
                <w:lang w:val="en-US" w:eastAsia="zh-CN"/>
              </w:rPr>
              <w:t>建设</w:t>
            </w:r>
            <w:r>
              <w:rPr>
                <w:rFonts w:hint="default" w:ascii="Times New Roman" w:hAnsi="Times New Roman" w:eastAsia="宋体" w:cs="Times New Roman"/>
                <w:color w:val="auto"/>
                <w:sz w:val="24"/>
                <w:szCs w:val="24"/>
                <w:lang w:eastAsia="zh-CN"/>
              </w:rPr>
              <w:t>用地</w:t>
            </w:r>
            <w:r>
              <w:rPr>
                <w:rFonts w:hint="default" w:ascii="Times New Roman" w:hAnsi="Times New Roman" w:eastAsia="宋体" w:cs="Times New Roman"/>
                <w:color w:val="auto"/>
                <w:sz w:val="24"/>
                <w:szCs w:val="24"/>
              </w:rPr>
              <w:t>，项目北面为农田、西面为</w:t>
            </w:r>
            <w:r>
              <w:rPr>
                <w:rFonts w:hint="default" w:ascii="Times New Roman" w:hAnsi="Times New Roman" w:eastAsia="宋体" w:cs="Times New Roman"/>
                <w:color w:val="auto"/>
                <w:sz w:val="24"/>
                <w:szCs w:val="24"/>
                <w:lang w:val="en-US" w:eastAsia="zh-CN"/>
              </w:rPr>
              <w:t>淄博文昌湖热力有限公司</w:t>
            </w:r>
            <w:r>
              <w:rPr>
                <w:rFonts w:hint="default" w:ascii="Times New Roman" w:hAnsi="Times New Roman" w:eastAsia="宋体" w:cs="Times New Roman"/>
                <w:color w:val="auto"/>
                <w:sz w:val="24"/>
                <w:szCs w:val="24"/>
              </w:rPr>
              <w:t>，南面为</w:t>
            </w:r>
            <w:r>
              <w:rPr>
                <w:rFonts w:hint="default" w:ascii="Times New Roman" w:hAnsi="Times New Roman" w:eastAsia="宋体" w:cs="Times New Roman"/>
                <w:color w:val="auto"/>
                <w:sz w:val="24"/>
                <w:szCs w:val="24"/>
                <w:lang w:val="en-US" w:eastAsia="zh-CN"/>
              </w:rPr>
              <w:t>山东银启机械制造</w:t>
            </w:r>
            <w:r>
              <w:rPr>
                <w:rFonts w:hint="default" w:ascii="Times New Roman" w:hAnsi="Times New Roman" w:eastAsia="宋体" w:cs="Times New Roman"/>
                <w:color w:val="auto"/>
                <w:sz w:val="24"/>
                <w:szCs w:val="24"/>
                <w:lang w:eastAsia="zh-CN"/>
              </w:rPr>
              <w:t>有限公司</w:t>
            </w:r>
            <w:r>
              <w:rPr>
                <w:rFonts w:hint="default" w:ascii="Times New Roman" w:hAnsi="Times New Roman" w:eastAsia="宋体" w:cs="Times New Roman"/>
                <w:color w:val="auto"/>
                <w:sz w:val="24"/>
                <w:szCs w:val="24"/>
                <w:lang w:val="en-US" w:eastAsia="zh-CN"/>
              </w:rPr>
              <w:t>现有</w:t>
            </w:r>
            <w:r>
              <w:rPr>
                <w:rFonts w:hint="default" w:ascii="Times New Roman" w:hAnsi="Times New Roman" w:eastAsia="宋体" w:cs="Times New Roman"/>
                <w:color w:val="auto"/>
                <w:sz w:val="24"/>
                <w:szCs w:val="24"/>
                <w:lang w:eastAsia="zh-CN"/>
              </w:rPr>
              <w:t>厂房</w:t>
            </w:r>
            <w:r>
              <w:rPr>
                <w:rFonts w:hint="default" w:ascii="Times New Roman" w:hAnsi="Times New Roman" w:eastAsia="宋体" w:cs="Times New Roman"/>
                <w:color w:val="auto"/>
                <w:sz w:val="24"/>
                <w:szCs w:val="24"/>
              </w:rPr>
              <w:t>，东面为</w:t>
            </w:r>
            <w:r>
              <w:rPr>
                <w:rFonts w:hint="default" w:ascii="Times New Roman" w:hAnsi="Times New Roman" w:eastAsia="宋体" w:cs="Times New Roman"/>
                <w:color w:val="auto"/>
                <w:sz w:val="24"/>
                <w:szCs w:val="24"/>
                <w:lang w:eastAsia="zh-CN"/>
              </w:rPr>
              <w:t>农田。</w:t>
            </w:r>
            <w:r>
              <w:rPr>
                <w:rFonts w:hint="default" w:ascii="Times New Roman" w:hAnsi="Times New Roman" w:eastAsia="宋体" w:cs="Times New Roman"/>
                <w:color w:val="auto"/>
                <w:sz w:val="24"/>
                <w:szCs w:val="24"/>
                <w:lang w:val="en-US" w:eastAsia="zh-CN"/>
              </w:rPr>
              <w:t>项目距离最近的环境敏感目标为项目南侧距离320m的金山村。</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大气环境防护距离是为了保护人群健康，减少正常排放条件下大气污染物对居住区的环境影响，在项目厂界以外设置的环境防护距离。参照《环境影响评价技术导则 大气环境》（HJ2.2-2008）推荐的模式，计算的无组织废气大气环境防护距离预测结果，根据计算结果，无超标点，因此，不需设大气环境防护距离。</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该项目卫生防护距离采用《制定地方大气污染物排放标准的技术方法》(GB/T 3840-1991)中推荐方法进行计算，距离项目最近的敏感点为</w:t>
            </w:r>
            <w:r>
              <w:rPr>
                <w:rFonts w:hint="default"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rPr>
              <w:t>方向的</w:t>
            </w:r>
            <w:r>
              <w:rPr>
                <w:rFonts w:hint="default" w:ascii="Times New Roman" w:hAnsi="Times New Roman" w:eastAsia="宋体" w:cs="Times New Roman"/>
                <w:color w:val="auto"/>
                <w:sz w:val="24"/>
                <w:szCs w:val="24"/>
                <w:lang w:val="en-US" w:eastAsia="zh-CN"/>
              </w:rPr>
              <w:t>金山</w:t>
            </w:r>
            <w:r>
              <w:rPr>
                <w:rFonts w:hint="default" w:ascii="Times New Roman" w:hAnsi="Times New Roman" w:eastAsia="宋体" w:cs="Times New Roman"/>
                <w:color w:val="auto"/>
                <w:sz w:val="24"/>
                <w:szCs w:val="24"/>
              </w:rPr>
              <w:t>村，不在项目卫生防护距离内，符合卫生防护距离要求。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项目选址符合大气环境防护距离要求，符合卫生防护距离，在各项环境污染治理措施落实后，污染物可以达标排放，项目满足当地环境功能要求，符合清洁生产要求，工程风险能够有效控制。</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综上，</w:t>
            </w:r>
            <w:r>
              <w:rPr>
                <w:rFonts w:hint="default" w:ascii="Times New Roman" w:hAnsi="Times New Roman" w:eastAsia="宋体" w:cs="Times New Roman"/>
                <w:color w:val="auto"/>
                <w:sz w:val="24"/>
                <w:szCs w:val="24"/>
              </w:rPr>
              <w:t>项目用地符合城乡规划要求</w:t>
            </w:r>
            <w:r>
              <w:rPr>
                <w:rFonts w:hint="default" w:ascii="Times New Roman" w:hAnsi="Times New Roman" w:eastAsia="宋体" w:cs="Times New Roman"/>
                <w:color w:val="auto"/>
                <w:sz w:val="24"/>
                <w:szCs w:val="24"/>
                <w:lang w:eastAsia="zh-CN"/>
              </w:rPr>
              <w:t>。</w:t>
            </w:r>
          </w:p>
          <w:p>
            <w:pPr>
              <w:keepNext w:val="0"/>
              <w:keepLines w:val="0"/>
              <w:pageBreakBefore w:val="0"/>
              <w:numPr>
                <w:ilvl w:val="0"/>
                <w:numId w:val="0"/>
              </w:numPr>
              <w:shd w:val="clear"/>
              <w:kinsoku/>
              <w:wordWrap/>
              <w:overflowPunct/>
              <w:topLinePunct w:val="0"/>
              <w:autoSpaceDE w:val="0"/>
              <w:autoSpaceDN w:val="0"/>
              <w:bidi w:val="0"/>
              <w:adjustRightInd w:val="0"/>
              <w:snapToGrid w:val="0"/>
              <w:spacing w:line="360" w:lineRule="auto"/>
              <w:ind w:left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与“三线一单”符合性分析</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根据《关于以改善环境质量为核心加强环境影响评价管理的通知》（环环评【2016】150号）要求，生态保护红线、环境质量底线、资源利用上线和环境准入负面清单符合性分析如下：</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（1）生态保护红线符合性判定</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根据《淄博市生态保护红线规划（2016-2020年）》</w:t>
            </w:r>
            <w:r>
              <w:rPr>
                <w:rFonts w:hint="default" w:ascii="Times New Roman" w:hAnsi="Times New Roman" w:eastAsia="宋体" w:cs="Times New Roman"/>
                <w:color w:val="auto"/>
                <w:sz w:val="24"/>
                <w:szCs w:val="24"/>
                <w:lang w:val="en-US" w:eastAsia="zh-CN"/>
              </w:rPr>
              <w:t>中的名单</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距离最近的生态保护红线区为文昌湖水源涵养生态保护红线区（SD-03-B1-05），北起萌山水库大坝，南至环湖南路，西至环湖西路，东至环湖东路，面积8.22km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项目位于红线区</w:t>
            </w:r>
            <w:r>
              <w:rPr>
                <w:rFonts w:hint="default" w:ascii="Times New Roman" w:hAnsi="Times New Roman" w:eastAsia="宋体" w:cs="Times New Roman"/>
                <w:color w:val="auto"/>
                <w:sz w:val="24"/>
                <w:szCs w:val="24"/>
                <w:lang w:val="en-US" w:eastAsia="zh-CN"/>
              </w:rPr>
              <w:t>西北侧</w:t>
            </w:r>
            <w:r>
              <w:rPr>
                <w:rFonts w:hint="default" w:ascii="Times New Roman" w:hAnsi="Times New Roman" w:eastAsia="宋体" w:cs="Times New Roman"/>
                <w:color w:val="auto"/>
                <w:sz w:val="24"/>
                <w:szCs w:val="24"/>
              </w:rPr>
              <w:t>约</w:t>
            </w:r>
            <w:r>
              <w:rPr>
                <w:rFonts w:hint="default"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km，未在红线保护区内所以新建项目不涉及占用或穿越生态保护红线。</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szCs w:val="24"/>
                <w:lang w:eastAsia="zh-CN"/>
              </w:rPr>
              <w:t>文昌湖区萌水镇金山村北</w:t>
            </w:r>
            <w:r>
              <w:rPr>
                <w:rFonts w:hint="default" w:ascii="Times New Roman" w:hAnsi="Times New Roman" w:eastAsia="宋体" w:cs="Times New Roman"/>
                <w:color w:val="auto"/>
                <w:sz w:val="24"/>
                <w:szCs w:val="24"/>
              </w:rPr>
              <w:t>，不在生态保护红线区内，本项目的建设对该区域生物多样性影响很小，能够符合《山东省生态保护红线规划（2016—2020年）》相关要求。</w:t>
            </w:r>
          </w:p>
          <w:p>
            <w:pPr>
              <w:keepNext w:val="0"/>
              <w:keepLines w:val="0"/>
              <w:pageBreakBefore w:val="0"/>
              <w:numPr>
                <w:ilvl w:val="0"/>
                <w:numId w:val="2"/>
              </w:numPr>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环境质量底线符合性判定</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环境质量底线是国家和地方设置的大气、水和土壤环境质量目标，也是改善环境质量的基准线。有关规划环评应落实区域环境质量目标管理要求，提出区域</w:t>
            </w:r>
            <w:r>
              <w:rPr>
                <w:rFonts w:hint="eastAsia" w:cs="Times New Roman"/>
                <w:color w:val="auto"/>
                <w:sz w:val="24"/>
                <w:szCs w:val="24"/>
                <w:lang w:val="en-US" w:eastAsia="zh-CN"/>
              </w:rPr>
              <w:t>或</w:t>
            </w:r>
            <w:r>
              <w:rPr>
                <w:rFonts w:hint="default" w:ascii="Times New Roman" w:hAnsi="Times New Roman" w:eastAsia="宋体" w:cs="Times New Roman"/>
                <w:color w:val="auto"/>
                <w:sz w:val="24"/>
                <w:szCs w:val="24"/>
                <w:lang w:val="en-US" w:eastAsia="zh-CN"/>
              </w:rPr>
              <w:t>行业污染物排放总量管控建议以及优化区域或行业发展布局、结构和规模的对策措施。项目环评应对照区域环境质量目标，深入分析预测项目建设对环境质量的影响，强化污染防治措施和污染物排放控制要求。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根据淄博市生态环境局2023年1月17日公布的《2022年12月份及全年环境空气质量情况通报》：</w:t>
            </w:r>
            <w:r>
              <w:rPr>
                <w:rFonts w:hint="default" w:ascii="Times New Roman" w:hAnsi="Times New Roman" w:eastAsia="宋体" w:cs="Times New Roman"/>
                <w:color w:val="auto"/>
                <w:sz w:val="24"/>
                <w:szCs w:val="24"/>
                <w:lang w:val="en-US" w:eastAsia="zh-CN"/>
              </w:rPr>
              <w:t>2022年度，文昌湖区</w:t>
            </w:r>
            <w:r>
              <w:rPr>
                <w:rFonts w:hint="default" w:ascii="Times New Roman" w:hAnsi="Times New Roman" w:eastAsia="宋体" w:cs="Times New Roman"/>
                <w:color w:val="auto"/>
                <w:sz w:val="24"/>
                <w:szCs w:val="24"/>
              </w:rPr>
              <w:t>主要污染物二氧化硫（SO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）、二氧化氮（NO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浓度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CO浓度分别为1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rPr>
              <w:t>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39</w:t>
            </w:r>
            <w:r>
              <w:rPr>
                <w:rFonts w:hint="default" w:ascii="Times New Roman" w:hAnsi="Times New Roman" w:eastAsia="宋体" w:cs="Times New Roman"/>
                <w:color w:val="auto"/>
                <w:sz w:val="24"/>
                <w:szCs w:val="24"/>
              </w:rPr>
              <w:t>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181</w:t>
            </w:r>
            <w:r>
              <w:rPr>
                <w:rFonts w:hint="default" w:ascii="Times New Roman" w:hAnsi="Times New Roman" w:eastAsia="宋体" w:cs="Times New Roman"/>
                <w:color w:val="auto"/>
                <w:sz w:val="24"/>
                <w:szCs w:val="24"/>
              </w:rPr>
              <w:t>µg/m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1.5m</w:t>
            </w:r>
            <w:r>
              <w:rPr>
                <w:rFonts w:hint="default" w:ascii="Times New Roman" w:hAnsi="Times New Roman" w:eastAsia="宋体" w:cs="Times New Roman"/>
                <w:color w:val="auto"/>
                <w:sz w:val="24"/>
                <w:szCs w:val="24"/>
              </w:rPr>
              <w:t>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，可吸入颗粒物（PM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）、细颗粒物（PM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不满足《环境空气质量标准》（GB3095-2012）及其修改单二级标准，针对以上环境现状，淄博市生态环境局于20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月印发《</w:t>
            </w:r>
            <w:r>
              <w:rPr>
                <w:rFonts w:hint="default" w:ascii="Times New Roman" w:hAnsi="Times New Roman" w:eastAsia="宋体" w:cs="Times New Roman"/>
                <w:color w:val="auto"/>
                <w:sz w:val="24"/>
                <w:szCs w:val="24"/>
                <w:lang w:eastAsia="zh-CN"/>
              </w:rPr>
              <w:t>淄博市新一轮“四减四增”三年行动方案</w:t>
            </w:r>
            <w:r>
              <w:rPr>
                <w:rFonts w:hint="default" w:ascii="Times New Roman" w:hAnsi="Times New Roman" w:eastAsia="宋体" w:cs="Times New Roman"/>
                <w:color w:val="auto"/>
                <w:sz w:val="24"/>
                <w:szCs w:val="24"/>
              </w:rPr>
              <w:t>》，切实解决我市在产业结构、能源结构、运输结构、农业投入结构和生态环境等方面存在的突出问题，更好地满足人民群众日益增长的优美生态环境需要；并于2019年4月11日成立</w:t>
            </w:r>
            <w:r>
              <w:rPr>
                <w:rFonts w:hint="default" w:ascii="Times New Roman" w:hAnsi="Times New Roman" w:eastAsia="宋体" w:cs="Times New Roman"/>
                <w:color w:val="auto"/>
                <w:sz w:val="24"/>
                <w:szCs w:val="24"/>
                <w:lang w:val="en-US" w:eastAsia="zh-CN"/>
              </w:rPr>
              <w:t>淄博</w:t>
            </w:r>
            <w:r>
              <w:rPr>
                <w:rFonts w:hint="default" w:ascii="Times New Roman" w:hAnsi="Times New Roman" w:eastAsia="宋体" w:cs="Times New Roman"/>
                <w:color w:val="auto"/>
                <w:sz w:val="24"/>
                <w:szCs w:val="24"/>
              </w:rPr>
              <w:t>市生态环境质量控制服务中心，负责全市主要污染物减排方面的工作，以及对全市环境质量状况和污染源排放情况进行监控，对环境管理与应急，环境执法与监测实施统一指挥调度，加大做好生态环境质量控制服务统筹</w:t>
            </w:r>
            <w:r>
              <w:rPr>
                <w:rFonts w:hint="default" w:ascii="Times New Roman" w:hAnsi="Times New Roman" w:eastAsia="宋体" w:cs="Times New Roman"/>
                <w:color w:val="auto"/>
                <w:sz w:val="24"/>
                <w:szCs w:val="24"/>
                <w:lang w:eastAsia="zh-CN"/>
              </w:rPr>
              <w:t>。</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rPr>
              <w:t>本项目区地表水主要为淦河（孝妇河支流），该段水质执行《地表水环境质量标准》(GB3838--2002)Ⅳ类标准，根据淄博市</w:t>
            </w:r>
            <w:r>
              <w:rPr>
                <w:rFonts w:hint="default" w:ascii="Times New Roman" w:hAnsi="Times New Roman" w:eastAsia="宋体" w:cs="Times New Roman"/>
                <w:color w:val="auto"/>
                <w:sz w:val="24"/>
                <w:szCs w:val="24"/>
                <w:lang w:val="en-US" w:eastAsia="zh-CN"/>
              </w:rPr>
              <w:t>生态环境</w:t>
            </w:r>
            <w:r>
              <w:rPr>
                <w:rFonts w:hint="default" w:ascii="Times New Roman" w:hAnsi="Times New Roman" w:eastAsia="宋体" w:cs="Times New Roman"/>
                <w:color w:val="auto"/>
                <w:sz w:val="24"/>
                <w:szCs w:val="24"/>
              </w:rPr>
              <w:t>局发布的《2022年1-11月全市地表水环境质量状况》，202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1-5月</w:t>
            </w:r>
            <w:r>
              <w:rPr>
                <w:rFonts w:hint="default" w:ascii="Times New Roman" w:hAnsi="Times New Roman" w:eastAsia="宋体" w:cs="Times New Roman"/>
                <w:color w:val="auto"/>
                <w:sz w:val="24"/>
                <w:szCs w:val="24"/>
              </w:rPr>
              <w:t>，全市15个省控以上河流断面优良水体比例为80%，达标率93.3%。其中，7个国控断面优良水体比例为85.7%，达标率85.7%，水环境质量指数为4.</w:t>
            </w:r>
            <w:r>
              <w:rPr>
                <w:rFonts w:hint="default" w:ascii="Times New Roman" w:hAnsi="Times New Roman" w:eastAsia="宋体" w:cs="Times New Roman"/>
                <w:color w:val="auto"/>
                <w:sz w:val="24"/>
                <w:szCs w:val="24"/>
                <w:lang w:val="en-US"/>
              </w:rPr>
              <w:t>6180</w:t>
            </w:r>
            <w:r>
              <w:rPr>
                <w:rFonts w:hint="default" w:ascii="Times New Roman" w:hAnsi="Times New Roman" w:eastAsia="宋体" w:cs="Times New Roman"/>
                <w:color w:val="auto"/>
                <w:sz w:val="24"/>
                <w:szCs w:val="24"/>
              </w:rPr>
              <w:t>，位居全省第2位，其中</w:t>
            </w:r>
            <w:r>
              <w:rPr>
                <w:rFonts w:hint="default" w:ascii="Times New Roman" w:hAnsi="Times New Roman" w:eastAsia="宋体" w:cs="Times New Roman"/>
                <w:color w:val="auto"/>
                <w:sz w:val="24"/>
                <w:szCs w:val="24"/>
                <w:lang w:val="en-US"/>
              </w:rPr>
              <w:t>高青</w:t>
            </w:r>
            <w:r>
              <w:rPr>
                <w:rFonts w:hint="default" w:ascii="Times New Roman" w:hAnsi="Times New Roman" w:eastAsia="宋体" w:cs="Times New Roman"/>
                <w:color w:val="auto"/>
                <w:sz w:val="24"/>
                <w:szCs w:val="24"/>
              </w:rPr>
              <w:t>县</w:t>
            </w:r>
            <w:r>
              <w:rPr>
                <w:rFonts w:hint="default" w:ascii="Times New Roman" w:hAnsi="Times New Roman" w:eastAsia="宋体" w:cs="Times New Roman"/>
                <w:color w:val="auto"/>
                <w:sz w:val="24"/>
                <w:szCs w:val="24"/>
                <w:lang w:val="en-US"/>
              </w:rPr>
              <w:t>支脉</w:t>
            </w:r>
            <w:r>
              <w:rPr>
                <w:rFonts w:hint="default" w:ascii="Times New Roman" w:hAnsi="Times New Roman" w:eastAsia="宋体" w:cs="Times New Roman"/>
                <w:color w:val="auto"/>
                <w:sz w:val="24"/>
                <w:szCs w:val="24"/>
              </w:rPr>
              <w:t>河</w:t>
            </w:r>
            <w:r>
              <w:rPr>
                <w:rFonts w:hint="default" w:ascii="Times New Roman" w:hAnsi="Times New Roman" w:eastAsia="宋体" w:cs="Times New Roman"/>
                <w:color w:val="auto"/>
                <w:sz w:val="24"/>
                <w:szCs w:val="24"/>
                <w:lang w:val="en-US"/>
              </w:rPr>
              <w:t>道旭渡断面</w:t>
            </w:r>
            <w:r>
              <w:rPr>
                <w:rFonts w:hint="default" w:ascii="Times New Roman" w:hAnsi="Times New Roman" w:eastAsia="宋体" w:cs="Times New Roman"/>
                <w:color w:val="auto"/>
                <w:sz w:val="24"/>
                <w:szCs w:val="24"/>
              </w:rPr>
              <w:t>水质类别为</w:t>
            </w:r>
            <w:r>
              <w:rPr>
                <w:rFonts w:hint="default" w:ascii="Times New Roman" w:hAnsi="Times New Roman" w:eastAsia="宋体" w:cs="Times New Roman"/>
                <w:color w:val="auto"/>
                <w:sz w:val="24"/>
                <w:szCs w:val="24"/>
                <w:lang w:val="en-US"/>
              </w:rPr>
              <w:t>Ⅳ</w:t>
            </w:r>
            <w:r>
              <w:rPr>
                <w:rFonts w:hint="default" w:ascii="Times New Roman" w:hAnsi="Times New Roman" w:eastAsia="宋体" w:cs="Times New Roman"/>
                <w:color w:val="auto"/>
                <w:sz w:val="24"/>
                <w:szCs w:val="24"/>
              </w:rPr>
              <w:t>类，年度考核目标为</w:t>
            </w:r>
            <w:r>
              <w:rPr>
                <w:rFonts w:hint="default" w:ascii="Times New Roman" w:hAnsi="Times New Roman" w:eastAsia="宋体" w:cs="Times New Roman"/>
                <w:color w:val="auto"/>
                <w:sz w:val="24"/>
                <w:szCs w:val="24"/>
                <w:lang w:val="en-US"/>
              </w:rPr>
              <w:t>Ⅲ</w:t>
            </w:r>
            <w:r>
              <w:rPr>
                <w:rFonts w:hint="default" w:ascii="Times New Roman" w:hAnsi="Times New Roman" w:eastAsia="宋体" w:cs="Times New Roman"/>
                <w:color w:val="auto"/>
                <w:sz w:val="24"/>
                <w:szCs w:val="24"/>
              </w:rPr>
              <w:t>类。8个省控断面优良水体比例为75%，达标率100%。根据滨州市生态环境</w:t>
            </w:r>
            <w:r>
              <w:rPr>
                <w:rFonts w:hint="default" w:ascii="Times New Roman" w:hAnsi="Times New Roman" w:eastAsia="宋体" w:cs="Times New Roman"/>
                <w:color w:val="auto"/>
                <w:sz w:val="24"/>
                <w:szCs w:val="24"/>
                <w:lang w:val="en-US" w:eastAsia="zh-CN"/>
              </w:rPr>
              <w:t>局发布的《滨州市环境水质检测实时数据》</w:t>
            </w:r>
            <w:r>
              <w:rPr>
                <w:rFonts w:hint="default" w:ascii="Times New Roman" w:hAnsi="Times New Roman" w:eastAsia="宋体" w:cs="Times New Roman"/>
                <w:color w:val="auto"/>
                <w:sz w:val="24"/>
                <w:szCs w:val="24"/>
              </w:rPr>
              <w:t>（2023/</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 xml:space="preserve"> 8:00）数据可知</w:t>
            </w:r>
            <w:r>
              <w:rPr>
                <w:rFonts w:hint="default" w:ascii="Times New Roman" w:hAnsi="Times New Roman" w:eastAsia="宋体" w:cs="Times New Roman"/>
                <w:color w:val="auto"/>
                <w:sz w:val="24"/>
                <w:szCs w:val="24"/>
                <w:lang w:eastAsia="zh-CN"/>
              </w:rPr>
              <w:t>，孝妇河</w:t>
            </w:r>
            <w:r>
              <w:rPr>
                <w:rFonts w:hint="default" w:ascii="Times New Roman" w:hAnsi="Times New Roman" w:eastAsia="宋体" w:cs="Times New Roman"/>
                <w:color w:val="auto"/>
                <w:sz w:val="24"/>
                <w:szCs w:val="24"/>
                <w:lang w:val="en-US" w:eastAsia="zh-CN"/>
              </w:rPr>
              <w:t>袁家桥</w:t>
            </w:r>
            <w:r>
              <w:rPr>
                <w:rFonts w:hint="default" w:ascii="Times New Roman" w:hAnsi="Times New Roman" w:eastAsia="宋体" w:cs="Times New Roman"/>
                <w:color w:val="auto"/>
                <w:sz w:val="24"/>
                <w:szCs w:val="24"/>
                <w:lang w:eastAsia="zh-CN"/>
              </w:rPr>
              <w:t>站点</w:t>
            </w:r>
            <w:r>
              <w:rPr>
                <w:rFonts w:hint="default" w:ascii="Times New Roman" w:hAnsi="Times New Roman" w:eastAsia="宋体" w:cs="Times New Roman"/>
                <w:color w:val="auto"/>
                <w:sz w:val="24"/>
                <w:szCs w:val="24"/>
              </w:rPr>
              <w:t>地表水水质</w:t>
            </w:r>
            <w:r>
              <w:rPr>
                <w:rFonts w:hint="default" w:ascii="Times New Roman" w:hAnsi="Times New Roman" w:eastAsia="宋体" w:cs="Times New Roman"/>
                <w:color w:val="auto"/>
                <w:sz w:val="24"/>
                <w:szCs w:val="24"/>
                <w:lang w:eastAsia="zh-CN"/>
              </w:rPr>
              <w:t>能</w:t>
            </w:r>
            <w:r>
              <w:rPr>
                <w:rFonts w:hint="default" w:ascii="Times New Roman" w:hAnsi="Times New Roman" w:eastAsia="宋体" w:cs="Times New Roman"/>
                <w:color w:val="auto"/>
                <w:sz w:val="24"/>
                <w:szCs w:val="24"/>
              </w:rPr>
              <w:t>达到《地表水环境质量标准》(GB3838-2002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Ⅳ</w:t>
            </w:r>
            <w:r>
              <w:rPr>
                <w:rFonts w:hint="default" w:ascii="Times New Roman" w:hAnsi="Times New Roman" w:eastAsia="宋体" w:cs="Times New Roman"/>
                <w:color w:val="auto"/>
                <w:sz w:val="24"/>
                <w:szCs w:val="24"/>
              </w:rPr>
              <w:t>类标</w:t>
            </w:r>
            <w:r>
              <w:rPr>
                <w:rFonts w:hint="default" w:ascii="Times New Roman" w:hAnsi="Times New Roman" w:eastAsia="宋体" w:cs="Times New Roman"/>
                <w:color w:val="auto"/>
                <w:sz w:val="24"/>
                <w:szCs w:val="24"/>
                <w:lang w:eastAsia="zh-CN"/>
              </w:rPr>
              <w:t>准。</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rPr>
              <w:t>根据淄博市生态环境局网站发布的《2023年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月集中式生活饮用水水源水质状况报告》可知，</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月份监测的1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个集中式饮用水水源常规监测项目全部达标，达标率为100%。其中，3个地表水水源常规监测指标达到或优于《地表水环境质量标准》Ⅲ类标准和相关标准限值，11个地下水水源常规监测指标达到或优于《地下水质量标准》Ⅲ类标准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区域地下水符合《地下水质量标准》（GB/T14848-2017）Ⅲ类标准要求。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项目区域噪声符合《声环境质量标准》（GB3096-2008）2类标准要求</w:t>
            </w:r>
            <w:r>
              <w:rPr>
                <w:rFonts w:hint="default" w:ascii="Times New Roman" w:hAnsi="Times New Roman" w:eastAsia="宋体" w:cs="Times New Roman"/>
                <w:color w:val="auto"/>
                <w:sz w:val="24"/>
                <w:szCs w:val="24"/>
                <w:lang w:eastAsia="zh-CN"/>
              </w:rPr>
              <w:t>。</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项目污染物均能达标排放，对周围环境质量影响较小。</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废气、噪声及固废在采取相应治理措施后，能够做到污染物达标排放并得到有效处置，污染物排放浓度小于标准限值要求；根据大气污染防治行动相关规定，周边企业严加管理、重点加强环保责任制度，按照环保要求认真落实整改，确保各项污染物达标排放，因此项目建设符合环境质量底线规定要求。</w:t>
            </w:r>
          </w:p>
          <w:p>
            <w:pPr>
              <w:keepNext w:val="0"/>
              <w:keepLines w:val="0"/>
              <w:pageBreakBefore w:val="0"/>
              <w:numPr>
                <w:ilvl w:val="0"/>
                <w:numId w:val="2"/>
              </w:numPr>
              <w:shd w:val="clear"/>
              <w:kinsoku/>
              <w:wordWrap/>
              <w:overflowPunct/>
              <w:topLinePunct w:val="0"/>
              <w:autoSpaceDE w:val="0"/>
              <w:autoSpaceDN w:val="0"/>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资源利用上线符合性判定</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淄博市“三线一单”生态环境分区管控方案的通知》淄政字〔2021〕49号，强化节约集约利用，持续提升资源能源利用效率，水资源利用、土地资源利用、能源消耗等达到省下达的总量和强度控制目标。优化调整能源结构，实施煤炭消费减量替代和能源消费总量控制，能源消费总量完成省下达任务，煤炭消费量实现负增长，进一步降低万元国内生产总值能耗，严格落实高污染燃料禁燃区管控要求，加快清洁能源、新能源和可再生能源推广利用。建立最严格的水资源管理制度，强化水资源刚性约束。推进各领域节约用水，农田灌溉水有效利用系数、再生水规模逐年提高，万元国内生产总值用水量、万元工业增加值用水量等用水效率指标在2020年基础上持续下降，确保完成用水总量控制指标；优化建设用地结构和布局，严控总量、盘活存量，控制国土空间开发强度。推进工业园区和聚集区生态化改造，强化企业清洁生产改造，推进节水型企业、节水型工业园区建设，落实煤炭消费减量替代要求，鼓励使用清洁能源，提高资源能源利用效率。禁燃区内禁止新、改、扩建燃用高污染燃料的项目和设施，已建成的应依法限期改用天然气、电或者其他清洁能源。推广使用清洁能源车。因地制宜推进冬季清洁取暖。</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项目营运过程中消耗</w:t>
            </w:r>
            <w:r>
              <w:rPr>
                <w:rFonts w:hint="default" w:ascii="Times New Roman" w:hAnsi="Times New Roman" w:eastAsia="宋体" w:cs="Times New Roman"/>
                <w:color w:val="auto"/>
                <w:sz w:val="24"/>
                <w:szCs w:val="24"/>
                <w:lang w:eastAsia="zh-CN"/>
              </w:rPr>
              <w:t>电能</w:t>
            </w:r>
            <w:r>
              <w:rPr>
                <w:rFonts w:hint="default" w:ascii="Times New Roman" w:hAnsi="Times New Roman" w:eastAsia="宋体" w:cs="Times New Roman"/>
                <w:color w:val="auto"/>
                <w:sz w:val="24"/>
                <w:szCs w:val="24"/>
                <w:lang w:val="en-US" w:eastAsia="zh-CN"/>
              </w:rPr>
              <w:t>26.037万kW·h/a，水434t/a</w:t>
            </w:r>
            <w:r>
              <w:rPr>
                <w:rFonts w:hint="default" w:ascii="Times New Roman" w:hAnsi="Times New Roman" w:eastAsia="宋体" w:cs="Times New Roman"/>
                <w:color w:val="auto"/>
                <w:sz w:val="24"/>
                <w:szCs w:val="24"/>
              </w:rPr>
              <w:t>，符合资源利用</w:t>
            </w:r>
            <w:r>
              <w:rPr>
                <w:rFonts w:hint="eastAsia" w:cs="Times New Roman"/>
                <w:color w:val="auto"/>
                <w:sz w:val="24"/>
                <w:szCs w:val="24"/>
                <w:lang w:eastAsia="zh-CN"/>
              </w:rPr>
              <w:t>上限</w:t>
            </w:r>
            <w:r>
              <w:rPr>
                <w:rFonts w:hint="default" w:ascii="Times New Roman" w:hAnsi="Times New Roman" w:eastAsia="宋体" w:cs="Times New Roman"/>
                <w:color w:val="auto"/>
                <w:sz w:val="24"/>
                <w:szCs w:val="24"/>
              </w:rPr>
              <w:t>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（4）与环境准入负面清单符合性</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sz w:val="24"/>
                <w:szCs w:val="24"/>
                <w:lang w:val="en-US" w:eastAsia="zh-CN"/>
              </w:rPr>
              <w:t>本项目位于淄博市文昌湖区萌水镇金山村北。</w:t>
            </w:r>
            <w:r>
              <w:rPr>
                <w:rFonts w:hint="default" w:ascii="Times New Roman" w:hAnsi="Times New Roman" w:eastAsia="宋体" w:cs="Times New Roman"/>
                <w:color w:val="auto"/>
                <w:sz w:val="24"/>
                <w:szCs w:val="24"/>
                <w:lang w:val="zh-CN" w:eastAsia="zh-CN"/>
              </w:rPr>
              <w:t>根据淄博市生态环境委员会办公室关于印发《淄博市“三线一单”生态环境准入清单（动态更新版）》的通知（淄博市生态环境委员会办公室〔2023年4月7日〕），文件中所述的“附件淄博市“三线一单”生态环境准入清单”要求，如下表所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210" w:afterAutospacing="0" w:line="21" w:lineRule="atLeast"/>
              <w:ind w:right="0"/>
              <w:jc w:val="center"/>
              <w:rPr>
                <w:rFonts w:hint="default" w:ascii="Times New Roman" w:hAnsi="Times New Roman" w:eastAsia="宋体" w:cs="Times New Roman"/>
                <w:b/>
                <w:bCs/>
                <w:color w:val="auto"/>
                <w:kern w:val="2"/>
                <w:sz w:val="24"/>
                <w:szCs w:val="24"/>
                <w:lang w:val="zh-CN" w:eastAsia="zh-CN" w:bidi="ar-SA"/>
              </w:rPr>
            </w:pPr>
            <w:r>
              <w:rPr>
                <w:rFonts w:hint="default" w:ascii="Times New Roman" w:hAnsi="Times New Roman" w:eastAsia="宋体" w:cs="Times New Roman"/>
                <w:b/>
                <w:bCs/>
                <w:color w:val="auto"/>
                <w:kern w:val="2"/>
                <w:sz w:val="24"/>
                <w:szCs w:val="24"/>
                <w:lang w:val="zh-CN" w:eastAsia="zh-CN" w:bidi="ar-SA"/>
              </w:rPr>
              <w:t>表1</w:t>
            </w: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zh-CN" w:eastAsia="zh-CN" w:bidi="ar-SA"/>
              </w:rPr>
              <w:t>《淄博市“三线一单”生态环境准入清单（动态更新版）》符合性分析一览表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3409"/>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分类</w:t>
                  </w:r>
                </w:p>
              </w:tc>
              <w:tc>
                <w:tcPr>
                  <w:tcW w:w="4112" w:type="dxa"/>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3239" w:type="dxa"/>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112"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新建、扩建《产业结构调整指导目录》（现行）明确的淘汰类项目和引入《市场准入负面清单》（现行）禁止准入类事项；鼓励对列入《产业结构调整指导目录》的限制类、淘汰类工业项目进行淘汰和提升改造。</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生态保护红线内禁止城镇化和工业化活动，严禁开展不符合主体功能定位的各类开发活动。对生态保护红线内文昌湖赤眼鳟国家级水产种质资源保护区、文昌湖省级湿地公园的管理，严格按照《关于在国土空间规划中统筹划定落实三条控制线的指导意见》（2019年11月）、《关于划定并严守生态保护红线的若干意见》《自然生态空间用途管制办法（试行）》（国土资发〔2017〕33号）等相关要求管控。</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3.生态保护红线外的生态空间，依法依规以保护为主，严格限制大规模、高强度的区域开发，并根据其主导生态功能进行分类管控。</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5.大气布局敏感区从严控制新建、扩建排放大气污染物的工业项目；科学合理规划布局商业、居住并严格执行。</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6.污水处理设施不健全、未正常运行或污水管网未覆盖的地区，未配套污水处理设施的项目不得建设。</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7.新建有污染物排放的工业项目，除在安全生产等方面有特殊要求的以外，应当进入工业园区或工业聚集区。</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8.按照省市要求，严格控制“两高”项目，新建“两高”项目实行“五个减量替代”。</w:t>
                  </w:r>
                </w:p>
              </w:tc>
              <w:tc>
                <w:tcPr>
                  <w:tcW w:w="3239" w:type="dxa"/>
                  <w:tcBorders>
                    <w:tl2br w:val="nil"/>
                    <w:tr2bl w:val="nil"/>
                  </w:tcBorders>
                  <w:vAlign w:val="center"/>
                </w:tcPr>
                <w:p>
                  <w:pPr>
                    <w:pStyle w:val="2"/>
                    <w:shd w:val="clear"/>
                    <w:adjustRightInd w:val="0"/>
                    <w:snapToGrid w:val="0"/>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项目的规模、产品、工艺以及采用的生产设备均不属于《产业结构调整指导目录（2019年本）》淘汰类和限制类项目。</w:t>
                  </w:r>
                </w:p>
                <w:p>
                  <w:pPr>
                    <w:shd w:val="clea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不在生态保护红线内，项目与生态保护红线的位置关系见附图。</w:t>
                  </w:r>
                </w:p>
                <w:p>
                  <w:pPr>
                    <w:shd w:val="clea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不新征用地，利用现有厂房进行生产；设</w:t>
                  </w:r>
                  <w:r>
                    <w:rPr>
                      <w:rFonts w:hint="default" w:ascii="Times New Roman" w:hAnsi="Times New Roman" w:eastAsia="宋体" w:cs="Times New Roman"/>
                      <w:color w:val="auto"/>
                      <w:sz w:val="21"/>
                      <w:szCs w:val="21"/>
                      <w:lang w:val="en-US" w:eastAsia="zh-CN"/>
                    </w:rPr>
                    <w:t>置</w:t>
                  </w:r>
                  <w:r>
                    <w:rPr>
                      <w:rFonts w:hint="default" w:ascii="Times New Roman" w:hAnsi="Times New Roman" w:eastAsia="宋体" w:cs="Times New Roman"/>
                      <w:color w:val="auto"/>
                      <w:sz w:val="21"/>
                      <w:szCs w:val="21"/>
                    </w:rPr>
                    <w:t>环保措施对污染物进行处理，污染物排放量少；资源消耗量相对区域资源利用总量较少，对生态环境影响不大。</w:t>
                  </w:r>
                </w:p>
                <w:p>
                  <w:pPr>
                    <w:pStyle w:val="2"/>
                    <w:keepNext w:val="0"/>
                    <w:keepLines w:val="0"/>
                    <w:pageBreakBefore w:val="0"/>
                    <w:widowControl w:val="0"/>
                    <w:shd w:val="clear"/>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项目无废水外排，项目建成后全厂</w:t>
                  </w:r>
                  <w:r>
                    <w:rPr>
                      <w:rFonts w:hint="default" w:ascii="Times New Roman" w:hAnsi="Times New Roman" w:eastAsia="宋体" w:cs="Times New Roman"/>
                      <w:color w:val="auto"/>
                      <w:sz w:val="21"/>
                      <w:szCs w:val="21"/>
                    </w:rPr>
                    <w:t>废水主要为生活污水，生活污水经</w:t>
                  </w:r>
                  <w:r>
                    <w:rPr>
                      <w:rFonts w:hint="default" w:ascii="Times New Roman" w:hAnsi="Times New Roman" w:eastAsia="宋体" w:cs="Times New Roman"/>
                      <w:color w:val="auto"/>
                      <w:sz w:val="21"/>
                      <w:szCs w:val="21"/>
                      <w:lang w:eastAsia="zh-CN"/>
                    </w:rPr>
                    <w:t>化粪池</w:t>
                  </w:r>
                  <w:r>
                    <w:rPr>
                      <w:rFonts w:hint="default" w:ascii="Times New Roman" w:hAnsi="Times New Roman" w:eastAsia="宋体" w:cs="Times New Roman"/>
                      <w:color w:val="auto"/>
                      <w:sz w:val="21"/>
                      <w:szCs w:val="21"/>
                    </w:rPr>
                    <w:t>暂存后用作周边农田农肥。</w:t>
                  </w:r>
                </w:p>
                <w:p>
                  <w:pPr>
                    <w:keepNext w:val="0"/>
                    <w:keepLines w:val="0"/>
                    <w:pageBreakBefore w:val="0"/>
                    <w:widowControl w:val="0"/>
                    <w:shd w:val="clear"/>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5.本项目符合文昌湖区、淄博市及国家的土地利用</w:t>
                  </w:r>
                  <w:r>
                    <w:rPr>
                      <w:rFonts w:hint="eastAsia" w:cs="Times New Roman"/>
                      <w:color w:val="auto"/>
                      <w:sz w:val="21"/>
                      <w:szCs w:val="21"/>
                      <w:lang w:val="en-US" w:eastAsia="zh-CN"/>
                    </w:rPr>
                    <w:t>总体规划</w:t>
                  </w:r>
                  <w:r>
                    <w:rPr>
                      <w:rFonts w:hint="default" w:ascii="Times New Roman" w:hAnsi="Times New Roman" w:eastAsia="宋体" w:cs="Times New Roman"/>
                      <w:color w:val="auto"/>
                      <w:sz w:val="21"/>
                      <w:szCs w:val="21"/>
                      <w:lang w:val="en-US" w:eastAsia="zh-CN"/>
                    </w:rPr>
                    <w:t>布局。</w:t>
                  </w:r>
                </w:p>
                <w:p>
                  <w:pPr>
                    <w:pStyle w:val="2"/>
                    <w:keepNext w:val="0"/>
                    <w:keepLines w:val="0"/>
                    <w:pageBreakBefore w:val="0"/>
                    <w:widowControl w:val="0"/>
                    <w:shd w:val="clear"/>
                    <w:kinsoku/>
                    <w:wordWrap/>
                    <w:overflowPunct/>
                    <w:topLinePunct w:val="0"/>
                    <w:autoSpaceDE/>
                    <w:autoSpaceDN/>
                    <w:bidi w:val="0"/>
                    <w:spacing w:after="0"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6.本</w:t>
                  </w:r>
                  <w:r>
                    <w:rPr>
                      <w:rFonts w:hint="default" w:ascii="Times New Roman" w:hAnsi="Times New Roman" w:eastAsia="宋体" w:cs="Times New Roman"/>
                      <w:color w:val="auto"/>
                      <w:sz w:val="21"/>
                      <w:szCs w:val="21"/>
                      <w:lang w:eastAsia="zh-CN"/>
                    </w:rPr>
                    <w:t>项目无废水外排，项目建成后全厂</w:t>
                  </w:r>
                  <w:r>
                    <w:rPr>
                      <w:rFonts w:hint="default" w:ascii="Times New Roman" w:hAnsi="Times New Roman" w:eastAsia="宋体" w:cs="Times New Roman"/>
                      <w:color w:val="auto"/>
                      <w:sz w:val="21"/>
                      <w:szCs w:val="21"/>
                    </w:rPr>
                    <w:t>废水主要为生活污水，生活污水经</w:t>
                  </w:r>
                  <w:r>
                    <w:rPr>
                      <w:rFonts w:hint="default" w:ascii="Times New Roman" w:hAnsi="Times New Roman" w:eastAsia="宋体" w:cs="Times New Roman"/>
                      <w:color w:val="auto"/>
                      <w:sz w:val="21"/>
                      <w:szCs w:val="21"/>
                      <w:lang w:eastAsia="zh-CN"/>
                    </w:rPr>
                    <w:t>化粪池</w:t>
                  </w:r>
                  <w:r>
                    <w:rPr>
                      <w:rFonts w:hint="default" w:ascii="Times New Roman" w:hAnsi="Times New Roman" w:eastAsia="宋体" w:cs="Times New Roman"/>
                      <w:color w:val="auto"/>
                      <w:sz w:val="21"/>
                      <w:szCs w:val="21"/>
                    </w:rPr>
                    <w:t>暂存后用作周边农田农肥。</w:t>
                  </w:r>
                </w:p>
                <w:p>
                  <w:pPr>
                    <w:keepNext w:val="0"/>
                    <w:keepLines w:val="0"/>
                    <w:pageBreakBefore w:val="0"/>
                    <w:widowControl w:val="0"/>
                    <w:shd w:val="clear"/>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7.本项目属于经划定的工业聚集区，属于萌水镇工业聚集区。</w:t>
                  </w:r>
                </w:p>
                <w:p>
                  <w:pPr>
                    <w:pStyle w:val="2"/>
                    <w:keepNext w:val="0"/>
                    <w:keepLines w:val="0"/>
                    <w:pageBreakBefore w:val="0"/>
                    <w:widowControl w:val="0"/>
                    <w:shd w:val="clear"/>
                    <w:kinsoku/>
                    <w:wordWrap/>
                    <w:overflowPunct/>
                    <w:topLinePunct w:val="0"/>
                    <w:autoSpaceDE/>
                    <w:autoSpaceDN/>
                    <w:bidi w:val="0"/>
                    <w:spacing w:after="0" w:line="240" w:lineRule="auto"/>
                    <w:ind w:left="0" w:leftChars="0"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8.本项目不属于两高项目，企业排放污染物按照1:2等量替代。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112" w:type="dxa"/>
                  <w:tcBorders>
                    <w:tl2br w:val="nil"/>
                    <w:tr2bl w:val="nil"/>
                  </w:tcBorders>
                  <w:vAlign w:val="center"/>
                </w:tcPr>
                <w:p>
                  <w:pPr>
                    <w:widowControl/>
                    <w:shd w:val="clea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1.涉“两高”项目企业应当积极实施节能改造提升，提高能源使用效率，推进节能减排。</w:t>
                  </w:r>
                </w:p>
                <w:p>
                  <w:pPr>
                    <w:widowControl/>
                    <w:shd w:val="clea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2.落实主要污染物总量替代要求，按照山东省生态环境厅《关于印发山东省建设项目主要大气污染物排放总量替代指标核算及管理办法的通知》，实施动态管控替代。</w:t>
                  </w:r>
                </w:p>
                <w:p>
                  <w:pPr>
                    <w:widowControl/>
                    <w:shd w:val="clea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3.废水应当按照要求进行预处理，达到行业排放标准或是综合排放标准后方可排放。</w:t>
                  </w:r>
                </w:p>
                <w:p>
                  <w:pPr>
                    <w:widowControl/>
                    <w:shd w:val="clea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4.禁止工业废水和生活污水未经处理直排环境；原则上除工业污水集中处理设施、城镇污水处理厂外不得新建入河排污口。</w:t>
                  </w:r>
                </w:p>
                <w:p>
                  <w:pPr>
                    <w:widowControl/>
                    <w:shd w:val="clea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5.化工、包装印刷、表面涂装、铸造、建材、塑料加工等严格按照淄博市行业环境管控要求，实施源头替代，建立健全治理设施，确保污染物稳定达标排放，做到持证排污。</w:t>
                  </w:r>
                </w:p>
              </w:tc>
              <w:tc>
                <w:tcPr>
                  <w:tcW w:w="3239"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不属于“两高”项目。</w:t>
                  </w:r>
                </w:p>
                <w:p>
                  <w:pPr>
                    <w:shd w:val="clea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2.企业应当在</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投入生产或使用并产生实际排污行为之前完成排污许可证申报，</w:t>
                  </w:r>
                  <w:r>
                    <w:rPr>
                      <w:rFonts w:hint="default" w:ascii="Times New Roman" w:hAnsi="Times New Roman" w:eastAsia="宋体" w:cs="Times New Roman"/>
                      <w:color w:val="auto"/>
                      <w:sz w:val="21"/>
                      <w:szCs w:val="21"/>
                      <w:lang w:eastAsia="zh-CN"/>
                    </w:rPr>
                    <w:t>企业</w:t>
                  </w:r>
                  <w:r>
                    <w:rPr>
                      <w:rFonts w:hint="default" w:ascii="Times New Roman" w:hAnsi="Times New Roman" w:eastAsia="宋体" w:cs="Times New Roman"/>
                      <w:color w:val="auto"/>
                      <w:sz w:val="21"/>
                      <w:szCs w:val="21"/>
                    </w:rPr>
                    <w:t>需申请总量控制指标</w:t>
                  </w:r>
                  <w:r>
                    <w:rPr>
                      <w:rFonts w:hint="default" w:ascii="Times New Roman" w:hAnsi="Times New Roman" w:eastAsia="宋体" w:cs="Times New Roman"/>
                      <w:color w:val="auto"/>
                      <w:sz w:val="21"/>
                      <w:szCs w:val="21"/>
                      <w:lang w:eastAsia="zh-CN"/>
                    </w:rPr>
                    <w:t>颗粒物</w:t>
                  </w:r>
                  <w:r>
                    <w:rPr>
                      <w:rFonts w:hint="eastAsia" w:cs="Times New Roman"/>
                      <w:color w:val="auto"/>
                      <w:sz w:val="21"/>
                      <w:szCs w:val="21"/>
                      <w:lang w:val="en-US" w:eastAsia="zh-CN"/>
                    </w:rPr>
                    <w:t>0.1876</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生产工艺较先进，污染物治理水平可达到国内同行业先进水平。</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项目废水为生活污水，项目生产废水为试压废水，经沉淀</w:t>
                  </w:r>
                  <w:r>
                    <w:rPr>
                      <w:rFonts w:hint="default" w:ascii="Times New Roman" w:hAnsi="Times New Roman" w:eastAsia="宋体" w:cs="Times New Roman"/>
                      <w:color w:val="auto"/>
                      <w:sz w:val="21"/>
                      <w:szCs w:val="21"/>
                      <w:lang w:val="en-US" w:eastAsia="zh-CN"/>
                    </w:rPr>
                    <w:t>水</w:t>
                  </w:r>
                  <w:r>
                    <w:rPr>
                      <w:rFonts w:hint="default" w:ascii="Times New Roman" w:hAnsi="Times New Roman" w:eastAsia="宋体" w:cs="Times New Roman"/>
                      <w:color w:val="auto"/>
                      <w:sz w:val="21"/>
                      <w:szCs w:val="21"/>
                      <w:lang w:eastAsia="zh-CN"/>
                    </w:rPr>
                    <w:t>池沉淀后循环使用，不外排</w:t>
                  </w:r>
                  <w:r>
                    <w:rPr>
                      <w:rFonts w:hint="default" w:ascii="Times New Roman" w:hAnsi="Times New Roman" w:eastAsia="宋体" w:cs="Times New Roman"/>
                      <w:color w:val="auto"/>
                      <w:sz w:val="21"/>
                      <w:szCs w:val="21"/>
                    </w:rPr>
                    <w:t>。</w:t>
                  </w:r>
                </w:p>
                <w:p>
                  <w:pPr>
                    <w:shd w:val="clea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项目无废水外排，项目建成后全厂污水为</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eastAsia="zh-CN"/>
                    </w:rPr>
                    <w:t>化粪池</w:t>
                  </w:r>
                  <w:r>
                    <w:rPr>
                      <w:rFonts w:hint="default" w:ascii="Times New Roman" w:hAnsi="Times New Roman" w:eastAsia="宋体" w:cs="Times New Roman"/>
                      <w:color w:val="auto"/>
                      <w:sz w:val="21"/>
                      <w:szCs w:val="21"/>
                    </w:rPr>
                    <w:t>暂存后用作周边农田农肥。</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建成后依法进行排污登记，</w:t>
                  </w:r>
                  <w:r>
                    <w:rPr>
                      <w:rFonts w:hint="default" w:ascii="Times New Roman" w:hAnsi="Times New Roman" w:eastAsia="宋体" w:cs="Times New Roman"/>
                      <w:color w:val="auto"/>
                      <w:sz w:val="21"/>
                      <w:szCs w:val="21"/>
                      <w:lang w:eastAsia="zh-CN"/>
                    </w:rPr>
                    <w:t>机加工切割、</w:t>
                  </w:r>
                  <w:r>
                    <w:rPr>
                      <w:rFonts w:hint="default" w:ascii="Times New Roman" w:hAnsi="Times New Roman" w:eastAsia="宋体" w:cs="Times New Roman"/>
                      <w:color w:val="auto"/>
                      <w:sz w:val="21"/>
                      <w:szCs w:val="21"/>
                      <w:lang w:val="en-US" w:eastAsia="zh-CN"/>
                    </w:rPr>
                    <w:t>抛丸、喷丸</w:t>
                  </w:r>
                  <w:r>
                    <w:rPr>
                      <w:rFonts w:hint="default" w:ascii="Times New Roman" w:hAnsi="Times New Roman" w:eastAsia="宋体" w:cs="Times New Roman"/>
                      <w:color w:val="auto"/>
                      <w:sz w:val="21"/>
                      <w:szCs w:val="21"/>
                      <w:lang w:eastAsia="zh-CN"/>
                    </w:rPr>
                    <w:t>产生的颗粒物经集气罩收入脉冲式布袋除尘器处理后，由</w:t>
                  </w:r>
                  <w:r>
                    <w:rPr>
                      <w:rFonts w:hint="default" w:ascii="Times New Roman" w:hAnsi="Times New Roman" w:eastAsia="宋体" w:cs="Times New Roman"/>
                      <w:color w:val="auto"/>
                      <w:sz w:val="21"/>
                      <w:szCs w:val="21"/>
                      <w:lang w:val="en-US" w:eastAsia="zh-CN"/>
                    </w:rPr>
                    <w:t>15m高排气筒P1有组织排放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rPr>
                    <w:t>涂搪过程产生的粉尘，经涂搪间上方集气口收入脉冲式布袋除尘器处理后，由15m</w:t>
                  </w: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lang w:val="en-US"/>
                    </w:rPr>
                    <w:t>排气筒P1有组织排放</w:t>
                  </w:r>
                  <w:r>
                    <w:rPr>
                      <w:rFonts w:hint="default" w:ascii="Times New Roman" w:hAnsi="Times New Roman" w:eastAsia="宋体" w:cs="Times New Roman"/>
                      <w:color w:val="auto"/>
                      <w:sz w:val="21"/>
                      <w:szCs w:val="21"/>
                      <w:lang w:val="en-US" w:eastAsia="zh-CN"/>
                    </w:rPr>
                    <w:t>；另外，焊接烟尘经移动式焊烟除尘器收尘净化后无组织排放。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4112"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1.建立生态保护红线常态化日常巡护。</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2.加强农田土壤、灌溉水的监测，对周边区域环境风险源进行评估。</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3.企业事业单位按照《企业事业单位突发环境事件应急预案备案管理办法（试行）》等要求，依法依规编制环境应急预案并定期开展演练。</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4.建立各企业危险废物的贮存、申报、经营许可（无废城市建设豁免的除外）、转移及处置管理制度，并负责对危废相应活动的全程监管和环境安全保障。</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5.按照省市要求，做好清洁取暖改造工作。</w:t>
                  </w:r>
                </w:p>
              </w:tc>
              <w:tc>
                <w:tcPr>
                  <w:tcW w:w="3239"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不在生态保护红线内。</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不在饮用水水源地范围内。</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项目无废水外排，项目建成后全厂</w:t>
                  </w:r>
                  <w:r>
                    <w:rPr>
                      <w:rFonts w:hint="default" w:ascii="Times New Roman" w:hAnsi="Times New Roman" w:eastAsia="宋体" w:cs="Times New Roman"/>
                      <w:color w:val="auto"/>
                      <w:sz w:val="21"/>
                      <w:szCs w:val="21"/>
                    </w:rPr>
                    <w:t>废水主要为生活污水，经</w:t>
                  </w:r>
                  <w:r>
                    <w:rPr>
                      <w:rFonts w:hint="default" w:ascii="Times New Roman" w:hAnsi="Times New Roman" w:eastAsia="宋体" w:cs="Times New Roman"/>
                      <w:color w:val="auto"/>
                      <w:sz w:val="21"/>
                      <w:szCs w:val="21"/>
                      <w:lang w:eastAsia="zh-CN"/>
                    </w:rPr>
                    <w:t>化粪池</w:t>
                  </w:r>
                  <w:r>
                    <w:rPr>
                      <w:rFonts w:hint="default" w:ascii="Times New Roman" w:hAnsi="Times New Roman" w:eastAsia="宋体" w:cs="Times New Roman"/>
                      <w:color w:val="auto"/>
                      <w:sz w:val="21"/>
                      <w:szCs w:val="21"/>
                    </w:rPr>
                    <w:t>暂存后用作周边农田农肥。</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4.现处于环评编制阶段，企业应按照要求编制环境风险应急预案并定期开展演练。</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建成后应建立危险废物贮存、申报、经营许可、转移及处置管理制度，并负责对危废相应活动的全程监管和环境安全保障。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4112"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1.加强农业节水，提高水资源使用效率。</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2.提升土地集约化水平。</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3.调整能源利用结构，控制煤炭消费量，实现减量化，鼓励使用清洁能源、新能源和可再生能源。</w:t>
                  </w:r>
                </w:p>
              </w:tc>
              <w:tc>
                <w:tcPr>
                  <w:tcW w:w="3239" w:type="dxa"/>
                  <w:tcBorders>
                    <w:tl2br w:val="nil"/>
                    <w:tr2bl w:val="nil"/>
                  </w:tcBorders>
                  <w:vAlign w:val="center"/>
                </w:tcPr>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不属于农业项目。</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利</w:t>
                  </w:r>
                  <w:r>
                    <w:rPr>
                      <w:rFonts w:hint="default" w:ascii="Times New Roman" w:hAnsi="Times New Roman" w:eastAsia="宋体" w:cs="Times New Roman"/>
                      <w:color w:val="auto"/>
                      <w:sz w:val="21"/>
                      <w:szCs w:val="21"/>
                    </w:rPr>
                    <w:t>用现有厂房。</w:t>
                  </w:r>
                </w:p>
                <w:p>
                  <w:pPr>
                    <w:pStyle w:val="2"/>
                    <w:shd w:val="clear"/>
                    <w:spacing w:after="0"/>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不使用煤炭，能源使用电能。</w:t>
                  </w:r>
                </w:p>
              </w:tc>
            </w:tr>
          </w:tbl>
          <w:p>
            <w:pPr>
              <w:shd w:val="clear"/>
              <w:rPr>
                <w:rFonts w:hint="default" w:ascii="Times New Roman" w:hAnsi="Times New Roman" w:eastAsia="宋体" w:cs="Times New Roman"/>
                <w:color w:val="auto"/>
                <w:lang w:val="zh-CN" w:eastAsia="zh-CN"/>
              </w:rPr>
            </w:pPr>
          </w:p>
          <w:p>
            <w:pPr>
              <w:keepNext w:val="0"/>
              <w:keepLines w:val="0"/>
              <w:pageBreakBefore w:val="0"/>
              <w:shd w:val="clea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1-2 </w:t>
            </w:r>
            <w:r>
              <w:rPr>
                <w:rFonts w:hint="default" w:ascii="Times New Roman" w:hAnsi="Times New Roman" w:eastAsia="宋体" w:cs="Times New Roman"/>
                <w:b/>
                <w:bCs/>
                <w:color w:val="auto"/>
                <w:sz w:val="24"/>
                <w:szCs w:val="24"/>
              </w:rPr>
              <w:t>与淄博市“三线一单”生态环境分区管控方案符合性分析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3242"/>
              <w:gridCol w:w="2678"/>
              <w:gridCol w:w="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文件要求</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项目情况</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《淄博市人民政府关于印发淄博市“三线一单”生态环境分区管控方案的通知》淄政字〔2021〕49号符合性分析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distribute"/>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环境质量底线。全市水环境质量持续改善，国控、省控、市控断面优良水质比例稳步提升，全面消除劣Ⅴ类水质控制断面，国控断面优良水质比例不低于50%，省控及以上断面优良水质比例不低于30%；县级及以上城市集中式饮用水水源水质全部达到或优于Ⅲ类；建成区黑臭水体全面消除，镇村黑臭水体数量持续减少。大气环境质量持续改善，全市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浓度不高于48μg/m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，空气质量优良天数比率不低于70%，臭氧污染得到有效遏制，重度及以上污染天数比率在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020年的基础上持续下降。</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机加工切割、抛丸、喷丸产生的颗粒物经集气罩收入脉冲式布袋除尘器处理后，由15m</w:t>
                  </w: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lang w:eastAsia="zh-CN"/>
                    </w:rPr>
                    <w:t>排气筒P1有组织排放；涂搪过程产生的粉尘，经涂搪间上方集气口收入脉冲式布袋除尘器处理后，由15m</w:t>
                  </w: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lang w:eastAsia="zh-CN"/>
                    </w:rPr>
                    <w:t>排气筒P1有组织排放；另外，焊接烟尘经移动式焊烟除尘器收尘净化后无组织排放。</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资源利用上线。强化节约集约利用，持续提升资源能源利用效率，水资源利用、土地资源利用、能源消耗等达到省下达的总量和强度控制目标。优化调整能源结构，实施煤炭消费减量替代和能源消费总量控制，能源消费总量完成省下达任务，煤炭消费量实现负增长，进一步降低万元国内生产总值能耗，严格落实高污染燃料禁燃区管控要求，加快清洁能源、新能源和可再生能源推广利用。建立最严格的水资源管理制度，强化水资源刚性约束。推进各领域节约用水，农田灌溉水有效利用系数、再生水规模逐年提高，万元国内生产总值用水量、万元工业增加值用水量等用水效率指标在2020年基础上持续下降，确保完成用水总量控制指标；优化建设用地结构和布局，严控总量、盘活存量，控制国土空间开发强度。确保耕地保有量，从严管控非农建设占用永久基本农田，守住永久基本农田控制线。</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项目位于</w:t>
                  </w:r>
                  <w:r>
                    <w:rPr>
                      <w:rFonts w:hint="default" w:ascii="Times New Roman" w:hAnsi="Times New Roman" w:eastAsia="宋体" w:cs="Times New Roman"/>
                      <w:color w:val="auto"/>
                      <w:sz w:val="21"/>
                      <w:szCs w:val="21"/>
                      <w:lang w:eastAsia="zh-CN"/>
                    </w:rPr>
                    <w:t>文昌湖区萌水镇金山村北</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在工业园区内建设</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项目能源由电能供给</w:t>
                  </w:r>
                  <w:r>
                    <w:rPr>
                      <w:rFonts w:hint="default" w:ascii="Times New Roman" w:hAnsi="Times New Roman" w:eastAsia="宋体" w:cs="Times New Roman"/>
                      <w:color w:val="auto"/>
                      <w:sz w:val="21"/>
                      <w:szCs w:val="21"/>
                    </w:rPr>
                    <w:t>。用水、用电均由市政统一供应。</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3</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重点管控单元主要推进产业布局优化、转型升级，不断提高资源利用效率，加强污染物排放控制和环境风险防控，解决生态环境突出问题。</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根据淄博市环境管控单元图区划，属于</w:t>
                  </w:r>
                  <w:r>
                    <w:rPr>
                      <w:rFonts w:hint="default"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管控单元区</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4</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空间布局管控要求。优化完善区域产业布局，合理布局各类工业项目。坚决淘汰落后产能，聚焦“高耗能、高污染、高排放、高风险”低效落后产能，进一步健全并严格落实环保、安全、技术、能耗、效益标准，分类组织实施转移、压减、整合、关停任务。坚决改造提升传统产业，聚焦“四强”产业，实施产业攀登计划，加快传统产业绿色化升级改造，形成高端引领、链条完整、生态完善、效益显著的产业发展格局。在满足产业准入、总量控制、排放标准等管理制度要求的前提下，实行工业项目进工业园区或聚集区，集约高效发展。从严审批两高建设项目，严格落实产能、煤炭、能耗等置换要求；加快推进“散乱污”企业搬迁入园或关闭退出。</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本项目符合国家产业政策要求，属于《产业结构调整指导目录》（2019年本）中规定的</w:t>
                  </w:r>
                  <w:r>
                    <w:rPr>
                      <w:rFonts w:hint="default" w:ascii="Times New Roman" w:hAnsi="Times New Roman" w:eastAsia="宋体" w:cs="Times New Roman"/>
                      <w:color w:val="auto"/>
                      <w:sz w:val="21"/>
                      <w:szCs w:val="21"/>
                      <w:lang w:eastAsia="zh-CN"/>
                    </w:rPr>
                    <w:t>允许</w:t>
                  </w:r>
                  <w:r>
                    <w:rPr>
                      <w:rFonts w:hint="default" w:ascii="Times New Roman" w:hAnsi="Times New Roman" w:eastAsia="宋体" w:cs="Times New Roman"/>
                      <w:color w:val="auto"/>
                      <w:sz w:val="21"/>
                      <w:szCs w:val="21"/>
                    </w:rPr>
                    <w:t>类项目。项目不属于“两高”项目，不属于“散乱污”项目。</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rPr>
                    <w:t>污染物排放管控要求。落实污染物总量控制制度，根据区域环境质量改善目标，削减污染物排放总量。严格执行国家及省相关排放标准，新建工业项目污染物排放水平达到同行业国内先进水平，对主要污染物排放指标实施总量等量或倍量置换。加快污水收集处理设施建设与提质增效，逐步完善城乡污水管网，实施雨污分流改造。加强挥发性有机物、臭气异味防治和餐饮油烟治理，严格施工扬尘监管</w:t>
                  </w:r>
                  <w:r>
                    <w:rPr>
                      <w:rFonts w:hint="default" w:ascii="Times New Roman" w:hAnsi="Times New Roman" w:eastAsia="宋体" w:cs="Times New Roman"/>
                      <w:color w:val="auto"/>
                      <w:sz w:val="21"/>
                      <w:szCs w:val="21"/>
                      <w:lang w:eastAsia="zh-CN"/>
                    </w:rPr>
                    <w:t>。</w:t>
                  </w:r>
                </w:p>
              </w:tc>
              <w:tc>
                <w:tcPr>
                  <w:tcW w:w="1966" w:type="pct"/>
                  <w:tcBorders>
                    <w:tl2br w:val="nil"/>
                    <w:tr2bl w:val="nil"/>
                  </w:tcBorders>
                  <w:shd w:val="clear" w:color="auto" w:fill="auto"/>
                  <w:noWrap w:val="0"/>
                  <w:vAlign w:val="center"/>
                </w:tcPr>
                <w:p>
                  <w:pPr>
                    <w:shd w:val="clea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eastAsia="zh-CN"/>
                    </w:rPr>
                    <w:t>机加工切割、抛丸、喷丸产生的颗粒物经集气罩收入脉冲式布袋除尘器处理后，由15m</w:t>
                  </w: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lang w:eastAsia="zh-CN"/>
                    </w:rPr>
                    <w:t>排气筒P1有组织排放；涂搪过程产生的粉尘，经涂搪间上方集气口收入脉冲式布袋除尘器处理后，由15m</w:t>
                  </w: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lang w:eastAsia="zh-CN"/>
                    </w:rPr>
                    <w:t>排气筒P1有组织排放；另外，焊接烟尘经移动式焊烟除尘器收尘净化后无组织排放。</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6</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环境风险防控要求。加强风险防控体系建设，强化工业园区和聚集区内企业环境风险防范设施建设和正常运行监管，加强重点环境风险监控企业应急预案制定，建立企业隐患排查整治常态化监管机制。</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危险化学品未超过临界量，</w:t>
                  </w:r>
                  <w:r>
                    <w:rPr>
                      <w:rFonts w:hint="default" w:ascii="Times New Roman" w:hAnsi="Times New Roman" w:eastAsia="宋体" w:cs="Times New Roman"/>
                      <w:color w:val="auto"/>
                      <w:sz w:val="21"/>
                      <w:szCs w:val="21"/>
                    </w:rPr>
                    <w:t>配备风险应急场所，定期开展风险应急演练。定期排查危险源、风险源。</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7</w:t>
                  </w:r>
                </w:p>
              </w:tc>
              <w:tc>
                <w:tcPr>
                  <w:tcW w:w="2380"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能源资源利用要求。推进工业园区和聚集区生态化改造，强化企业清洁生产改造，推进节水型企业、节水型工业园区建设，落实煤炭消费减量替代要求，鼓励使用清洁能源，提高资源能源利用效率。禁燃区内禁止新、改、技改燃用高污染燃料的项目和设施，已建成的应依法限期改用天然气、电或者其他清洁能源。推广使用清洁能源车。因地制宜推进冬季清洁取暖。</w:t>
                  </w:r>
                </w:p>
              </w:tc>
              <w:tc>
                <w:tcPr>
                  <w:tcW w:w="1966"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eastAsia="zh-CN"/>
                    </w:rPr>
                    <w:t>项目能源由电能供给</w:t>
                  </w:r>
                  <w:r>
                    <w:rPr>
                      <w:rFonts w:hint="default" w:ascii="Times New Roman" w:hAnsi="Times New Roman" w:eastAsia="宋体" w:cs="Times New Roman"/>
                      <w:color w:val="auto"/>
                      <w:sz w:val="21"/>
                      <w:szCs w:val="21"/>
                    </w:rPr>
                    <w:t>。</w:t>
                  </w:r>
                </w:p>
              </w:tc>
              <w:tc>
                <w:tcPr>
                  <w:tcW w:w="331" w:type="pct"/>
                  <w:tcBorders>
                    <w:tl2br w:val="nil"/>
                    <w:tr2bl w:val="nil"/>
                  </w:tcBorders>
                  <w:shd w:val="clear" w:color="auto" w:fill="auto"/>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综上所述，本项目符合国家及山东省相关环保要求</w:t>
            </w:r>
            <w:r>
              <w:rPr>
                <w:rFonts w:hint="default" w:ascii="Times New Roman" w:hAnsi="Times New Roman" w:eastAsia="宋体" w:cs="Times New Roman"/>
                <w:color w:val="auto"/>
                <w:sz w:val="24"/>
                <w:szCs w:val="24"/>
              </w:rPr>
              <w:t>。</w:t>
            </w:r>
          </w:p>
          <w:p>
            <w:pPr>
              <w:keepNext w:val="0"/>
              <w:keepLines w:val="0"/>
              <w:pageBreakBefore w:val="0"/>
              <w:numPr>
                <w:ilvl w:val="0"/>
                <w:numId w:val="3"/>
              </w:numPr>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与相关环保政策的符合性分析</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与《山东省环境保护条例》（2018年11月修订）符合性分析</w:t>
            </w:r>
          </w:p>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表1-3 项目与《山东省环境保护条例》（2018年11月修订）符合性</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4"/>
              <w:gridCol w:w="2842"/>
              <w:gridCol w:w="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要求</w:t>
                  </w:r>
                </w:p>
              </w:tc>
              <w:tc>
                <w:tcPr>
                  <w:tcW w:w="2086"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本项目情况</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《山东省环境保护条例》（2018年11月修订）符合性分析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第八条：企业事业单位和其他生产经营者应当落实环境保护主体责任，防止、减少环境污染和生态破坏，对所造成的损害依法承担责任。</w:t>
                  </w:r>
                </w:p>
              </w:tc>
              <w:tc>
                <w:tcPr>
                  <w:tcW w:w="2086" w:type="pct"/>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项目无生产废水外排，废气经处理后可达标排放，产生的噪声和固体废物均采取环保治理措施，合理处置，达</w:t>
                  </w:r>
                  <w:r>
                    <w:rPr>
                      <w:rFonts w:hint="default" w:ascii="Times New Roman" w:hAnsi="Times New Roman" w:eastAsia="宋体" w:cs="Times New Roman"/>
                      <w:color w:val="auto"/>
                      <w:sz w:val="21"/>
                      <w:szCs w:val="21"/>
                      <w:lang w:val="en-US" w:eastAsia="zh-CN"/>
                    </w:rPr>
                    <w:t>标排放。</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第十五条：禁止建设不</w:t>
                  </w:r>
                  <w:r>
                    <w:rPr>
                      <w:rFonts w:hint="default" w:ascii="Times New Roman" w:hAnsi="Times New Roman" w:eastAsia="宋体" w:cs="Times New Roman"/>
                      <w:color w:val="auto"/>
                      <w:sz w:val="21"/>
                      <w:szCs w:val="21"/>
                      <w:lang w:val="en-US" w:eastAsia="zh-CN"/>
                    </w:rPr>
                    <w:t>符</w:t>
                  </w:r>
                  <w:r>
                    <w:rPr>
                      <w:rFonts w:hint="default" w:ascii="Times New Roman" w:hAnsi="Times New Roman" w:eastAsia="宋体" w:cs="Times New Roman"/>
                      <w:color w:val="auto"/>
                      <w:sz w:val="21"/>
                      <w:szCs w:val="21"/>
                    </w:rPr>
                    <w:t>合国家和省产业政策的小型造纸、制革、印染、染料、炼焦、炼硫、炼砷、炼汞、炼油、电镀、农药、石棉、水泥、玻璃、钢铁、火电以及其他严重污染环境的生产项目。</w:t>
                  </w:r>
                </w:p>
              </w:tc>
              <w:tc>
                <w:tcPr>
                  <w:tcW w:w="2086"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拟建项目不涉及前述内容。</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第十八条：新建、改建、扩建建设项目，应当依法进行环境影响评价。</w:t>
                  </w:r>
                </w:p>
              </w:tc>
              <w:tc>
                <w:tcPr>
                  <w:tcW w:w="2086"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本项目落实“三同时”原则，开展环境影响评价。</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四条：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2086"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根据企业提供建设项目初审意见表，项目建设用地为工业用地，且位于工业聚集区内。</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五条：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w:t>
                  </w:r>
                </w:p>
              </w:tc>
              <w:tc>
                <w:tcPr>
                  <w:tcW w:w="2086"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项目生产废水为试压废水，经沉淀</w:t>
                  </w:r>
                  <w:r>
                    <w:rPr>
                      <w:rFonts w:hint="default" w:ascii="Times New Roman" w:hAnsi="Times New Roman" w:eastAsia="宋体" w:cs="Times New Roman"/>
                      <w:color w:val="auto"/>
                      <w:sz w:val="21"/>
                      <w:szCs w:val="21"/>
                      <w:lang w:val="en-US" w:eastAsia="zh-CN"/>
                    </w:rPr>
                    <w:t>水</w:t>
                  </w:r>
                  <w:r>
                    <w:rPr>
                      <w:rFonts w:hint="default" w:ascii="Times New Roman" w:hAnsi="Times New Roman" w:eastAsia="宋体" w:cs="Times New Roman"/>
                      <w:color w:val="auto"/>
                      <w:sz w:val="21"/>
                      <w:szCs w:val="21"/>
                    </w:rPr>
                    <w:t>池沉淀后循环使用，不外排；废气经处理后可达标排放，产生的噪声采取环保治理措施，固体废物均</w:t>
                  </w:r>
                  <w:r>
                    <w:rPr>
                      <w:rFonts w:hint="default" w:ascii="Times New Roman" w:hAnsi="Times New Roman" w:eastAsia="宋体" w:cs="Times New Roman"/>
                      <w:color w:val="auto"/>
                      <w:sz w:val="21"/>
                      <w:szCs w:val="21"/>
                      <w:lang w:val="en-US" w:eastAsia="zh-CN"/>
                    </w:rPr>
                    <w:t>临时存放于一般固体废物和危废暂存间，并进行</w:t>
                  </w:r>
                  <w:r>
                    <w:rPr>
                      <w:rFonts w:hint="default" w:ascii="Times New Roman" w:hAnsi="Times New Roman" w:eastAsia="宋体" w:cs="Times New Roman"/>
                      <w:color w:val="auto"/>
                      <w:sz w:val="21"/>
                      <w:szCs w:val="21"/>
                    </w:rPr>
                    <w:t>合理处置，达标排放。</w:t>
                  </w:r>
                </w:p>
              </w:tc>
              <w:tc>
                <w:tcPr>
                  <w:tcW w:w="347"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由上表可知，本项目符合《山东省环境保护条例》（2018年11月修订）文件的要求。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《关于严格项目审批工作坚决防止新上“散乱污”项目的通知》（鲁环字[2021]58号）符合性分析</w:t>
            </w:r>
          </w:p>
          <w:p>
            <w:pPr>
              <w:shd w:val="clea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 1-</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项目与《关于严格项目审批工作坚决防止新上“散乱污”项目的通知》符合性</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3"/>
              <w:gridCol w:w="2997"/>
              <w:gridCol w:w="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标准要求</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上项目必须符合产业政策要求，禁止采用公布的淘汰工艺和落后设备，不得引进耗能高、污染大、生产粗放、不符合产业政策的项目。各级立项部门在为企业办理手续时，要认真对照《产业结构调整指导目录（2019年本）》（如有更新，以更新后文件为准），对鼓励类项目，按照有关规定审批、核准或备案；对限制类项目，禁止新建，现有生产能力允许在一定期限内改造升级；对淘汰类项目，市场主体不得进入，行政机关不予审批。</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本项目的规模、产品、工艺以及采用的生产设备均不属于《产业结构调整指导目录（2019年本）》淘汰类和限制类项目。</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项目位于山东省</w:t>
                  </w:r>
                  <w:r>
                    <w:rPr>
                      <w:rFonts w:hint="default" w:ascii="Times New Roman" w:hAnsi="Times New Roman" w:eastAsia="宋体" w:cs="Times New Roman"/>
                      <w:color w:val="auto"/>
                      <w:sz w:val="21"/>
                      <w:szCs w:val="21"/>
                      <w:lang w:val="en-US" w:eastAsia="zh-CN"/>
                    </w:rPr>
                    <w:t>淄博市文昌湖区萌水镇金山村北</w:t>
                  </w:r>
                  <w:r>
                    <w:rPr>
                      <w:rFonts w:hint="default" w:ascii="Times New Roman" w:hAnsi="Times New Roman" w:eastAsia="宋体" w:cs="Times New Roman"/>
                      <w:color w:val="auto"/>
                      <w:sz w:val="21"/>
                      <w:szCs w:val="21"/>
                    </w:rPr>
                    <w:t>，企业</w:t>
                  </w:r>
                  <w:r>
                    <w:rPr>
                      <w:rFonts w:hint="default" w:ascii="Times New Roman" w:hAnsi="Times New Roman" w:eastAsia="宋体" w:cs="Times New Roman"/>
                      <w:color w:val="auto"/>
                      <w:sz w:val="21"/>
                      <w:szCs w:val="21"/>
                      <w:lang w:val="en-US" w:eastAsia="zh-CN"/>
                    </w:rPr>
                    <w:t>利用现有</w:t>
                  </w:r>
                  <w:r>
                    <w:rPr>
                      <w:rFonts w:hint="default" w:ascii="Times New Roman" w:hAnsi="Times New Roman" w:eastAsia="宋体" w:cs="Times New Roman"/>
                      <w:color w:val="auto"/>
                      <w:sz w:val="21"/>
                      <w:szCs w:val="21"/>
                    </w:rPr>
                    <w:t>厂房进行建设，不新增用地，根据企业提供的淄博文昌湖省级旅游度假区管理委员会关于规划萌水镇、商家镇工业集聚区的意见的说明，项目用地性质为工业用地，位于工业聚集区内，符合</w:t>
                  </w:r>
                  <w:r>
                    <w:rPr>
                      <w:rFonts w:hint="default" w:ascii="Times New Roman" w:hAnsi="Times New Roman" w:eastAsia="宋体" w:cs="Times New Roman"/>
                      <w:color w:val="auto"/>
                      <w:sz w:val="21"/>
                      <w:szCs w:val="21"/>
                      <w:lang w:val="en-US" w:eastAsia="zh-CN"/>
                    </w:rPr>
                    <w:t>文昌湖区、淄博市及国家</w:t>
                  </w:r>
                  <w:r>
                    <w:rPr>
                      <w:rFonts w:hint="default" w:ascii="Times New Roman" w:hAnsi="Times New Roman" w:eastAsia="宋体" w:cs="Times New Roman"/>
                      <w:color w:val="auto"/>
                      <w:sz w:val="21"/>
                      <w:szCs w:val="21"/>
                    </w:rPr>
                    <w:t>总体建设规划。</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项目总量符合总量控制要求。</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由上表可知，本项目符合</w:t>
            </w:r>
            <w:r>
              <w:rPr>
                <w:rFonts w:hint="eastAsia" w:cs="Times New Roman"/>
                <w:color w:val="auto"/>
                <w:lang w:val="en-US" w:eastAsia="zh-CN"/>
              </w:rPr>
              <w:t>《</w:t>
            </w:r>
            <w:r>
              <w:rPr>
                <w:rFonts w:hint="default" w:ascii="Times New Roman" w:hAnsi="Times New Roman" w:eastAsia="宋体" w:cs="Times New Roman"/>
                <w:color w:val="auto"/>
                <w:lang w:val="en-US" w:eastAsia="zh-CN"/>
              </w:rPr>
              <w:t>关于严格项目审批工作坚决防止新上“散乱污”项目的通知》（鲁环字[2021]58号）文件的要求。</w:t>
            </w:r>
          </w:p>
          <w:p>
            <w:pPr>
              <w:keepNext w:val="0"/>
              <w:keepLines w:val="0"/>
              <w:pageBreakBefore w:val="0"/>
              <w:shd w:val="clear"/>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与《中共中央国务院关于深入打好污染防治攻坚战的意见》的符合性分析</w:t>
            </w:r>
          </w:p>
          <w:p>
            <w:pPr>
              <w:keepNext w:val="0"/>
              <w:keepLines w:val="0"/>
              <w:pageBreakBefore w:val="0"/>
              <w:shd w:val="clea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 1-</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项目与《中共中央国务院关于深入打好污染防治攻坚战的意见》符合性</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0"/>
              <w:gridCol w:w="1874"/>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要求</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shd w:val="clea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能源清洁低碳转型。在保障能源安全的前提下，加快煤炭减量步伐，实施可再生能源替代行动。“十四五”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增气减煤”同步，新增天然气优先保障居民生活和清洁取暖需求。提高电能占终端能源消费比重。重点区域的平原地区散煤基本清零。有序扩大清洁取暖试点城市范围，稳步提升北方地区清洁取暖水平。</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项目生产使用电能，不涉及煤炭的使用。</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w:t>
                  </w:r>
                </w:p>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氧化铝、煤化工产能，合理控制煤制油气产能规模，严控新增炼油产能。</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拟建项目不涉及前述</w:t>
                  </w:r>
                  <w:r>
                    <w:rPr>
                      <w:rFonts w:hint="default" w:ascii="Times New Roman" w:hAnsi="Times New Roman" w:eastAsia="宋体" w:cs="Times New Roman"/>
                      <w:color w:val="auto"/>
                      <w:sz w:val="21"/>
                      <w:szCs w:val="21"/>
                      <w:lang w:val="en-US" w:eastAsia="zh-CN"/>
                    </w:rPr>
                    <w:t>两高</w:t>
                  </w:r>
                  <w:r>
                    <w:rPr>
                      <w:rFonts w:hint="default" w:ascii="Times New Roman" w:hAnsi="Times New Roman" w:eastAsia="宋体" w:cs="Times New Roman"/>
                      <w:color w:val="auto"/>
                      <w:sz w:val="21"/>
                      <w:szCs w:val="21"/>
                    </w:rPr>
                    <w:t>内容。</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项目满足“三线一单”的要求，符合环境准入的要求，项目不在</w:t>
                  </w:r>
                  <w:r>
                    <w:rPr>
                      <w:rFonts w:hint="default" w:ascii="Times New Roman" w:hAnsi="Times New Roman" w:eastAsia="宋体" w:cs="Times New Roman"/>
                      <w:color w:val="auto"/>
                      <w:sz w:val="21"/>
                      <w:szCs w:val="21"/>
                      <w:lang w:val="en-US" w:eastAsia="zh-CN"/>
                    </w:rPr>
                    <w:t>淄博</w:t>
                  </w:r>
                  <w:r>
                    <w:rPr>
                      <w:rFonts w:hint="default" w:ascii="Times New Roman" w:hAnsi="Times New Roman" w:eastAsia="宋体" w:cs="Times New Roman"/>
                      <w:color w:val="auto"/>
                      <w:sz w:val="21"/>
                      <w:szCs w:val="21"/>
                    </w:rPr>
                    <w:t>市环境准入负面清单范围内，因此本项目符合要求。</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有效管控建设用地土壤污染风险。严格建设用地土壤污染风险管控和修复名录内地块的准入管理。未依法完成土壤污染状况调查和风险评估的地块，不</w:t>
                  </w:r>
                </w:p>
                <w:p>
                  <w:pPr>
                    <w:shd w:val="clea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得开工建设与风险管控和修复无关的项目。从严管控农药、化工等行业的重度污染地块规划用途，确需开发利用的，鼓励用于拓展生态空间。完成重点地区危险化学品生产企业搬迁改造，推进腾退地块风险管控和修复</w:t>
                  </w:r>
                  <w:r>
                    <w:rPr>
                      <w:rFonts w:hint="default" w:ascii="Times New Roman" w:hAnsi="Times New Roman" w:eastAsia="宋体" w:cs="Times New Roman"/>
                      <w:color w:val="auto"/>
                      <w:sz w:val="21"/>
                      <w:szCs w:val="21"/>
                      <w:lang w:eastAsia="zh-CN"/>
                    </w:rPr>
                    <w:t>。</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项目所在地块不属于土壤污染状况调查和</w:t>
                  </w:r>
                  <w:r>
                    <w:rPr>
                      <w:rFonts w:hint="default" w:ascii="Times New Roman" w:hAnsi="Times New Roman" w:eastAsia="宋体" w:cs="Times New Roman"/>
                      <w:color w:val="auto"/>
                      <w:sz w:val="21"/>
                      <w:szCs w:val="21"/>
                      <w:lang w:val="en-US" w:eastAsia="zh-CN"/>
                    </w:rPr>
                    <w:t>风</w:t>
                  </w:r>
                  <w:r>
                    <w:rPr>
                      <w:rFonts w:hint="default" w:ascii="Times New Roman" w:hAnsi="Times New Roman" w:eastAsia="宋体" w:cs="Times New Roman"/>
                      <w:color w:val="auto"/>
                      <w:sz w:val="21"/>
                      <w:szCs w:val="21"/>
                    </w:rPr>
                    <w:t>险评估的地块，不属于农药、化工等行业。</w:t>
                  </w:r>
                </w:p>
              </w:tc>
              <w:tc>
                <w:tcPr>
                  <w:tcW w:w="0" w:type="auto"/>
                  <w:tcBorders>
                    <w:tl2br w:val="nil"/>
                    <w:tr2bl w:val="nil"/>
                  </w:tcBorders>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综上，项目满足《中共中央国务院关于深入打好污染防治攻坚战的意见》的要求。</w:t>
            </w:r>
          </w:p>
          <w:p>
            <w:pPr>
              <w:keepNext w:val="0"/>
              <w:keepLines w:val="0"/>
              <w:pageBreakBefore w:val="0"/>
              <w:numPr>
                <w:ilvl w:val="0"/>
                <w:numId w:val="2"/>
              </w:numPr>
              <w:shd w:val="clear"/>
              <w:kinsoku/>
              <w:wordWrap/>
              <w:overflowPunct/>
              <w:topLinePunct w:val="0"/>
              <w:autoSpaceDE w:val="0"/>
              <w:autoSpaceDN w:val="0"/>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与《山东省新一轮“四减四增”三年行动方案（2021—2023年）》文件的符合性分析</w:t>
            </w:r>
          </w:p>
          <w:p>
            <w:pPr>
              <w:keepNext w:val="0"/>
              <w:keepLines w:val="0"/>
              <w:pageBreakBefore w:val="0"/>
              <w:shd w:val="clea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表1-6 项目与《山东省新一轮“四减四增”三年行动方案（2021—2023年）》的符合性分析</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8"/>
              <w:gridCol w:w="1381"/>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政策要求</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0" w:type="auto"/>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施“散乱污”企业动态清零，按照“发现一起、处置一起”的原则，实施分类整治。（省生态环境厅、省工业和信息化厅按职责分工负责）各市要制定实施方案，重点围绕再生橡胶、废旧塑料再生、砖瓦、石灰、石膏等行业，对生产工艺装备进行筛查，按照有关法律法规和程序要求，推动低效落后产能退出。</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拟建项目不属于左侧项目。</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控化石能源消费。严控能源消费总量，在满足全社会能源需求的前提下，持续推进煤炭消费压减，增加清洁能源供给，加大清洁能源替代力度，进一步控制化石能源消费，逐步实现新增能源需求主要由清洁能源供给。</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拟建项目生产过程不使用化石燃料，利用电能进行生产。</w:t>
                  </w:r>
                </w:p>
              </w:tc>
              <w:tc>
                <w:tcPr>
                  <w:tcW w:w="0" w:type="auto"/>
                  <w:tcBorders>
                    <w:tl2br w:val="nil"/>
                    <w:tr2bl w:val="nil"/>
                  </w:tcBorders>
                  <w:vAlign w:val="center"/>
                </w:tcPr>
                <w:p>
                  <w:pPr>
                    <w:pStyle w:val="2"/>
                    <w:keepNext w:val="0"/>
                    <w:keepLines w:val="0"/>
                    <w:pageBreakBefore w:val="0"/>
                    <w:widowControl w:val="0"/>
                    <w:shd w:val="clear"/>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综上，拟建项目符合《山东省新一轮“四减四增”三年行动方案（2021—2023年）》的要求。</w:t>
            </w:r>
          </w:p>
          <w:p>
            <w:pPr>
              <w:keepNext w:val="0"/>
              <w:keepLines w:val="0"/>
              <w:pageBreakBefore w:val="0"/>
              <w:numPr>
                <w:ilvl w:val="0"/>
                <w:numId w:val="2"/>
              </w:numPr>
              <w:shd w:val="clea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项目与《山东省深入打好蓝天保卫战行动计划（2021-2025年）》的符合性分析</w:t>
            </w:r>
          </w:p>
          <w:p>
            <w:pPr>
              <w:keepNext w:val="0"/>
              <w:keepLines w:val="0"/>
              <w:pageBreakBefore w:val="0"/>
              <w:shd w:val="clea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《山东省深入打好蓝天保卫战行动计划（2021-2025年）》符合性分析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3790"/>
              <w:gridCol w:w="2107"/>
              <w:gridCol w:w="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0" w:type="auto"/>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文件要求</w:t>
                  </w:r>
                </w:p>
              </w:tc>
              <w:tc>
                <w:tcPr>
                  <w:tcW w:w="0" w:type="auto"/>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本项目情况</w:t>
                  </w:r>
                </w:p>
              </w:tc>
              <w:tc>
                <w:tcPr>
                  <w:tcW w:w="0" w:type="auto"/>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淘汰低效落后产能。聚焦钢铁、地炼、焦化、煤电、水泥、轮胎、煤炭、化工8个重点行业，加快淘汰低效落后产能。严格执行质量、环保、能耗、安全等法规标准，按照《产业结构调整指导目录》，对“淘汰类”落后生产工艺装备和落后产品全部淘汰出清。各市聚焦“高耗能、高污染、高排放、高风险”等行业，分类组织实施转移、压减、整合、关停任务</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本项目符合国家产业政策要求，属于《产业结构调整指导目录》（2019年本）中规定的</w:t>
                  </w:r>
                  <w:r>
                    <w:rPr>
                      <w:rFonts w:hint="default" w:ascii="Times New Roman" w:hAnsi="Times New Roman" w:eastAsia="宋体" w:cs="Times New Roman"/>
                      <w:bCs/>
                      <w:color w:val="auto"/>
                      <w:sz w:val="21"/>
                      <w:szCs w:val="21"/>
                      <w:lang w:eastAsia="zh-CN"/>
                    </w:rPr>
                    <w:t>允许</w:t>
                  </w:r>
                  <w:r>
                    <w:rPr>
                      <w:rFonts w:hint="default" w:ascii="Times New Roman" w:hAnsi="Times New Roman" w:eastAsia="宋体" w:cs="Times New Roman"/>
                      <w:bCs/>
                      <w:color w:val="auto"/>
                      <w:sz w:val="21"/>
                      <w:szCs w:val="21"/>
                    </w:rPr>
                    <w:t>类项目，不属于“高耗能、高污染、高排放、高风险”等行业</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压减煤炭消费量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新、改、扩建熔化炉、加热炉、热处理炉、干燥炉原则上使用清洁低碳能源，不得使用煤炭、重油</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本</w:t>
                  </w:r>
                  <w:r>
                    <w:rPr>
                      <w:rFonts w:hint="default" w:ascii="Times New Roman" w:hAnsi="Times New Roman" w:eastAsia="宋体" w:cs="Times New Roman"/>
                      <w:bCs/>
                      <w:color w:val="auto"/>
                      <w:sz w:val="21"/>
                      <w:szCs w:val="21"/>
                      <w:lang w:eastAsia="zh-CN"/>
                    </w:rPr>
                    <w:t>项目能源由电能供给</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优化货物运输方式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新、改、扩建项目涉及大宗物料运输的，应采用清洁运输方式。支持砂石、煤炭、钢铁、电解铝、电力、焦化、水泥等年运输量150万吨以上的大型工矿企业以及大型物流园区新（改、扩）建铁路专用线。未建成铁路专用线的，优先采用公铁联运、新能源车辆以及封闭式皮带廊道等方式运输。加快构建覆盖全省的原油、成品油、天然气输送网络，完成山东天然气</w:t>
                  </w:r>
                  <w:r>
                    <w:rPr>
                      <w:rFonts w:hint="default" w:ascii="Times New Roman" w:hAnsi="Times New Roman" w:eastAsia="宋体" w:cs="Times New Roman"/>
                      <w:bCs/>
                      <w:color w:val="auto"/>
                      <w:sz w:val="21"/>
                      <w:szCs w:val="21"/>
                      <w:lang w:eastAsia="zh-CN"/>
                    </w:rPr>
                    <w:t>管网</w:t>
                  </w:r>
                  <w:r>
                    <w:rPr>
                      <w:rFonts w:hint="default" w:ascii="Times New Roman" w:hAnsi="Times New Roman" w:eastAsia="宋体" w:cs="Times New Roman"/>
                      <w:bCs/>
                      <w:color w:val="auto"/>
                      <w:sz w:val="21"/>
                      <w:szCs w:val="21"/>
                    </w:rPr>
                    <w:t>及成品油管道建设。到2025年，大宗物料清洁运输比例大幅提升</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本项目不涉及大宗物料运输，仅为原辅材料及产品的运输。</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实施VOCs全过程污染防治</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实施低VOCs含量工业涂料、油墨、胶粘剂、清洗剂等原辅料使用替代。新、改、扩建工业涂装、包装印刷等含VOCs原辅材料使用的项目，原则上使用低（无）VOCs含量产品</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rPr>
                    <w:t>项目使用</w:t>
                  </w:r>
                  <w:r>
                    <w:rPr>
                      <w:rFonts w:hint="default" w:ascii="Times New Roman" w:hAnsi="Times New Roman" w:eastAsia="宋体" w:cs="Times New Roman"/>
                      <w:bCs/>
                      <w:color w:val="auto"/>
                      <w:sz w:val="21"/>
                      <w:szCs w:val="21"/>
                      <w:lang w:eastAsia="zh-CN"/>
                    </w:rPr>
                    <w:t>的原料均</w:t>
                  </w:r>
                  <w:r>
                    <w:rPr>
                      <w:rFonts w:hint="default" w:ascii="Times New Roman" w:hAnsi="Times New Roman" w:eastAsia="宋体" w:cs="Times New Roman"/>
                      <w:bCs/>
                      <w:color w:val="auto"/>
                      <w:sz w:val="21"/>
                      <w:szCs w:val="21"/>
                      <w:lang w:val="en-US" w:eastAsia="zh-CN"/>
                    </w:rPr>
                    <w:t>不产生</w:t>
                  </w:r>
                  <w:r>
                    <w:rPr>
                      <w:rFonts w:hint="default" w:ascii="Times New Roman" w:hAnsi="Times New Roman" w:eastAsia="宋体" w:cs="Times New Roman"/>
                      <w:bCs/>
                      <w:color w:val="auto"/>
                      <w:sz w:val="21"/>
                      <w:szCs w:val="21"/>
                    </w:rPr>
                    <w:t>VOCs</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强化工业源NOx深度治理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严格治理设施运行监管，燃煤机组、锅炉、钢铁企业污染排放稳定达到超低排放要求</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本项目不属于此类行业</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推动移动源污染管控</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加强国六重型柴油货车环保达标监管。落实新生产重型柴油车污染物排放限值要求，自2021年7月1日起，严禁生产、进口、销售和注册登记不符合国家第六阶段排放标准要求的重型柴油车</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rPr>
                    <w:t>项目车辆均符合国家标准</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严格扬尘污染管控加强施工扬尘精细化管控，建立并动态更新施工工地清单。全面推行绿色施工，将扬尘污染防治费用纳入工程造价，各类施工工地严格落实扬尘污染防治措施，其中建筑施工工地严格执行“六项措施”</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项目建设期严格把控施工场地环境污染防治工作</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完善环境监管信息化系统</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加快空气质量监测、污染源在线监控、移动源定位管控等信息数据集成应用，逐步提高污染溯源、问题诊断、应急响应能力</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rPr>
                    <w:t>项目已经制定自行监测计划及监测台账</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健全大气政策标准体系</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开展移动源监管政策评估，完善全生命周期监管政策。持续完善地方大气环境标准体系，制修订VOCs等排放标准，研究制定氨排放、氨逃逸控制要求</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rPr>
                    <w:t>项目</w:t>
                  </w:r>
                  <w:r>
                    <w:rPr>
                      <w:rFonts w:hint="default" w:ascii="Times New Roman" w:hAnsi="Times New Roman" w:eastAsia="宋体" w:cs="Times New Roman"/>
                      <w:bCs/>
                      <w:color w:val="auto"/>
                      <w:sz w:val="21"/>
                      <w:szCs w:val="21"/>
                      <w:lang w:val="en-US" w:eastAsia="zh-CN"/>
                    </w:rPr>
                    <w:t>产生颗粒物达标排放</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c>
                <w:tcPr>
                  <w:tcW w:w="0" w:type="auto"/>
                  <w:tcBorders>
                    <w:tl2br w:val="nil"/>
                    <w:tr2bl w:val="nil"/>
                  </w:tcBorders>
                  <w:noWrap w:val="0"/>
                  <w:vAlign w:val="center"/>
                </w:tcPr>
                <w:p>
                  <w:pPr>
                    <w:keepNext w:val="0"/>
                    <w:keepLines w:val="0"/>
                    <w:pageBreakBefore w:val="0"/>
                    <w:widowControl/>
                    <w:shd w:val="clear"/>
                    <w:tabs>
                      <w:tab w:val="left" w:pos="567"/>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加强大气环境监管</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按照生态环境部部署，对已发排污许可证质量开展复核。建立以排污许可数据为基础的“双随机、一公开”数据库，将排污许可证与执行报告作为执法检查的重要依据。加强排污许可证后管理，开展排污许可专项执法检查，落实排污许可“一证式”管理</w:t>
                  </w:r>
                  <w:r>
                    <w:rPr>
                      <w:rFonts w:hint="default" w:ascii="Times New Roman" w:hAnsi="Times New Roman" w:eastAsia="宋体" w:cs="Times New Roman"/>
                      <w:bCs/>
                      <w:color w:val="auto"/>
                      <w:sz w:val="21"/>
                      <w:szCs w:val="21"/>
                      <w:lang w:eastAsia="zh-CN"/>
                    </w:rPr>
                    <w:t>。</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本项目为</w:t>
                  </w:r>
                  <w:r>
                    <w:rPr>
                      <w:rFonts w:hint="default" w:ascii="Times New Roman" w:hAnsi="Times New Roman" w:eastAsia="宋体" w:cs="Times New Roman"/>
                      <w:bCs/>
                      <w:color w:val="auto"/>
                      <w:sz w:val="21"/>
                      <w:szCs w:val="21"/>
                      <w:lang w:val="en-US" w:eastAsia="zh-CN"/>
                    </w:rPr>
                    <w:t>迁建</w:t>
                  </w:r>
                  <w:r>
                    <w:rPr>
                      <w:rFonts w:hint="default" w:ascii="Times New Roman" w:hAnsi="Times New Roman" w:eastAsia="宋体" w:cs="Times New Roman"/>
                      <w:bCs/>
                      <w:color w:val="auto"/>
                      <w:sz w:val="21"/>
                      <w:szCs w:val="21"/>
                    </w:rPr>
                    <w:t>企业</w:t>
                  </w:r>
                </w:p>
              </w:tc>
              <w:tc>
                <w:tcPr>
                  <w:tcW w:w="0" w:type="auto"/>
                  <w:tcBorders>
                    <w:tl2br w:val="nil"/>
                    <w:tr2bl w:val="nil"/>
                  </w:tcBorders>
                  <w:noWrap w:val="0"/>
                  <w:vAlign w:val="center"/>
                </w:tcPr>
                <w:p>
                  <w:pPr>
                    <w:pStyle w:val="31"/>
                    <w:keepNext w:val="0"/>
                    <w:keepLines w:val="0"/>
                    <w:pageBreakBefore w:val="0"/>
                    <w:shd w:val="clear"/>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综上，本项目符合《山东省深入打好蓝天保卫战行动计划（2021-2025年）》的要求</w:t>
            </w:r>
            <w:r>
              <w:rPr>
                <w:rFonts w:hint="default" w:ascii="Times New Roman" w:hAnsi="Times New Roman" w:eastAsia="宋体" w:cs="Times New Roman"/>
                <w:color w:val="auto"/>
                <w:sz w:val="24"/>
                <w:szCs w:val="24"/>
                <w:lang w:eastAsia="zh-CN"/>
              </w:rPr>
              <w:t>。</w:t>
            </w:r>
          </w:p>
          <w:p>
            <w:pPr>
              <w:pStyle w:val="2"/>
              <w:keepNext w:val="0"/>
              <w:keepLines w:val="0"/>
              <w:pageBreakBefore w:val="0"/>
              <w:widowControl w:val="0"/>
              <w:numPr>
                <w:ilvl w:val="0"/>
                <w:numId w:val="2"/>
              </w:numPr>
              <w:shd w:val="clea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本项目与“气十条”现行环境管理政策相符性分析</w:t>
            </w:r>
          </w:p>
          <w:tbl>
            <w:tblPr>
              <w:tblStyle w:val="2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57"/>
              <w:gridCol w:w="1462"/>
              <w:gridCol w:w="3566"/>
              <w:gridCol w:w="4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96"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政策要求</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说明</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restar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《大气污染防治行动计划》（气十条）国发[2013]37号2013年9月10</w:t>
                  </w:r>
                  <w:r>
                    <w:rPr>
                      <w:rFonts w:hint="default" w:ascii="Times New Roman" w:hAnsi="Times New Roman" w:eastAsia="宋体" w:cs="Times New Roman"/>
                      <w:color w:val="auto"/>
                      <w:lang w:val="en-US" w:eastAsia="zh-CN"/>
                    </w:rPr>
                    <w:t>日</w:t>
                  </w: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加强工业企业大气污染综合治理</w:t>
                  </w:r>
                </w:p>
              </w:tc>
              <w:tc>
                <w:tcPr>
                  <w:tcW w:w="2615" w:type="pct"/>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焊接厂房、安装厂房烟尘</w:t>
                  </w:r>
                  <w:r>
                    <w:rPr>
                      <w:rFonts w:hint="default" w:ascii="Times New Roman" w:hAnsi="Times New Roman" w:eastAsia="宋体" w:cs="Times New Roman"/>
                      <w:color w:val="auto"/>
                      <w:sz w:val="21"/>
                      <w:szCs w:val="21"/>
                    </w:rPr>
                    <w:t>采用移动式焊烟净化器收集</w:t>
                  </w:r>
                  <w:r>
                    <w:rPr>
                      <w:rFonts w:hint="default" w:ascii="Times New Roman" w:hAnsi="Times New Roman" w:eastAsia="宋体" w:cs="Times New Roman"/>
                      <w:color w:val="auto"/>
                      <w:sz w:val="21"/>
                      <w:szCs w:val="21"/>
                      <w:lang w:val="en-US" w:eastAsia="zh-CN"/>
                    </w:rPr>
                    <w:t>处理后无组织排放；衬塑生产线衬塑工序及喷塑生产线固化工序产生VOCs经过集气罩+二级活性炭装置吸附后经15m高排气筒有组织排放。</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强化移动源污染防治</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无移动污染源</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严控“两高”行业新增产能</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本项目不属于“两高”行业</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加快淘汰落后产能</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本项目不属于淘汰落后产能的范围</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压缩过剩产能</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本项目不属于产能过剩的行业</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坚决停建产能严重过剩行业违规在建项目</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不属于产能严重过剩行业</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6" w:type="pct"/>
                  <w:vMerge w:val="continue"/>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p>
              </w:tc>
              <w:tc>
                <w:tcPr>
                  <w:tcW w:w="1072"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全面推行清洁生产</w:t>
                  </w:r>
                </w:p>
              </w:tc>
              <w:tc>
                <w:tcPr>
                  <w:tcW w:w="26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本项目符合清洁生产要求</w:t>
                  </w:r>
                  <w:r>
                    <w:rPr>
                      <w:rFonts w:hint="default" w:ascii="Times New Roman" w:hAnsi="Times New Roman" w:eastAsia="宋体" w:cs="Times New Roman"/>
                      <w:color w:val="auto"/>
                      <w:lang w:eastAsia="zh-CN"/>
                    </w:rPr>
                    <w:t>。</w:t>
                  </w:r>
                </w:p>
              </w:tc>
              <w:tc>
                <w:tcPr>
                  <w:tcW w:w="315" w:type="pct"/>
                  <w:tcBorders>
                    <w:tl2br w:val="nil"/>
                    <w:tr2bl w:val="nil"/>
                  </w:tcBorders>
                  <w:shd w:val="clear" w:color="auto" w:fill="auto"/>
                  <w:vAlign w:val="center"/>
                </w:tcPr>
                <w:p>
                  <w:pPr>
                    <w:pStyle w:val="36"/>
                    <w:keepNext w:val="0"/>
                    <w:keepLines w:val="0"/>
                    <w:pageBreakBefore w:val="0"/>
                    <w:widowControl/>
                    <w:shd w:val="clear"/>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pPr>
              <w:numPr>
                <w:ilvl w:val="0"/>
                <w:numId w:val="0"/>
              </w:numPr>
              <w:shd w:val="clear"/>
              <w:ind w:leftChars="200"/>
              <w:rPr>
                <w:rFonts w:hint="default" w:ascii="Times New Roman" w:hAnsi="Times New Roman" w:eastAsia="宋体" w:cs="Times New Roman"/>
                <w:color w:val="auto"/>
                <w:lang w:val="en-US" w:eastAsia="zh-CN"/>
              </w:rPr>
            </w:pPr>
          </w:p>
        </w:tc>
      </w:tr>
    </w:tbl>
    <w:p>
      <w:pPr>
        <w:pStyle w:val="2"/>
        <w:shd w:val="clear"/>
        <w:rPr>
          <w:rFonts w:hint="default" w:ascii="Times New Roman" w:hAnsi="Times New Roman" w:eastAsia="宋体" w:cs="Times New Roman"/>
          <w:color w:val="auto"/>
          <w:sz w:val="21"/>
          <w:szCs w:val="21"/>
        </w:rPr>
      </w:pPr>
    </w:p>
    <w:p>
      <w:pPr>
        <w:pStyle w:val="21"/>
        <w:keepNext w:val="0"/>
        <w:keepLines w:val="0"/>
        <w:pageBreakBefore w:val="0"/>
        <w:widowControl/>
        <w:numPr>
          <w:ilvl w:val="0"/>
          <w:numId w:val="4"/>
        </w:numPr>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shd w:val="clear"/>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lang w:val="en-US" w:eastAsia="zh-CN"/>
        </w:rPr>
        <w:t>二、</w:t>
      </w:r>
      <w:r>
        <w:rPr>
          <w:rFonts w:hint="default" w:ascii="Times New Roman" w:hAnsi="Times New Roman" w:eastAsia="宋体" w:cs="Times New Roman"/>
          <w:b/>
          <w:bCs/>
          <w:snapToGrid w:val="0"/>
          <w:color w:val="auto"/>
          <w:sz w:val="30"/>
          <w:szCs w:val="30"/>
        </w:rPr>
        <w:t>建设项目工程分析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dxa"/>
            <w:tcBorders>
              <w:tl2br w:val="nil"/>
              <w:tr2bl w:val="nil"/>
            </w:tcBorders>
            <w:noWrap w:val="0"/>
            <w:vAlign w:val="center"/>
          </w:tcPr>
          <w:p>
            <w:pPr>
              <w:pStyle w:val="21"/>
              <w:keepNext w:val="0"/>
              <w:keepLines w:val="0"/>
              <w:pageBreakBefore w:val="0"/>
              <w:widowControl/>
              <w:numPr>
                <w:ilvl w:val="0"/>
                <w:numId w:val="0"/>
              </w:numPr>
              <w:shd w:val="clear"/>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rPr>
              <w:t xml:space="preserve"> </w:t>
            </w:r>
            <w:r>
              <w:rPr>
                <w:rFonts w:hint="default" w:ascii="Times New Roman" w:hAnsi="Times New Roman" w:eastAsia="宋体" w:cs="Times New Roman"/>
                <w:color w:val="auto"/>
                <w:sz w:val="24"/>
                <w:szCs w:val="24"/>
              </w:rPr>
              <w:t>建设内容</w:t>
            </w:r>
          </w:p>
        </w:tc>
        <w:tc>
          <w:tcPr>
            <w:tcW w:w="8623" w:type="dxa"/>
            <w:tcBorders>
              <w:tl2br w:val="nil"/>
              <w:tr2bl w:val="nil"/>
            </w:tcBorders>
            <w:noWrap w:val="0"/>
            <w:vAlign w:val="top"/>
          </w:tcPr>
          <w:p>
            <w:pPr>
              <w:keepNext w:val="0"/>
              <w:keepLines w:val="0"/>
              <w:pageBreakBefore w:val="0"/>
              <w:widowControl w:val="0"/>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1、建设内容</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（1）</w:t>
            </w:r>
            <w:r>
              <w:rPr>
                <w:rFonts w:hint="default" w:ascii="Times New Roman" w:hAnsi="Times New Roman" w:eastAsia="宋体" w:cs="Times New Roman"/>
                <w:color w:val="auto"/>
                <w:kern w:val="0"/>
                <w:sz w:val="24"/>
                <w:szCs w:val="24"/>
                <w:lang w:eastAsia="zh-CN"/>
              </w:rPr>
              <w:t>项目由来</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eastAsia="zh-CN"/>
              </w:rPr>
              <w:t>淄博诚泰化工设备有限公司防腐搪玻璃搅拌器和管件项目</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建设性质：</w:t>
            </w:r>
            <w:r>
              <w:rPr>
                <w:rFonts w:hint="default" w:ascii="Times New Roman" w:hAnsi="Times New Roman" w:eastAsia="宋体" w:cs="Times New Roman"/>
                <w:color w:val="auto"/>
                <w:sz w:val="24"/>
                <w:szCs w:val="24"/>
                <w:lang w:eastAsia="zh-CN"/>
              </w:rPr>
              <w:t>迁建</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建设内容：本项目投资</w:t>
            </w:r>
            <w:r>
              <w:rPr>
                <w:rFonts w:hint="default" w:ascii="Times New Roman" w:hAnsi="Times New Roman" w:eastAsia="宋体" w:cs="Times New Roman"/>
                <w:color w:val="auto"/>
                <w:sz w:val="24"/>
                <w:szCs w:val="24"/>
                <w:lang w:val="en-US" w:eastAsia="zh-CN"/>
              </w:rPr>
              <w:t>520万元在文昌湖区萌水镇金山村北地块，利旧原有电炉、电焊机、焊机、氩弧焊机、逆变式弧焊机、CO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气体保护焊机、等离子切割机、车床、钻床、钻铣床、卷板机、折弯机、锁口机、喷丸机、抛丸清理室、履带抛丸清理机、手持式磨光机、螺杆式空气压缩机等设备共47台（套）用于生产加工防腐搪玻璃搅拌器、管件</w:t>
            </w:r>
            <w:r>
              <w:rPr>
                <w:rFonts w:hint="eastAsia" w:cs="Times New Roman"/>
                <w:color w:val="auto"/>
                <w:sz w:val="24"/>
                <w:szCs w:val="24"/>
                <w:lang w:val="en-US" w:eastAsia="zh-CN"/>
              </w:rPr>
              <w:t>，</w:t>
            </w:r>
            <w:commentRangeStart w:id="0"/>
            <w:r>
              <w:rPr>
                <w:rFonts w:hint="eastAsia" w:cs="Times New Roman"/>
                <w:color w:val="auto"/>
                <w:sz w:val="24"/>
                <w:szCs w:val="24"/>
                <w:lang w:val="en-US" w:eastAsia="zh-CN"/>
              </w:rPr>
              <w:t>搬迁前淄博诚泰化工设备有限公司项目为5000件搪瓷防腐设备项目，产品包括防腐罐等，因此迁建后本项目产品包括</w:t>
            </w:r>
            <w:r>
              <w:rPr>
                <w:rFonts w:hint="default" w:ascii="Times New Roman" w:hAnsi="Times New Roman" w:eastAsia="宋体" w:cs="Times New Roman"/>
                <w:color w:val="auto"/>
                <w:sz w:val="24"/>
                <w:szCs w:val="24"/>
                <w:lang w:val="en-US" w:eastAsia="zh-CN"/>
              </w:rPr>
              <w:t>防腐搪玻璃搅拌器、管件</w:t>
            </w:r>
            <w:r>
              <w:rPr>
                <w:rFonts w:hint="eastAsia" w:cs="Times New Roman"/>
                <w:color w:val="auto"/>
                <w:sz w:val="24"/>
                <w:szCs w:val="24"/>
                <w:lang w:val="en-US" w:eastAsia="zh-CN"/>
              </w:rPr>
              <w:t>和防腐罐，产量不变，共计5000件。</w:t>
            </w:r>
            <w:commentRangeEnd w:id="0"/>
            <w:r>
              <w:commentReference w:id="0"/>
            </w:r>
            <w:r>
              <w:rPr>
                <w:rFonts w:hint="default" w:ascii="Times New Roman" w:hAnsi="Times New Roman" w:eastAsia="宋体" w:cs="Times New Roman"/>
                <w:color w:val="auto"/>
                <w:sz w:val="24"/>
                <w:szCs w:val="24"/>
                <w:lang w:val="en-US" w:eastAsia="zh-CN"/>
              </w:rPr>
              <w:t>项目环保投资40万元，环保投资占比7.69%。</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建设地点：项目位于</w:t>
            </w:r>
            <w:r>
              <w:rPr>
                <w:rFonts w:hint="default" w:ascii="Times New Roman" w:hAnsi="Times New Roman" w:eastAsia="宋体" w:cs="Times New Roman"/>
                <w:color w:val="auto"/>
                <w:sz w:val="24"/>
                <w:szCs w:val="24"/>
                <w:lang w:eastAsia="zh-CN"/>
              </w:rPr>
              <w:t>文昌湖区萌水镇金山村北</w:t>
            </w:r>
            <w:r>
              <w:rPr>
                <w:rFonts w:hint="default" w:ascii="Times New Roman" w:hAnsi="Times New Roman" w:eastAsia="宋体" w:cs="Times New Roman"/>
                <w:color w:val="auto"/>
                <w:sz w:val="24"/>
                <w:szCs w:val="24"/>
              </w:rPr>
              <w:t>。项目地理位置详见附图</w:t>
            </w:r>
            <w:r>
              <w:rPr>
                <w:rFonts w:hint="default" w:ascii="Times New Roman" w:hAnsi="Times New Roman" w:eastAsia="宋体" w:cs="Times New Roman"/>
                <w:color w:val="auto"/>
                <w:sz w:val="24"/>
                <w:szCs w:val="24"/>
                <w:lang w:eastAsia="zh-CN"/>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项目变更由来：公司现有项目为“</w:t>
            </w:r>
            <w:r>
              <w:rPr>
                <w:rFonts w:hint="default" w:ascii="Times New Roman" w:hAnsi="Times New Roman" w:eastAsia="宋体" w:cs="Times New Roman"/>
                <w:color w:val="auto"/>
                <w:sz w:val="24"/>
                <w:szCs w:val="24"/>
              </w:rPr>
              <w:t>淄博诚泰化工设备有限公司年产5000件搪瓷防腐设备项目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位于淄博市周村区南郊镇宋家村东首</w:t>
            </w:r>
            <w:r>
              <w:rPr>
                <w:rFonts w:hint="default" w:ascii="Times New Roman" w:hAnsi="Times New Roman" w:eastAsia="宋体" w:cs="Times New Roman"/>
                <w:color w:val="auto"/>
                <w:sz w:val="24"/>
                <w:szCs w:val="24"/>
                <w:lang w:eastAsia="zh-CN"/>
              </w:rPr>
              <w:t>，因生产需要，现搬迁至文昌湖区萌水镇金山村北地块。淄博诚泰化工设备有限公司于</w:t>
            </w:r>
            <w:r>
              <w:rPr>
                <w:rFonts w:hint="default" w:ascii="Times New Roman" w:hAnsi="Times New Roman" w:eastAsia="宋体" w:cs="Times New Roman"/>
                <w:color w:val="auto"/>
                <w:sz w:val="24"/>
                <w:szCs w:val="24"/>
                <w:lang w:val="en-US" w:eastAsia="zh-CN"/>
              </w:rPr>
              <w:t>2017年7月委托山东新达环境保护技术咨询有限公司编制了《淄博诚泰化工设备有限公司年产5000件搪瓷防腐设备项目》，2017年7月28日取得淄博市周村区环境保护局审批意见（周环报告表[2017]781号），目前已通过验收</w:t>
            </w:r>
            <w:r>
              <w:rPr>
                <w:rFonts w:hint="default" w:ascii="Times New Roman" w:hAnsi="Times New Roman" w:eastAsia="宋体" w:cs="Times New Roman"/>
                <w:color w:val="auto"/>
                <w:sz w:val="24"/>
                <w:szCs w:val="24"/>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淄博新诚泰机械有限公司减速机和机械密封项目</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2023年11月20日转让给淄博诚泰化工设备有限公司</w:t>
            </w:r>
            <w:r>
              <w:rPr>
                <w:rFonts w:hint="default" w:ascii="Times New Roman" w:hAnsi="Times New Roman" w:eastAsia="宋体" w:cs="Times New Roman"/>
                <w:color w:val="auto"/>
                <w:sz w:val="24"/>
                <w:szCs w:val="24"/>
                <w:lang w:eastAsia="zh-CN"/>
              </w:rPr>
              <w:t>，</w:t>
            </w:r>
            <w:commentRangeStart w:id="1"/>
            <w:r>
              <w:rPr>
                <w:rFonts w:hint="eastAsia" w:cs="Times New Roman"/>
                <w:color w:val="auto"/>
                <w:sz w:val="24"/>
                <w:szCs w:val="24"/>
                <w:lang w:val="en-US" w:eastAsia="zh-CN"/>
              </w:rPr>
              <w:t>因此转让后淄博诚泰化工设备有限公司防腐搪玻璃搅拌器和管件项目排放的</w:t>
            </w:r>
            <w:r>
              <w:rPr>
                <w:rFonts w:hint="default" w:ascii="Times New Roman" w:hAnsi="Times New Roman" w:eastAsia="宋体" w:cs="Times New Roman"/>
                <w:color w:val="auto"/>
                <w:sz w:val="24"/>
                <w:szCs w:val="24"/>
                <w:lang w:eastAsia="zh-CN"/>
              </w:rPr>
              <w:t>颗粒物</w:t>
            </w:r>
            <w:r>
              <w:rPr>
                <w:rFonts w:hint="eastAsia" w:cs="Times New Roman"/>
                <w:color w:val="auto"/>
                <w:sz w:val="24"/>
                <w:szCs w:val="24"/>
                <w:lang w:val="en-US" w:eastAsia="zh-CN"/>
              </w:rPr>
              <w:t>使用</w:t>
            </w:r>
            <w:r>
              <w:rPr>
                <w:rFonts w:hint="default" w:ascii="Times New Roman" w:hAnsi="Times New Roman" w:eastAsia="宋体" w:cs="Times New Roman"/>
                <w:color w:val="auto"/>
                <w:sz w:val="24"/>
                <w:szCs w:val="24"/>
              </w:rPr>
              <w:t>减速机和机械密封项目</w:t>
            </w:r>
            <w:r>
              <w:rPr>
                <w:rFonts w:hint="eastAsia" w:cs="Times New Roman"/>
                <w:color w:val="auto"/>
                <w:sz w:val="24"/>
                <w:szCs w:val="24"/>
                <w:lang w:val="en-US" w:eastAsia="zh-CN"/>
              </w:rPr>
              <w:t>的一根</w:t>
            </w:r>
            <w:r>
              <w:rPr>
                <w:rFonts w:hint="default" w:ascii="Times New Roman" w:hAnsi="Times New Roman" w:eastAsia="宋体" w:cs="Times New Roman"/>
                <w:color w:val="auto"/>
                <w:sz w:val="24"/>
                <w:szCs w:val="24"/>
                <w:lang w:val="en-US" w:eastAsia="zh-CN"/>
              </w:rPr>
              <w:t>15m排气筒P1有组织排放，</w:t>
            </w:r>
            <w:r>
              <w:rPr>
                <w:rFonts w:hint="default" w:ascii="Times New Roman" w:hAnsi="Times New Roman" w:eastAsia="宋体" w:cs="Times New Roman"/>
                <w:color w:val="auto"/>
                <w:sz w:val="24"/>
                <w:szCs w:val="24"/>
              </w:rPr>
              <w:t>减速机和机械密封项目衬塑生产线衬塑工序及喷塑生产线固化工序产生</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VOCs</w:t>
            </w:r>
            <w:r>
              <w:rPr>
                <w:rFonts w:hint="default" w:ascii="Times New Roman" w:hAnsi="Times New Roman" w:eastAsia="宋体" w:cs="Times New Roman"/>
                <w:color w:val="auto"/>
                <w:sz w:val="24"/>
                <w:szCs w:val="24"/>
                <w:lang w:val="en-US" w:eastAsia="zh-CN"/>
              </w:rPr>
              <w:t>经集气罩将废气收集入两级活性炭吸附装置处理后经一根15m排气筒P2有组织排放。</w:t>
            </w:r>
            <w:commentRangeEnd w:id="1"/>
            <w:r>
              <w:commentReference w:id="1"/>
            </w:r>
          </w:p>
          <w:p>
            <w:pPr>
              <w:keepNext w:val="0"/>
              <w:keepLines w:val="0"/>
              <w:pageBreakBefore w:val="0"/>
              <w:widowControl w:val="0"/>
              <w:numPr>
                <w:ilvl w:val="0"/>
                <w:numId w:val="5"/>
              </w:numPr>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本项目建设必要性</w:t>
            </w:r>
          </w:p>
          <w:p>
            <w:pPr>
              <w:shd w:val="clear"/>
              <w:spacing w:line="360" w:lineRule="auto"/>
              <w:ind w:firstLine="48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lang w:val="en-US" w:eastAsia="zh-CN"/>
              </w:rPr>
              <w:t>本项目主要产品为搪玻璃制品，搪玻璃设备广泛适用于化工、医药、染料、农药、有机合成、石油、食品制造和国防工业等工业生产和科学研究中的反应、蒸发、浓缩、合成、萃取、聚合、皂化、矿化、氯化、硝化等，以代替昂贵的不锈钢和有色金属。耐腐蚀性：对于各种浓度的</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"https://baike.sogou.com/lemma/ShowInnerLink.htm?lemmaId=730650&amp;ss_c=ssc.citiao.link" \t "https://baike.sogou.com/_blank"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无机酸</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、有机酸、有机溶剂及弱碱等介质均有极强的抗腐性。</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项目完成后</w:t>
            </w:r>
            <w:r>
              <w:rPr>
                <w:rFonts w:hint="default" w:ascii="Times New Roman" w:hAnsi="Times New Roman" w:eastAsia="宋体" w:cs="Times New Roman"/>
                <w:color w:val="auto"/>
                <w:kern w:val="0"/>
                <w:sz w:val="24"/>
                <w:szCs w:val="24"/>
              </w:rPr>
              <w:t>组成详见下表。</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2" w:firstLineChars="20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2-1 </w:t>
            </w:r>
            <w:r>
              <w:rPr>
                <w:rFonts w:hint="default" w:ascii="Times New Roman" w:hAnsi="Times New Roman" w:eastAsia="宋体" w:cs="Times New Roman"/>
                <w:b/>
                <w:bCs/>
                <w:color w:val="auto"/>
                <w:kern w:val="0"/>
                <w:sz w:val="24"/>
                <w:szCs w:val="24"/>
              </w:rPr>
              <w:t>项目组成一览表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91"/>
              <w:gridCol w:w="593"/>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类别</w:t>
                  </w: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项目</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主体工程</w:t>
                  </w: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1座，占地面积约</w:t>
                  </w:r>
                  <w:r>
                    <w:rPr>
                      <w:rFonts w:hint="default" w:ascii="Times New Roman" w:hAnsi="Times New Roman" w:eastAsia="宋体" w:cs="Times New Roman"/>
                      <w:color w:val="auto"/>
                      <w:sz w:val="21"/>
                      <w:szCs w:val="21"/>
                      <w:lang w:val="en-US" w:eastAsia="zh-CN"/>
                    </w:rPr>
                    <w:t>2800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，1F，高12m，主要承担钢材前处理、焊接、</w:t>
                  </w:r>
                  <w:r>
                    <w:rPr>
                      <w:rFonts w:hint="default" w:ascii="Times New Roman" w:hAnsi="Times New Roman" w:eastAsia="宋体" w:cs="Times New Roman"/>
                      <w:color w:val="auto"/>
                      <w:sz w:val="21"/>
                      <w:szCs w:val="21"/>
                      <w:lang w:val="en-US" w:eastAsia="zh-CN"/>
                    </w:rPr>
                    <w:t>抛丸、喷丸、</w:t>
                  </w:r>
                  <w:r>
                    <w:rPr>
                      <w:rFonts w:hint="default" w:ascii="Times New Roman" w:hAnsi="Times New Roman" w:eastAsia="宋体" w:cs="Times New Roman"/>
                      <w:color w:val="auto"/>
                      <w:sz w:val="21"/>
                      <w:szCs w:val="21"/>
                    </w:rPr>
                    <w:t>涂搪、检验、修补等工序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厂区用电由</w:t>
                  </w:r>
                  <w:r>
                    <w:rPr>
                      <w:rFonts w:hint="default" w:ascii="Times New Roman" w:hAnsi="Times New Roman" w:eastAsia="宋体" w:cs="Times New Roman"/>
                      <w:color w:val="auto"/>
                      <w:sz w:val="21"/>
                      <w:szCs w:val="21"/>
                      <w:lang w:val="en-US" w:eastAsia="zh-CN"/>
                    </w:rPr>
                    <w:t>文昌湖区市政</w:t>
                  </w:r>
                  <w:r>
                    <w:rPr>
                      <w:rFonts w:hint="default" w:ascii="Times New Roman" w:hAnsi="Times New Roman" w:eastAsia="宋体" w:cs="Times New Roman"/>
                      <w:color w:val="auto"/>
                      <w:sz w:val="21"/>
                      <w:szCs w:val="21"/>
                    </w:rPr>
                    <w:t>供电部门统一供给，厂区设有一处配电室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val="en-US" w:eastAsia="zh-CN"/>
                    </w:rPr>
                    <w:t>文昌湖区萌水镇金山村自来水管网提供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1座，占地面积约</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val="en-US" w:eastAsia="zh-CN"/>
                    </w:rPr>
                    <w:t>车间东</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用于行政办公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75" w:type="pct"/>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719" w:type="pct"/>
                  <w:tcBorders>
                    <w:tl2br w:val="nil"/>
                    <w:tr2bl w:val="nil"/>
                  </w:tcBorders>
                  <w:noWrap w:val="0"/>
                  <w:vAlign w:val="center"/>
                </w:tcPr>
                <w:p>
                  <w:pPr>
                    <w:pStyle w:val="10"/>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切割工序、</w:t>
                  </w:r>
                  <w:r>
                    <w:rPr>
                      <w:rFonts w:hint="default" w:ascii="Times New Roman" w:hAnsi="Times New Roman" w:eastAsia="宋体" w:cs="Times New Roman"/>
                      <w:color w:val="auto"/>
                      <w:sz w:val="21"/>
                      <w:szCs w:val="21"/>
                      <w:lang w:eastAsia="zh-CN"/>
                    </w:rPr>
                    <w:t>喷丸工序</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lang w:eastAsia="zh-CN"/>
                    </w:rPr>
                    <w:t>抛丸工序产生的颗粒物由上方集气罩收入脉冲式布袋除尘器处理后由一根</w:t>
                  </w:r>
                  <w:r>
                    <w:rPr>
                      <w:rFonts w:hint="default" w:ascii="Times New Roman" w:hAnsi="Times New Roman" w:eastAsia="宋体" w:cs="Times New Roman"/>
                      <w:color w:val="auto"/>
                      <w:sz w:val="21"/>
                      <w:szCs w:val="21"/>
                      <w:lang w:val="en-US" w:eastAsia="zh-CN"/>
                    </w:rPr>
                    <w:t>15m高排气筒P1有组织排放；</w:t>
                  </w:r>
                  <w:r>
                    <w:rPr>
                      <w:rFonts w:hint="default" w:ascii="Times New Roman" w:hAnsi="Times New Roman" w:eastAsia="宋体" w:cs="Times New Roman"/>
                      <w:color w:val="auto"/>
                      <w:sz w:val="21"/>
                      <w:szCs w:val="21"/>
                      <w:lang w:eastAsia="zh-CN"/>
                    </w:rPr>
                    <w:t>涂搪</w:t>
                  </w:r>
                  <w:r>
                    <w:rPr>
                      <w:rFonts w:hint="default"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val="en-US"/>
                    </w:rPr>
                    <w:t>涂搪过程产生的粉尘，经涂搪间上方集气口收集</w:t>
                  </w:r>
                  <w:r>
                    <w:rPr>
                      <w:rFonts w:hint="default"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rPr>
                    <w:t>脉冲式布袋除尘器除尘后，</w:t>
                  </w:r>
                  <w:r>
                    <w:rPr>
                      <w:rFonts w:hint="default" w:ascii="Times New Roman" w:hAnsi="Times New Roman" w:eastAsia="宋体" w:cs="Times New Roman"/>
                      <w:color w:val="auto"/>
                      <w:sz w:val="21"/>
                      <w:szCs w:val="21"/>
                      <w:lang w:eastAsia="zh-CN"/>
                    </w:rPr>
                    <w:t>由一根</w:t>
                  </w:r>
                  <w:r>
                    <w:rPr>
                      <w:rFonts w:hint="default" w:ascii="Times New Roman" w:hAnsi="Times New Roman" w:eastAsia="宋体" w:cs="Times New Roman"/>
                      <w:color w:val="auto"/>
                      <w:sz w:val="21"/>
                      <w:szCs w:val="21"/>
                      <w:lang w:val="en-US" w:eastAsia="zh-CN"/>
                    </w:rPr>
                    <w:t>15m高排气筒P1有组织排放；</w:t>
                  </w:r>
                </w:p>
                <w:p>
                  <w:pPr>
                    <w:pStyle w:val="10"/>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焊烟经移动式焊烟净化器处理后无组织排放；无组织废气通过加强车间通风等措施降低对周边环境的影响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w:t>
                  </w:r>
                  <w:r>
                    <w:rPr>
                      <w:rFonts w:hint="default" w:ascii="Times New Roman" w:hAnsi="Times New Roman" w:eastAsia="宋体" w:cs="Times New Roman"/>
                      <w:color w:val="auto"/>
                      <w:sz w:val="21"/>
                      <w:szCs w:val="21"/>
                      <w:lang w:val="en-US" w:eastAsia="zh-CN"/>
                    </w:rPr>
                    <w:t>活</w:t>
                  </w:r>
                  <w:r>
                    <w:rPr>
                      <w:rFonts w:hint="default" w:ascii="Times New Roman" w:hAnsi="Times New Roman" w:eastAsia="宋体" w:cs="Times New Roman"/>
                      <w:color w:val="auto"/>
                      <w:sz w:val="21"/>
                      <w:szCs w:val="21"/>
                    </w:rPr>
                    <w:t>污水经化粪池暂存，用作周边农田农肥，不外排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75"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52" w:type="pct"/>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353"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钢材下脚料、废焊头</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焊渣、喷丸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抛丸</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涂搪工序</w:t>
                  </w:r>
                  <w:r>
                    <w:rPr>
                      <w:rFonts w:hint="default"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rPr>
                    <w:t>脉冲式布袋除尘器收尘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循环水池沉淀物收集后外售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生活垃圾分类收集</w:t>
                  </w:r>
                  <w:r>
                    <w:rPr>
                      <w:rFonts w:hint="default" w:ascii="Times New Roman" w:hAnsi="Times New Roman" w:eastAsia="宋体" w:cs="Times New Roman"/>
                      <w:color w:val="auto"/>
                      <w:sz w:val="21"/>
                      <w:szCs w:val="21"/>
                      <w:lang w:val="en-US" w:eastAsia="zh-CN"/>
                    </w:rPr>
                    <w:t>暂存于垃圾桶，</w:t>
                  </w:r>
                  <w:r>
                    <w:rPr>
                      <w:rFonts w:hint="default" w:ascii="Times New Roman" w:hAnsi="Times New Roman" w:eastAsia="宋体" w:cs="Times New Roman"/>
                      <w:color w:val="auto"/>
                      <w:sz w:val="21"/>
                      <w:szCs w:val="21"/>
                    </w:rPr>
                    <w:t>后委托区环卫部门清运处置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75"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52"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53"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含油废手套抹布属于全过程豁免的危险废物，收集后委托区环卫部门清运处置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废油桶、废机油、废液压油</w:t>
                  </w:r>
                  <w:r>
                    <w:rPr>
                      <w:rFonts w:hint="default" w:ascii="Times New Roman" w:hAnsi="Times New Roman" w:eastAsia="宋体" w:cs="Times New Roman"/>
                      <w:color w:val="auto"/>
                      <w:sz w:val="21"/>
                      <w:szCs w:val="21"/>
                    </w:rPr>
                    <w:t>委托有</w:t>
                  </w:r>
                  <w:r>
                    <w:rPr>
                      <w:rFonts w:hint="default" w:ascii="Times New Roman" w:hAnsi="Times New Roman" w:eastAsia="宋体" w:cs="Times New Roman"/>
                      <w:color w:val="auto"/>
                      <w:sz w:val="21"/>
                      <w:szCs w:val="21"/>
                      <w:lang w:val="en-US" w:eastAsia="zh-CN"/>
                    </w:rPr>
                    <w:t>危废</w:t>
                  </w:r>
                  <w:r>
                    <w:rPr>
                      <w:rFonts w:hint="default" w:ascii="Times New Roman" w:hAnsi="Times New Roman" w:eastAsia="宋体" w:cs="Times New Roman"/>
                      <w:color w:val="auto"/>
                      <w:sz w:val="21"/>
                      <w:szCs w:val="21"/>
                    </w:rPr>
                    <w:t>资质的单位处理处置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05" w:type="pct"/>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719" w:type="pc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设备</w:t>
                  </w:r>
                  <w:r>
                    <w:rPr>
                      <w:rFonts w:hint="default" w:ascii="Times New Roman" w:hAnsi="Times New Roman" w:eastAsia="宋体" w:cs="Times New Roman"/>
                      <w:color w:val="auto"/>
                      <w:kern w:val="0"/>
                      <w:sz w:val="21"/>
                      <w:szCs w:val="21"/>
                      <w:lang w:val="en-US" w:eastAsia="zh-CN"/>
                    </w:rPr>
                    <w:t>安</w:t>
                  </w:r>
                  <w:r>
                    <w:rPr>
                      <w:rFonts w:hint="default" w:ascii="Times New Roman" w:hAnsi="Times New Roman" w:eastAsia="宋体" w:cs="Times New Roman"/>
                      <w:color w:val="auto"/>
                      <w:kern w:val="0"/>
                      <w:sz w:val="21"/>
                      <w:szCs w:val="21"/>
                    </w:rPr>
                    <w:t>置在厂房内，安装时加防震垫，尽量远离厂界，安装隔声门窗，临界墙不设门窗</w:t>
                  </w:r>
                </w:p>
              </w:tc>
            </w:tr>
          </w:tbl>
          <w:p>
            <w:pPr>
              <w:pStyle w:val="2"/>
              <w:shd w:val="clea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生产规模及投资</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项目投资：该项目总投资为</w:t>
            </w:r>
            <w:r>
              <w:rPr>
                <w:rFonts w:hint="default" w:ascii="Times New Roman" w:hAnsi="Times New Roman" w:eastAsia="宋体" w:cs="Times New Roman"/>
                <w:color w:val="auto"/>
                <w:kern w:val="0"/>
                <w:sz w:val="24"/>
                <w:szCs w:val="24"/>
                <w:lang w:val="en-US" w:eastAsia="zh-CN"/>
              </w:rPr>
              <w:t>520</w:t>
            </w:r>
            <w:r>
              <w:rPr>
                <w:rFonts w:hint="default" w:ascii="Times New Roman" w:hAnsi="Times New Roman" w:eastAsia="宋体" w:cs="Times New Roman"/>
                <w:color w:val="auto"/>
                <w:kern w:val="0"/>
                <w:sz w:val="24"/>
                <w:szCs w:val="24"/>
              </w:rPr>
              <w:t>万元。</w:t>
            </w:r>
            <w:r>
              <w:rPr>
                <w:rFonts w:hint="default" w:ascii="Times New Roman" w:hAnsi="Times New Roman" w:eastAsia="宋体" w:cs="Times New Roman"/>
                <w:color w:val="auto"/>
                <w:kern w:val="0"/>
                <w:sz w:val="24"/>
                <w:szCs w:val="24"/>
                <w:lang w:eastAsia="zh-CN"/>
              </w:rPr>
              <w:t>产品一览表如下所示：</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2-2 </w:t>
            </w:r>
            <w:r>
              <w:rPr>
                <w:rFonts w:hint="default" w:ascii="Times New Roman" w:hAnsi="Times New Roman" w:eastAsia="宋体" w:cs="Times New Roman"/>
                <w:b/>
                <w:bCs/>
                <w:color w:val="auto"/>
                <w:kern w:val="0"/>
                <w:sz w:val="24"/>
                <w:szCs w:val="24"/>
              </w:rPr>
              <w:t>项目建设产品方案一览表</w:t>
            </w:r>
          </w:p>
          <w:tbl>
            <w:tblPr>
              <w:tblStyle w:val="22"/>
              <w:tblW w:w="488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1"/>
              <w:gridCol w:w="3575"/>
              <w:gridCol w:w="2012"/>
              <w:gridCol w:w="1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677" w:type="pct"/>
                  <w:tcBorders>
                    <w:tl2br w:val="nil"/>
                    <w:tr2bl w:val="nil"/>
                  </w:tcBorders>
                  <w:shd w:val="clear" w:color="auto" w:fill="auto"/>
                  <w:noWrap/>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en-US" w:eastAsia="zh-CN"/>
                    </w:rPr>
                    <w:t>序号</w:t>
                  </w:r>
                </w:p>
              </w:tc>
              <w:tc>
                <w:tcPr>
                  <w:tcW w:w="2179" w:type="pct"/>
                  <w:tcBorders>
                    <w:tl2br w:val="nil"/>
                    <w:tr2bl w:val="nil"/>
                  </w:tcBorders>
                  <w:shd w:val="clear" w:color="auto" w:fill="auto"/>
                  <w:noWrap/>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en-US" w:eastAsia="zh-CN"/>
                    </w:rPr>
                    <w:t>产品名称</w:t>
                  </w:r>
                </w:p>
              </w:tc>
              <w:tc>
                <w:tcPr>
                  <w:tcW w:w="1226" w:type="pct"/>
                  <w:tcBorders>
                    <w:tl2br w:val="nil"/>
                    <w:tr2bl w:val="nil"/>
                  </w:tcBorders>
                  <w:shd w:val="clear" w:color="auto" w:fill="auto"/>
                  <w:noWrap/>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en-US" w:eastAsia="zh-CN"/>
                    </w:rPr>
                    <w:t>年产量</w:t>
                  </w:r>
                </w:p>
              </w:tc>
              <w:tc>
                <w:tcPr>
                  <w:tcW w:w="916" w:type="pct"/>
                  <w:tcBorders>
                    <w:tl2br w:val="nil"/>
                    <w:tr2bl w:val="nil"/>
                  </w:tcBorders>
                  <w:shd w:val="clear" w:color="auto" w:fill="auto"/>
                  <w:noWrap/>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677"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179"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搅拌棒</w:t>
                  </w:r>
                </w:p>
              </w:tc>
              <w:tc>
                <w:tcPr>
                  <w:tcW w:w="1226"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4200件</w:t>
                  </w:r>
                </w:p>
              </w:tc>
              <w:tc>
                <w:tcPr>
                  <w:tcW w:w="916" w:type="pct"/>
                  <w:tcBorders>
                    <w:tl2br w:val="nil"/>
                    <w:tr2bl w:val="nil"/>
                  </w:tcBorders>
                  <w:shd w:val="clear" w:color="auto" w:fill="auto"/>
                  <w:noWrap/>
                  <w:vAlign w:val="center"/>
                </w:tcPr>
                <w:p>
                  <w:pPr>
                    <w:keepNext w:val="0"/>
                    <w:keepLines w:val="0"/>
                    <w:pageBreakBefore w:val="0"/>
                    <w:shd w:val="clear"/>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677"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179"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管</w:t>
                  </w:r>
                  <w:r>
                    <w:rPr>
                      <w:rFonts w:hint="eastAsia" w:cs="Times New Roman"/>
                      <w:i w:val="0"/>
                      <w:iCs w:val="0"/>
                      <w:color w:val="auto"/>
                      <w:kern w:val="0"/>
                      <w:sz w:val="21"/>
                      <w:szCs w:val="21"/>
                      <w:u w:val="none"/>
                      <w:lang w:val="en-US" w:eastAsia="zh-CN" w:bidi="ar"/>
                    </w:rPr>
                    <w:t>件</w:t>
                  </w:r>
                </w:p>
              </w:tc>
              <w:tc>
                <w:tcPr>
                  <w:tcW w:w="1226"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300件</w:t>
                  </w:r>
                </w:p>
              </w:tc>
              <w:tc>
                <w:tcPr>
                  <w:tcW w:w="916" w:type="pct"/>
                  <w:tcBorders>
                    <w:tl2br w:val="nil"/>
                    <w:tr2bl w:val="nil"/>
                  </w:tcBorders>
                  <w:shd w:val="clear" w:color="auto" w:fill="auto"/>
                  <w:noWrap/>
                  <w:vAlign w:val="center"/>
                </w:tcPr>
                <w:p>
                  <w:pPr>
                    <w:keepNext w:val="0"/>
                    <w:keepLines w:val="0"/>
                    <w:pageBreakBefore w:val="0"/>
                    <w:shd w:val="clear"/>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677"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179"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防腐罐</w:t>
                  </w:r>
                </w:p>
              </w:tc>
              <w:tc>
                <w:tcPr>
                  <w:tcW w:w="1226" w:type="pct"/>
                  <w:tcBorders>
                    <w:tl2br w:val="nil"/>
                    <w:tr2bl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500个</w:t>
                  </w:r>
                </w:p>
              </w:tc>
              <w:tc>
                <w:tcPr>
                  <w:tcW w:w="916" w:type="pct"/>
                  <w:tcBorders>
                    <w:tl2br w:val="nil"/>
                    <w:tr2bl w:val="nil"/>
                  </w:tcBorders>
                  <w:shd w:val="clear" w:color="auto" w:fill="auto"/>
                  <w:noWrap/>
                  <w:vAlign w:val="center"/>
                </w:tcPr>
                <w:p>
                  <w:pPr>
                    <w:keepNext w:val="0"/>
                    <w:keepLines w:val="0"/>
                    <w:pageBreakBefore w:val="0"/>
                    <w:shd w:val="clear"/>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r>
          </w:tbl>
          <w:p>
            <w:pPr>
              <w:keepNext w:val="0"/>
              <w:keepLines w:val="0"/>
              <w:pageBreakBefore w:val="0"/>
              <w:widowControl w:val="0"/>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4"/>
                <w:szCs w:val="24"/>
              </w:rPr>
              <w:t>、工作制度及劳动定员</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项目建成后职工定员</w:t>
            </w:r>
            <w:r>
              <w:rPr>
                <w:rFonts w:hint="default" w:ascii="Times New Roman" w:hAnsi="Times New Roman" w:eastAsia="宋体" w:cs="Times New Roman"/>
                <w:color w:val="auto"/>
                <w:kern w:val="0"/>
                <w:sz w:val="24"/>
                <w:szCs w:val="24"/>
                <w:lang w:val="en-US" w:eastAsia="zh-CN"/>
              </w:rPr>
              <w:t>20</w:t>
            </w:r>
            <w:r>
              <w:rPr>
                <w:rFonts w:hint="default" w:ascii="Times New Roman" w:hAnsi="Times New Roman" w:eastAsia="宋体" w:cs="Times New Roman"/>
                <w:color w:val="auto"/>
                <w:kern w:val="0"/>
                <w:sz w:val="24"/>
                <w:szCs w:val="24"/>
              </w:rPr>
              <w:t>人，</w:t>
            </w:r>
            <w:r>
              <w:rPr>
                <w:rFonts w:hint="default" w:ascii="Times New Roman" w:hAnsi="Times New Roman" w:eastAsia="宋体" w:cs="Times New Roman"/>
                <w:color w:val="auto"/>
                <w:kern w:val="0"/>
                <w:sz w:val="24"/>
                <w:szCs w:val="24"/>
                <w:lang w:val="en-US" w:eastAsia="zh-CN"/>
              </w:rPr>
              <w:t>采用常白班制，日工作8小时，年工作300天</w:t>
            </w:r>
            <w:r>
              <w:rPr>
                <w:rFonts w:hint="default" w:ascii="Times New Roman" w:hAnsi="Times New Roman" w:eastAsia="宋体" w:cs="Times New Roman"/>
                <w:color w:val="auto"/>
                <w:kern w:val="0"/>
                <w:sz w:val="24"/>
                <w:szCs w:val="24"/>
              </w:rPr>
              <w:t>。</w:t>
            </w:r>
          </w:p>
          <w:p>
            <w:pPr>
              <w:keepNext w:val="0"/>
              <w:keepLines w:val="0"/>
              <w:pageBreakBefore w:val="0"/>
              <w:widowControl w:val="0"/>
              <w:numPr>
                <w:ilvl w:val="0"/>
                <w:numId w:val="6"/>
              </w:numPr>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原辅材料及能源消耗</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项目具体原辅材料见下表。</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2-3 </w:t>
            </w:r>
            <w:r>
              <w:rPr>
                <w:rFonts w:hint="default" w:ascii="Times New Roman" w:hAnsi="Times New Roman" w:eastAsia="宋体" w:cs="Times New Roman"/>
                <w:b/>
                <w:bCs/>
                <w:color w:val="auto"/>
                <w:kern w:val="0"/>
                <w:sz w:val="24"/>
                <w:szCs w:val="24"/>
              </w:rPr>
              <w:t>项目主要原辅材料及能源消耗一览表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2319"/>
              <w:gridCol w:w="1678"/>
              <w:gridCol w:w="1667"/>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名称</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年耗量</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单位</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钢板</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钢管</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瓷釉粉</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钢丸</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机油</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0.1</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液压油</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2</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实芯焊丝</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.5</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12kg/罐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9</w:t>
                  </w:r>
                </w:p>
              </w:tc>
              <w:tc>
                <w:tcPr>
                  <w:tcW w:w="2319"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丙烷气</w:t>
                  </w:r>
                </w:p>
              </w:tc>
              <w:tc>
                <w:tcPr>
                  <w:tcW w:w="1678"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67"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169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2"/>
              <w:shd w:val="clear"/>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表2-</w:t>
            </w:r>
            <w:r>
              <w:rPr>
                <w:rFonts w:hint="default"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eastAsia="zh-CN"/>
              </w:rPr>
              <w:t>丙烷</w:t>
            </w:r>
            <w:r>
              <w:rPr>
                <w:rFonts w:hint="default" w:ascii="Times New Roman" w:hAnsi="Times New Roman" w:eastAsia="宋体" w:cs="Times New Roman"/>
                <w:b/>
                <w:bCs/>
                <w:color w:val="auto"/>
                <w:kern w:val="0"/>
                <w:sz w:val="24"/>
                <w:szCs w:val="24"/>
              </w:rPr>
              <w:t>理化特性一览表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206"/>
              <w:gridCol w:w="1134"/>
              <w:gridCol w:w="862"/>
              <w:gridCol w:w="577"/>
              <w:gridCol w:w="1569"/>
              <w:gridCol w:w="1591"/>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标识</w:t>
                  </w: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中文名称</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aps w:val="0"/>
                      <w:color w:val="auto"/>
                      <w:spacing w:val="0"/>
                      <w:sz w:val="21"/>
                      <w:szCs w:val="21"/>
                    </w:rPr>
                    <w:t>丙烷</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危险货物编号</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英文名称</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propane</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UN编号</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分子式</w:t>
                  </w:r>
                </w:p>
              </w:tc>
              <w:tc>
                <w:tcPr>
                  <w:tcW w:w="1319"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C</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vertAlign w:val="subscript"/>
                      <w:lang w:val="en-US" w:eastAsia="zh-CN"/>
                    </w:rPr>
                    <w:t>8</w:t>
                  </w:r>
                </w:p>
              </w:tc>
              <w:tc>
                <w:tcPr>
                  <w:tcW w:w="99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分子量</w:t>
                  </w:r>
                </w:p>
              </w:tc>
              <w:tc>
                <w:tcPr>
                  <w:tcW w:w="649"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44.1</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CAS号</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"http://www.ichemistry.cn/chemistry/74-98-6.htm" \t "http://www.ichemistry.cn/msds/_blank"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74-98-6</w:t>
                  </w:r>
                  <w:r>
                    <w:rPr>
                      <w:rFonts w:hint="default" w:ascii="Times New Roman" w:hAnsi="Times New Roman" w:eastAsia="宋体" w:cs="Times New Roman"/>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理化性质</w:t>
                  </w: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外观与性状</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无色气体、纯品无臭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熔点℃</w:t>
                  </w:r>
                </w:p>
              </w:tc>
              <w:tc>
                <w:tcPr>
                  <w:tcW w:w="1319"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-187.6</w:t>
                  </w:r>
                </w:p>
              </w:tc>
              <w:tc>
                <w:tcPr>
                  <w:tcW w:w="1640"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相对密度(水=1)</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0.58(-44.5℃)</w:t>
                  </w:r>
                </w:p>
              </w:tc>
              <w:tc>
                <w:tcPr>
                  <w:tcW w:w="1868"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相对密度(空气=1)</w:t>
                  </w:r>
                </w:p>
              </w:tc>
              <w:tc>
                <w:tcPr>
                  <w:tcW w:w="1104"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沸点℃</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-42.1</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饱和蒸汽压（kPa）</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53.32</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-55.6</w:t>
                  </w: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微溶于水，溶于乙醇、乙醚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毒性及健康危害</w:t>
                  </w: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侵入途径</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毒性</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aps w:val="0"/>
                      <w:color w:val="auto"/>
                      <w:spacing w:val="0"/>
                      <w:sz w:val="21"/>
                      <w:szCs w:val="21"/>
                    </w:rPr>
                    <w:t>属微毒类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健康危害</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本品有单纯性窒息及麻醉作用。人短暂接触 1％丙烷，不引起症状；10％以下的浓度，只引起轻度头晕；接触高浓度时可出现麻醉状态、意识丧失；极高浓度时可致窒息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急救方法</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燃烧爆炸危险性</w:t>
                  </w: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燃烧性</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易燃</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燃烧分解物</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闪点℃</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-104</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爆炸上限（v%）</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引燃温度℃</w:t>
                  </w:r>
                </w:p>
              </w:tc>
              <w:tc>
                <w:tcPr>
                  <w:tcW w:w="2959" w:type="dxa"/>
                  <w:gridSpan w:val="3"/>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450</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爆炸下限（v%）</w:t>
                  </w:r>
                </w:p>
              </w:tc>
              <w:tc>
                <w:tcPr>
                  <w:tcW w:w="2972"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危险特性</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易燃气体。与空气混合能形成爆炸性混合物，遇热源和明火有燃烧爆炸的危险。与氧化剂接触猛烈反应。气体比空气重，能在较低处扩散到相当远的地方，遇火源会着火回燃。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建规火险分级</w:t>
                  </w:r>
                </w:p>
              </w:tc>
              <w:tc>
                <w:tcPr>
                  <w:tcW w:w="1319"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甲</w:t>
                  </w:r>
                </w:p>
              </w:tc>
              <w:tc>
                <w:tcPr>
                  <w:tcW w:w="1640" w:type="dxa"/>
                  <w:gridSpan w:val="2"/>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稳定性</w:t>
                  </w:r>
                </w:p>
              </w:tc>
              <w:tc>
                <w:tcPr>
                  <w:tcW w:w="1841"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稳定</w:t>
                  </w:r>
                </w:p>
              </w:tc>
              <w:tc>
                <w:tcPr>
                  <w:tcW w:w="1868"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聚合危害</w:t>
                  </w:r>
                </w:p>
              </w:tc>
              <w:tc>
                <w:tcPr>
                  <w:tcW w:w="1104"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禁忌物</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储运条件与泄漏处理</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运条件：储存于阴凉、干燥、通风良好的不燃库房。仓温不宜超过30℃。远离火种、热源。防止阳光直射。应与氧气、压缩空气、卤素（氟、氯、溴）、氧化剂等分开存放。储存间内的照明、通风等设施应采用防爆型；罐储应有防火防爆技术措施。禁止使用易产生火花的机械设备和工具。槽车运送时要灌装适量，不可超压超量运输。搬运时轻装轻卸，防止钢瓶及附件破损。泄漏处理：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p>
              </w:tc>
              <w:tc>
                <w:tcPr>
                  <w:tcW w:w="1405" w:type="dxa"/>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灭火方法</w:t>
                  </w:r>
                </w:p>
              </w:tc>
              <w:tc>
                <w:tcPr>
                  <w:tcW w:w="7772" w:type="dxa"/>
                  <w:gridSpan w:val="6"/>
                  <w:tcBorders>
                    <w:tl2br w:val="nil"/>
                    <w:tr2bl w:val="nil"/>
                  </w:tcBorders>
                  <w:vAlign w:val="center"/>
                </w:tcPr>
                <w:p>
                  <w:pPr>
                    <w:pStyle w:val="36"/>
                    <w:keepNext w:val="0"/>
                    <w:keepLines w:val="0"/>
                    <w:pageBreakBefore w:val="0"/>
                    <w:widowControl w:val="0"/>
                    <w:shd w:val="clear"/>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切断气源。若不能立即切断气源，则不允许熄灭正在燃烧的气体，喷水冷却容器，可能的话将容器从火场移至空旷处。用雾状水、泡沫、二氧化碳灭火</w:t>
                  </w:r>
                </w:p>
              </w:tc>
            </w:tr>
          </w:tbl>
          <w:p>
            <w:pPr>
              <w:shd w:val="clear"/>
              <w:rPr>
                <w:rFonts w:hint="default" w:ascii="Times New Roman" w:hAnsi="Times New Roman" w:eastAsia="宋体" w:cs="Times New Roman"/>
                <w:color w:val="auto"/>
                <w:sz w:val="21"/>
                <w:szCs w:val="21"/>
              </w:rPr>
            </w:pP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5、主要生产设备</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2" w:firstLineChars="20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2-5 </w:t>
            </w:r>
            <w:r>
              <w:rPr>
                <w:rFonts w:hint="default" w:ascii="Times New Roman" w:hAnsi="Times New Roman" w:eastAsia="宋体" w:cs="Times New Roman"/>
                <w:b/>
                <w:bCs/>
                <w:color w:val="auto"/>
                <w:kern w:val="0"/>
                <w:sz w:val="24"/>
                <w:szCs w:val="24"/>
              </w:rPr>
              <w:t>项目主要生产设备一览表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633"/>
              <w:gridCol w:w="1010"/>
              <w:gridCol w:w="1010"/>
              <w:gridCol w:w="3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设备名称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单位</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数量</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型号规格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电炉</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电炉</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氩弧焊机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WS400G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逆变式弧焊机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MZ-1000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气体保护焊机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NBC-500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等离子切割机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LGK-100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车床</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车床</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CA6140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钻床</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Z3050×16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钻铣床</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Z×6350A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卷板机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折弯机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锁口机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喷丸机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抛丸清理室</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履带抛丸清理机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手持式磨光机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1</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螺杆式空气压缩机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EC7A-8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2</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螺杆式空气压缩机</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SL55F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3</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脉冲式布袋除尘器</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4</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脉冲式布袋除尘器</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263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移动式焊烟除尘器</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10" w:type="dxa"/>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07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6、公用工程</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6.1项目</w:t>
            </w:r>
            <w:r>
              <w:rPr>
                <w:rFonts w:hint="default" w:ascii="Times New Roman" w:hAnsi="Times New Roman" w:eastAsia="宋体" w:cs="Times New Roman"/>
                <w:color w:val="auto"/>
                <w:kern w:val="0"/>
                <w:sz w:val="24"/>
                <w:szCs w:val="24"/>
                <w:lang w:eastAsia="zh-CN"/>
              </w:rPr>
              <w:t>给排水</w:t>
            </w:r>
            <w:r>
              <w:rPr>
                <w:rFonts w:hint="default" w:ascii="Times New Roman" w:hAnsi="Times New Roman" w:eastAsia="宋体" w:cs="Times New Roman"/>
                <w:color w:val="auto"/>
                <w:kern w:val="0"/>
                <w:sz w:val="24"/>
                <w:szCs w:val="24"/>
              </w:rPr>
              <w:t>情况</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（1）给水</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该项目用水包括防腐罐试压用水、瓷釉粉调浆用水、职工生活用水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szCs w:val="24"/>
              </w:rPr>
              <w:t>均由</w:t>
            </w:r>
            <w:r>
              <w:rPr>
                <w:rFonts w:hint="default" w:ascii="Times New Roman" w:hAnsi="Times New Roman" w:eastAsia="宋体" w:cs="Times New Roman"/>
                <w:color w:val="auto"/>
                <w:sz w:val="24"/>
                <w:szCs w:val="24"/>
                <w:lang w:val="en-US" w:eastAsia="zh-CN"/>
              </w:rPr>
              <w:t>文昌湖区金山村自来水管网提</w:t>
            </w:r>
            <w:r>
              <w:rPr>
                <w:rFonts w:hint="default" w:ascii="Times New Roman" w:hAnsi="Times New Roman" w:eastAsia="宋体" w:cs="Times New Roman"/>
                <w:color w:val="auto"/>
                <w:sz w:val="24"/>
                <w:szCs w:val="24"/>
              </w:rPr>
              <w:t>供。</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1）厂区设有1个循环水池，防腐罐试压用水循环使用，定期补充，循环水量为4</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val="en-US" w:eastAsia="zh-CN"/>
              </w:rPr>
              <w:t>年循环水量为9600t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补水量按照循环水量2%计，年补水量为192</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2）瓷釉粉调浆用水与瓷釉粉用量的比例为1:5，根据建设单位提供资料，该项目瓷釉粉用量为10t/a，则瓷釉粉调浆年用水量为2t/a。</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3）该项目劳动定员20人，生活用水量按40L/d·人计，</w:t>
            </w:r>
            <w:r>
              <w:rPr>
                <w:rFonts w:hint="default" w:ascii="Times New Roman" w:hAnsi="Times New Roman" w:eastAsia="宋体" w:cs="Times New Roman"/>
                <w:color w:val="auto"/>
                <w:sz w:val="24"/>
                <w:szCs w:val="24"/>
                <w:lang w:val="en-US" w:eastAsia="zh-CN"/>
              </w:rPr>
              <w:t>年生产时间以300天计，</w:t>
            </w:r>
            <w:r>
              <w:rPr>
                <w:rFonts w:hint="default" w:ascii="Times New Roman" w:hAnsi="Times New Roman" w:eastAsia="宋体" w:cs="Times New Roman"/>
                <w:color w:val="auto"/>
                <w:sz w:val="24"/>
                <w:szCs w:val="24"/>
              </w:rPr>
              <w:t>职工日均生活用水量为0.8</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/d、年用水量为240</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因此，该项目年新鲜水用量为434</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（2）排水</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项目废水主要</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职工生活污水。</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项目试压废水循环使用，部分蒸发损耗，损耗量为192t/a</w:t>
            </w:r>
            <w:r>
              <w:rPr>
                <w:rFonts w:hint="default" w:ascii="Times New Roman" w:hAnsi="Times New Roman" w:eastAsia="宋体" w:cs="Times New Roman"/>
                <w:color w:val="auto"/>
                <w:sz w:val="24"/>
                <w:szCs w:val="24"/>
                <w:lang w:val="en-US" w:eastAsia="zh-CN"/>
              </w:rPr>
              <w:t>，其余经</w:t>
            </w:r>
            <w:r>
              <w:rPr>
                <w:rFonts w:hint="default" w:ascii="Times New Roman" w:hAnsi="Times New Roman" w:eastAsia="宋体" w:cs="Times New Roman"/>
                <w:color w:val="auto"/>
                <w:sz w:val="24"/>
                <w:szCs w:val="24"/>
              </w:rPr>
              <w:t>循环水池沉淀后回用，</w:t>
            </w:r>
            <w:r>
              <w:rPr>
                <w:rFonts w:hint="default" w:ascii="Times New Roman" w:hAnsi="Times New Roman" w:eastAsia="宋体" w:cs="Times New Roman"/>
                <w:color w:val="auto"/>
                <w:sz w:val="24"/>
                <w:szCs w:val="24"/>
                <w:lang w:val="en-US" w:eastAsia="zh-CN"/>
              </w:rPr>
              <w:t>不产生废水，无</w:t>
            </w:r>
            <w:r>
              <w:rPr>
                <w:rFonts w:hint="default" w:ascii="Times New Roman" w:hAnsi="Times New Roman" w:eastAsia="宋体" w:cs="Times New Roman"/>
                <w:color w:val="auto"/>
                <w:sz w:val="24"/>
                <w:szCs w:val="24"/>
              </w:rPr>
              <w:t>外排。</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生活污水的年产生量</w:t>
            </w:r>
            <w:r>
              <w:rPr>
                <w:rFonts w:hint="default" w:ascii="Times New Roman" w:hAnsi="Times New Roman" w:eastAsia="宋体" w:cs="Times New Roman"/>
                <w:color w:val="auto"/>
                <w:sz w:val="24"/>
                <w:szCs w:val="24"/>
                <w:lang w:val="en-US" w:eastAsia="zh-CN"/>
              </w:rPr>
              <w:t>以生活用水量的80%计，</w:t>
            </w:r>
            <w:r>
              <w:rPr>
                <w:rFonts w:hint="default" w:ascii="Times New Roman" w:hAnsi="Times New Roman" w:eastAsia="宋体" w:cs="Times New Roman"/>
                <w:color w:val="auto"/>
                <w:sz w:val="24"/>
                <w:szCs w:val="24"/>
              </w:rPr>
              <w:t>为192</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经化粪池处理后用作周边农田农肥</w:t>
            </w:r>
            <w:r>
              <w:rPr>
                <w:rFonts w:hint="default" w:ascii="Times New Roman" w:hAnsi="Times New Roman" w:eastAsia="宋体" w:cs="Times New Roman"/>
                <w:color w:val="auto"/>
                <w:sz w:val="24"/>
                <w:szCs w:val="24"/>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本项目用水平衡图如下：</w:t>
            </w:r>
            <w:r>
              <w:rPr>
                <w:rFonts w:hint="default" w:ascii="Times New Roman" w:hAnsi="Times New Roman" w:eastAsia="宋体" w:cs="Times New Roman"/>
                <w:color w:val="auto"/>
              </w:rPr>
              <w:drawing>
                <wp:inline distT="0" distB="0" distL="114300" distR="114300">
                  <wp:extent cx="5335905" cy="3310255"/>
                  <wp:effectExtent l="0" t="0" r="1714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335905" cy="3310255"/>
                          </a:xfrm>
                          <a:prstGeom prst="rect">
                            <a:avLst/>
                          </a:prstGeom>
                          <a:noFill/>
                          <a:ln>
                            <a:noFill/>
                          </a:ln>
                        </pic:spPr>
                      </pic:pic>
                    </a:graphicData>
                  </a:graphic>
                </wp:inline>
              </w:drawing>
            </w:r>
          </w:p>
          <w:p>
            <w:pPr>
              <w:pStyle w:val="2"/>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kern w:val="0"/>
                <w:sz w:val="24"/>
                <w:szCs w:val="24"/>
                <w:lang w:eastAsia="zh-CN"/>
              </w:rPr>
              <w:t>图</w:t>
            </w:r>
            <w:r>
              <w:rPr>
                <w:rFonts w:hint="default" w:ascii="Times New Roman" w:hAnsi="Times New Roman" w:eastAsia="宋体" w:cs="Times New Roman"/>
                <w:b/>
                <w:bCs/>
                <w:color w:val="auto"/>
                <w:kern w:val="0"/>
                <w:sz w:val="24"/>
                <w:szCs w:val="24"/>
                <w:lang w:val="en-US" w:eastAsia="zh-CN"/>
              </w:rPr>
              <w:t>2-1 项目用水平衡图（单位：t/a）</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6.3供电</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该项目厂区用电由附近电网接入，由市政供电部门统一供给，厂区设有1处配电室，配置1台容量250KVA变压器；该项目耗电量约为</w:t>
            </w:r>
            <w:r>
              <w:rPr>
                <w:rFonts w:hint="default" w:ascii="Times New Roman" w:hAnsi="Times New Roman" w:eastAsia="宋体" w:cs="Times New Roman"/>
                <w:color w:val="auto"/>
                <w:kern w:val="0"/>
                <w:sz w:val="24"/>
                <w:szCs w:val="24"/>
                <w:lang w:val="en-US" w:eastAsia="zh-CN"/>
              </w:rPr>
              <w:t>26.037</w:t>
            </w:r>
            <w:r>
              <w:rPr>
                <w:rFonts w:hint="default" w:ascii="Times New Roman" w:hAnsi="Times New Roman" w:eastAsia="宋体" w:cs="Times New Roman"/>
                <w:color w:val="auto"/>
                <w:kern w:val="0"/>
                <w:sz w:val="24"/>
                <w:szCs w:val="24"/>
              </w:rPr>
              <w:t>万</w:t>
            </w:r>
            <w:r>
              <w:rPr>
                <w:rFonts w:hint="default" w:ascii="Times New Roman" w:hAnsi="Times New Roman" w:eastAsia="宋体" w:cs="Times New Roman"/>
                <w:color w:val="auto"/>
                <w:spacing w:val="0"/>
                <w:position w:val="0"/>
                <w:sz w:val="24"/>
                <w:szCs w:val="24"/>
                <w:lang w:val="en-US" w:eastAsia="zh-CN"/>
              </w:rPr>
              <w:t>kW·h/a</w:t>
            </w:r>
            <w:r>
              <w:rPr>
                <w:rFonts w:hint="default" w:ascii="Times New Roman" w:hAnsi="Times New Roman" w:eastAsia="宋体" w:cs="Times New Roman"/>
                <w:color w:val="auto"/>
                <w:kern w:val="0"/>
                <w:sz w:val="24"/>
                <w:szCs w:val="24"/>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 xml:space="preserve">4 </w:t>
            </w:r>
            <w:r>
              <w:rPr>
                <w:rFonts w:hint="default" w:ascii="Times New Roman" w:hAnsi="Times New Roman" w:eastAsia="宋体" w:cs="Times New Roman"/>
                <w:color w:val="auto"/>
                <w:kern w:val="0"/>
                <w:sz w:val="24"/>
                <w:szCs w:val="24"/>
              </w:rPr>
              <w:t>供暖</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该项目生产车间无供暖设施，办公室冬季采用空调供暖。</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w:t>
            </w:r>
            <w:r>
              <w:rPr>
                <w:rFonts w:hint="default" w:ascii="Times New Roman" w:hAnsi="Times New Roman" w:eastAsia="宋体" w:cs="Times New Roman"/>
                <w:color w:val="auto"/>
                <w:kern w:val="0"/>
                <w:sz w:val="24"/>
                <w:szCs w:val="24"/>
                <w:lang w:val="en-US" w:eastAsia="zh-CN"/>
              </w:rPr>
              <w:t>厂区总</w:t>
            </w:r>
            <w:r>
              <w:rPr>
                <w:rFonts w:hint="default" w:ascii="Times New Roman" w:hAnsi="Times New Roman" w:eastAsia="宋体" w:cs="Times New Roman"/>
                <w:color w:val="auto"/>
                <w:kern w:val="0"/>
                <w:sz w:val="24"/>
                <w:szCs w:val="24"/>
              </w:rPr>
              <w:t>平面布置</w:t>
            </w:r>
          </w:p>
          <w:p>
            <w:pPr>
              <w:shd w:val="clea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公司</w:t>
            </w:r>
            <w:r>
              <w:rPr>
                <w:rFonts w:hint="default" w:ascii="Times New Roman" w:hAnsi="Times New Roman" w:eastAsia="宋体" w:cs="Times New Roman"/>
                <w:color w:val="auto"/>
                <w:sz w:val="24"/>
                <w:szCs w:val="24"/>
                <w:lang w:val="en-US" w:eastAsia="zh-CN"/>
              </w:rPr>
              <w:t>利用淄博新诚泰机械有限公司现有厂</w:t>
            </w:r>
            <w:r>
              <w:rPr>
                <w:rFonts w:hint="default" w:ascii="Times New Roman" w:hAnsi="Times New Roman" w:eastAsia="宋体" w:cs="Times New Roman"/>
                <w:color w:val="auto"/>
                <w:sz w:val="24"/>
                <w:szCs w:val="24"/>
              </w:rPr>
              <w:t>房建设本项目。生产车间内设</w:t>
            </w:r>
            <w:r>
              <w:rPr>
                <w:rFonts w:hint="default" w:ascii="Times New Roman" w:hAnsi="Times New Roman" w:eastAsia="宋体" w:cs="Times New Roman"/>
                <w:color w:val="auto"/>
                <w:sz w:val="24"/>
                <w:szCs w:val="24"/>
                <w:lang w:val="en-US" w:eastAsia="zh-CN"/>
              </w:rPr>
              <w:t>原材料</w:t>
            </w:r>
            <w:r>
              <w:rPr>
                <w:rFonts w:hint="default" w:ascii="Times New Roman" w:hAnsi="Times New Roman" w:eastAsia="宋体" w:cs="Times New Roman"/>
                <w:color w:val="auto"/>
                <w:sz w:val="24"/>
                <w:szCs w:val="24"/>
                <w:lang w:eastAsia="zh-CN"/>
              </w:rPr>
              <w:t>仓库</w:t>
            </w:r>
            <w:r>
              <w:rPr>
                <w:rFonts w:hint="default"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机加工</w:t>
            </w:r>
            <w:r>
              <w:rPr>
                <w:rFonts w:hint="default"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抛丸/喷丸区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固废/危废间、电炉</w:t>
            </w:r>
            <w:r>
              <w:rPr>
                <w:rFonts w:hint="default" w:ascii="Times New Roman" w:hAnsi="Times New Roman" w:eastAsia="宋体" w:cs="Times New Roman"/>
                <w:color w:val="auto"/>
                <w:sz w:val="24"/>
                <w:szCs w:val="24"/>
              </w:rPr>
              <w:t>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成品</w:t>
            </w:r>
            <w:r>
              <w:rPr>
                <w:rFonts w:hint="default" w:ascii="Times New Roman" w:hAnsi="Times New Roman" w:eastAsia="宋体" w:cs="Times New Roman"/>
                <w:color w:val="auto"/>
                <w:sz w:val="24"/>
                <w:szCs w:val="24"/>
                <w:lang w:eastAsia="zh-CN"/>
              </w:rPr>
              <w:t>区</w:t>
            </w:r>
            <w:r>
              <w:rPr>
                <w:rFonts w:hint="default" w:ascii="Times New Roman" w:hAnsi="Times New Roman" w:eastAsia="宋体" w:cs="Times New Roman"/>
                <w:color w:val="auto"/>
                <w:sz w:val="24"/>
                <w:szCs w:val="24"/>
                <w:lang w:val="en-US" w:eastAsia="zh-CN"/>
              </w:rPr>
              <w:t>和办公区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机加工</w:t>
            </w:r>
            <w:r>
              <w:rPr>
                <w:rFonts w:hint="default" w:ascii="Times New Roman" w:hAnsi="Times New Roman" w:eastAsia="宋体" w:cs="Times New Roman"/>
                <w:color w:val="auto"/>
                <w:sz w:val="24"/>
                <w:szCs w:val="24"/>
              </w:rPr>
              <w:t>区、</w:t>
            </w:r>
            <w:r>
              <w:rPr>
                <w:rFonts w:hint="default" w:ascii="Times New Roman" w:hAnsi="Times New Roman" w:eastAsia="宋体" w:cs="Times New Roman"/>
                <w:color w:val="auto"/>
                <w:sz w:val="24"/>
                <w:szCs w:val="24"/>
                <w:lang w:val="en-US" w:eastAsia="zh-CN"/>
              </w:rPr>
              <w:t>喷丸/抛丸</w:t>
            </w:r>
            <w:r>
              <w:rPr>
                <w:rFonts w:hint="default" w:ascii="Times New Roman" w:hAnsi="Times New Roman" w:eastAsia="宋体" w:cs="Times New Roman"/>
                <w:color w:val="auto"/>
                <w:sz w:val="24"/>
                <w:szCs w:val="24"/>
                <w:lang w:eastAsia="zh-CN"/>
              </w:rPr>
              <w:t>区、</w:t>
            </w:r>
            <w:r>
              <w:rPr>
                <w:rFonts w:hint="default" w:ascii="Times New Roman" w:hAnsi="Times New Roman" w:eastAsia="宋体" w:cs="Times New Roman"/>
                <w:color w:val="auto"/>
                <w:sz w:val="24"/>
                <w:szCs w:val="24"/>
                <w:lang w:val="en-US" w:eastAsia="zh-CN"/>
              </w:rPr>
              <w:t>涂搪</w:t>
            </w:r>
            <w:r>
              <w:rPr>
                <w:rFonts w:hint="default" w:ascii="Times New Roman" w:hAnsi="Times New Roman" w:eastAsia="宋体" w:cs="Times New Roman"/>
                <w:color w:val="auto"/>
                <w:sz w:val="24"/>
                <w:szCs w:val="24"/>
              </w:rPr>
              <w:t>区</w:t>
            </w:r>
            <w:r>
              <w:rPr>
                <w:rFonts w:hint="default" w:ascii="Times New Roman" w:hAnsi="Times New Roman" w:eastAsia="宋体" w:cs="Times New Roman"/>
                <w:color w:val="auto"/>
                <w:sz w:val="24"/>
                <w:szCs w:val="24"/>
                <w:lang w:eastAsia="zh-CN"/>
              </w:rPr>
              <w:t>位于车间西</w:t>
            </w:r>
            <w:r>
              <w:rPr>
                <w:rFonts w:hint="default"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eastAsia="zh-CN"/>
              </w:rPr>
              <w:t>部，</w:t>
            </w:r>
            <w:r>
              <w:rPr>
                <w:rFonts w:hint="default" w:ascii="Times New Roman" w:hAnsi="Times New Roman" w:eastAsia="宋体" w:cs="Times New Roman"/>
                <w:color w:val="auto"/>
                <w:sz w:val="24"/>
                <w:szCs w:val="24"/>
                <w:lang w:val="en-US" w:eastAsia="zh-CN"/>
              </w:rPr>
              <w:t>原材料</w:t>
            </w:r>
            <w:r>
              <w:rPr>
                <w:rFonts w:hint="default" w:ascii="Times New Roman" w:hAnsi="Times New Roman" w:eastAsia="宋体" w:cs="Times New Roman"/>
                <w:color w:val="auto"/>
                <w:sz w:val="24"/>
                <w:szCs w:val="24"/>
                <w:lang w:eastAsia="zh-CN"/>
              </w:rPr>
              <w:t>仓库</w:t>
            </w:r>
            <w:r>
              <w:rPr>
                <w:rFonts w:hint="default" w:ascii="Times New Roman" w:hAnsi="Times New Roman" w:eastAsia="宋体" w:cs="Times New Roman"/>
                <w:color w:val="auto"/>
                <w:sz w:val="24"/>
                <w:szCs w:val="24"/>
                <w:lang w:val="en-US" w:eastAsia="zh-CN"/>
              </w:rPr>
              <w:t>和电炉区位于车间中北部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成品区位于车间中南部，</w:t>
            </w:r>
            <w:r>
              <w:rPr>
                <w:rFonts w:hint="default" w:ascii="Times New Roman" w:hAnsi="Times New Roman" w:eastAsia="宋体" w:cs="Times New Roman"/>
                <w:color w:val="auto"/>
                <w:sz w:val="24"/>
                <w:szCs w:val="24"/>
              </w:rPr>
              <w:t>便于物料</w:t>
            </w:r>
            <w:r>
              <w:rPr>
                <w:rFonts w:hint="default" w:ascii="Times New Roman" w:hAnsi="Times New Roman" w:eastAsia="宋体" w:cs="Times New Roman"/>
                <w:color w:val="auto"/>
                <w:sz w:val="24"/>
                <w:szCs w:val="24"/>
                <w:lang w:val="en-US" w:eastAsia="zh-CN"/>
              </w:rPr>
              <w:t>及产品的</w:t>
            </w:r>
            <w:r>
              <w:rPr>
                <w:rFonts w:hint="default" w:ascii="Times New Roman" w:hAnsi="Times New Roman" w:eastAsia="宋体" w:cs="Times New Roman"/>
                <w:color w:val="auto"/>
                <w:sz w:val="24"/>
                <w:szCs w:val="24"/>
              </w:rPr>
              <w:t>运输</w:t>
            </w:r>
            <w:r>
              <w:rPr>
                <w:rFonts w:hint="default" w:ascii="Times New Roman" w:hAnsi="Times New Roman" w:eastAsia="宋体" w:cs="Times New Roman"/>
                <w:color w:val="auto"/>
                <w:sz w:val="24"/>
                <w:szCs w:val="24"/>
                <w:lang w:val="en-US" w:eastAsia="zh-CN"/>
              </w:rPr>
              <w:t>存放</w:t>
            </w:r>
            <w:r>
              <w:rPr>
                <w:rFonts w:hint="default" w:ascii="Times New Roman" w:hAnsi="Times New Roman" w:eastAsia="宋体" w:cs="Times New Roman"/>
                <w:color w:val="auto"/>
                <w:sz w:val="24"/>
                <w:szCs w:val="24"/>
                <w:lang w:eastAsia="zh-CN"/>
              </w:rPr>
              <w:t>，办公区位于车间东部</w:t>
            </w:r>
            <w:r>
              <w:rPr>
                <w:rFonts w:hint="default" w:ascii="Times New Roman" w:hAnsi="Times New Roman" w:eastAsia="宋体" w:cs="Times New Roman"/>
                <w:color w:val="auto"/>
                <w:sz w:val="24"/>
                <w:szCs w:val="24"/>
              </w:rPr>
              <w:t>。厂区平面布置功能分区明确，管线布置合理，平面布置符合要求。</w:t>
            </w:r>
          </w:p>
          <w:p>
            <w:pPr>
              <w:shd w:val="clear"/>
              <w:autoSpaceDE w:val="0"/>
              <w:autoSpaceDN w:val="0"/>
              <w:spacing w:line="360" w:lineRule="auto"/>
              <w:ind w:firstLine="48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厂址所在地地势平坦，交通发达，运输方便，配有较为完善的供电、供水、排水、通讯等基础设施。</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8、环保投资与建设内容</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本项目总投资520万元，</w:t>
            </w:r>
            <w:r>
              <w:rPr>
                <w:rFonts w:hint="default" w:ascii="Times New Roman" w:hAnsi="Times New Roman" w:eastAsia="宋体" w:cs="Times New Roman"/>
                <w:color w:val="auto"/>
                <w:sz w:val="24"/>
                <w:szCs w:val="24"/>
              </w:rPr>
              <w:t>环保投资</w:t>
            </w:r>
            <w:r>
              <w:rPr>
                <w:rFonts w:hint="default"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.0万元，占</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总投资的</w:t>
            </w:r>
            <w:r>
              <w:rPr>
                <w:rFonts w:hint="default" w:ascii="Times New Roman" w:hAnsi="Times New Roman" w:eastAsia="宋体" w:cs="Times New Roman"/>
                <w:color w:val="auto"/>
                <w:sz w:val="24"/>
                <w:szCs w:val="24"/>
                <w:lang w:val="en-US" w:eastAsia="zh-CN"/>
              </w:rPr>
              <w:t>7.69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具体明细见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pPr>
              <w:shd w:val="clear"/>
              <w:autoSpaceDE w:val="0"/>
              <w:autoSpaceDN w:val="0"/>
              <w:spacing w:line="360" w:lineRule="auto"/>
              <w:jc w:val="center"/>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表</w:t>
            </w:r>
            <w:r>
              <w:rPr>
                <w:rFonts w:hint="default" w:ascii="Times New Roman" w:hAnsi="Times New Roman" w:eastAsia="宋体" w:cs="Times New Roman"/>
                <w:b/>
                <w:bCs w:val="0"/>
                <w:color w:val="auto"/>
                <w:kern w:val="0"/>
                <w:sz w:val="24"/>
                <w:szCs w:val="24"/>
                <w:lang w:val="en-US" w:eastAsia="zh-CN"/>
              </w:rPr>
              <w:t>2-6</w:t>
            </w:r>
            <w:r>
              <w:rPr>
                <w:rFonts w:hint="default" w:ascii="Times New Roman" w:hAnsi="Times New Roman" w:eastAsia="宋体" w:cs="Times New Roman"/>
                <w:b/>
                <w:bCs w:val="0"/>
                <w:color w:val="auto"/>
                <w:kern w:val="0"/>
                <w:sz w:val="24"/>
                <w:szCs w:val="24"/>
              </w:rPr>
              <w:t xml:space="preserve"> 环保投资表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53"/>
              <w:gridCol w:w="2786"/>
              <w:gridCol w:w="1682"/>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污染</w:t>
                  </w: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治理措施</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投资（万元）</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三同时进度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脉冲式</w:t>
                  </w:r>
                  <w:r>
                    <w:rPr>
                      <w:rFonts w:hint="default" w:ascii="Times New Roman" w:hAnsi="Times New Roman" w:eastAsia="宋体" w:cs="Times New Roman"/>
                      <w:color w:val="auto"/>
                      <w:kern w:val="0"/>
                      <w:sz w:val="21"/>
                      <w:szCs w:val="21"/>
                    </w:rPr>
                    <w:t>布袋除尘器、移动式焊烟除尘器</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29</w:t>
                  </w:r>
                </w:p>
              </w:tc>
              <w:tc>
                <w:tcPr>
                  <w:tcW w:w="1682"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与建设项目同时设计、同时施工、同时投产使用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sz w:val="21"/>
                      <w:szCs w:val="21"/>
                      <w:lang w:eastAsia="zh-CN"/>
                    </w:rPr>
                    <w:t>设置一般固废暂存间及危废间</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2</w:t>
                  </w:r>
                </w:p>
              </w:tc>
              <w:tc>
                <w:tcPr>
                  <w:tcW w:w="1682"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厂房</w:t>
                  </w:r>
                  <w:r>
                    <w:rPr>
                      <w:rFonts w:hint="default" w:ascii="Times New Roman" w:hAnsi="Times New Roman" w:eastAsia="宋体" w:cs="Times New Roman"/>
                      <w:color w:val="auto"/>
                      <w:kern w:val="0"/>
                      <w:sz w:val="21"/>
                      <w:szCs w:val="21"/>
                    </w:rPr>
                    <w:t>隔声、</w:t>
                  </w:r>
                  <w:r>
                    <w:rPr>
                      <w:rFonts w:hint="default" w:ascii="Times New Roman" w:hAnsi="Times New Roman" w:eastAsia="宋体" w:cs="Times New Roman"/>
                      <w:color w:val="auto"/>
                      <w:kern w:val="0"/>
                      <w:sz w:val="21"/>
                      <w:szCs w:val="21"/>
                      <w:lang w:val="en-US" w:eastAsia="zh-CN"/>
                    </w:rPr>
                    <w:t>设备</w:t>
                  </w:r>
                  <w:r>
                    <w:rPr>
                      <w:rFonts w:hint="default" w:ascii="Times New Roman" w:hAnsi="Times New Roman" w:eastAsia="宋体" w:cs="Times New Roman"/>
                      <w:color w:val="auto"/>
                      <w:kern w:val="0"/>
                      <w:sz w:val="21"/>
                      <w:szCs w:val="21"/>
                    </w:rPr>
                    <w:t>减振</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5</w:t>
                  </w:r>
                </w:p>
              </w:tc>
              <w:tc>
                <w:tcPr>
                  <w:tcW w:w="1682"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污水</w:t>
                  </w: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化粪池</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1682"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合计</w:t>
                  </w:r>
                </w:p>
              </w:tc>
              <w:tc>
                <w:tcPr>
                  <w:tcW w:w="13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p>
              </w:tc>
              <w:tc>
                <w:tcPr>
                  <w:tcW w:w="278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40</w:t>
                  </w:r>
                </w:p>
              </w:tc>
              <w:tc>
                <w:tcPr>
                  <w:tcW w:w="168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p>
              </w:tc>
            </w:tr>
          </w:tbl>
          <w:p>
            <w:pPr>
              <w:pStyle w:val="2"/>
              <w:keepNext w:val="0"/>
              <w:keepLines w:val="0"/>
              <w:pageBreakBefore w:val="0"/>
              <w:widowControl w:val="0"/>
              <w:shd w:val="clear"/>
              <w:kinsoku/>
              <w:wordWrap/>
              <w:overflowPunct/>
              <w:topLinePunct w:val="0"/>
              <w:bidi w:val="0"/>
              <w:spacing w:after="0"/>
              <w:ind w:left="0" w:leftChars="0" w:firstLine="0" w:firstLineChars="0"/>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dxa"/>
            <w:tcBorders>
              <w:tl2br w:val="nil"/>
              <w:tr2bl w:val="nil"/>
            </w:tcBorders>
            <w:noWrap w:val="0"/>
            <w:vAlign w:val="center"/>
          </w:tcPr>
          <w:p>
            <w:pPr>
              <w:pStyle w:val="21"/>
              <w:keepNext w:val="0"/>
              <w:keepLines w:val="0"/>
              <w:pageBreakBefore w:val="0"/>
              <w:widowControl w:val="0"/>
              <w:shd w:val="clear"/>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w:t>
            </w:r>
            <w:r>
              <w:rPr>
                <w:rFonts w:hint="default" w:ascii="Times New Roman" w:hAnsi="Times New Roman" w:eastAsia="宋体" w:cs="Times New Roman"/>
                <w:color w:val="auto"/>
                <w:sz w:val="24"/>
                <w:szCs w:val="24"/>
                <w:lang w:val="en-US" w:eastAsia="zh-CN"/>
              </w:rPr>
              <w:t>污</w:t>
            </w:r>
            <w:r>
              <w:rPr>
                <w:rFonts w:hint="default" w:ascii="Times New Roman" w:hAnsi="Times New Roman" w:eastAsia="宋体" w:cs="Times New Roman"/>
                <w:color w:val="auto"/>
                <w:sz w:val="24"/>
                <w:szCs w:val="24"/>
              </w:rPr>
              <w:t>环节</w:t>
            </w:r>
          </w:p>
          <w:p>
            <w:pPr>
              <w:pStyle w:val="21"/>
              <w:keepNext w:val="0"/>
              <w:keepLines w:val="0"/>
              <w:pageBreakBefore w:val="0"/>
              <w:widowControl w:val="0"/>
              <w:shd w:val="clear"/>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rPr>
            </w:pPr>
          </w:p>
        </w:tc>
        <w:tc>
          <w:tcPr>
            <w:tcW w:w="8623" w:type="dxa"/>
            <w:tcBorders>
              <w:tl2br w:val="nil"/>
              <w:tr2bl w:val="nil"/>
            </w:tcBorders>
            <w:noWrap w:val="0"/>
            <w:vAlign w:val="top"/>
          </w:tcPr>
          <w:p>
            <w:pPr>
              <w:keepNext w:val="0"/>
              <w:keepLines w:val="0"/>
              <w:pageBreakBefore w:val="0"/>
              <w:widowControl w:val="0"/>
              <w:numPr>
                <w:ilvl w:val="0"/>
                <w:numId w:val="7"/>
              </w:numPr>
              <w:shd w:val="clear"/>
              <w:kinsoku/>
              <w:wordWrap/>
              <w:overflowPunct/>
              <w:topLinePunct w:val="0"/>
              <w:bidi w:val="0"/>
              <w:adjustRightInd w:val="0"/>
              <w:snapToGrid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施工期</w:t>
            </w:r>
          </w:p>
          <w:p>
            <w:pPr>
              <w:keepNext w:val="0"/>
              <w:keepLines w:val="0"/>
              <w:pageBreakBefore w:val="0"/>
              <w:widowControl w:val="0"/>
              <w:shd w:val="clea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本项目在现有厂房内施工，施工期仅为简单的设备安装，无土建工程，</w:t>
            </w:r>
            <w:r>
              <w:rPr>
                <w:rFonts w:hint="default" w:ascii="Times New Roman" w:hAnsi="Times New Roman" w:eastAsia="宋体" w:cs="Times New Roman"/>
                <w:color w:val="auto"/>
                <w:sz w:val="24"/>
                <w:szCs w:val="24"/>
              </w:rPr>
              <w:t>因此本次环评不对施工期环境影响进行分析评价</w:t>
            </w:r>
            <w:r>
              <w:rPr>
                <w:rFonts w:hint="default" w:ascii="Times New Roman" w:hAnsi="Times New Roman" w:eastAsia="宋体" w:cs="Times New Roman"/>
                <w:color w:val="auto"/>
                <w:sz w:val="24"/>
                <w:szCs w:val="24"/>
                <w:lang w:val="en-US" w:eastAsia="zh-CN"/>
              </w:rPr>
              <w:t>。</w:t>
            </w:r>
          </w:p>
          <w:p>
            <w:pPr>
              <w:pStyle w:val="2"/>
              <w:keepNext w:val="0"/>
              <w:keepLines w:val="0"/>
              <w:pageBreakBefore w:val="0"/>
              <w:widowControl w:val="0"/>
              <w:numPr>
                <w:ilvl w:val="0"/>
                <w:numId w:val="7"/>
              </w:numPr>
              <w:shd w:val="clear"/>
              <w:kinsoku/>
              <w:wordWrap/>
              <w:overflowPunct/>
              <w:topLinePunct w:val="0"/>
              <w:bidi w:val="0"/>
              <w:ind w:left="0" w:leftChars="0"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营运期</w:t>
            </w:r>
          </w:p>
          <w:p>
            <w:pPr>
              <w:keepNext w:val="0"/>
              <w:keepLines w:val="0"/>
              <w:pageBreakBefore w:val="0"/>
              <w:widowControl w:val="0"/>
              <w:numPr>
                <w:ilvl w:val="0"/>
                <w:numId w:val="8"/>
              </w:numPr>
              <w:shd w:val="clear"/>
              <w:kinsoku/>
              <w:wordWrap/>
              <w:overflowPunct/>
              <w:topLinePunct w:val="0"/>
              <w:bidi w:val="0"/>
              <w:adjustRightInd w:val="0"/>
              <w:snapToGrid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工艺流程</w:t>
            </w:r>
          </w:p>
          <w:p>
            <w:pPr>
              <w:keepNext w:val="0"/>
              <w:keepLines w:val="0"/>
              <w:pageBreakBefore w:val="0"/>
              <w:widowControl w:val="0"/>
              <w:shd w:val="clear"/>
              <w:kinsoku/>
              <w:wordWrap/>
              <w:overflowPunct/>
              <w:topLinePunct w:val="0"/>
              <w:bidi w:val="0"/>
              <w:adjustRightInd w:val="0"/>
              <w:snapToGrid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rPr>
              <w:drawing>
                <wp:inline distT="0" distB="0" distL="114300" distR="114300">
                  <wp:extent cx="5379720" cy="2204720"/>
                  <wp:effectExtent l="0" t="0" r="11430"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5379720" cy="220472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bidi w:val="0"/>
              <w:adjustRightInd w:val="0"/>
              <w:snapToGrid w:val="0"/>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rPr>
              <w:t>生产工艺及产污环节图</w:t>
            </w:r>
          </w:p>
          <w:p>
            <w:pPr>
              <w:shd w:val="clea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具体工艺如下：</w:t>
            </w:r>
          </w:p>
          <w:p>
            <w:pPr>
              <w:shd w:val="clea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（1）前处理</w:t>
            </w:r>
          </w:p>
          <w:p>
            <w:pPr>
              <w:shd w:val="clea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外购的钢材、钢管首先经过切割、下料、锁口、折弯等工序加工成所需的搅拌棒配件或者经下料、卷板等工序加工成所需的管线、防腐罐配件，此工序产生一定量的切割粉尘、</w:t>
            </w:r>
            <w:r>
              <w:rPr>
                <w:rFonts w:hint="default" w:ascii="Times New Roman" w:hAnsi="Times New Roman" w:eastAsia="宋体" w:cs="Times New Roman"/>
                <w:color w:val="auto"/>
                <w:sz w:val="24"/>
                <w:szCs w:val="24"/>
                <w:lang w:val="en-US" w:eastAsia="zh-CN"/>
              </w:rPr>
              <w:t>钢材下脚料、</w:t>
            </w:r>
            <w:r>
              <w:rPr>
                <w:rFonts w:hint="default" w:ascii="Times New Roman" w:hAnsi="Times New Roman" w:eastAsia="宋体" w:cs="Times New Roman"/>
                <w:color w:val="auto"/>
                <w:sz w:val="24"/>
                <w:szCs w:val="24"/>
              </w:rPr>
              <w:t>废液压油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含油废手套抹布和噪声。</w:t>
            </w:r>
          </w:p>
          <w:p>
            <w:pPr>
              <w:shd w:val="clea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（2）焊接</w:t>
            </w:r>
          </w:p>
          <w:p>
            <w:pPr>
              <w:shd w:val="clea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将前处理后的各配件组对，进行焊接，加工成搅拌棒、管线或者防腐罐，此工序产生一定量的焊</w:t>
            </w:r>
            <w:r>
              <w:rPr>
                <w:rFonts w:hint="default" w:ascii="Times New Roman" w:hAnsi="Times New Roman" w:eastAsia="宋体" w:cs="Times New Roman"/>
                <w:bCs/>
                <w:color w:val="auto"/>
                <w:sz w:val="24"/>
                <w:szCs w:val="24"/>
                <w:lang w:val="en-US" w:eastAsia="zh-CN"/>
              </w:rPr>
              <w:t>接烟尘</w:t>
            </w:r>
            <w:r>
              <w:rPr>
                <w:rFonts w:hint="default" w:ascii="Times New Roman" w:hAnsi="Times New Roman" w:eastAsia="宋体" w:cs="Times New Roman"/>
                <w:bCs/>
                <w:color w:val="auto"/>
                <w:sz w:val="24"/>
                <w:szCs w:val="24"/>
              </w:rPr>
              <w:t>、废焊</w:t>
            </w:r>
            <w:r>
              <w:rPr>
                <w:rFonts w:hint="default" w:ascii="Times New Roman" w:hAnsi="Times New Roman" w:eastAsia="宋体" w:cs="Times New Roman"/>
                <w:bCs/>
                <w:color w:val="auto"/>
                <w:sz w:val="24"/>
                <w:szCs w:val="24"/>
                <w:lang w:val="en-US" w:eastAsia="zh-CN"/>
              </w:rPr>
              <w:t>头</w:t>
            </w:r>
            <w:r>
              <w:rPr>
                <w:rFonts w:hint="default" w:ascii="Times New Roman" w:hAnsi="Times New Roman" w:eastAsia="宋体" w:cs="Times New Roman"/>
                <w:bCs/>
                <w:color w:val="auto"/>
                <w:sz w:val="24"/>
                <w:szCs w:val="24"/>
              </w:rPr>
              <w:t>和焊渣以及噪声。</w:t>
            </w:r>
          </w:p>
          <w:p>
            <w:pPr>
              <w:shd w:val="clea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（3）喷丸/抛丸</w:t>
            </w:r>
          </w:p>
          <w:p>
            <w:pPr>
              <w:shd w:val="clea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焊接后的搅拌棒、管线或者防腐罐通过喷丸/抛丸工序进行表面清理。</w:t>
            </w:r>
            <w:r>
              <w:rPr>
                <w:rFonts w:hint="default" w:ascii="Times New Roman" w:hAnsi="Times New Roman" w:eastAsia="宋体" w:cs="Times New Roman"/>
                <w:bCs/>
                <w:color w:val="auto"/>
                <w:sz w:val="24"/>
                <w:szCs w:val="24"/>
                <w:lang w:eastAsia="zh-CN"/>
              </w:rPr>
              <w:t>此工序产生一定量的抛丸</w:t>
            </w:r>
            <w:r>
              <w:rPr>
                <w:rFonts w:hint="default" w:ascii="Times New Roman" w:hAnsi="Times New Roman" w:eastAsia="宋体" w:cs="Times New Roman"/>
                <w:bCs/>
                <w:color w:val="auto"/>
                <w:sz w:val="24"/>
                <w:szCs w:val="24"/>
                <w:lang w:val="en-US" w:eastAsia="zh-CN"/>
              </w:rPr>
              <w:t>喷丸</w:t>
            </w:r>
            <w:r>
              <w:rPr>
                <w:rFonts w:hint="default" w:ascii="Times New Roman" w:hAnsi="Times New Roman" w:eastAsia="宋体" w:cs="Times New Roman"/>
                <w:bCs/>
                <w:color w:val="auto"/>
                <w:sz w:val="24"/>
                <w:szCs w:val="24"/>
                <w:lang w:eastAsia="zh-CN"/>
              </w:rPr>
              <w:t>粉尘和噪声</w:t>
            </w:r>
            <w:r>
              <w:rPr>
                <w:rFonts w:hint="default" w:ascii="Times New Roman" w:hAnsi="Times New Roman" w:eastAsia="宋体" w:cs="Times New Roman"/>
                <w:bCs/>
                <w:color w:val="auto"/>
                <w:sz w:val="24"/>
                <w:szCs w:val="24"/>
              </w:rPr>
              <w:t>。</w:t>
            </w:r>
          </w:p>
          <w:p>
            <w:pPr>
              <w:shd w:val="clea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rPr>
              <w:t>）涂搪</w:t>
            </w:r>
          </w:p>
          <w:p>
            <w:pPr>
              <w:shd w:val="clea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在外购的瓷釉粉中加入水，进行调浆。使用压缩空气为动力，利用喷枪将搪瓷浆水喷出，使浆水均匀附着在搅拌棒外部或者管线、防腐罐内部。</w:t>
            </w:r>
            <w:r>
              <w:rPr>
                <w:rFonts w:hint="default" w:ascii="Times New Roman" w:hAnsi="Times New Roman" w:eastAsia="宋体" w:cs="Times New Roman"/>
                <w:bCs/>
                <w:color w:val="auto"/>
                <w:sz w:val="24"/>
                <w:szCs w:val="24"/>
                <w:lang w:val="en-US" w:eastAsia="zh-CN"/>
              </w:rPr>
              <w:t>此工序产生一定量的涂搪粉尘，除尘器收尘和噪声</w:t>
            </w:r>
            <w:r>
              <w:rPr>
                <w:rFonts w:hint="default" w:ascii="Times New Roman" w:hAnsi="Times New Roman" w:eastAsia="宋体" w:cs="Times New Roman"/>
                <w:bCs/>
                <w:color w:val="auto"/>
                <w:sz w:val="24"/>
                <w:szCs w:val="24"/>
              </w:rPr>
              <w:t>。</w:t>
            </w:r>
          </w:p>
          <w:p>
            <w:pPr>
              <w:shd w:val="clea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（6）焙烧</w:t>
            </w:r>
          </w:p>
          <w:p>
            <w:pPr>
              <w:shd w:val="clea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涂搪完成后将工件放入</w:t>
            </w:r>
            <w:r>
              <w:rPr>
                <w:rFonts w:hint="default" w:ascii="Times New Roman" w:hAnsi="Times New Roman" w:eastAsia="宋体" w:cs="Times New Roman"/>
                <w:bCs/>
                <w:color w:val="auto"/>
                <w:sz w:val="24"/>
                <w:szCs w:val="24"/>
                <w:lang w:val="en-US" w:eastAsia="zh-CN"/>
              </w:rPr>
              <w:t>密闭的</w:t>
            </w:r>
            <w:r>
              <w:rPr>
                <w:rFonts w:hint="default" w:ascii="Times New Roman" w:hAnsi="Times New Roman" w:eastAsia="宋体" w:cs="Times New Roman"/>
                <w:bCs/>
                <w:color w:val="auto"/>
                <w:sz w:val="24"/>
                <w:szCs w:val="24"/>
              </w:rPr>
              <w:t>电炉进行焙烧。焙烧温度在900℃左右</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此工序产生一定量的噪声</w:t>
            </w:r>
            <w:r>
              <w:rPr>
                <w:rFonts w:hint="default" w:ascii="Times New Roman" w:hAnsi="Times New Roman" w:eastAsia="宋体" w:cs="Times New Roman"/>
                <w:bCs/>
                <w:color w:val="auto"/>
                <w:sz w:val="24"/>
                <w:szCs w:val="24"/>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rPr>
              <w:t>）检验</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产品检验合格（防腐罐需要进行试压）后入库待售</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此工序产生一定量的试压废水、循环水池沉淀物噪声</w:t>
            </w:r>
            <w:r>
              <w:rPr>
                <w:rFonts w:hint="default" w:ascii="Times New Roman" w:hAnsi="Times New Roman" w:eastAsia="宋体" w:cs="Times New Roman"/>
                <w:bCs/>
                <w:color w:val="auto"/>
                <w:sz w:val="24"/>
                <w:szCs w:val="24"/>
              </w:rPr>
              <w:t>。</w:t>
            </w:r>
          </w:p>
          <w:p>
            <w:pPr>
              <w:keepNext w:val="0"/>
              <w:keepLines w:val="0"/>
              <w:pageBreakBefore w:val="0"/>
              <w:widowControl w:val="0"/>
              <w:numPr>
                <w:ilvl w:val="0"/>
                <w:numId w:val="8"/>
              </w:numPr>
              <w:shd w:val="clear"/>
              <w:kinsoku/>
              <w:wordWrap/>
              <w:overflowPunct/>
              <w:topLinePunct w:val="0"/>
              <w:autoSpaceDE w:val="0"/>
              <w:autoSpaceDN w:val="0"/>
              <w:bidi w:val="0"/>
              <w:adjustRightInd w:val="0"/>
              <w:snapToGrid w:val="0"/>
              <w:spacing w:line="36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产排污环节</w:t>
            </w:r>
          </w:p>
          <w:p>
            <w:pPr>
              <w:pStyle w:val="2"/>
              <w:widowControl w:val="0"/>
              <w:numPr>
                <w:ilvl w:val="0"/>
                <w:numId w:val="0"/>
              </w:numPr>
              <w:shd w:val="clear"/>
              <w:spacing w:after="12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项目产污节点及治理措施一览表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383"/>
              <w:gridCol w:w="2756"/>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产污环节</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主要污染物</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切割/喷丸/抛丸/涂搪</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集气系统+</w:t>
                  </w:r>
                  <w:r>
                    <w:rPr>
                      <w:rFonts w:hint="default" w:ascii="Times New Roman" w:hAnsi="Times New Roman" w:eastAsia="宋体" w:cs="Times New Roman"/>
                      <w:color w:val="auto"/>
                      <w:sz w:val="21"/>
                      <w:szCs w:val="21"/>
                      <w:vertAlign w:val="baseline"/>
                      <w:lang w:val="en-US" w:eastAsia="zh-CN"/>
                    </w:rPr>
                    <w:t>脉冲式</w:t>
                  </w:r>
                  <w:r>
                    <w:rPr>
                      <w:rFonts w:hint="default" w:ascii="Times New Roman" w:hAnsi="Times New Roman" w:eastAsia="宋体" w:cs="Times New Roman"/>
                      <w:color w:val="auto"/>
                      <w:sz w:val="21"/>
                      <w:szCs w:val="21"/>
                      <w:vertAlign w:val="baseline"/>
                    </w:rPr>
                    <w:t>布袋除尘器+15m高排气筒</w:t>
                  </w:r>
                  <w:r>
                    <w:rPr>
                      <w:rFonts w:hint="default" w:ascii="Times New Roman" w:hAnsi="Times New Roman" w:eastAsia="宋体" w:cs="Times New Roman"/>
                      <w:color w:val="auto"/>
                      <w:sz w:val="21"/>
                      <w:szCs w:val="21"/>
                      <w:vertAlign w:val="baseline"/>
                      <w:lang w:val="en-US" w:eastAsia="zh-CN"/>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焊接</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焊烟</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移动式焊烟除尘器净化后排放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w:t>
                  </w: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-N、SS</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生活污水经化粪池暂存后用作周边农田农肥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试压废水</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经循环水池沉淀后循环使用，无废水外排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生产设备</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基础减震、厂房隔声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固废</w:t>
                  </w: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员工生活</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日常生产</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钢材下脚料</w:t>
                  </w:r>
                </w:p>
              </w:tc>
              <w:tc>
                <w:tcPr>
                  <w:tcW w:w="1404"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集中收集后</w:t>
                  </w:r>
                  <w:r>
                    <w:rPr>
                      <w:rFonts w:hint="default" w:ascii="Times New Roman" w:hAnsi="Times New Roman" w:eastAsia="宋体" w:cs="Times New Roman"/>
                      <w:color w:val="auto"/>
                      <w:sz w:val="21"/>
                      <w:szCs w:val="21"/>
                      <w:vertAlign w:val="baseline"/>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废焊头、焊渣</w:t>
                  </w:r>
                </w:p>
              </w:tc>
              <w:tc>
                <w:tcPr>
                  <w:tcW w:w="140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循环水池沉淀物</w:t>
                  </w:r>
                </w:p>
              </w:tc>
              <w:tc>
                <w:tcPr>
                  <w:tcW w:w="140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脉冲式布袋除尘器收尘</w:t>
                  </w:r>
                </w:p>
              </w:tc>
              <w:tc>
                <w:tcPr>
                  <w:tcW w:w="140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含油废手套抹布</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p>
              </w:tc>
              <w:tc>
                <w:tcPr>
                  <w:tcW w:w="141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设备维修、维护</w:t>
                  </w:r>
                </w:p>
              </w:tc>
              <w:tc>
                <w:tcPr>
                  <w:tcW w:w="16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废液压油、废机油</w:t>
                  </w:r>
                </w:p>
              </w:tc>
              <w:tc>
                <w:tcPr>
                  <w:tcW w:w="140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暂存于危废间</w:t>
                  </w:r>
                  <w:r>
                    <w:rPr>
                      <w:rFonts w:hint="default" w:ascii="Times New Roman" w:hAnsi="Times New Roman" w:eastAsia="宋体" w:cs="Times New Roman"/>
                      <w:color w:val="auto"/>
                      <w:sz w:val="21"/>
                      <w:szCs w:val="21"/>
                      <w:vertAlign w:val="baseline"/>
                    </w:rPr>
                    <w:t>，委托有</w:t>
                  </w:r>
                  <w:r>
                    <w:rPr>
                      <w:rFonts w:hint="default" w:ascii="Times New Roman" w:hAnsi="Times New Roman" w:eastAsia="宋体" w:cs="Times New Roman"/>
                      <w:color w:val="auto"/>
                      <w:sz w:val="21"/>
                      <w:szCs w:val="21"/>
                      <w:vertAlign w:val="baseline"/>
                      <w:lang w:val="en-US" w:eastAsia="zh-CN"/>
                    </w:rPr>
                    <w:t>危废</w:t>
                  </w:r>
                  <w:r>
                    <w:rPr>
                      <w:rFonts w:hint="default" w:ascii="Times New Roman" w:hAnsi="Times New Roman" w:eastAsia="宋体" w:cs="Times New Roman"/>
                      <w:color w:val="auto"/>
                      <w:sz w:val="21"/>
                      <w:szCs w:val="21"/>
                      <w:vertAlign w:val="baseline"/>
                    </w:rPr>
                    <w:t>资质的单位处理处置</w:t>
                  </w:r>
                </w:p>
              </w:tc>
            </w:tr>
          </w:tbl>
          <w:p>
            <w:pPr>
              <w:keepNext w:val="0"/>
              <w:keepLines w:val="0"/>
              <w:pageBreakBefore w:val="0"/>
              <w:widowControl w:val="0"/>
              <w:shd w:val="clear"/>
              <w:kinsoku/>
              <w:wordWrap/>
              <w:overflowPunct/>
              <w:topLinePunct w:val="0"/>
              <w:bidi w:val="0"/>
              <w:spacing w:line="360" w:lineRule="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dxa"/>
            <w:tcBorders>
              <w:tl2br w:val="nil"/>
              <w:tr2bl w:val="nil"/>
            </w:tcBorders>
            <w:noWrap w:val="0"/>
            <w:vAlign w:val="center"/>
          </w:tcPr>
          <w:p>
            <w:pPr>
              <w:pStyle w:val="21"/>
              <w:keepNext w:val="0"/>
              <w:keepLines w:val="0"/>
              <w:pageBreakBefore w:val="0"/>
              <w:widowControl w:val="0"/>
              <w:shd w:val="clear"/>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t>与项目有关的原有环境污染问题</w:t>
            </w:r>
          </w:p>
        </w:tc>
        <w:tc>
          <w:tcPr>
            <w:tcW w:w="8623" w:type="dxa"/>
            <w:tcBorders>
              <w:tl2br w:val="nil"/>
              <w:tr2bl w:val="nil"/>
            </w:tcBorders>
            <w:noWrap w:val="0"/>
            <w:vAlign w:val="top"/>
          </w:tcPr>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一、项目环保手续</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commentRangeStart w:id="2"/>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原</w:t>
            </w:r>
            <w:r>
              <w:rPr>
                <w:rFonts w:hint="default" w:ascii="Times New Roman" w:hAnsi="Times New Roman" w:eastAsia="宋体" w:cs="Times New Roman"/>
                <w:color w:val="auto"/>
                <w:sz w:val="24"/>
                <w:szCs w:val="24"/>
                <w:lang w:val="en-US" w:eastAsia="zh-CN"/>
              </w:rPr>
              <w:t>有项目环保手续情况</w:t>
            </w:r>
            <w:commentRangeEnd w:id="2"/>
            <w:r>
              <w:commentReference w:id="2"/>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淄博诚泰化工设备有限公司原址位于山东省淄博市南郊镇宋家村东首。项目厂区东侧为田地，西侧为空地，南临周村欣昌食品机械厂，北临G309国道。距离项目车间最近的环境敏感点为西侧70米的宋家村。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公司生产规模为年产5000件搪瓷防腐设备，该项目于2017年7月向淄博市环境保护局周村分局上报了《年产5000件搪瓷防腐设备项目》，淄博市环境保护局周村分局于2017年7月28日批复，批复文号为周环报告表【2017】781号。</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lang w:val="en-US" w:eastAsia="zh-CN"/>
              </w:rPr>
            </w:pPr>
            <w:commentRangeStart w:id="3"/>
            <w:r>
              <w:rPr>
                <w:rFonts w:hint="eastAsia"/>
                <w:lang w:val="en-US" w:eastAsia="zh-CN"/>
              </w:rPr>
              <w:t>项目计划整体迁建到文昌湖区萌水镇金山村北地块，基本使用现有设备现有工艺，即“淄博诚泰化工设备有限公司防腐搪玻璃搅拌器和管件项目”。</w:t>
            </w:r>
            <w:commentRangeEnd w:id="3"/>
            <w:r>
              <w:commentReference w:id="3"/>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现有</w:t>
            </w:r>
            <w:commentRangeStart w:id="4"/>
            <w:r>
              <w:rPr>
                <w:rFonts w:hint="default" w:ascii="Times New Roman" w:hAnsi="Times New Roman" w:eastAsia="宋体" w:cs="Times New Roman"/>
                <w:color w:val="auto"/>
                <w:sz w:val="24"/>
                <w:szCs w:val="24"/>
                <w:lang w:val="en-US" w:eastAsia="zh-CN"/>
              </w:rPr>
              <w:t>项目环保手续情况</w:t>
            </w:r>
            <w:commentRangeEnd w:id="4"/>
            <w:r>
              <w:commentReference w:id="4"/>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淄博新诚泰机械有限公司位于淄博市文昌湖区萌水镇金山村委北600米。项目位于山东省淄博市文昌湖区萌水镇金山村委北600米，项目厂区东侧为农田，西侧为淄博文昌湖热力公司，南侧为</w:t>
            </w:r>
            <w:r>
              <w:rPr>
                <w:rFonts w:hint="default" w:ascii="Times New Roman" w:hAnsi="Times New Roman" w:eastAsia="宋体" w:cs="Times New Roman"/>
                <w:color w:val="auto"/>
                <w:sz w:val="24"/>
                <w:szCs w:val="24"/>
                <w:lang w:val="en-US" w:eastAsia="zh-CN"/>
              </w:rPr>
              <w:t>山东</w:t>
            </w:r>
            <w:r>
              <w:rPr>
                <w:rFonts w:hint="default" w:ascii="Times New Roman" w:hAnsi="Times New Roman" w:eastAsia="宋体" w:cs="Times New Roman"/>
                <w:color w:val="auto"/>
                <w:sz w:val="24"/>
                <w:szCs w:val="24"/>
              </w:rPr>
              <w:t>银启机械制造有限公司厂房，北侧为农田。项目距离最近的环境敏感目标为项目区南侧235m的金山村。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转让后减速机和机械密封项目</w:t>
            </w:r>
            <w:commentRangeStart w:id="5"/>
            <w:r>
              <w:rPr>
                <w:rFonts w:hint="eastAsia" w:cs="Times New Roman"/>
                <w:color w:val="auto"/>
                <w:sz w:val="24"/>
                <w:szCs w:val="24"/>
                <w:lang w:val="en-US" w:eastAsia="zh-CN"/>
              </w:rPr>
              <w:t>使用新建</w:t>
            </w:r>
            <w:r>
              <w:rPr>
                <w:rFonts w:hint="default" w:ascii="Times New Roman" w:hAnsi="Times New Roman" w:eastAsia="宋体" w:cs="Times New Roman"/>
                <w:color w:val="auto"/>
                <w:sz w:val="24"/>
                <w:szCs w:val="24"/>
              </w:rPr>
              <w:t>车间</w:t>
            </w:r>
            <w:commentRangeEnd w:id="5"/>
            <w:r>
              <w:commentReference w:id="5"/>
            </w:r>
            <w:r>
              <w:rPr>
                <w:rFonts w:hint="default" w:ascii="Times New Roman" w:hAnsi="Times New Roman" w:eastAsia="宋体" w:cs="Times New Roman"/>
                <w:color w:val="auto"/>
                <w:sz w:val="24"/>
                <w:szCs w:val="24"/>
              </w:rPr>
              <w:t>，占地面积4100m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，建筑面积4100m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，主要包括生产区、仓库、办公室等构筑物，</w:t>
            </w:r>
            <w:r>
              <w:commentReference w:id="6"/>
            </w:r>
            <w:r>
              <w:rPr>
                <w:rFonts w:hint="default" w:ascii="Times New Roman" w:hAnsi="Times New Roman" w:eastAsia="宋体" w:cs="Times New Roman"/>
                <w:color w:val="auto"/>
                <w:sz w:val="24"/>
                <w:szCs w:val="24"/>
              </w:rPr>
              <w:t>项目建成后，年产3000台（套）减速机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淄博市</w:t>
            </w:r>
            <w:r>
              <w:rPr>
                <w:rFonts w:hint="default" w:ascii="Times New Roman" w:hAnsi="Times New Roman" w:eastAsia="宋体" w:cs="Times New Roman"/>
                <w:color w:val="auto"/>
                <w:sz w:val="24"/>
                <w:szCs w:val="24"/>
                <w:lang w:val="en-US" w:eastAsia="zh-CN"/>
              </w:rPr>
              <w:t>文昌湖区安全生产监管和环境保护局</w:t>
            </w:r>
            <w:r>
              <w:rPr>
                <w:rFonts w:hint="default" w:ascii="Times New Roman" w:hAnsi="Times New Roman" w:eastAsia="宋体" w:cs="Times New Roman"/>
                <w:color w:val="auto"/>
                <w:sz w:val="24"/>
                <w:szCs w:val="24"/>
              </w:rPr>
              <w:t>于20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日批复，批复文号为</w:t>
            </w:r>
            <w:r>
              <w:rPr>
                <w:rFonts w:hint="default" w:ascii="Times New Roman" w:hAnsi="Times New Roman" w:eastAsia="宋体" w:cs="Times New Roman"/>
                <w:color w:val="auto"/>
                <w:sz w:val="24"/>
                <w:szCs w:val="24"/>
                <w:lang w:val="en-US" w:eastAsia="zh-CN"/>
              </w:rPr>
              <w:t>淄文</w:t>
            </w:r>
            <w:r>
              <w:rPr>
                <w:rFonts w:hint="default" w:ascii="Times New Roman" w:hAnsi="Times New Roman" w:eastAsia="宋体" w:cs="Times New Roman"/>
                <w:color w:val="auto"/>
                <w:sz w:val="24"/>
                <w:szCs w:val="24"/>
              </w:rPr>
              <w:t>环报告表【20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二、项目生产工艺流程</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1、现有项目工艺流程</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工艺流程见下图：</w:t>
            </w:r>
          </w:p>
          <w:p>
            <w:pPr>
              <w:pStyle w:val="2"/>
              <w:shd w:val="clear"/>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379720" cy="2204720"/>
                  <wp:effectExtent l="0" t="0" r="11430" b="508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11"/>
                          <a:stretch>
                            <a:fillRect/>
                          </a:stretch>
                        </pic:blipFill>
                        <pic:spPr>
                          <a:xfrm>
                            <a:off x="0" y="0"/>
                            <a:ext cx="5379720" cy="220472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该项目以外购的钢板、钢管以及瓷釉粉为原料，经前处理、焊接、喷丸</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抛丸、涂搪、焙烧、检验等工序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产品检验合格（防腐罐需要进行试压）后入库待售；不合格产品进行修补后入库待售。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新诚泰机械设备有限公司</w:t>
            </w:r>
            <w:r>
              <w:rPr>
                <w:rFonts w:hint="default" w:ascii="Times New Roman" w:hAnsi="Times New Roman" w:eastAsia="宋体" w:cs="Times New Roman"/>
                <w:color w:val="auto"/>
                <w:sz w:val="24"/>
                <w:szCs w:val="24"/>
              </w:rPr>
              <w:t>工艺流程</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工艺流程见下图：</w:t>
            </w:r>
          </w:p>
          <w:p>
            <w:pPr>
              <w:pStyle w:val="2"/>
              <w:shd w:val="clear"/>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4"/>
                <w:lang w:eastAsia="zh-CN"/>
              </w:rPr>
              <w:drawing>
                <wp:inline distT="0" distB="0" distL="114300" distR="114300">
                  <wp:extent cx="5322570" cy="2550795"/>
                  <wp:effectExtent l="0" t="0" r="11430" b="1905"/>
                  <wp:docPr id="8" name="图片 8" descr="1640762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0762678(1)"/>
                          <pic:cNvPicPr>
                            <a:picLocks noChangeAspect="1"/>
                          </pic:cNvPicPr>
                        </pic:nvPicPr>
                        <pic:blipFill>
                          <a:blip r:embed="rId12"/>
                          <a:stretch>
                            <a:fillRect/>
                          </a:stretch>
                        </pic:blipFill>
                        <pic:spPr>
                          <a:xfrm>
                            <a:off x="0" y="0"/>
                            <a:ext cx="5322570" cy="2550795"/>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该项目以外购的钢板、钢管以及</w:t>
            </w:r>
            <w:r>
              <w:rPr>
                <w:rFonts w:hint="default" w:ascii="Times New Roman" w:hAnsi="Times New Roman" w:eastAsia="宋体" w:cs="Times New Roman"/>
                <w:color w:val="auto"/>
                <w:sz w:val="24"/>
                <w:szCs w:val="24"/>
                <w:lang w:val="en-US" w:eastAsia="zh-CN"/>
              </w:rPr>
              <w:t>PTFE型材</w:t>
            </w:r>
            <w:r>
              <w:rPr>
                <w:rFonts w:hint="default" w:ascii="Times New Roman" w:hAnsi="Times New Roman" w:eastAsia="宋体" w:cs="Times New Roman"/>
                <w:color w:val="auto"/>
                <w:sz w:val="24"/>
                <w:szCs w:val="24"/>
              </w:rPr>
              <w:t>为原料，经前处理、焊接、</w:t>
            </w:r>
            <w:r>
              <w:rPr>
                <w:rFonts w:hint="default" w:ascii="Times New Roman" w:hAnsi="Times New Roman" w:eastAsia="宋体" w:cs="Times New Roman"/>
                <w:color w:val="auto"/>
                <w:sz w:val="24"/>
                <w:szCs w:val="24"/>
                <w:lang w:val="en-US" w:eastAsia="zh-CN"/>
              </w:rPr>
              <w:t>机床加工、衬塑、组装、喷塑、固化</w:t>
            </w:r>
            <w:r>
              <w:rPr>
                <w:rFonts w:hint="default" w:ascii="Times New Roman" w:hAnsi="Times New Roman" w:eastAsia="宋体" w:cs="Times New Roman"/>
                <w:color w:val="auto"/>
                <w:sz w:val="24"/>
                <w:szCs w:val="24"/>
              </w:rPr>
              <w:t>、检验等工序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产品检验合格（防腐罐需要进行试压）后入库待售；不合格产品进行修补后入库待售。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3、现有项目产污环节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废气：主要是切割、打磨、抛丸、喷丸、涂搪工序产生的废气，主要污染物为颗粒物，有组织排放；焊接工序产生的废气主要污染物为颗粒物，无组织排放。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废水：本项目主要生产废水为试压废水，试压废水产生量为9600t/a，经循环水池沉淀后循环使用，不外排。生活污水产生量以生活用水量的80%计，约192t/a，经化粪池暂存后用作周边农田农肥，不外排。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主要是机加工工序钢材下脚料（产量2t/a），废焊头和焊渣（产量0.05t/a），循环水池沉淀物（产量0.03t/a），抛丸机粉尘（产量2.4t/a），涂搪粉尘（产量0.8t/a），钢材下脚料、废焊头和焊渣、循环水池沉淀物、抛丸机粉尘、涂搪粉尘均集中收集后外售处理。项目劳动定员为20人，生活垃圾产生量按0.5kg/人计，则生活垃圾产生量约为3.0t/a，收集暂存于垃圾箱，定期由环卫部门统一处理。废手套、废含油抹布（产生量0.05t/a）属于全过程豁免的危险废物，收集后委托区环卫部门清运处置，废油桶（产生量5个/a）暂存于危废暂存间内，委托具有危险废物处理资质的单位进行处理处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噪声：本项目主要噪声源为车床、钻床、电焊机、喷丸机、抛丸机、螺杆式空气压缩机等设备，噪声源强约70~90dB，该厂的各机械设备均摆放在封闭的车间内。</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4、新诚泰机械设备有限公司减速机和机械密封项目产污环节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废气：主要是切割、打磨、抛丸、喷丸、涂搪工序产生的废气，主要污染物为颗粒物，有组织排放；焊接工序产生的废气主要污染物为焊烟，无组织排放。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废水：建成后全厂废水主要是职工生活污水，不外排。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w:t>
            </w:r>
            <w:r>
              <w:rPr>
                <w:rFonts w:hint="default" w:ascii="Times New Roman" w:hAnsi="Times New Roman" w:eastAsia="宋体" w:cs="Times New Roman"/>
                <w:color w:val="auto"/>
                <w:kern w:val="0"/>
                <w:sz w:val="24"/>
                <w:lang w:eastAsia="zh-CN"/>
              </w:rPr>
              <w:t>建成后全厂</w:t>
            </w:r>
            <w:r>
              <w:rPr>
                <w:rFonts w:hint="default" w:ascii="Times New Roman" w:hAnsi="Times New Roman" w:eastAsia="宋体" w:cs="Times New Roman"/>
                <w:color w:val="auto"/>
                <w:kern w:val="0"/>
                <w:sz w:val="24"/>
              </w:rPr>
              <w:t>固体废物主要为</w:t>
            </w:r>
            <w:r>
              <w:rPr>
                <w:rFonts w:hint="default" w:ascii="Times New Roman" w:hAnsi="Times New Roman" w:eastAsia="宋体" w:cs="Times New Roman"/>
                <w:color w:val="auto"/>
                <w:kern w:val="0"/>
                <w:sz w:val="24"/>
                <w:lang w:eastAsia="zh-CN"/>
              </w:rPr>
              <w:t>生活垃圾、</w:t>
            </w:r>
            <w:r>
              <w:rPr>
                <w:rFonts w:hint="default" w:ascii="Times New Roman" w:hAnsi="Times New Roman" w:eastAsia="宋体" w:cs="Times New Roman"/>
                <w:color w:val="auto"/>
                <w:kern w:val="0"/>
                <w:sz w:val="24"/>
              </w:rPr>
              <w:t>一般工业固废和危险废物。其中一般工业固废为</w:t>
            </w:r>
            <w:r>
              <w:rPr>
                <w:rFonts w:hint="default" w:ascii="Times New Roman" w:hAnsi="Times New Roman" w:eastAsia="宋体" w:cs="Times New Roman"/>
                <w:color w:val="auto"/>
                <w:kern w:val="0"/>
                <w:sz w:val="24"/>
                <w:lang w:eastAsia="zh-CN"/>
              </w:rPr>
              <w:t>废包装材料、机加工过程的边角料、金属碎屑、废焊条和焊渣、脉冲布袋除尘器收尘和移动式焊烟净化器收尘</w:t>
            </w:r>
            <w:r>
              <w:rPr>
                <w:rFonts w:hint="default" w:ascii="Times New Roman" w:hAnsi="Times New Roman" w:eastAsia="宋体" w:cs="Times New Roman"/>
                <w:color w:val="auto"/>
                <w:kern w:val="0"/>
                <w:sz w:val="24"/>
              </w:rPr>
              <w:t>；危险废物主要为设备维修维护过程产生的含油废手套抹布（HW49，900-041-49）、废油桶（HW08，900-212-08）</w:t>
            </w:r>
            <w:r>
              <w:rPr>
                <w:rFonts w:hint="default" w:ascii="Times New Roman" w:hAnsi="Times New Roman" w:eastAsia="宋体" w:cs="Times New Roman"/>
                <w:color w:val="auto"/>
                <w:kern w:val="0"/>
                <w:sz w:val="24"/>
                <w:lang w:eastAsia="zh-CN"/>
              </w:rPr>
              <w:t>、废切削液（</w:t>
            </w:r>
            <w:r>
              <w:rPr>
                <w:rFonts w:hint="default" w:ascii="Times New Roman" w:hAnsi="Times New Roman" w:eastAsia="宋体" w:cs="Times New Roman"/>
                <w:color w:val="auto"/>
                <w:kern w:val="0"/>
                <w:sz w:val="24"/>
                <w:lang w:val="en-US" w:eastAsia="zh-CN"/>
              </w:rPr>
              <w:t>HW09，900-006-09</w:t>
            </w:r>
            <w:r>
              <w:rPr>
                <w:rFonts w:hint="default" w:ascii="Times New Roman" w:hAnsi="Times New Roman" w:eastAsia="宋体" w:cs="Times New Roman"/>
                <w:color w:val="auto"/>
                <w:kern w:val="0"/>
                <w:sz w:val="24"/>
                <w:lang w:eastAsia="zh-CN"/>
              </w:rPr>
              <w:t>）、废液压油（</w:t>
            </w:r>
            <w:r>
              <w:rPr>
                <w:rFonts w:hint="default" w:ascii="Times New Roman" w:hAnsi="Times New Roman" w:eastAsia="宋体" w:cs="Times New Roman"/>
                <w:color w:val="auto"/>
                <w:kern w:val="0"/>
                <w:sz w:val="24"/>
                <w:lang w:val="en-US" w:eastAsia="zh-CN"/>
              </w:rPr>
              <w:t>HW08，900-218-08</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以及废气处理过程产生的废活性炭（HW49，900-039-49）</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w:t>
            </w:r>
            <w:r>
              <w:rPr>
                <w:rFonts w:hint="default" w:ascii="Times New Roman" w:hAnsi="Times New Roman" w:eastAsia="宋体" w:cs="Times New Roman"/>
                <w:color w:val="auto"/>
                <w:kern w:val="0"/>
                <w:sz w:val="24"/>
                <w:lang w:eastAsia="zh-CN"/>
              </w:rPr>
              <w:t>建成后全厂</w:t>
            </w:r>
            <w:r>
              <w:rPr>
                <w:rFonts w:hint="default" w:ascii="Times New Roman" w:hAnsi="Times New Roman" w:eastAsia="宋体" w:cs="Times New Roman"/>
                <w:color w:val="auto"/>
                <w:kern w:val="0"/>
                <w:sz w:val="24"/>
              </w:rPr>
              <w:t>噪声主要来自于</w:t>
            </w:r>
            <w:r>
              <w:rPr>
                <w:rFonts w:hint="default" w:ascii="Times New Roman" w:hAnsi="Times New Roman" w:eastAsia="宋体" w:cs="Times New Roman"/>
                <w:color w:val="auto"/>
                <w:kern w:val="0"/>
                <w:sz w:val="24"/>
                <w:lang w:eastAsia="zh-CN"/>
              </w:rPr>
              <w:t>切割机、等离子切割机、折弯机、卷板机、车床、钻床、钻铣床、焊机、抛丸机、喷塑生产线、衬塑生产线</w:t>
            </w:r>
            <w:r>
              <w:rPr>
                <w:rFonts w:hint="default" w:ascii="Times New Roman" w:hAnsi="Times New Roman" w:eastAsia="宋体" w:cs="Times New Roman"/>
                <w:color w:val="auto"/>
                <w:kern w:val="0"/>
                <w:sz w:val="24"/>
              </w:rPr>
              <w:t>等设备运行过程产生的噪声，噪声级在60~95dB（A）之间。项目运行过程中对声源采用隔音和减振措施，设备均置于生产车间内，有效地降低设备噪声对周围环境的影响</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三、项目产排污情况</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lang w:eastAsia="zh-CN"/>
              </w:rPr>
              <w:t>）</w:t>
            </w:r>
            <w:r>
              <w:rPr>
                <w:rFonts w:hint="eastAsia" w:cs="Times New Roman"/>
                <w:color w:val="auto"/>
                <w:lang w:val="en-US" w:eastAsia="zh-CN"/>
              </w:rPr>
              <w:t>原</w:t>
            </w:r>
            <w:r>
              <w:rPr>
                <w:rFonts w:hint="default" w:ascii="Times New Roman" w:hAnsi="Times New Roman" w:eastAsia="宋体" w:cs="Times New Roman"/>
                <w:color w:val="auto"/>
                <w:lang w:val="en-US" w:eastAsia="zh-CN"/>
              </w:rPr>
              <w:t>有</w:t>
            </w:r>
            <w:r>
              <w:rPr>
                <w:rFonts w:hint="default" w:ascii="Times New Roman" w:hAnsi="Times New Roman" w:eastAsia="宋体" w:cs="Times New Roman"/>
                <w:color w:val="auto"/>
              </w:rPr>
              <w:t>项目</w:t>
            </w:r>
            <w:r>
              <w:rPr>
                <w:rFonts w:hint="default" w:ascii="Times New Roman" w:hAnsi="Times New Roman" w:eastAsia="宋体" w:cs="Times New Roman"/>
                <w:color w:val="auto"/>
                <w:sz w:val="24"/>
                <w:szCs w:val="24"/>
                <w:lang w:val="en-US" w:eastAsia="zh-CN"/>
              </w:rPr>
              <w:t>产排污情况</w:t>
            </w:r>
          </w:p>
          <w:p>
            <w:pPr>
              <w:pStyle w:val="2"/>
              <w:shd w:val="clear"/>
              <w:spacing w:after="0" w:line="360" w:lineRule="auto"/>
              <w:ind w:left="0" w:leftChars="0"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1、废气</w:t>
            </w:r>
          </w:p>
          <w:p>
            <w:pPr>
              <w:shd w:val="clear"/>
              <w:spacing w:line="360" w:lineRule="auto"/>
              <w:ind w:firstLine="480" w:firstLineChars="200"/>
              <w:rPr>
                <w:rFonts w:hint="default" w:ascii="Times New Roman" w:hAnsi="Times New Roman" w:eastAsia="宋体" w:cs="Times New Roman"/>
                <w:color w:val="auto"/>
                <w:kern w:val="0"/>
                <w:sz w:val="24"/>
                <w:lang w:val="en-US"/>
              </w:rPr>
            </w:pPr>
            <w:r>
              <w:rPr>
                <w:rFonts w:hint="default" w:ascii="Times New Roman" w:hAnsi="Times New Roman" w:eastAsia="宋体" w:cs="Times New Roman"/>
                <w:color w:val="auto"/>
                <w:kern w:val="0"/>
                <w:sz w:val="24"/>
              </w:rPr>
              <w:t>主要是</w:t>
            </w:r>
            <w:r>
              <w:rPr>
                <w:rFonts w:hint="default" w:ascii="Times New Roman" w:hAnsi="Times New Roman" w:eastAsia="宋体" w:cs="Times New Roman"/>
                <w:color w:val="auto"/>
                <w:kern w:val="0"/>
                <w:sz w:val="24"/>
                <w:lang w:val="en-US" w:eastAsia="zh-CN"/>
              </w:rPr>
              <w:t>喷丸</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抛丸、涂搪</w:t>
            </w:r>
            <w:r>
              <w:rPr>
                <w:rFonts w:hint="default" w:ascii="Times New Roman" w:hAnsi="Times New Roman" w:eastAsia="宋体" w:cs="Times New Roman"/>
                <w:color w:val="auto"/>
                <w:kern w:val="0"/>
                <w:sz w:val="24"/>
              </w:rPr>
              <w:t>工序产生的废气</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主要污染物是颗粒物，</w:t>
            </w:r>
            <w:r>
              <w:rPr>
                <w:rFonts w:hint="default" w:ascii="Times New Roman" w:hAnsi="Times New Roman" w:eastAsia="宋体" w:cs="Times New Roman"/>
                <w:color w:val="auto"/>
                <w:kern w:val="0"/>
                <w:sz w:val="24"/>
                <w:lang w:val="en-US" w:eastAsia="zh-CN"/>
              </w:rPr>
              <w:t>有</w:t>
            </w:r>
            <w:r>
              <w:rPr>
                <w:rFonts w:hint="default" w:ascii="Times New Roman" w:hAnsi="Times New Roman" w:eastAsia="宋体" w:cs="Times New Roman"/>
                <w:color w:val="auto"/>
                <w:kern w:val="0"/>
                <w:sz w:val="24"/>
              </w:rPr>
              <w:t>组织排放</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焊接工序产生的废气主要污染物是颗粒物，无组织排放。</w:t>
            </w:r>
          </w:p>
          <w:p>
            <w:pPr>
              <w:shd w:val="clear"/>
              <w:spacing w:line="360" w:lineRule="auto"/>
              <w:ind w:firstLine="480" w:firstLineChars="200"/>
              <w:rPr>
                <w:rFonts w:hint="default" w:ascii="Times New Roman" w:hAnsi="Times New Roman" w:eastAsia="宋体" w:cs="Times New Roman"/>
                <w:color w:val="auto"/>
                <w:kern w:val="0"/>
                <w:sz w:val="24"/>
                <w:lang w:val="en-US"/>
              </w:rPr>
            </w:pPr>
            <w:commentRangeStart w:id="7"/>
            <w:r>
              <w:rPr>
                <w:rFonts w:hint="default" w:ascii="Times New Roman" w:hAnsi="Times New Roman" w:eastAsia="宋体" w:cs="Times New Roman"/>
                <w:color w:val="auto"/>
                <w:kern w:val="0"/>
                <w:sz w:val="24"/>
                <w:szCs w:val="24"/>
                <w:highlight w:val="none"/>
                <w:lang w:val="en-US" w:eastAsia="zh-CN"/>
              </w:rPr>
              <w:t>为了更好地处理废气，企业在</w:t>
            </w:r>
            <w:r>
              <w:rPr>
                <w:rFonts w:hint="default" w:ascii="Times New Roman" w:hAnsi="Times New Roman" w:eastAsia="宋体" w:cs="Times New Roman"/>
                <w:color w:val="auto"/>
                <w:kern w:val="0"/>
                <w:sz w:val="24"/>
                <w:lang w:val="en-US" w:eastAsia="zh-CN"/>
              </w:rPr>
              <w:t>抛丸、涂搪工序</w:t>
            </w:r>
            <w:r>
              <w:rPr>
                <w:rFonts w:hint="default" w:ascii="Times New Roman" w:hAnsi="Times New Roman" w:eastAsia="宋体" w:cs="Times New Roman"/>
                <w:color w:val="auto"/>
                <w:kern w:val="0"/>
                <w:sz w:val="24"/>
                <w:szCs w:val="24"/>
                <w:highlight w:val="none"/>
                <w:lang w:val="en-US" w:eastAsia="zh-CN"/>
              </w:rPr>
              <w:t>处加设集气罩收集入脉冲式布袋除尘器处理后从15m高排气筒P1排出；在</w:t>
            </w:r>
            <w:r>
              <w:rPr>
                <w:rFonts w:hint="default" w:ascii="Times New Roman" w:hAnsi="Times New Roman" w:eastAsia="宋体" w:cs="Times New Roman"/>
                <w:color w:val="auto"/>
                <w:kern w:val="0"/>
                <w:sz w:val="24"/>
                <w:lang w:val="en-US" w:eastAsia="zh-CN"/>
              </w:rPr>
              <w:t>喷丸工序</w:t>
            </w:r>
            <w:r>
              <w:rPr>
                <w:rFonts w:hint="default" w:ascii="Times New Roman" w:hAnsi="Times New Roman" w:eastAsia="宋体" w:cs="Times New Roman"/>
                <w:color w:val="auto"/>
                <w:kern w:val="0"/>
                <w:sz w:val="24"/>
                <w:szCs w:val="24"/>
                <w:highlight w:val="none"/>
                <w:lang w:val="en-US" w:eastAsia="zh-CN"/>
              </w:rPr>
              <w:t>处加设集气罩收集入脉冲式布袋除尘器处理后从15m高排气筒P2排出；根据企业提供数据，废气处理设备年工作时间为2400h；焊接产生的焊烟由移动式焊烟净化器收集处理后无组织排放。</w:t>
            </w:r>
            <w:commentRangeEnd w:id="7"/>
            <w:r>
              <w:commentReference w:id="7"/>
            </w:r>
          </w:p>
          <w:p>
            <w:pPr>
              <w:shd w:val="clear"/>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根据山东</w:t>
            </w:r>
            <w:r>
              <w:rPr>
                <w:rFonts w:hint="default" w:ascii="Times New Roman" w:hAnsi="Times New Roman" w:eastAsia="宋体" w:cs="Times New Roman"/>
                <w:color w:val="auto"/>
                <w:kern w:val="0"/>
                <w:sz w:val="24"/>
                <w:lang w:val="en-US" w:eastAsia="zh-CN"/>
              </w:rPr>
              <w:t>众益源</w:t>
            </w:r>
            <w:r>
              <w:rPr>
                <w:rFonts w:hint="default" w:ascii="Times New Roman" w:hAnsi="Times New Roman" w:eastAsia="宋体" w:cs="Times New Roman"/>
                <w:color w:val="auto"/>
                <w:kern w:val="0"/>
                <w:sz w:val="24"/>
                <w:lang w:eastAsia="zh-CN"/>
              </w:rPr>
              <w:t>环境检测有限公司</w:t>
            </w:r>
            <w:r>
              <w:rPr>
                <w:rFonts w:hint="default" w:ascii="Times New Roman" w:hAnsi="Times New Roman" w:eastAsia="宋体" w:cs="Times New Roman"/>
                <w:color w:val="auto"/>
                <w:kern w:val="0"/>
                <w:sz w:val="24"/>
              </w:rPr>
              <w:t>于20</w:t>
            </w:r>
            <w:r>
              <w:rPr>
                <w:rFonts w:hint="default" w:ascii="Times New Roman" w:hAnsi="Times New Roman" w:eastAsia="宋体" w:cs="Times New Roman"/>
                <w:color w:val="auto"/>
                <w:kern w:val="0"/>
                <w:sz w:val="24"/>
                <w:lang w:val="en-US" w:eastAsia="zh-CN"/>
              </w:rPr>
              <w:t>23</w:t>
            </w:r>
            <w:r>
              <w:rPr>
                <w:rFonts w:hint="default" w:ascii="Times New Roman" w:hAnsi="Times New Roman" w:eastAsia="宋体" w:cs="Times New Roman"/>
                <w:color w:val="auto"/>
                <w:kern w:val="0"/>
                <w:sz w:val="24"/>
              </w:rPr>
              <w:t>年</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月</w:t>
            </w:r>
            <w:r>
              <w:rPr>
                <w:rFonts w:hint="default" w:ascii="Times New Roman" w:hAnsi="Times New Roman" w:eastAsia="宋体" w:cs="Times New Roman"/>
                <w:color w:val="auto"/>
                <w:kern w:val="0"/>
                <w:sz w:val="24"/>
                <w:lang w:val="en-US" w:eastAsia="zh-CN"/>
              </w:rPr>
              <w:t>18</w:t>
            </w:r>
            <w:r>
              <w:rPr>
                <w:rFonts w:hint="default" w:ascii="Times New Roman" w:hAnsi="Times New Roman" w:eastAsia="宋体" w:cs="Times New Roman"/>
                <w:color w:val="auto"/>
                <w:kern w:val="0"/>
                <w:sz w:val="24"/>
              </w:rPr>
              <w:t>日对</w:t>
            </w:r>
            <w:r>
              <w:rPr>
                <w:rFonts w:hint="eastAsia" w:cs="Times New Roman"/>
                <w:color w:val="auto"/>
                <w:kern w:val="0"/>
                <w:sz w:val="24"/>
                <w:lang w:val="en-US" w:eastAsia="zh-CN"/>
              </w:rPr>
              <w:t>原</w:t>
            </w:r>
            <w:r>
              <w:rPr>
                <w:rFonts w:hint="default" w:ascii="Times New Roman" w:hAnsi="Times New Roman" w:eastAsia="宋体" w:cs="Times New Roman"/>
                <w:color w:val="auto"/>
                <w:kern w:val="0"/>
                <w:sz w:val="24"/>
                <w:lang w:eastAsia="zh-CN"/>
              </w:rPr>
              <w:t>有</w:t>
            </w:r>
            <w:r>
              <w:rPr>
                <w:rFonts w:hint="default" w:ascii="Times New Roman" w:hAnsi="Times New Roman" w:eastAsia="宋体" w:cs="Times New Roman"/>
                <w:color w:val="auto"/>
                <w:kern w:val="0"/>
                <w:sz w:val="24"/>
              </w:rPr>
              <w:t>项目</w:t>
            </w:r>
            <w:r>
              <w:rPr>
                <w:rFonts w:hint="default" w:ascii="Times New Roman" w:hAnsi="Times New Roman" w:eastAsia="宋体" w:cs="Times New Roman"/>
                <w:color w:val="auto"/>
                <w:kern w:val="0"/>
                <w:sz w:val="24"/>
                <w:lang w:eastAsia="zh-CN"/>
              </w:rPr>
              <w:t>有组织</w:t>
            </w:r>
            <w:r>
              <w:rPr>
                <w:rFonts w:hint="default" w:ascii="Times New Roman" w:hAnsi="Times New Roman" w:eastAsia="宋体" w:cs="Times New Roman"/>
                <w:color w:val="auto"/>
                <w:kern w:val="0"/>
                <w:sz w:val="24"/>
                <w:lang w:val="en-US" w:eastAsia="zh-CN"/>
              </w:rPr>
              <w:t>颗粒物废气及</w:t>
            </w:r>
            <w:r>
              <w:rPr>
                <w:rFonts w:hint="default" w:ascii="Times New Roman" w:hAnsi="Times New Roman" w:eastAsia="宋体" w:cs="Times New Roman"/>
                <w:color w:val="auto"/>
                <w:kern w:val="0"/>
                <w:sz w:val="24"/>
              </w:rPr>
              <w:t>厂界无组织颗粒物浓度进行了</w:t>
            </w:r>
            <w:r>
              <w:rPr>
                <w:rFonts w:hint="default" w:ascii="Times New Roman" w:hAnsi="Times New Roman" w:eastAsia="宋体" w:cs="Times New Roman"/>
                <w:color w:val="auto"/>
                <w:kern w:val="0"/>
                <w:sz w:val="24"/>
                <w:lang w:eastAsia="zh-CN"/>
              </w:rPr>
              <w:t>例行</w:t>
            </w:r>
            <w:r>
              <w:rPr>
                <w:rFonts w:hint="default" w:ascii="Times New Roman" w:hAnsi="Times New Roman" w:eastAsia="宋体" w:cs="Times New Roman"/>
                <w:color w:val="auto"/>
                <w:kern w:val="0"/>
                <w:sz w:val="24"/>
              </w:rPr>
              <w:t>监测，监测期间</w:t>
            </w:r>
            <w:r>
              <w:rPr>
                <w:rFonts w:hint="eastAsia" w:cs="Times New Roman"/>
                <w:color w:val="auto"/>
                <w:kern w:val="0"/>
                <w:sz w:val="24"/>
                <w:lang w:val="en-US" w:eastAsia="zh-CN"/>
              </w:rPr>
              <w:t>原</w:t>
            </w:r>
            <w:r>
              <w:rPr>
                <w:rFonts w:hint="default" w:ascii="Times New Roman" w:hAnsi="Times New Roman" w:eastAsia="宋体" w:cs="Times New Roman"/>
                <w:color w:val="auto"/>
                <w:kern w:val="0"/>
                <w:sz w:val="24"/>
                <w:lang w:eastAsia="zh-CN"/>
              </w:rPr>
              <w:t>有</w:t>
            </w:r>
            <w:r>
              <w:rPr>
                <w:rFonts w:hint="default" w:ascii="Times New Roman" w:hAnsi="Times New Roman" w:eastAsia="宋体" w:cs="Times New Roman"/>
                <w:color w:val="auto"/>
                <w:kern w:val="0"/>
                <w:sz w:val="24"/>
              </w:rPr>
              <w:t>项目处于正常生产状态，工况稳定、生产负荷已完全达到设计生产能力。</w:t>
            </w:r>
            <w:r>
              <w:rPr>
                <w:rFonts w:hint="eastAsia" w:cs="Times New Roman"/>
                <w:color w:val="auto"/>
                <w:kern w:val="0"/>
                <w:sz w:val="24"/>
                <w:lang w:val="en-US" w:eastAsia="zh-CN"/>
              </w:rPr>
              <w:t>原</w:t>
            </w:r>
            <w:r>
              <w:rPr>
                <w:rFonts w:hint="default" w:ascii="Times New Roman" w:hAnsi="Times New Roman" w:eastAsia="宋体" w:cs="Times New Roman"/>
                <w:color w:val="auto"/>
                <w:kern w:val="0"/>
                <w:sz w:val="24"/>
                <w:lang w:eastAsia="zh-CN"/>
              </w:rPr>
              <w:t>有</w:t>
            </w:r>
            <w:r>
              <w:rPr>
                <w:rFonts w:hint="default" w:ascii="Times New Roman" w:hAnsi="Times New Roman" w:eastAsia="宋体" w:cs="Times New Roman"/>
                <w:color w:val="auto"/>
                <w:kern w:val="0"/>
                <w:sz w:val="24"/>
              </w:rPr>
              <w:t>项目</w:t>
            </w:r>
            <w:r>
              <w:rPr>
                <w:rFonts w:hint="default" w:ascii="Times New Roman" w:hAnsi="Times New Roman" w:eastAsia="宋体" w:cs="Times New Roman"/>
                <w:color w:val="auto"/>
                <w:kern w:val="0"/>
                <w:sz w:val="24"/>
                <w:lang w:eastAsia="zh-CN"/>
              </w:rPr>
              <w:t>有组织</w:t>
            </w:r>
            <w:r>
              <w:rPr>
                <w:rFonts w:hint="default" w:ascii="Times New Roman" w:hAnsi="Times New Roman" w:eastAsia="宋体" w:cs="Times New Roman"/>
                <w:color w:val="auto"/>
                <w:kern w:val="0"/>
                <w:sz w:val="24"/>
              </w:rPr>
              <w:t>颗粒物监测结果见下表</w:t>
            </w:r>
            <w:r>
              <w:rPr>
                <w:rFonts w:hint="default" w:ascii="Times New Roman" w:hAnsi="Times New Roman" w:eastAsia="宋体" w:cs="Times New Roman"/>
                <w:color w:val="auto"/>
                <w:kern w:val="0"/>
                <w:sz w:val="24"/>
                <w:lang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eastAsia="zh-CN"/>
              </w:rPr>
              <w:t>表</w:t>
            </w:r>
            <w:r>
              <w:rPr>
                <w:rFonts w:hint="default" w:ascii="Times New Roman" w:hAnsi="Times New Roman" w:eastAsia="宋体" w:cs="Times New Roman"/>
                <w:b/>
                <w:bCs/>
                <w:color w:val="auto"/>
                <w:kern w:val="0"/>
                <w:sz w:val="24"/>
                <w:lang w:val="en-US" w:eastAsia="zh-CN"/>
              </w:rPr>
              <w:t>2-8 有组织废气检测结果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93"/>
              <w:gridCol w:w="682"/>
              <w:gridCol w:w="1770"/>
              <w:gridCol w:w="407"/>
              <w:gridCol w:w="578"/>
              <w:gridCol w:w="815"/>
              <w:gridCol w:w="809"/>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采样点位</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P1排气筒进口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烟道直径</w:t>
                  </w:r>
                </w:p>
              </w:tc>
              <w:tc>
                <w:tcPr>
                  <w:tcW w:w="406"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0.3</w:t>
                  </w:r>
                </w:p>
              </w:tc>
              <w:tc>
                <w:tcPr>
                  <w:tcW w:w="129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排气筒高度（</w:t>
                  </w:r>
                  <w:r>
                    <w:rPr>
                      <w:rFonts w:hint="default" w:ascii="Times New Roman" w:hAnsi="Times New Roman" w:eastAsia="宋体" w:cs="Times New Roman"/>
                      <w:color w:val="auto"/>
                      <w:kern w:val="0"/>
                      <w:sz w:val="21"/>
                      <w:szCs w:val="21"/>
                      <w:vertAlign w:val="baseline"/>
                      <w:lang w:val="en-US" w:eastAsia="zh-CN"/>
                    </w:rPr>
                    <w:t>m</w:t>
                  </w:r>
                  <w:r>
                    <w:rPr>
                      <w:rFonts w:hint="default" w:ascii="Times New Roman" w:hAnsi="Times New Roman" w:eastAsia="宋体" w:cs="Times New Roman"/>
                      <w:color w:val="auto"/>
                      <w:kern w:val="0"/>
                      <w:sz w:val="21"/>
                      <w:szCs w:val="21"/>
                      <w:vertAlign w:val="baseline"/>
                      <w:lang w:eastAsia="zh-CN"/>
                    </w:rPr>
                    <w:t>）</w:t>
                  </w:r>
                </w:p>
              </w:tc>
              <w:tc>
                <w:tcPr>
                  <w:tcW w:w="344"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15</w:t>
                  </w:r>
                </w:p>
              </w:tc>
              <w:tc>
                <w:tcPr>
                  <w:tcW w:w="967"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废气处理设施</w:t>
                  </w:r>
                </w:p>
              </w:tc>
              <w:tc>
                <w:tcPr>
                  <w:tcW w:w="557"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脉冲式布袋除尘器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采样时间</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2023年03月18日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采样频次</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第一次</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第二次</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烟气温度（℃）</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16</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17</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eastAsia="zh-CN"/>
                    </w:rPr>
                    <w:t>标干流量</w:t>
                  </w:r>
                  <w:r>
                    <w:rPr>
                      <w:rFonts w:hint="default" w:ascii="Times New Roman" w:hAnsi="Times New Roman" w:eastAsia="宋体" w:cs="Times New Roman"/>
                      <w:color w:val="auto"/>
                      <w:kern w:val="0"/>
                      <w:sz w:val="21"/>
                      <w:szCs w:val="21"/>
                      <w:vertAlign w:val="baseline"/>
                      <w:lang w:val="en-US" w:eastAsia="zh-CN"/>
                    </w:rPr>
                    <w:t>(Nm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/h)</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4188</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4071</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restar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eastAsia" w:ascii="Times New Roman" w:cs="Times New Roman"/>
                      <w:color w:val="auto"/>
                      <w:kern w:val="0"/>
                      <w:sz w:val="21"/>
                      <w:szCs w:val="21"/>
                      <w:vertAlign w:val="baseline"/>
                      <w:lang w:val="en-US" w:eastAsia="zh-CN"/>
                    </w:rPr>
                    <w:t>颗粒物</w:t>
                  </w: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样品编号</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2303-197-FQ-005</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2303-197-FQ-006</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2303-197-FQ-007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pPr>
                    <w:pStyle w:val="31"/>
                    <w:shd w:val="clear"/>
                    <w:jc w:val="center"/>
                    <w:rPr>
                      <w:rFonts w:hint="default" w:ascii="Times New Roman" w:hAnsi="Times New Roman" w:eastAsia="宋体" w:cs="Times New Roman"/>
                      <w:color w:val="auto"/>
                      <w:kern w:val="0"/>
                      <w:sz w:val="21"/>
                      <w:szCs w:val="21"/>
                      <w:vertAlign w:val="baseline"/>
                    </w:rPr>
                  </w:pP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实测浓度（</w:t>
                  </w:r>
                  <w:r>
                    <w:rPr>
                      <w:rFonts w:hint="default" w:ascii="Times New Roman" w:hAnsi="Times New Roman" w:eastAsia="宋体" w:cs="Times New Roman"/>
                      <w:color w:val="auto"/>
                      <w:kern w:val="0"/>
                      <w:sz w:val="21"/>
                      <w:szCs w:val="21"/>
                      <w:vertAlign w:val="baseline"/>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eastAsia="zh-CN"/>
                    </w:rPr>
                    <w:t>）</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3.9</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4.7</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pPr>
                    <w:pStyle w:val="31"/>
                    <w:shd w:val="clear"/>
                    <w:jc w:val="center"/>
                    <w:rPr>
                      <w:rFonts w:hint="default" w:ascii="Times New Roman" w:hAnsi="Times New Roman" w:eastAsia="宋体" w:cs="Times New Roman"/>
                      <w:color w:val="auto"/>
                      <w:kern w:val="0"/>
                      <w:sz w:val="21"/>
                      <w:szCs w:val="21"/>
                      <w:vertAlign w:val="baseline"/>
                    </w:rPr>
                  </w:pP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排放速率（</w:t>
                  </w:r>
                  <w:r>
                    <w:rPr>
                      <w:rFonts w:hint="default" w:ascii="Times New Roman" w:hAnsi="Times New Roman" w:eastAsia="宋体" w:cs="Times New Roman"/>
                      <w:color w:val="auto"/>
                      <w:kern w:val="0"/>
                      <w:sz w:val="21"/>
                      <w:szCs w:val="21"/>
                      <w:vertAlign w:val="baseline"/>
                      <w:lang w:val="en-US" w:eastAsia="zh-CN"/>
                    </w:rPr>
                    <w:t>kg/h</w:t>
                  </w:r>
                  <w:r>
                    <w:rPr>
                      <w:rFonts w:hint="default" w:ascii="Times New Roman" w:hAnsi="Times New Roman" w:eastAsia="宋体" w:cs="Times New Roman"/>
                      <w:color w:val="auto"/>
                      <w:kern w:val="0"/>
                      <w:sz w:val="21"/>
                      <w:szCs w:val="21"/>
                      <w:vertAlign w:val="baseline"/>
                      <w:lang w:eastAsia="zh-CN"/>
                    </w:rPr>
                    <w:t>）</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0.016</w:t>
                  </w:r>
                </w:p>
              </w:tc>
              <w:tc>
                <w:tcPr>
                  <w:tcW w:w="1071" w:type="pct"/>
                  <w:gridSpan w:val="3"/>
                  <w:vAlign w:val="center"/>
                </w:tcPr>
                <w:p>
                  <w:pPr>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0.019</w:t>
                  </w:r>
                </w:p>
              </w:tc>
              <w:tc>
                <w:tcPr>
                  <w:tcW w:w="1039" w:type="pct"/>
                  <w:gridSpan w:val="2"/>
                  <w:vAlign w:val="center"/>
                </w:tcPr>
                <w:p>
                  <w:pPr>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备注</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采样点位</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P2排气筒出口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烟道直径</w:t>
                  </w:r>
                </w:p>
              </w:tc>
              <w:tc>
                <w:tcPr>
                  <w:tcW w:w="406"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0.3</w:t>
                  </w:r>
                </w:p>
              </w:tc>
              <w:tc>
                <w:tcPr>
                  <w:tcW w:w="129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排气筒高度（</w:t>
                  </w:r>
                  <w:r>
                    <w:rPr>
                      <w:rFonts w:hint="default" w:ascii="Times New Roman" w:hAnsi="Times New Roman" w:eastAsia="宋体" w:cs="Times New Roman"/>
                      <w:color w:val="auto"/>
                      <w:kern w:val="0"/>
                      <w:sz w:val="21"/>
                      <w:szCs w:val="21"/>
                      <w:vertAlign w:val="baseline"/>
                      <w:lang w:val="en-US" w:eastAsia="zh-CN"/>
                    </w:rPr>
                    <w:t>m</w:t>
                  </w:r>
                  <w:r>
                    <w:rPr>
                      <w:rFonts w:hint="default" w:ascii="Times New Roman" w:hAnsi="Times New Roman" w:eastAsia="宋体" w:cs="Times New Roman"/>
                      <w:color w:val="auto"/>
                      <w:kern w:val="0"/>
                      <w:sz w:val="21"/>
                      <w:szCs w:val="21"/>
                      <w:vertAlign w:val="baseline"/>
                      <w:lang w:eastAsia="zh-CN"/>
                    </w:rPr>
                    <w:t>）</w:t>
                  </w:r>
                </w:p>
              </w:tc>
              <w:tc>
                <w:tcPr>
                  <w:tcW w:w="344"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15</w:t>
                  </w:r>
                </w:p>
              </w:tc>
              <w:tc>
                <w:tcPr>
                  <w:tcW w:w="967"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废气处理设施</w:t>
                  </w:r>
                </w:p>
              </w:tc>
              <w:tc>
                <w:tcPr>
                  <w:tcW w:w="557"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脉冲式布袋除尘器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采样时间</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2021年04月22日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采样频次</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第一次</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第二次</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烟气温度（℃）</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14</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15</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eastAsia="zh-CN"/>
                    </w:rPr>
                    <w:t>标干流量</w:t>
                  </w:r>
                  <w:r>
                    <w:rPr>
                      <w:rFonts w:hint="default" w:ascii="Times New Roman" w:hAnsi="Times New Roman" w:eastAsia="宋体" w:cs="Times New Roman"/>
                      <w:color w:val="auto"/>
                      <w:kern w:val="0"/>
                      <w:sz w:val="21"/>
                      <w:szCs w:val="21"/>
                      <w:vertAlign w:val="baseline"/>
                      <w:lang w:val="en-US" w:eastAsia="zh-CN"/>
                    </w:rPr>
                    <w:t>(Nm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/h)</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4171</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4121</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restar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eastAsia" w:ascii="Times New Roman" w:cs="Times New Roman"/>
                      <w:color w:val="auto"/>
                      <w:kern w:val="0"/>
                      <w:sz w:val="21"/>
                      <w:szCs w:val="21"/>
                      <w:vertAlign w:val="baseline"/>
                      <w:lang w:val="en-US" w:eastAsia="zh-CN"/>
                    </w:rPr>
                    <w:t>颗粒物</w:t>
                  </w: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样品编号</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2303-197-FQ-008</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2303-197-FQ-009</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2303-197-FQ-010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pPr>
                    <w:pStyle w:val="31"/>
                    <w:shd w:val="clear"/>
                    <w:jc w:val="center"/>
                    <w:rPr>
                      <w:rFonts w:hint="default" w:ascii="Times New Roman" w:hAnsi="Times New Roman" w:eastAsia="宋体" w:cs="Times New Roman"/>
                      <w:color w:val="auto"/>
                      <w:kern w:val="0"/>
                      <w:sz w:val="21"/>
                      <w:szCs w:val="21"/>
                      <w:vertAlign w:val="baseline"/>
                    </w:rPr>
                  </w:pP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实测浓度（</w:t>
                  </w:r>
                  <w:r>
                    <w:rPr>
                      <w:rFonts w:hint="default" w:ascii="Times New Roman" w:hAnsi="Times New Roman" w:eastAsia="宋体" w:cs="Times New Roman"/>
                      <w:color w:val="auto"/>
                      <w:kern w:val="0"/>
                      <w:sz w:val="21"/>
                      <w:szCs w:val="21"/>
                      <w:vertAlign w:val="baseline"/>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eastAsia="zh-CN"/>
                    </w:rPr>
                    <w:t>）</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5.7</w:t>
                  </w:r>
                </w:p>
              </w:tc>
              <w:tc>
                <w:tcPr>
                  <w:tcW w:w="1071"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6.5</w:t>
                  </w:r>
                </w:p>
              </w:tc>
              <w:tc>
                <w:tcPr>
                  <w:tcW w:w="1039"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pPr>
                    <w:pStyle w:val="31"/>
                    <w:shd w:val="clear"/>
                    <w:jc w:val="center"/>
                    <w:rPr>
                      <w:rFonts w:hint="default" w:ascii="Times New Roman" w:hAnsi="Times New Roman" w:eastAsia="宋体" w:cs="Times New Roman"/>
                      <w:color w:val="auto"/>
                      <w:kern w:val="0"/>
                      <w:sz w:val="21"/>
                      <w:szCs w:val="21"/>
                      <w:vertAlign w:val="baseline"/>
                    </w:rPr>
                  </w:pPr>
                </w:p>
              </w:tc>
              <w:tc>
                <w:tcPr>
                  <w:tcW w:w="1116" w:type="pct"/>
                  <w:gridSpan w:val="2"/>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排放速率（</w:t>
                  </w:r>
                  <w:r>
                    <w:rPr>
                      <w:rFonts w:hint="default" w:ascii="Times New Roman" w:hAnsi="Times New Roman" w:eastAsia="宋体" w:cs="Times New Roman"/>
                      <w:color w:val="auto"/>
                      <w:kern w:val="0"/>
                      <w:sz w:val="21"/>
                      <w:szCs w:val="21"/>
                      <w:vertAlign w:val="baseline"/>
                      <w:lang w:val="en-US" w:eastAsia="zh-CN"/>
                    </w:rPr>
                    <w:t>kg/h</w:t>
                  </w:r>
                  <w:r>
                    <w:rPr>
                      <w:rFonts w:hint="default" w:ascii="Times New Roman" w:hAnsi="Times New Roman" w:eastAsia="宋体" w:cs="Times New Roman"/>
                      <w:color w:val="auto"/>
                      <w:kern w:val="0"/>
                      <w:sz w:val="21"/>
                      <w:szCs w:val="21"/>
                      <w:vertAlign w:val="baseline"/>
                      <w:lang w:eastAsia="zh-CN"/>
                    </w:rPr>
                    <w:t>）</w:t>
                  </w:r>
                </w:p>
              </w:tc>
              <w:tc>
                <w:tcPr>
                  <w:tcW w:w="1053" w:type="pct"/>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0.024</w:t>
                  </w:r>
                </w:p>
              </w:tc>
              <w:tc>
                <w:tcPr>
                  <w:tcW w:w="1071" w:type="pct"/>
                  <w:gridSpan w:val="3"/>
                  <w:vAlign w:val="center"/>
                </w:tcPr>
                <w:p>
                  <w:pPr>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0.027</w:t>
                  </w:r>
                </w:p>
              </w:tc>
              <w:tc>
                <w:tcPr>
                  <w:tcW w:w="1039" w:type="pct"/>
                  <w:gridSpan w:val="2"/>
                  <w:vAlign w:val="center"/>
                </w:tcPr>
                <w:p>
                  <w:pPr>
                    <w:shd w:val="clear"/>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5" w:type="pct"/>
                  <w:gridSpan w:val="3"/>
                  <w:vAlign w:val="center"/>
                </w:tcPr>
                <w:p>
                  <w:pPr>
                    <w:pStyle w:val="31"/>
                    <w:shd w:val="clea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备注</w:t>
                  </w:r>
                </w:p>
              </w:tc>
              <w:tc>
                <w:tcPr>
                  <w:tcW w:w="3164" w:type="pct"/>
                  <w:gridSpan w:val="6"/>
                  <w:vAlign w:val="center"/>
                </w:tcPr>
                <w:p>
                  <w:pPr>
                    <w:pStyle w:val="31"/>
                    <w:shd w:val="clear"/>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w:t>
                  </w:r>
                </w:p>
              </w:tc>
            </w:tr>
          </w:tbl>
          <w:p>
            <w:pPr>
              <w:pStyle w:val="2"/>
              <w:shd w:val="clear"/>
              <w:spacing w:after="0"/>
              <w:ind w:left="0" w:leftChars="0" w:firstLine="0" w:firstLineChars="0"/>
              <w:jc w:val="center"/>
              <w:rPr>
                <w:rFonts w:hint="default" w:ascii="Times New Roman" w:hAnsi="Times New Roman" w:eastAsia="宋体" w:cs="Times New Roman"/>
                <w:color w:val="auto"/>
                <w:kern w:val="0"/>
                <w:szCs w:val="24"/>
              </w:rPr>
            </w:pPr>
            <w:r>
              <w:rPr>
                <w:rFonts w:hint="default" w:ascii="Times New Roman" w:hAnsi="Times New Roman" w:eastAsia="宋体" w:cs="Times New Roman"/>
                <w:b/>
                <w:bCs/>
                <w:color w:val="auto"/>
                <w:kern w:val="0"/>
                <w:szCs w:val="24"/>
              </w:rPr>
              <w:t>表2-</w:t>
            </w:r>
            <w:r>
              <w:rPr>
                <w:rFonts w:hint="default" w:ascii="Times New Roman" w:hAnsi="Times New Roman" w:eastAsia="宋体" w:cs="Times New Roman"/>
                <w:b/>
                <w:bCs/>
                <w:color w:val="auto"/>
                <w:kern w:val="0"/>
                <w:szCs w:val="24"/>
                <w:lang w:val="en-US" w:eastAsia="zh-CN"/>
              </w:rPr>
              <w:t>9</w:t>
            </w:r>
            <w:r>
              <w:rPr>
                <w:rFonts w:hint="default" w:ascii="Times New Roman" w:hAnsi="Times New Roman" w:eastAsia="宋体" w:cs="Times New Roman"/>
                <w:b/>
                <w:bCs/>
                <w:color w:val="auto"/>
                <w:kern w:val="0"/>
                <w:szCs w:val="24"/>
              </w:rPr>
              <w:t xml:space="preserve"> 厂界无组织</w:t>
            </w:r>
            <w:r>
              <w:rPr>
                <w:rFonts w:hint="default" w:ascii="Times New Roman" w:hAnsi="Times New Roman" w:eastAsia="宋体" w:cs="Times New Roman"/>
                <w:b/>
                <w:bCs/>
                <w:color w:val="auto"/>
                <w:kern w:val="0"/>
                <w:szCs w:val="24"/>
                <w:lang w:eastAsia="zh-CN"/>
              </w:rPr>
              <w:t>废气</w:t>
            </w:r>
            <w:r>
              <w:rPr>
                <w:rFonts w:hint="default" w:ascii="Times New Roman" w:hAnsi="Times New Roman" w:eastAsia="宋体" w:cs="Times New Roman"/>
                <w:b/>
                <w:bCs/>
                <w:color w:val="auto"/>
                <w:kern w:val="0"/>
                <w:szCs w:val="24"/>
              </w:rPr>
              <w:t>监测结果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593"/>
              <w:gridCol w:w="405"/>
              <w:gridCol w:w="1589"/>
              <w:gridCol w:w="1589"/>
              <w:gridCol w:w="1589"/>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监测项目</w:t>
                  </w:r>
                </w:p>
              </w:tc>
              <w:tc>
                <w:tcPr>
                  <w:tcW w:w="353"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采样时间</w:t>
                  </w:r>
                </w:p>
              </w:tc>
              <w:tc>
                <w:tcPr>
                  <w:tcW w:w="241"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采样点位</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上风向</w:t>
                  </w:r>
                  <w:r>
                    <w:rPr>
                      <w:rFonts w:hint="default" w:ascii="Times New Roman" w:hAnsi="Times New Roman" w:eastAsia="宋体" w:cs="Times New Roman"/>
                      <w:color w:val="auto"/>
                      <w:kern w:val="0"/>
                      <w:vertAlign w:val="baseline"/>
                      <w:lang w:val="en-US" w:eastAsia="zh-CN"/>
                    </w:rPr>
                    <w:t>1#</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下风向</w:t>
                  </w:r>
                  <w:r>
                    <w:rPr>
                      <w:rFonts w:hint="default" w:ascii="Times New Roman" w:hAnsi="Times New Roman" w:eastAsia="宋体" w:cs="Times New Roman"/>
                      <w:color w:val="auto"/>
                      <w:kern w:val="0"/>
                      <w:vertAlign w:val="baseline"/>
                      <w:lang w:val="en-US" w:eastAsia="zh-CN"/>
                    </w:rPr>
                    <w:t>2#</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下风向</w:t>
                  </w:r>
                  <w:r>
                    <w:rPr>
                      <w:rFonts w:hint="default" w:ascii="Times New Roman" w:hAnsi="Times New Roman" w:eastAsia="宋体" w:cs="Times New Roman"/>
                      <w:color w:val="auto"/>
                      <w:kern w:val="0"/>
                      <w:vertAlign w:val="baseline"/>
                      <w:lang w:val="en-US" w:eastAsia="zh-CN"/>
                    </w:rPr>
                    <w:t>3#</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下风向</w:t>
                  </w:r>
                  <w:r>
                    <w:rPr>
                      <w:rFonts w:hint="default" w:ascii="Times New Roman" w:hAnsi="Times New Roman" w:eastAsia="宋体" w:cs="Times New Roman"/>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vMerge w:val="restar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颗粒物（</w:t>
                  </w:r>
                  <w:r>
                    <w:rPr>
                      <w:rFonts w:hint="default" w:ascii="Times New Roman" w:hAnsi="Times New Roman" w:eastAsia="宋体" w:cs="Times New Roman"/>
                      <w:color w:val="auto"/>
                      <w:kern w:val="0"/>
                      <w:vertAlign w:val="baseline"/>
                      <w:lang w:val="en-US" w:eastAsia="zh-CN"/>
                    </w:rPr>
                    <w:t>ug/m</w:t>
                  </w:r>
                  <w:r>
                    <w:rPr>
                      <w:rFonts w:hint="default" w:ascii="Times New Roman" w:hAnsi="Times New Roman" w:eastAsia="宋体" w:cs="Times New Roman"/>
                      <w:color w:val="auto"/>
                      <w:kern w:val="0"/>
                      <w:vertAlign w:val="superscript"/>
                      <w:lang w:val="en-US" w:eastAsia="zh-CN"/>
                    </w:rPr>
                    <w:t>3</w:t>
                  </w:r>
                  <w:r>
                    <w:rPr>
                      <w:rFonts w:hint="default" w:ascii="Times New Roman" w:hAnsi="Times New Roman" w:eastAsia="宋体" w:cs="Times New Roman"/>
                      <w:color w:val="auto"/>
                      <w:kern w:val="0"/>
                      <w:vertAlign w:val="baseline"/>
                      <w:lang w:eastAsia="zh-CN"/>
                    </w:rPr>
                    <w:t>）</w:t>
                  </w:r>
                </w:p>
              </w:tc>
              <w:tc>
                <w:tcPr>
                  <w:tcW w:w="353" w:type="pct"/>
                  <w:vMerge w:val="restar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2023年03月18日</w:t>
                  </w:r>
                </w:p>
              </w:tc>
              <w:tc>
                <w:tcPr>
                  <w:tcW w:w="241"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样品编号</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2303-197-FQ-001</w:t>
                  </w:r>
                </w:p>
              </w:tc>
              <w:tc>
                <w:tcPr>
                  <w:tcW w:w="946" w:type="pct"/>
                  <w:vAlign w:val="center"/>
                </w:tcPr>
                <w:p>
                  <w:pPr>
                    <w:shd w:val="clear"/>
                    <w:jc w:val="center"/>
                    <w:rPr>
                      <w:rFonts w:hint="default" w:ascii="Times New Roman" w:hAnsi="Times New Roman" w:eastAsia="宋体" w:cs="Times New Roman"/>
                      <w:color w:val="auto"/>
                      <w:kern w:val="0"/>
                      <w:sz w:val="21"/>
                      <w:szCs w:val="24"/>
                      <w:vertAlign w:val="baseline"/>
                      <w:lang w:val="en-US" w:eastAsia="zh-CN" w:bidi="ar-SA"/>
                    </w:rPr>
                  </w:pPr>
                  <w:r>
                    <w:rPr>
                      <w:rFonts w:hint="default" w:ascii="Times New Roman" w:hAnsi="Times New Roman" w:eastAsia="宋体" w:cs="Times New Roman"/>
                      <w:color w:val="auto"/>
                      <w:kern w:val="0"/>
                      <w:vertAlign w:val="baseline"/>
                      <w:lang w:val="en-US" w:eastAsia="zh-CN"/>
                    </w:rPr>
                    <w:t>2303-197-FQ-002</w:t>
                  </w:r>
                </w:p>
              </w:tc>
              <w:tc>
                <w:tcPr>
                  <w:tcW w:w="946" w:type="pct"/>
                  <w:vAlign w:val="center"/>
                </w:tcPr>
                <w:p>
                  <w:pPr>
                    <w:shd w:val="clear"/>
                    <w:jc w:val="center"/>
                    <w:rPr>
                      <w:rFonts w:hint="default" w:ascii="Times New Roman" w:hAnsi="Times New Roman" w:eastAsia="宋体" w:cs="Times New Roman"/>
                      <w:color w:val="auto"/>
                      <w:kern w:val="0"/>
                      <w:sz w:val="21"/>
                      <w:szCs w:val="24"/>
                      <w:vertAlign w:val="baseline"/>
                      <w:lang w:val="en-US" w:eastAsia="zh-CN" w:bidi="ar-SA"/>
                    </w:rPr>
                  </w:pPr>
                  <w:r>
                    <w:rPr>
                      <w:rFonts w:hint="default" w:ascii="Times New Roman" w:hAnsi="Times New Roman" w:eastAsia="宋体" w:cs="Times New Roman"/>
                      <w:color w:val="auto"/>
                      <w:kern w:val="0"/>
                      <w:vertAlign w:val="baseline"/>
                      <w:lang w:val="en-US" w:eastAsia="zh-CN"/>
                    </w:rPr>
                    <w:t>2303-197-FQ-003</w:t>
                  </w:r>
                </w:p>
              </w:tc>
              <w:tc>
                <w:tcPr>
                  <w:tcW w:w="946" w:type="pct"/>
                  <w:vAlign w:val="center"/>
                </w:tcPr>
                <w:p>
                  <w:pPr>
                    <w:shd w:val="clear"/>
                    <w:jc w:val="center"/>
                    <w:rPr>
                      <w:rFonts w:hint="default" w:ascii="Times New Roman" w:hAnsi="Times New Roman" w:eastAsia="宋体" w:cs="Times New Roman"/>
                      <w:color w:val="auto"/>
                      <w:kern w:val="0"/>
                      <w:sz w:val="21"/>
                      <w:szCs w:val="24"/>
                      <w:vertAlign w:val="baseline"/>
                      <w:lang w:val="en-US" w:eastAsia="zh-CN" w:bidi="ar-SA"/>
                    </w:rPr>
                  </w:pPr>
                  <w:r>
                    <w:rPr>
                      <w:rFonts w:hint="default" w:ascii="Times New Roman" w:hAnsi="Times New Roman" w:eastAsia="宋体" w:cs="Times New Roman"/>
                      <w:color w:val="auto"/>
                      <w:kern w:val="0"/>
                      <w:vertAlign w:val="baseline"/>
                      <w:lang w:val="en-US" w:eastAsia="zh-CN"/>
                    </w:rPr>
                    <w:t>2303-197-FQ-004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vMerge w:val="continue"/>
                  <w:vAlign w:val="center"/>
                </w:tcPr>
                <w:p>
                  <w:pPr>
                    <w:shd w:val="clear"/>
                    <w:jc w:val="center"/>
                    <w:rPr>
                      <w:rFonts w:hint="default" w:ascii="Times New Roman" w:hAnsi="Times New Roman" w:eastAsia="宋体" w:cs="Times New Roman"/>
                      <w:color w:val="auto"/>
                      <w:kern w:val="0"/>
                      <w:vertAlign w:val="baseline"/>
                    </w:rPr>
                  </w:pPr>
                </w:p>
              </w:tc>
              <w:tc>
                <w:tcPr>
                  <w:tcW w:w="353" w:type="pct"/>
                  <w:vMerge w:val="continue"/>
                  <w:vAlign w:val="center"/>
                </w:tcPr>
                <w:p>
                  <w:pPr>
                    <w:shd w:val="clear"/>
                    <w:jc w:val="center"/>
                    <w:rPr>
                      <w:rFonts w:hint="default" w:ascii="Times New Roman" w:hAnsi="Times New Roman" w:eastAsia="宋体" w:cs="Times New Roman"/>
                      <w:color w:val="auto"/>
                      <w:kern w:val="0"/>
                      <w:vertAlign w:val="baseline"/>
                    </w:rPr>
                  </w:pPr>
                </w:p>
              </w:tc>
              <w:tc>
                <w:tcPr>
                  <w:tcW w:w="241" w:type="pct"/>
                  <w:vAlign w:val="center"/>
                </w:tcPr>
                <w:p>
                  <w:pPr>
                    <w:shd w:val="clear"/>
                    <w:jc w:val="both"/>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浓度</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338</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458</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422</w:t>
                  </w:r>
                </w:p>
              </w:tc>
              <w:tc>
                <w:tcPr>
                  <w:tcW w:w="946"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479</w:t>
                  </w:r>
                </w:p>
              </w:tc>
            </w:tr>
          </w:tbl>
          <w:p>
            <w:pPr>
              <w:shd w:val="clea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eastAsia="zh-CN"/>
              </w:rPr>
              <w:t>以集气罩收集效率</w:t>
            </w:r>
            <w:r>
              <w:rPr>
                <w:rFonts w:hint="default" w:ascii="Times New Roman" w:hAnsi="Times New Roman" w:eastAsia="宋体" w:cs="Times New Roman"/>
                <w:color w:val="auto"/>
                <w:kern w:val="0"/>
                <w:sz w:val="24"/>
                <w:lang w:val="en-US" w:eastAsia="zh-CN"/>
              </w:rPr>
              <w:t>90%，脉冲式除尘器处理效率95%计，颗粒物有组织排放量为0.064/a，无组织排放量为0.3818t/a，排放总量为0.4458t/a。</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由厂界无组织颗粒物</w:t>
            </w:r>
            <w:r>
              <w:rPr>
                <w:rFonts w:hint="default" w:ascii="Times New Roman" w:hAnsi="Times New Roman" w:eastAsia="宋体" w:cs="Times New Roman"/>
                <w:color w:val="auto"/>
                <w:kern w:val="0"/>
                <w:sz w:val="24"/>
                <w:lang w:val="en-US" w:eastAsia="zh-CN"/>
              </w:rPr>
              <w:t>例行</w:t>
            </w:r>
            <w:r>
              <w:rPr>
                <w:rFonts w:hint="default" w:ascii="Times New Roman" w:hAnsi="Times New Roman" w:eastAsia="宋体" w:cs="Times New Roman"/>
                <w:color w:val="auto"/>
                <w:kern w:val="0"/>
                <w:sz w:val="24"/>
              </w:rPr>
              <w:t>监测和统计结果可见，厂界无组织颗粒物排放浓度能够满足《大气污染物综合排放标准》（GB16297-1996）表2中厂界无组织排放监控限值。</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2、废水</w:t>
            </w:r>
          </w:p>
          <w:p>
            <w:pPr>
              <w:shd w:val="clear"/>
              <w:spacing w:line="360" w:lineRule="auto"/>
              <w:ind w:firstLine="480" w:firstLineChars="200"/>
              <w:rPr>
                <w:rFonts w:hint="default" w:ascii="Times New Roman" w:hAnsi="Times New Roman" w:eastAsia="宋体" w:cs="Times New Roman"/>
                <w:color w:val="auto"/>
                <w:kern w:val="0"/>
                <w:sz w:val="24"/>
              </w:rPr>
            </w:pPr>
            <w:r>
              <w:rPr>
                <w:rFonts w:hint="eastAsia" w:cs="Times New Roman"/>
                <w:color w:val="auto"/>
                <w:kern w:val="0"/>
                <w:sz w:val="24"/>
                <w:lang w:val="en-US" w:eastAsia="zh-CN"/>
              </w:rPr>
              <w:t>原有</w:t>
            </w:r>
            <w:r>
              <w:rPr>
                <w:rFonts w:hint="default" w:ascii="Times New Roman" w:hAnsi="Times New Roman" w:eastAsia="宋体" w:cs="Times New Roman"/>
                <w:color w:val="auto"/>
                <w:kern w:val="0"/>
                <w:sz w:val="24"/>
              </w:rPr>
              <w:t>项目主要生产废水为试压废水，试压废水产生量为9600t/a，经循环水池沉淀后循环使用，不外排。生活污水产生量以生活用水量的80%计，约192t/a，经化粪池暂存后用作周边农田农肥，不外排。对周围水环境影响较小。</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3、固体废物</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主要是机加工工序钢材下脚料（产量2t/a），废焊头和焊渣（产量0.05t/a），循环水池沉淀物（产量0.03t/a），抛丸机粉尘（产量2.4t/a），涂搪粉尘（产量0.8t/a），钢材下脚料、废焊头和焊渣、循环水池沉淀物、抛丸机粉尘、涂搪粉尘均集中收集后外售处理。项目劳动定员为20人，生活垃圾产生量按0.5kg/人计，则生活垃圾产生量约为3.0t/a，收集暂存于垃圾箱，定期由环卫部门统一处理。</w:t>
            </w:r>
            <w:r>
              <w:rPr>
                <w:rFonts w:hint="default" w:ascii="Times New Roman" w:hAnsi="Times New Roman" w:eastAsia="宋体" w:cs="Times New Roman"/>
                <w:color w:val="auto"/>
                <w:sz w:val="24"/>
                <w:szCs w:val="24"/>
                <w:lang w:val="en-US" w:eastAsia="zh-CN"/>
              </w:rPr>
              <w:t>废手套、废含油抹布（产生量0.05t/a）属于全过程豁免的危险废物，收集后委托区环卫部门清运处置，废油桶（产生量5个/a）暂存于危废暂存间内，委托具有危险废物处理资质的单位进行处理处置。</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建设项目各类固废均得到了有效的处理及处置，不会产生二次污染，对周边环境影响较小。</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4、噪声</w:t>
            </w:r>
          </w:p>
          <w:p>
            <w:pPr>
              <w:shd w:val="clear"/>
              <w:spacing w:line="360" w:lineRule="auto"/>
              <w:ind w:firstLine="480" w:firstLineChars="200"/>
              <w:rPr>
                <w:rFonts w:hint="default" w:ascii="Times New Roman" w:hAnsi="Times New Roman" w:eastAsia="宋体" w:cs="Times New Roman"/>
                <w:color w:val="auto"/>
                <w:kern w:val="0"/>
                <w:sz w:val="24"/>
              </w:rPr>
            </w:pPr>
            <w:r>
              <w:rPr>
                <w:rFonts w:hint="eastAsia" w:cs="Times New Roman"/>
                <w:color w:val="auto"/>
                <w:kern w:val="0"/>
                <w:sz w:val="24"/>
                <w:lang w:val="en-US" w:eastAsia="zh-CN"/>
              </w:rPr>
              <w:t>原有</w:t>
            </w:r>
            <w:r>
              <w:rPr>
                <w:rFonts w:hint="default" w:ascii="Times New Roman" w:hAnsi="Times New Roman" w:eastAsia="宋体" w:cs="Times New Roman"/>
                <w:color w:val="auto"/>
                <w:kern w:val="0"/>
                <w:sz w:val="24"/>
              </w:rPr>
              <w:t>项目主要噪声源为车床、钻床、电焊机、喷丸机、抛丸机、螺杆式空气压缩机等设备，噪声源强约70~90dB，该厂的各机械设备均摆放在封闭的车间内。</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为</w:t>
            </w:r>
            <w:r>
              <w:rPr>
                <w:rFonts w:hint="default" w:ascii="Times New Roman" w:hAnsi="Times New Roman" w:eastAsia="宋体" w:cs="Times New Roman"/>
                <w:color w:val="auto"/>
                <w:kern w:val="0"/>
                <w:sz w:val="24"/>
              </w:rPr>
              <w:t>了解</w:t>
            </w:r>
            <w:r>
              <w:rPr>
                <w:rFonts w:hint="default" w:ascii="Times New Roman" w:hAnsi="Times New Roman" w:eastAsia="宋体" w:cs="Times New Roman"/>
                <w:color w:val="auto"/>
                <w:kern w:val="0"/>
                <w:sz w:val="24"/>
                <w:lang w:eastAsia="zh-CN"/>
              </w:rPr>
              <w:t>现有</w:t>
            </w:r>
            <w:r>
              <w:rPr>
                <w:rFonts w:hint="default" w:ascii="Times New Roman" w:hAnsi="Times New Roman" w:eastAsia="宋体" w:cs="Times New Roman"/>
                <w:color w:val="auto"/>
                <w:kern w:val="0"/>
                <w:sz w:val="24"/>
              </w:rPr>
              <w:t>项目生产过程中厂界处噪声情况，</w:t>
            </w:r>
            <w:r>
              <w:rPr>
                <w:rFonts w:hint="default" w:ascii="Times New Roman" w:hAnsi="Times New Roman" w:eastAsia="宋体" w:cs="Times New Roman"/>
                <w:color w:val="auto"/>
                <w:kern w:val="0"/>
                <w:sz w:val="24"/>
                <w:lang w:eastAsia="zh-CN"/>
              </w:rPr>
              <w:t>根据</w:t>
            </w:r>
            <w:r>
              <w:rPr>
                <w:rFonts w:hint="default" w:ascii="Times New Roman" w:hAnsi="Times New Roman" w:eastAsia="宋体" w:cs="Times New Roman"/>
                <w:color w:val="auto"/>
                <w:kern w:val="0"/>
                <w:sz w:val="24"/>
                <w:lang w:val="en-US" w:eastAsia="zh-CN"/>
              </w:rPr>
              <w:t>2023年3月18日企业</w:t>
            </w:r>
            <w:r>
              <w:rPr>
                <w:rFonts w:hint="default" w:ascii="Times New Roman" w:hAnsi="Times New Roman" w:eastAsia="宋体" w:cs="Times New Roman"/>
                <w:color w:val="auto"/>
                <w:kern w:val="0"/>
                <w:sz w:val="24"/>
              </w:rPr>
              <w:t>委托</w:t>
            </w:r>
            <w:r>
              <w:rPr>
                <w:rFonts w:hint="default" w:ascii="Times New Roman" w:hAnsi="Times New Roman" w:eastAsia="宋体" w:cs="Times New Roman"/>
                <w:color w:val="auto"/>
                <w:kern w:val="0"/>
                <w:sz w:val="24"/>
                <w:lang w:eastAsia="zh-CN"/>
              </w:rPr>
              <w:t>山东众益源环境检测有限公司</w:t>
            </w:r>
            <w:r>
              <w:rPr>
                <w:rFonts w:hint="default" w:ascii="Times New Roman" w:hAnsi="Times New Roman" w:eastAsia="宋体" w:cs="Times New Roman"/>
                <w:color w:val="auto"/>
                <w:kern w:val="0"/>
                <w:sz w:val="24"/>
              </w:rPr>
              <w:t>对</w:t>
            </w:r>
            <w:r>
              <w:rPr>
                <w:rFonts w:hint="default" w:ascii="Times New Roman" w:hAnsi="Times New Roman" w:eastAsia="宋体" w:cs="Times New Roman"/>
                <w:color w:val="auto"/>
                <w:kern w:val="0"/>
                <w:sz w:val="24"/>
                <w:lang w:eastAsia="zh-CN"/>
              </w:rPr>
              <w:t>现有</w:t>
            </w:r>
            <w:r>
              <w:rPr>
                <w:rFonts w:hint="default" w:ascii="Times New Roman" w:hAnsi="Times New Roman" w:eastAsia="宋体" w:cs="Times New Roman"/>
                <w:color w:val="auto"/>
                <w:kern w:val="0"/>
                <w:sz w:val="24"/>
              </w:rPr>
              <w:t>项目厂界处噪声情况进行</w:t>
            </w:r>
            <w:r>
              <w:rPr>
                <w:rFonts w:hint="default" w:ascii="Times New Roman" w:hAnsi="Times New Roman" w:eastAsia="宋体" w:cs="Times New Roman"/>
                <w:color w:val="auto"/>
                <w:kern w:val="0"/>
                <w:sz w:val="24"/>
                <w:lang w:eastAsia="zh-CN"/>
              </w:rPr>
              <w:t>的例行</w:t>
            </w:r>
            <w:r>
              <w:rPr>
                <w:rFonts w:hint="default" w:ascii="Times New Roman" w:hAnsi="Times New Roman" w:eastAsia="宋体" w:cs="Times New Roman"/>
                <w:color w:val="auto"/>
                <w:kern w:val="0"/>
                <w:sz w:val="24"/>
              </w:rPr>
              <w:t>监测，检测期间处于正常生产，监测结果见下表。</w:t>
            </w:r>
          </w:p>
          <w:p>
            <w:pPr>
              <w:pStyle w:val="2"/>
              <w:shd w:val="clear"/>
              <w:spacing w:after="0"/>
              <w:ind w:left="0" w:leftChars="0" w:firstLine="0" w:firstLineChars="0"/>
              <w:jc w:val="center"/>
              <w:rPr>
                <w:rFonts w:hint="default" w:ascii="Times New Roman" w:hAnsi="Times New Roman" w:eastAsia="宋体" w:cs="Times New Roman"/>
                <w:color w:val="auto"/>
                <w:kern w:val="0"/>
                <w:szCs w:val="24"/>
              </w:rPr>
            </w:pPr>
            <w:r>
              <w:rPr>
                <w:rFonts w:hint="default" w:ascii="Times New Roman" w:hAnsi="Times New Roman" w:eastAsia="宋体" w:cs="Times New Roman"/>
                <w:b/>
                <w:bCs/>
                <w:color w:val="auto"/>
                <w:kern w:val="0"/>
                <w:szCs w:val="24"/>
              </w:rPr>
              <w:t>表2-</w:t>
            </w:r>
            <w:r>
              <w:rPr>
                <w:rFonts w:hint="default" w:ascii="Times New Roman" w:hAnsi="Times New Roman" w:eastAsia="宋体" w:cs="Times New Roman"/>
                <w:b/>
                <w:bCs/>
                <w:color w:val="auto"/>
                <w:kern w:val="0"/>
                <w:szCs w:val="24"/>
                <w:lang w:val="en-US" w:eastAsia="zh-CN"/>
              </w:rPr>
              <w:t>10</w:t>
            </w:r>
            <w:r>
              <w:rPr>
                <w:rFonts w:hint="default" w:ascii="Times New Roman" w:hAnsi="Times New Roman" w:eastAsia="宋体" w:cs="Times New Roman"/>
                <w:b/>
                <w:bCs/>
                <w:color w:val="auto"/>
                <w:kern w:val="0"/>
                <w:szCs w:val="24"/>
              </w:rPr>
              <w:t xml:space="preserve"> 噪声现状监测结果 单位：dB（A）</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2098"/>
              <w:gridCol w:w="2099"/>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测间最大风速（</w:t>
                  </w:r>
                  <w:r>
                    <w:rPr>
                      <w:rFonts w:hint="default" w:ascii="Times New Roman" w:hAnsi="Times New Roman" w:eastAsia="宋体" w:cs="Times New Roman"/>
                      <w:color w:val="auto"/>
                      <w:kern w:val="0"/>
                      <w:vertAlign w:val="baseline"/>
                      <w:lang w:val="en-US" w:eastAsia="zh-CN"/>
                    </w:rPr>
                    <w:t>m/s</w:t>
                  </w:r>
                  <w:r>
                    <w:rPr>
                      <w:rFonts w:hint="default" w:ascii="Times New Roman" w:hAnsi="Times New Roman" w:eastAsia="宋体" w:cs="Times New Roman"/>
                      <w:color w:val="auto"/>
                      <w:kern w:val="0"/>
                      <w:vertAlign w:val="baseline"/>
                      <w:lang w:eastAsia="zh-CN"/>
                    </w:rPr>
                    <w:t>）</w:t>
                  </w:r>
                </w:p>
              </w:tc>
              <w:tc>
                <w:tcPr>
                  <w:tcW w:w="1249"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小于5m/s</w:t>
                  </w:r>
                </w:p>
              </w:tc>
              <w:tc>
                <w:tcPr>
                  <w:tcW w:w="1250" w:type="pct"/>
                  <w:vAlign w:val="center"/>
                </w:tcPr>
                <w:p>
                  <w:pPr>
                    <w:shd w:val="clear"/>
                    <w:jc w:val="center"/>
                    <w:rPr>
                      <w:rFonts w:hint="default" w:ascii="Times New Roman" w:hAnsi="Times New Roman" w:eastAsia="宋体" w:cs="Times New Roman"/>
                      <w:color w:val="auto"/>
                      <w:kern w:val="0"/>
                      <w:vertAlign w:val="baseline"/>
                      <w:lang w:eastAsia="zh-CN"/>
                    </w:rPr>
                  </w:pPr>
                  <w:r>
                    <w:rPr>
                      <w:rFonts w:hint="default" w:ascii="Times New Roman" w:hAnsi="Times New Roman" w:eastAsia="宋体" w:cs="Times New Roman"/>
                      <w:color w:val="auto"/>
                      <w:kern w:val="0"/>
                      <w:vertAlign w:val="baseline"/>
                      <w:lang w:eastAsia="zh-CN"/>
                    </w:rPr>
                    <w:t>天气情况</w:t>
                  </w:r>
                </w:p>
              </w:tc>
              <w:tc>
                <w:tcPr>
                  <w:tcW w:w="1250"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无雨雪、雷电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49"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shd w:val="clear"/>
                    <w:jc w:val="center"/>
                    <w:rPr>
                      <w:rFonts w:hint="default" w:ascii="Times New Roman" w:hAnsi="Times New Roman" w:eastAsia="宋体" w:cs="Times New Roman"/>
                      <w:color w:val="auto"/>
                      <w:kern w:val="0"/>
                      <w:vertAlign w:val="baseline"/>
                      <w:lang w:val="en-US"/>
                    </w:rPr>
                  </w:pPr>
                </w:p>
                <w:p>
                  <w:pPr>
                    <w:shd w:val="clear"/>
                    <w:bidi w:val="0"/>
                    <w:snapToGrid w:val="0"/>
                    <w:jc w:val="center"/>
                    <mc:AlternateContent>
                      <mc:Choice Requires="wpsCustomData">
                        <wpsCustomData:diagonalParaType/>
                      </mc:Choice>
                    </mc:AlternateContent>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检测点位</w:t>
                  </w:r>
                </w:p>
                <w:p>
                  <w:pPr>
                    <w:shd w:val="clear"/>
                    <w:bidi w:val="0"/>
                    <w:ind w:firstLine="306"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检测时间</w:t>
                  </w: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2023年3月18日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vMerge w:val="continue"/>
                  <w:vAlign w:val="center"/>
                </w:tcPr>
                <w:p>
                  <w:pPr>
                    <w:shd w:val="clear"/>
                    <w:jc w:val="center"/>
                    <w:rPr>
                      <w:rFonts w:hint="default" w:ascii="Times New Roman" w:hAnsi="Times New Roman" w:eastAsia="宋体" w:cs="Times New Roman"/>
                      <w:color w:val="auto"/>
                      <w:kern w:val="0"/>
                      <w:vertAlign w:val="baseline"/>
                    </w:rPr>
                  </w:pP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昼间</w:t>
                  </w:r>
                  <w:r>
                    <w:rPr>
                      <w:rFonts w:hint="default" w:ascii="Times New Roman" w:hAnsi="Times New Roman" w:eastAsia="宋体" w:cs="Times New Roman"/>
                      <w:color w:val="auto"/>
                      <w:kern w:val="0"/>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东厂届外</w:t>
                  </w:r>
                  <w:r>
                    <w:rPr>
                      <w:rFonts w:hint="default" w:ascii="Times New Roman" w:hAnsi="Times New Roman" w:eastAsia="宋体" w:cs="Times New Roman"/>
                      <w:color w:val="auto"/>
                      <w:kern w:val="0"/>
                      <w:vertAlign w:val="baseline"/>
                      <w:lang w:val="en-US" w:eastAsia="zh-CN"/>
                    </w:rPr>
                    <w:t>1m</w:t>
                  </w: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南厂界外1m</w:t>
                  </w: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西厂界外</w:t>
                  </w:r>
                  <w:r>
                    <w:rPr>
                      <w:rFonts w:hint="default" w:ascii="Times New Roman" w:hAnsi="Times New Roman" w:eastAsia="宋体" w:cs="Times New Roman"/>
                      <w:color w:val="auto"/>
                      <w:kern w:val="0"/>
                      <w:vertAlign w:val="baseline"/>
                      <w:lang w:val="en-US" w:eastAsia="zh-CN"/>
                    </w:rPr>
                    <w:t>1m</w:t>
                  </w: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北厂界外</w:t>
                  </w:r>
                  <w:r>
                    <w:rPr>
                      <w:rFonts w:hint="default" w:ascii="Times New Roman" w:hAnsi="Times New Roman" w:eastAsia="宋体" w:cs="Times New Roman"/>
                      <w:color w:val="auto"/>
                      <w:kern w:val="0"/>
                      <w:vertAlign w:val="baseline"/>
                      <w:lang w:val="en-US" w:eastAsia="zh-CN"/>
                    </w:rPr>
                    <w:t>1m</w:t>
                  </w:r>
                </w:p>
              </w:tc>
              <w:tc>
                <w:tcPr>
                  <w:tcW w:w="3750" w:type="pct"/>
                  <w:gridSpan w:val="3"/>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val="en-US" w:eastAsia="zh-CN"/>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hd w:val="clear"/>
                    <w:jc w:val="center"/>
                    <w:rPr>
                      <w:rFonts w:hint="default" w:ascii="Times New Roman" w:hAnsi="Times New Roman" w:eastAsia="宋体" w:cs="Times New Roman"/>
                      <w:color w:val="auto"/>
                      <w:kern w:val="0"/>
                      <w:vertAlign w:val="baseline"/>
                      <w:lang w:val="en-US" w:eastAsia="zh-CN"/>
                    </w:rPr>
                  </w:pPr>
                  <w:r>
                    <w:rPr>
                      <w:rFonts w:hint="default" w:ascii="Times New Roman" w:hAnsi="Times New Roman" w:eastAsia="宋体" w:cs="Times New Roman"/>
                      <w:color w:val="auto"/>
                      <w:kern w:val="0"/>
                      <w:vertAlign w:val="baseline"/>
                      <w:lang w:eastAsia="zh-CN"/>
                    </w:rPr>
                    <w:t>备注：</w:t>
                  </w:r>
                  <w:r>
                    <w:rPr>
                      <w:rFonts w:hint="default" w:ascii="Times New Roman" w:hAnsi="Times New Roman" w:eastAsia="宋体" w:cs="Times New Roman"/>
                      <w:color w:val="auto"/>
                      <w:kern w:val="0"/>
                      <w:vertAlign w:val="baseline"/>
                      <w:lang w:val="en-US" w:eastAsia="zh-CN"/>
                    </w:rPr>
                    <w:t>2022.03.18 厂界噪声昼间检测结果最大58.0dB（A），满足《工业企业厂界环境噪声排放标准》（GB 12348-2008）2类声环境功能区标准：昼间60dB（A）。</w:t>
                  </w:r>
                </w:p>
              </w:tc>
            </w:tr>
          </w:tbl>
          <w:p>
            <w:pPr>
              <w:widowControl/>
              <w:shd w:val="clear"/>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由上表可以看出，</w:t>
            </w:r>
            <w:r>
              <w:rPr>
                <w:rFonts w:hint="eastAsia" w:cs="Times New Roman"/>
                <w:color w:val="auto"/>
                <w:kern w:val="0"/>
                <w:sz w:val="24"/>
                <w:lang w:val="en-US" w:eastAsia="zh-CN"/>
              </w:rPr>
              <w:t>原</w:t>
            </w:r>
            <w:r>
              <w:rPr>
                <w:rFonts w:hint="default" w:ascii="Times New Roman" w:hAnsi="Times New Roman" w:eastAsia="宋体" w:cs="Times New Roman"/>
                <w:color w:val="auto"/>
                <w:kern w:val="0"/>
                <w:sz w:val="24"/>
                <w:lang w:eastAsia="zh-CN"/>
              </w:rPr>
              <w:t>有</w:t>
            </w:r>
            <w:r>
              <w:rPr>
                <w:rFonts w:hint="default" w:ascii="Times New Roman" w:hAnsi="Times New Roman" w:eastAsia="宋体" w:cs="Times New Roman"/>
                <w:color w:val="auto"/>
                <w:kern w:val="0"/>
                <w:sz w:val="24"/>
              </w:rPr>
              <w:t>项目昼间等效连续A声级</w:t>
            </w:r>
            <w:r>
              <w:rPr>
                <w:rFonts w:hint="default" w:ascii="Times New Roman" w:hAnsi="Times New Roman" w:eastAsia="宋体" w:cs="Times New Roman"/>
                <w:color w:val="auto"/>
                <w:kern w:val="0"/>
                <w:sz w:val="24"/>
                <w:lang w:val="en-US" w:eastAsia="zh-CN"/>
              </w:rPr>
              <w:t>最大</w:t>
            </w:r>
            <w:r>
              <w:rPr>
                <w:rFonts w:hint="default" w:ascii="Times New Roman" w:hAnsi="Times New Roman" w:eastAsia="宋体" w:cs="Times New Roman"/>
                <w:color w:val="auto"/>
                <w:kern w:val="0"/>
                <w:sz w:val="24"/>
              </w:rPr>
              <w:t>为</w:t>
            </w:r>
            <w:r>
              <w:rPr>
                <w:rFonts w:hint="default" w:ascii="Times New Roman" w:hAnsi="Times New Roman" w:eastAsia="宋体" w:cs="Times New Roman"/>
                <w:color w:val="auto"/>
                <w:kern w:val="0"/>
                <w:sz w:val="24"/>
                <w:lang w:val="en-US" w:eastAsia="zh-CN"/>
              </w:rPr>
              <w:t>58.0</w:t>
            </w:r>
            <w:r>
              <w:rPr>
                <w:rFonts w:hint="default" w:ascii="Times New Roman" w:hAnsi="Times New Roman" w:eastAsia="宋体" w:cs="Times New Roman"/>
                <w:color w:val="auto"/>
                <w:kern w:val="0"/>
                <w:sz w:val="24"/>
              </w:rPr>
              <w:t>dB（A）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厂界噪声能够符合《工业企业厂界环境噪声排放标准》（GB12348-2008）2类标准要求。</w:t>
            </w:r>
          </w:p>
          <w:p>
            <w:pPr>
              <w:widowControl/>
              <w:shd w:val="clear"/>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根据原有环评核算及现状验收，</w:t>
            </w:r>
            <w:r>
              <w:rPr>
                <w:rFonts w:hint="eastAsia" w:cs="Times New Roman"/>
                <w:color w:val="auto"/>
                <w:kern w:val="0"/>
                <w:sz w:val="24"/>
                <w:lang w:val="en-US" w:eastAsia="zh-CN"/>
              </w:rPr>
              <w:t>原</w:t>
            </w:r>
            <w:r>
              <w:rPr>
                <w:rFonts w:hint="default" w:ascii="Times New Roman" w:hAnsi="Times New Roman" w:eastAsia="宋体" w:cs="Times New Roman"/>
                <w:color w:val="auto"/>
                <w:kern w:val="0"/>
                <w:sz w:val="24"/>
                <w:lang w:eastAsia="zh-CN"/>
              </w:rPr>
              <w:t>有项目</w:t>
            </w:r>
            <w:r>
              <w:rPr>
                <w:rFonts w:hint="default" w:ascii="Times New Roman" w:hAnsi="Times New Roman" w:eastAsia="宋体" w:cs="Times New Roman"/>
                <w:color w:val="auto"/>
                <w:kern w:val="0"/>
                <w:sz w:val="24"/>
              </w:rPr>
              <w:t>污染物排放情况及处理措施见下表。</w:t>
            </w:r>
          </w:p>
          <w:p>
            <w:pPr>
              <w:pStyle w:val="2"/>
              <w:shd w:val="clear"/>
              <w:spacing w:after="0"/>
              <w:ind w:left="0" w:leftChars="0" w:firstLine="482"/>
              <w:jc w:val="center"/>
              <w:rPr>
                <w:rFonts w:hint="default" w:ascii="Times New Roman" w:hAnsi="Times New Roman" w:eastAsia="宋体" w:cs="Times New Roman"/>
                <w:b/>
                <w:bCs/>
                <w:color w:val="auto"/>
                <w:kern w:val="0"/>
                <w:szCs w:val="24"/>
              </w:rPr>
            </w:pPr>
            <w:r>
              <w:rPr>
                <w:rFonts w:hint="default" w:ascii="Times New Roman" w:hAnsi="Times New Roman" w:eastAsia="宋体" w:cs="Times New Roman"/>
                <w:b/>
                <w:bCs/>
                <w:color w:val="auto"/>
                <w:kern w:val="0"/>
                <w:szCs w:val="24"/>
              </w:rPr>
              <w:t>表2-</w:t>
            </w:r>
            <w:r>
              <w:rPr>
                <w:rFonts w:hint="default" w:ascii="Times New Roman" w:hAnsi="Times New Roman" w:eastAsia="宋体" w:cs="Times New Roman"/>
                <w:b/>
                <w:bCs/>
                <w:color w:val="auto"/>
                <w:kern w:val="0"/>
                <w:szCs w:val="24"/>
                <w:lang w:val="en-US" w:eastAsia="zh-CN"/>
              </w:rPr>
              <w:t xml:space="preserve">11 </w:t>
            </w:r>
            <w:r>
              <w:rPr>
                <w:rFonts w:hint="eastAsia" w:ascii="Times New Roman" w:hAnsi="Times New Roman" w:eastAsia="宋体" w:cs="Times New Roman"/>
                <w:b/>
                <w:bCs/>
                <w:color w:val="auto"/>
                <w:kern w:val="0"/>
                <w:szCs w:val="24"/>
                <w:lang w:val="en-US" w:eastAsia="zh-CN"/>
              </w:rPr>
              <w:t>原</w:t>
            </w:r>
            <w:r>
              <w:rPr>
                <w:rFonts w:hint="default" w:ascii="Times New Roman" w:hAnsi="Times New Roman" w:eastAsia="宋体" w:cs="Times New Roman"/>
                <w:b/>
                <w:bCs/>
                <w:color w:val="auto"/>
                <w:kern w:val="0"/>
                <w:szCs w:val="24"/>
                <w:lang w:eastAsia="zh-CN"/>
              </w:rPr>
              <w:t>有项目</w:t>
            </w:r>
            <w:r>
              <w:rPr>
                <w:rFonts w:hint="default" w:ascii="Times New Roman" w:hAnsi="Times New Roman" w:eastAsia="宋体" w:cs="Times New Roman"/>
                <w:b/>
                <w:bCs/>
                <w:color w:val="auto"/>
                <w:kern w:val="0"/>
                <w:szCs w:val="24"/>
              </w:rPr>
              <w:t>污染物排放情况及处理措施表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28"/>
              <w:gridCol w:w="1686"/>
              <w:gridCol w:w="1913"/>
              <w:gridCol w:w="2727"/>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类型</w:t>
                  </w:r>
                </w:p>
              </w:tc>
              <w:tc>
                <w:tcPr>
                  <w:tcW w:w="100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排放源</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治理措施</w:t>
                  </w:r>
                </w:p>
              </w:tc>
              <w:tc>
                <w:tcPr>
                  <w:tcW w:w="72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53"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大气污染物</w:t>
                  </w:r>
                </w:p>
              </w:tc>
              <w:tc>
                <w:tcPr>
                  <w:tcW w:w="254"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无组织废气</w:t>
                  </w:r>
                </w:p>
              </w:tc>
              <w:tc>
                <w:tcPr>
                  <w:tcW w:w="1004"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焊接工序焊烟</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加强通风、加强操作管理和设备维护</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0.3818t/a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53" w:type="pct"/>
                  <w:vMerge w:val="continue"/>
                  <w:vAlign w:val="center"/>
                </w:tcPr>
                <w:p>
                  <w:pPr>
                    <w:shd w:val="clear"/>
                    <w:jc w:val="center"/>
                    <w:rPr>
                      <w:rFonts w:hint="default" w:ascii="Times New Roman" w:hAnsi="Times New Roman" w:eastAsia="宋体" w:cs="Times New Roman"/>
                      <w:color w:val="auto"/>
                      <w:kern w:val="0"/>
                      <w:szCs w:val="21"/>
                    </w:rPr>
                  </w:pPr>
                </w:p>
              </w:tc>
              <w:tc>
                <w:tcPr>
                  <w:tcW w:w="254"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有组织废气</w:t>
                  </w:r>
                </w:p>
              </w:tc>
              <w:tc>
                <w:tcPr>
                  <w:tcW w:w="1004"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切割、喷丸、抛丸、涂搪工序</w:t>
                  </w:r>
                </w:p>
              </w:tc>
              <w:tc>
                <w:tcPr>
                  <w:tcW w:w="113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颗粒物</w:t>
                  </w:r>
                </w:p>
              </w:tc>
              <w:tc>
                <w:tcPr>
                  <w:tcW w:w="1624"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脉冲式布袋除尘器</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水污染物</w:t>
                  </w:r>
                </w:p>
              </w:tc>
              <w:tc>
                <w:tcPr>
                  <w:tcW w:w="100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生活污水</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COD、BOD</w:t>
                  </w:r>
                  <w:r>
                    <w:rPr>
                      <w:rFonts w:hint="default" w:ascii="Times New Roman" w:hAnsi="Times New Roman" w:eastAsia="宋体" w:cs="Times New Roman"/>
                      <w:color w:val="auto"/>
                      <w:kern w:val="0"/>
                      <w:szCs w:val="21"/>
                      <w:vertAlign w:val="subscript"/>
                    </w:rPr>
                    <w:t>5</w:t>
                  </w:r>
                  <w:r>
                    <w:rPr>
                      <w:rFonts w:hint="default" w:ascii="Times New Roman" w:hAnsi="Times New Roman" w:eastAsia="宋体" w:cs="Times New Roman"/>
                      <w:color w:val="auto"/>
                      <w:kern w:val="0"/>
                      <w:szCs w:val="21"/>
                    </w:rPr>
                    <w:t>、氨氮、SS等</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生活污水经化粪池暂存，用作周边农田农肥，不外排</w:t>
                  </w:r>
                </w:p>
              </w:tc>
              <w:tc>
                <w:tcPr>
                  <w:tcW w:w="72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固体废物</w:t>
                  </w:r>
                </w:p>
              </w:tc>
              <w:tc>
                <w:tcPr>
                  <w:tcW w:w="100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生产生活</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生活垃圾</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分类收集暂存于垃圾桶，后委托区环卫部门清运处置</w:t>
                  </w:r>
                </w:p>
              </w:tc>
              <w:tc>
                <w:tcPr>
                  <w:tcW w:w="72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8" w:type="pct"/>
                  <w:gridSpan w:val="2"/>
                  <w:vMerge w:val="continue"/>
                  <w:vAlign w:val="center"/>
                </w:tcPr>
                <w:p>
                  <w:pPr>
                    <w:shd w:val="clear"/>
                    <w:jc w:val="center"/>
                    <w:rPr>
                      <w:rFonts w:hint="default" w:ascii="Times New Roman" w:hAnsi="Times New Roman" w:eastAsia="宋体" w:cs="Times New Roman"/>
                      <w:color w:val="auto"/>
                      <w:kern w:val="0"/>
                      <w:szCs w:val="21"/>
                    </w:rPr>
                  </w:pPr>
                </w:p>
              </w:tc>
              <w:tc>
                <w:tcPr>
                  <w:tcW w:w="1004"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一般工业固废</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钢材</w:t>
                  </w:r>
                  <w:r>
                    <w:rPr>
                      <w:rFonts w:hint="default" w:ascii="Times New Roman" w:hAnsi="Times New Roman" w:eastAsia="宋体" w:cs="Times New Roman"/>
                      <w:color w:val="auto"/>
                      <w:kern w:val="0"/>
                      <w:szCs w:val="21"/>
                    </w:rPr>
                    <w:t>下脚料</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外售处理</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8" w:type="pct"/>
                  <w:gridSpan w:val="2"/>
                  <w:vMerge w:val="continue"/>
                  <w:vAlign w:val="center"/>
                </w:tcPr>
                <w:p>
                  <w:pPr>
                    <w:shd w:val="clear"/>
                    <w:jc w:val="center"/>
                    <w:rPr>
                      <w:rFonts w:hint="default" w:ascii="Times New Roman" w:hAnsi="Times New Roman" w:eastAsia="宋体" w:cs="Times New Roman"/>
                      <w:color w:val="auto"/>
                      <w:kern w:val="0"/>
                      <w:szCs w:val="21"/>
                    </w:rPr>
                  </w:pPr>
                </w:p>
              </w:tc>
              <w:tc>
                <w:tcPr>
                  <w:tcW w:w="1004" w:type="pct"/>
                  <w:vMerge w:val="continue"/>
                  <w:vAlign w:val="center"/>
                </w:tcPr>
                <w:p>
                  <w:pPr>
                    <w:shd w:val="clear"/>
                    <w:jc w:val="center"/>
                    <w:rPr>
                      <w:rFonts w:hint="default" w:ascii="Times New Roman" w:hAnsi="Times New Roman" w:eastAsia="宋体" w:cs="Times New Roman"/>
                      <w:color w:val="auto"/>
                      <w:kern w:val="0"/>
                      <w:szCs w:val="21"/>
                    </w:rPr>
                  </w:pPr>
                </w:p>
              </w:tc>
              <w:tc>
                <w:tcPr>
                  <w:tcW w:w="1139"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废焊头和焊渣</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外售处理</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Merge w:val="continue"/>
                  <w:vAlign w:val="center"/>
                </w:tcPr>
                <w:p>
                  <w:pPr>
                    <w:shd w:val="clear"/>
                    <w:jc w:val="center"/>
                    <w:rPr>
                      <w:rFonts w:hint="default" w:ascii="Times New Roman" w:hAnsi="Times New Roman" w:eastAsia="宋体" w:cs="Times New Roman"/>
                      <w:color w:val="auto"/>
                      <w:kern w:val="0"/>
                      <w:szCs w:val="21"/>
                    </w:rPr>
                  </w:pPr>
                </w:p>
              </w:tc>
              <w:tc>
                <w:tcPr>
                  <w:tcW w:w="1004" w:type="pct"/>
                  <w:vMerge w:val="continue"/>
                  <w:vAlign w:val="center"/>
                </w:tcPr>
                <w:p>
                  <w:pPr>
                    <w:shd w:val="clear"/>
                    <w:jc w:val="center"/>
                    <w:rPr>
                      <w:rFonts w:hint="default" w:ascii="Times New Roman" w:hAnsi="Times New Roman" w:eastAsia="宋体" w:cs="Times New Roman"/>
                      <w:color w:val="auto"/>
                      <w:kern w:val="0"/>
                      <w:szCs w:val="21"/>
                    </w:rPr>
                  </w:pPr>
                </w:p>
              </w:tc>
              <w:tc>
                <w:tcPr>
                  <w:tcW w:w="113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脉冲式布袋除尘器收尘</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外售处理</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Merge w:val="continue"/>
                  <w:vAlign w:val="center"/>
                </w:tcPr>
                <w:p>
                  <w:pPr>
                    <w:shd w:val="clear"/>
                    <w:jc w:val="center"/>
                    <w:rPr>
                      <w:rFonts w:hint="default" w:ascii="Times New Roman" w:hAnsi="Times New Roman" w:eastAsia="宋体" w:cs="Times New Roman"/>
                      <w:color w:val="auto"/>
                      <w:kern w:val="0"/>
                      <w:szCs w:val="21"/>
                    </w:rPr>
                  </w:pPr>
                </w:p>
              </w:tc>
              <w:tc>
                <w:tcPr>
                  <w:tcW w:w="1004" w:type="pct"/>
                  <w:vMerge w:val="continue"/>
                  <w:vAlign w:val="center"/>
                </w:tcPr>
                <w:p>
                  <w:pPr>
                    <w:shd w:val="clear"/>
                    <w:jc w:val="center"/>
                    <w:rPr>
                      <w:rFonts w:hint="default" w:ascii="Times New Roman" w:hAnsi="Times New Roman" w:eastAsia="宋体" w:cs="Times New Roman"/>
                      <w:color w:val="auto"/>
                      <w:kern w:val="0"/>
                      <w:szCs w:val="21"/>
                    </w:rPr>
                  </w:pPr>
                </w:p>
              </w:tc>
              <w:tc>
                <w:tcPr>
                  <w:tcW w:w="113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循环水池沉淀物</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外售处理</w:t>
                  </w:r>
                </w:p>
              </w:tc>
              <w:tc>
                <w:tcPr>
                  <w:tcW w:w="72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gridSpan w:val="2"/>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00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各种机械设备运行</w:t>
                  </w:r>
                </w:p>
              </w:tc>
              <w:tc>
                <w:tcPr>
                  <w:tcW w:w="113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624"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采用低噪音设备、隔声、基础减振等措施降噪</w:t>
                  </w:r>
                </w:p>
              </w:tc>
              <w:tc>
                <w:tcPr>
                  <w:tcW w:w="72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r>
          </w:tbl>
          <w:p>
            <w:pPr>
              <w:pStyle w:val="2"/>
              <w:keepNext w:val="0"/>
              <w:keepLines w:val="0"/>
              <w:pageBreakBefore w:val="0"/>
              <w:widowControl w:val="0"/>
              <w:shd w:val="clear"/>
              <w:kinsoku/>
              <w:wordWrap/>
              <w:overflowPunct/>
              <w:topLinePunct w:val="0"/>
              <w:autoSpaceDE/>
              <w:autoSpaceDN/>
              <w:bidi w:val="0"/>
              <w:adjustRightInd/>
              <w:snapToGrid/>
              <w:spacing w:before="157" w:beforeLines="50" w:after="0" w:line="360" w:lineRule="auto"/>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新诚泰机械设备有限公司项目</w:t>
            </w:r>
            <w:r>
              <w:rPr>
                <w:rFonts w:hint="default" w:ascii="Times New Roman" w:hAnsi="Times New Roman" w:eastAsia="宋体" w:cs="Times New Roman"/>
                <w:color w:val="auto"/>
                <w:sz w:val="24"/>
                <w:szCs w:val="24"/>
                <w:lang w:val="en-US" w:eastAsia="zh-CN"/>
              </w:rPr>
              <w:t>产排污情况</w:t>
            </w:r>
          </w:p>
          <w:p>
            <w:pPr>
              <w:pStyle w:val="2"/>
              <w:shd w:val="clear"/>
              <w:spacing w:after="0" w:line="360" w:lineRule="auto"/>
              <w:ind w:left="0" w:leftChars="0"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1、废气</w:t>
            </w:r>
          </w:p>
          <w:p>
            <w:pPr>
              <w:shd w:val="clear"/>
              <w:spacing w:line="360" w:lineRule="auto"/>
              <w:ind w:firstLine="480" w:firstLineChars="200"/>
              <w:rPr>
                <w:rFonts w:hint="default" w:ascii="Times New Roman" w:hAnsi="Times New Roman" w:eastAsia="宋体" w:cs="Times New Roman"/>
                <w:color w:val="auto"/>
                <w:kern w:val="0"/>
                <w:sz w:val="24"/>
              </w:rPr>
            </w:pP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rPr>
              <w:t>项目废气主要为初加工工序切割粉尘、焊接工序焊烟、抛丸工序抛丸粉尘、喷塑工序喷塑粉尘、衬塑工序VOCs及固化工序VOCs。项目总共设计5个集气罩，分别位于切割机、等离子切割机、抛丸机、衬塑工序热风炉、固化工序热风炉上方。集气罩尺寸为0.5m×0.5m。其中初加工工序切割粉尘、抛丸工序抛丸粉尘经集气罩收入脉冲式布袋除尘器处理后通过P1排气筒有组织排放，喷塑工序喷塑粉尘经滤芯回收+滤芯除尘器处理后由连接管道直接通过P1排气筒有组织排放；衬塑工序VOCs及固化工序VOCs经集气罩收入二级活性炭吸附装置处理后通过P2排气筒有组织排放。</w:t>
            </w:r>
          </w:p>
          <w:p>
            <w:pPr>
              <w:pStyle w:val="2"/>
              <w:shd w:val="clea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Cs w:val="24"/>
              </w:rPr>
              <w:t>表2-</w:t>
            </w:r>
            <w:r>
              <w:rPr>
                <w:rFonts w:hint="default" w:ascii="Times New Roman" w:hAnsi="Times New Roman" w:eastAsia="宋体" w:cs="Times New Roman"/>
                <w:b/>
                <w:bCs/>
                <w:color w:val="auto"/>
                <w:kern w:val="0"/>
                <w:szCs w:val="24"/>
                <w:lang w:val="en-US" w:eastAsia="zh-CN"/>
              </w:rPr>
              <w:t xml:space="preserve">12 </w:t>
            </w:r>
            <w:r>
              <w:rPr>
                <w:rFonts w:hint="eastAsia" w:cs="Times New Roman"/>
                <w:b/>
                <w:bCs/>
                <w:color w:val="auto"/>
                <w:kern w:val="0"/>
                <w:szCs w:val="24"/>
                <w:lang w:val="en-US" w:eastAsia="zh-CN"/>
              </w:rPr>
              <w:t>现有</w:t>
            </w:r>
            <w:r>
              <w:rPr>
                <w:rFonts w:hint="default" w:ascii="Times New Roman" w:hAnsi="Times New Roman" w:eastAsia="宋体" w:cs="Times New Roman"/>
                <w:b/>
                <w:bCs/>
                <w:color w:val="auto"/>
                <w:kern w:val="0"/>
                <w:szCs w:val="24"/>
                <w:lang w:eastAsia="zh-CN"/>
              </w:rPr>
              <w:t>项目</w:t>
            </w:r>
            <w:r>
              <w:rPr>
                <w:rFonts w:hint="default" w:ascii="Times New Roman" w:hAnsi="Times New Roman" w:eastAsia="宋体" w:cs="Times New Roman"/>
                <w:b/>
                <w:bCs/>
                <w:color w:val="auto"/>
                <w:kern w:val="0"/>
                <w:szCs w:val="24"/>
              </w:rPr>
              <w:t>污染物</w:t>
            </w:r>
            <w:r>
              <w:rPr>
                <w:rFonts w:hint="default" w:ascii="Times New Roman" w:hAnsi="Times New Roman" w:eastAsia="宋体" w:cs="Times New Roman"/>
                <w:b/>
                <w:bCs/>
                <w:color w:val="auto"/>
                <w:kern w:val="0"/>
                <w:szCs w:val="24"/>
                <w:lang w:val="en-US" w:eastAsia="zh-CN"/>
              </w:rPr>
              <w:t>产生</w:t>
            </w:r>
            <w:r>
              <w:rPr>
                <w:rFonts w:hint="default" w:ascii="Times New Roman" w:hAnsi="Times New Roman" w:eastAsia="宋体" w:cs="Times New Roman"/>
                <w:b/>
                <w:bCs/>
                <w:color w:val="auto"/>
                <w:kern w:val="0"/>
                <w:szCs w:val="24"/>
              </w:rPr>
              <w:t>排放情况</w:t>
            </w:r>
          </w:p>
          <w:tbl>
            <w:tblPr>
              <w:tblStyle w:val="22"/>
              <w:tblW w:w="48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
              <w:gridCol w:w="646"/>
              <w:gridCol w:w="1081"/>
              <w:gridCol w:w="1303"/>
              <w:gridCol w:w="1190"/>
              <w:gridCol w:w="1117"/>
              <w:gridCol w:w="1190"/>
              <w:gridCol w:w="1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rPr>
                    <w:t>产污</w:t>
                  </w:r>
                  <w:r>
                    <w:rPr>
                      <w:rFonts w:hint="default" w:ascii="Times New Roman" w:hAnsi="Times New Roman" w:eastAsia="宋体" w:cs="Times New Roman"/>
                      <w:b/>
                      <w:bCs/>
                      <w:color w:val="auto"/>
                      <w:kern w:val="0"/>
                      <w:sz w:val="21"/>
                      <w:szCs w:val="21"/>
                      <w:lang w:eastAsia="zh-CN"/>
                    </w:rPr>
                    <w:t>节点</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初加工</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焊接</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抛丸</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喷塑</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衬塑</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固化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污染物种类</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焊烟</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VOCs</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VOCs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污染物产生浓度</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eastAsia="zh-CN"/>
                    </w:rPr>
                    <w:t>）</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28.72</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48.88</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37.94</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0.39</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污染物产生量</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t/a</w:t>
                  </w:r>
                  <w:r>
                    <w:rPr>
                      <w:rFonts w:hint="default" w:ascii="Times New Roman" w:hAnsi="Times New Roman" w:eastAsia="宋体" w:cs="Times New Roman"/>
                      <w:color w:val="auto"/>
                      <w:kern w:val="0"/>
                      <w:sz w:val="21"/>
                      <w:szCs w:val="21"/>
                      <w:lang w:eastAsia="zh-CN"/>
                    </w:rPr>
                    <w:t>）</w:t>
                  </w:r>
                </w:p>
              </w:tc>
              <w:tc>
                <w:tcPr>
                  <w:tcW w:w="65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0.193</w:t>
                  </w:r>
                </w:p>
              </w:tc>
              <w:tc>
                <w:tcPr>
                  <w:tcW w:w="791"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0.176</w:t>
                  </w:r>
                </w:p>
              </w:tc>
              <w:tc>
                <w:tcPr>
                  <w:tcW w:w="723"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0.3285</w:t>
                  </w:r>
                </w:p>
              </w:tc>
              <w:tc>
                <w:tcPr>
                  <w:tcW w:w="678"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0.255</w:t>
                  </w:r>
                </w:p>
              </w:tc>
              <w:tc>
                <w:tcPr>
                  <w:tcW w:w="723"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0.00175</w:t>
                  </w:r>
                </w:p>
              </w:tc>
              <w:tc>
                <w:tcPr>
                  <w:tcW w:w="800"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排放形式</w:t>
                  </w:r>
                </w:p>
              </w:tc>
              <w:tc>
                <w:tcPr>
                  <w:tcW w:w="656"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有组织连续</w:t>
                  </w:r>
                </w:p>
              </w:tc>
              <w:tc>
                <w:tcPr>
                  <w:tcW w:w="791"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无组织连续</w:t>
                  </w:r>
                </w:p>
              </w:tc>
              <w:tc>
                <w:tcPr>
                  <w:tcW w:w="723" w:type="pct"/>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有组织连续</w:t>
                  </w:r>
                </w:p>
              </w:tc>
              <w:tc>
                <w:tcPr>
                  <w:tcW w:w="678" w:type="pct"/>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有组织连续</w:t>
                  </w:r>
                </w:p>
              </w:tc>
              <w:tc>
                <w:tcPr>
                  <w:tcW w:w="723" w:type="pct"/>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有组织连续</w:t>
                  </w:r>
                </w:p>
              </w:tc>
              <w:tc>
                <w:tcPr>
                  <w:tcW w:w="800" w:type="pct"/>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有组织连续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排放时长h</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restar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治理措施</w:t>
                  </w: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措施名称</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脉冲式布袋除尘</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移动式焊烟净化器</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脉冲式布袋除尘</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滤芯回收+滤芯除尘器</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eastAsia="zh-CN"/>
                    </w:rPr>
                    <w:t>二级活性炭吸附</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eastAsia="zh-CN"/>
                    </w:rPr>
                    <w:t>二级活性炭吸附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处理能力</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bCs/>
                      <w:color w:val="auto"/>
                      <w:kern w:val="0"/>
                      <w:sz w:val="21"/>
                      <w:szCs w:val="21"/>
                      <w:lang w:val="en-US" w:eastAsia="zh-CN"/>
                    </w:rPr>
                    <w:t>m</w:t>
                  </w:r>
                  <w:r>
                    <w:rPr>
                      <w:rFonts w:hint="default" w:ascii="Times New Roman" w:hAnsi="Times New Roman" w:eastAsia="宋体" w:cs="Times New Roman"/>
                      <w:bCs/>
                      <w:color w:val="auto"/>
                      <w:kern w:val="0"/>
                      <w:sz w:val="21"/>
                      <w:szCs w:val="21"/>
                      <w:vertAlign w:val="superscript"/>
                      <w:lang w:val="en-US" w:eastAsia="zh-CN"/>
                    </w:rPr>
                    <w:t>3</w:t>
                  </w:r>
                  <w:r>
                    <w:rPr>
                      <w:rFonts w:hint="default" w:ascii="Times New Roman" w:hAnsi="Times New Roman" w:eastAsia="宋体" w:cs="Times New Roman"/>
                      <w:bCs/>
                      <w:color w:val="auto"/>
                      <w:kern w:val="0"/>
                      <w:sz w:val="21"/>
                      <w:szCs w:val="21"/>
                      <w:lang w:val="en-US" w:eastAsia="zh-CN"/>
                    </w:rPr>
                    <w:t>/h</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bCs/>
                      <w:color w:val="auto"/>
                      <w:kern w:val="0"/>
                      <w:sz w:val="21"/>
                      <w:szCs w:val="21"/>
                      <w:lang w:val="en-US" w:eastAsia="zh-CN"/>
                    </w:rPr>
                    <w:t>m</w:t>
                  </w:r>
                  <w:r>
                    <w:rPr>
                      <w:rFonts w:hint="default" w:ascii="Times New Roman" w:hAnsi="Times New Roman" w:eastAsia="宋体" w:cs="Times New Roman"/>
                      <w:bCs/>
                      <w:color w:val="auto"/>
                      <w:kern w:val="0"/>
                      <w:sz w:val="21"/>
                      <w:szCs w:val="21"/>
                      <w:vertAlign w:val="superscript"/>
                      <w:lang w:val="en-US" w:eastAsia="zh-CN"/>
                    </w:rPr>
                    <w:t>3</w:t>
                  </w:r>
                  <w:r>
                    <w:rPr>
                      <w:rFonts w:hint="default" w:ascii="Times New Roman" w:hAnsi="Times New Roman" w:eastAsia="宋体" w:cs="Times New Roman"/>
                      <w:bCs/>
                      <w:color w:val="auto"/>
                      <w:kern w:val="0"/>
                      <w:sz w:val="21"/>
                      <w:szCs w:val="21"/>
                      <w:lang w:val="en-US" w:eastAsia="zh-CN"/>
                    </w:rPr>
                    <w:t>/h</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bCs/>
                      <w:color w:val="auto"/>
                      <w:kern w:val="0"/>
                      <w:sz w:val="21"/>
                      <w:szCs w:val="21"/>
                      <w:lang w:val="en-US" w:eastAsia="zh-CN"/>
                    </w:rPr>
                    <w:t>m</w:t>
                  </w:r>
                  <w:r>
                    <w:rPr>
                      <w:rFonts w:hint="default" w:ascii="Times New Roman" w:hAnsi="Times New Roman" w:eastAsia="宋体" w:cs="Times New Roman"/>
                      <w:bCs/>
                      <w:color w:val="auto"/>
                      <w:kern w:val="0"/>
                      <w:sz w:val="21"/>
                      <w:szCs w:val="21"/>
                      <w:vertAlign w:val="superscript"/>
                      <w:lang w:val="en-US" w:eastAsia="zh-CN"/>
                    </w:rPr>
                    <w:t>3</w:t>
                  </w:r>
                  <w:r>
                    <w:rPr>
                      <w:rFonts w:hint="default" w:ascii="Times New Roman" w:hAnsi="Times New Roman" w:eastAsia="宋体" w:cs="Times New Roman"/>
                      <w:bCs/>
                      <w:color w:val="auto"/>
                      <w:kern w:val="0"/>
                      <w:sz w:val="21"/>
                      <w:szCs w:val="21"/>
                      <w:lang w:val="en-US" w:eastAsia="zh-CN"/>
                    </w:rPr>
                    <w:t>/h</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1000m</w:t>
                  </w:r>
                  <w:r>
                    <w:rPr>
                      <w:rFonts w:hint="default" w:ascii="Times New Roman" w:hAnsi="Times New Roman" w:eastAsia="宋体" w:cs="Times New Roman"/>
                      <w:bCs/>
                      <w:color w:val="auto"/>
                      <w:kern w:val="0"/>
                      <w:sz w:val="21"/>
                      <w:szCs w:val="21"/>
                      <w:vertAlign w:val="superscript"/>
                      <w:lang w:val="en-US" w:eastAsia="zh-CN"/>
                    </w:rPr>
                    <w:t>3</w:t>
                  </w:r>
                  <w:r>
                    <w:rPr>
                      <w:rFonts w:hint="default" w:ascii="Times New Roman" w:hAnsi="Times New Roman" w:eastAsia="宋体" w:cs="Times New Roman"/>
                      <w:bCs/>
                      <w:color w:val="auto"/>
                      <w:kern w:val="0"/>
                      <w:sz w:val="21"/>
                      <w:szCs w:val="21"/>
                      <w:lang w:val="en-US" w:eastAsia="zh-CN"/>
                    </w:rPr>
                    <w:t>/h</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1000m</w:t>
                  </w:r>
                  <w:r>
                    <w:rPr>
                      <w:rFonts w:hint="default" w:ascii="Times New Roman" w:hAnsi="Times New Roman" w:eastAsia="宋体" w:cs="Times New Roman"/>
                      <w:bCs/>
                      <w:color w:val="auto"/>
                      <w:kern w:val="0"/>
                      <w:sz w:val="21"/>
                      <w:szCs w:val="21"/>
                      <w:vertAlign w:val="superscript"/>
                      <w:lang w:val="en-US" w:eastAsia="zh-CN"/>
                    </w:rPr>
                    <w:t>3</w:t>
                  </w:r>
                  <w:r>
                    <w:rPr>
                      <w:rFonts w:hint="default" w:ascii="Times New Roman" w:hAnsi="Times New Roman" w:eastAsia="宋体" w:cs="Times New Roman"/>
                      <w:bCs/>
                      <w:color w:val="auto"/>
                      <w:kern w:val="0"/>
                      <w:sz w:val="21"/>
                      <w:szCs w:val="21"/>
                      <w:lang w:val="en-US" w:eastAsia="zh-CN"/>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是否可行技术</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是</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是</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是</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是</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收集效率%</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去除效率%</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污染物排放</w:t>
                  </w:r>
                  <w:r>
                    <w:rPr>
                      <w:rFonts w:hint="default" w:ascii="Times New Roman" w:hAnsi="Times New Roman" w:eastAsia="宋体" w:cs="Times New Roman"/>
                      <w:color w:val="auto"/>
                      <w:kern w:val="0"/>
                      <w:sz w:val="21"/>
                      <w:szCs w:val="21"/>
                      <w:lang w:eastAsia="zh-CN"/>
                    </w:rPr>
                    <w:t>浓度（</w:t>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eastAsia="zh-CN"/>
                    </w:rPr>
                    <w:t>）</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1.29</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0.035</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eastAsia="zh-CN"/>
                    </w:rPr>
                    <w:t>速率（</w:t>
                  </w:r>
                  <w:r>
                    <w:rPr>
                      <w:rFonts w:hint="default" w:ascii="Times New Roman" w:hAnsi="Times New Roman" w:eastAsia="宋体" w:cs="Times New Roman"/>
                      <w:color w:val="auto"/>
                      <w:kern w:val="0"/>
                      <w:sz w:val="21"/>
                      <w:szCs w:val="21"/>
                      <w:lang w:val="en-US" w:eastAsia="zh-CN"/>
                    </w:rPr>
                    <w:t>kg/h</w:t>
                  </w:r>
                  <w:r>
                    <w:rPr>
                      <w:rFonts w:hint="default" w:ascii="Times New Roman" w:hAnsi="Times New Roman" w:eastAsia="宋体" w:cs="Times New Roman"/>
                      <w:color w:val="auto"/>
                      <w:kern w:val="0"/>
                      <w:sz w:val="21"/>
                      <w:szCs w:val="21"/>
                      <w:lang w:eastAsia="zh-CN"/>
                    </w:rPr>
                    <w:t>）</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0.002</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0.006</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0.0013</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0.00004</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排放量</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t/a</w:t>
                  </w:r>
                  <w:r>
                    <w:rPr>
                      <w:rFonts w:hint="default" w:ascii="Times New Roman" w:hAnsi="Times New Roman" w:eastAsia="宋体" w:cs="Times New Roman"/>
                      <w:color w:val="auto"/>
                      <w:kern w:val="0"/>
                      <w:sz w:val="21"/>
                      <w:szCs w:val="21"/>
                      <w:lang w:eastAsia="zh-CN"/>
                    </w:rPr>
                    <w:t>）</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0.0087</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0.026</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0.0148</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0.012</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0.00016</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25" w:type="pct"/>
                  <w:gridSpan w:val="2"/>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是否达标排放</w:t>
                  </w:r>
                </w:p>
              </w:tc>
              <w:tc>
                <w:tcPr>
                  <w:tcW w:w="656"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791"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678"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723"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c>
                <w:tcPr>
                  <w:tcW w:w="800" w:type="pct"/>
                  <w:tcBorders>
                    <w:right w:val="single" w:color="auto" w:sz="4" w:space="0"/>
                  </w:tcBorders>
                  <w:vAlign w:val="center"/>
                </w:tcPr>
                <w:p>
                  <w:pPr>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restar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排放口基本情况</w:t>
                  </w: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编号</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P1</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P1</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P1</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P2</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排气筒</w:t>
                  </w:r>
                  <w:r>
                    <w:rPr>
                      <w:rFonts w:hint="default" w:ascii="Times New Roman" w:hAnsi="Times New Roman" w:eastAsia="宋体" w:cs="Times New Roman"/>
                      <w:color w:val="auto"/>
                      <w:kern w:val="0"/>
                      <w:sz w:val="21"/>
                      <w:szCs w:val="21"/>
                      <w:lang w:val="en-US" w:eastAsia="zh-CN"/>
                    </w:rPr>
                    <w:t>P1</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车间</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排气筒</w:t>
                  </w:r>
                  <w:r>
                    <w:rPr>
                      <w:rFonts w:hint="default" w:ascii="Times New Roman" w:hAnsi="Times New Roman" w:eastAsia="宋体" w:cs="Times New Roman"/>
                      <w:color w:val="auto"/>
                      <w:kern w:val="0"/>
                      <w:sz w:val="21"/>
                      <w:szCs w:val="21"/>
                      <w:lang w:val="en-US" w:eastAsia="zh-CN"/>
                    </w:rPr>
                    <w:t>P1</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排气筒</w:t>
                  </w:r>
                  <w:r>
                    <w:rPr>
                      <w:rFonts w:hint="default" w:ascii="Times New Roman" w:hAnsi="Times New Roman" w:eastAsia="宋体" w:cs="Times New Roman"/>
                      <w:color w:val="auto"/>
                      <w:kern w:val="0"/>
                      <w:sz w:val="21"/>
                      <w:szCs w:val="21"/>
                      <w:lang w:val="en-US" w:eastAsia="zh-CN"/>
                    </w:rPr>
                    <w:t>P1</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排气筒</w:t>
                  </w:r>
                  <w:r>
                    <w:rPr>
                      <w:rFonts w:hint="default" w:ascii="Times New Roman" w:hAnsi="Times New Roman" w:eastAsia="宋体" w:cs="Times New Roman"/>
                      <w:color w:val="auto"/>
                      <w:kern w:val="0"/>
                      <w:sz w:val="21"/>
                      <w:szCs w:val="21"/>
                      <w:lang w:val="en-US" w:eastAsia="zh-CN"/>
                    </w:rPr>
                    <w:t>P2</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排气筒</w:t>
                  </w:r>
                  <w:r>
                    <w:rPr>
                      <w:rFonts w:hint="default" w:ascii="Times New Roman" w:hAnsi="Times New Roman" w:eastAsia="宋体" w:cs="Times New Roman"/>
                      <w:color w:val="auto"/>
                      <w:kern w:val="0"/>
                      <w:sz w:val="21"/>
                      <w:szCs w:val="21"/>
                      <w:lang w:val="en-US" w:eastAsia="zh-CN"/>
                    </w:rPr>
                    <w:t>P2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坐标</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117.83918</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36.735269</w:t>
                  </w:r>
                  <w:r>
                    <w:rPr>
                      <w:rFonts w:hint="default" w:ascii="Times New Roman" w:hAnsi="Times New Roman" w:eastAsia="宋体" w:cs="Times New Roman"/>
                      <w:b w:val="0"/>
                      <w:color w:val="auto"/>
                      <w:sz w:val="21"/>
                      <w:szCs w:val="21"/>
                      <w:lang w:val="en-US" w:eastAsia="zh-CN"/>
                    </w:rPr>
                    <w:t>°</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117.838754</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36.735265</w:t>
                  </w:r>
                  <w:r>
                    <w:rPr>
                      <w:rFonts w:hint="default" w:ascii="Times New Roman" w:hAnsi="Times New Roman" w:eastAsia="宋体" w:cs="Times New Roman"/>
                      <w:b w:val="0"/>
                      <w:color w:val="auto"/>
                      <w:sz w:val="21"/>
                      <w:szCs w:val="21"/>
                      <w:lang w:val="en-US"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117.83918</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36.735269</w:t>
                  </w:r>
                  <w:r>
                    <w:rPr>
                      <w:rFonts w:hint="default" w:ascii="Times New Roman" w:hAnsi="Times New Roman" w:eastAsia="宋体" w:cs="Times New Roman"/>
                      <w:b w:val="0"/>
                      <w:color w:val="auto"/>
                      <w:sz w:val="21"/>
                      <w:szCs w:val="21"/>
                      <w:lang w:val="en-US" w:eastAsia="zh-CN"/>
                    </w:rPr>
                    <w:t>°</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117.838754</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36.735265</w:t>
                  </w:r>
                  <w:r>
                    <w:rPr>
                      <w:rFonts w:hint="default" w:ascii="Times New Roman" w:hAnsi="Times New Roman" w:eastAsia="宋体" w:cs="Times New Roman"/>
                      <w:b w:val="0"/>
                      <w:color w:val="auto"/>
                      <w:sz w:val="21"/>
                      <w:szCs w:val="21"/>
                      <w:lang w:val="en-US"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117.83918</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36.735269</w:t>
                  </w:r>
                  <w:r>
                    <w:rPr>
                      <w:rFonts w:hint="default" w:ascii="Times New Roman" w:hAnsi="Times New Roman" w:eastAsia="宋体" w:cs="Times New Roman"/>
                      <w:b w:val="0"/>
                      <w:color w:val="auto"/>
                      <w:sz w:val="21"/>
                      <w:szCs w:val="21"/>
                      <w:lang w:val="en-US" w:eastAsia="zh-CN"/>
                    </w:rPr>
                    <w:t>°</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东经</w:t>
                  </w:r>
                  <w:r>
                    <w:rPr>
                      <w:rFonts w:hint="default" w:ascii="Times New Roman" w:hAnsi="Times New Roman" w:eastAsia="宋体" w:cs="Times New Roman"/>
                      <w:b w:val="0"/>
                      <w:color w:val="auto"/>
                      <w:sz w:val="21"/>
                      <w:szCs w:val="21"/>
                    </w:rPr>
                    <w:t>117.83918</w:t>
                  </w:r>
                  <w:r>
                    <w:rPr>
                      <w:rFonts w:hint="default" w:ascii="Times New Roman" w:hAnsi="Times New Roman" w:eastAsia="宋体" w:cs="Times New Roman"/>
                      <w:b w:val="0"/>
                      <w:color w:val="auto"/>
                      <w:sz w:val="21"/>
                      <w:szCs w:val="21"/>
                      <w:lang w:val="en-US" w:eastAsia="zh-CN"/>
                    </w:rPr>
                    <w:t>°北纬</w:t>
                  </w:r>
                  <w:r>
                    <w:rPr>
                      <w:rFonts w:hint="default" w:ascii="Times New Roman" w:hAnsi="Times New Roman" w:eastAsia="宋体" w:cs="Times New Roman"/>
                      <w:b w:val="0"/>
                      <w:color w:val="auto"/>
                      <w:sz w:val="21"/>
                      <w:szCs w:val="21"/>
                    </w:rPr>
                    <w:t>36.735269</w:t>
                  </w:r>
                  <w:r>
                    <w:rPr>
                      <w:rFonts w:hint="default" w:ascii="Times New Roman" w:hAnsi="Times New Roman" w:eastAsia="宋体" w:cs="Times New Roman"/>
                      <w:b w:val="0"/>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排放口类型</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高度m</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内径m</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2" w:type="pct"/>
                  <w:vMerge w:val="continue"/>
                  <w:tcBorders>
                    <w:top w:val="nil"/>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p>
              </w:tc>
              <w:tc>
                <w:tcPr>
                  <w:tcW w:w="392" w:type="pct"/>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温度℃</w:t>
                  </w:r>
                </w:p>
              </w:tc>
              <w:tc>
                <w:tcPr>
                  <w:tcW w:w="656"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791"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w:t>
                  </w:r>
                </w:p>
              </w:tc>
              <w:tc>
                <w:tcPr>
                  <w:tcW w:w="678"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w:t>
                  </w:r>
                </w:p>
              </w:tc>
              <w:tc>
                <w:tcPr>
                  <w:tcW w:w="723"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w:t>
                  </w:r>
                </w:p>
              </w:tc>
              <w:tc>
                <w:tcPr>
                  <w:tcW w:w="800" w:type="pct"/>
                  <w:tcBorders>
                    <w:right w:val="single" w:color="auto" w:sz="4" w:space="0"/>
                  </w:tcBorders>
                  <w:vAlign w:val="center"/>
                </w:tcPr>
                <w:p>
                  <w:pPr>
                    <w:pStyle w:val="30"/>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w:t>
                  </w:r>
                </w:p>
              </w:tc>
            </w:tr>
          </w:tbl>
          <w:p>
            <w:pPr>
              <w:shd w:val="clear"/>
              <w:adjustRightInd w:val="0"/>
              <w:snapToGrid w:val="0"/>
              <w:ind w:firstLine="4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0"/>
                <w:szCs w:val="20"/>
              </w:rPr>
              <w:t>备注：根据《排污许可证申请与核发技术规范 总则》（HJ942-2018），有机废气收集治理设施采用焚烧、吸附、催化分解及其他措施，两级活性炭吸附装置吸附属于可行技术。</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2、废水</w:t>
            </w:r>
          </w:p>
          <w:p>
            <w:pPr>
              <w:shd w:val="clear"/>
              <w:spacing w:line="360" w:lineRule="auto"/>
              <w:ind w:firstLine="480" w:firstLineChars="200"/>
              <w:rPr>
                <w:rFonts w:hint="default" w:ascii="Times New Roman" w:hAnsi="Times New Roman" w:eastAsia="宋体" w:cs="Times New Roman"/>
                <w:color w:val="auto"/>
                <w:kern w:val="0"/>
                <w:sz w:val="24"/>
              </w:rPr>
            </w:pP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rPr>
              <w:t>项目无生产废水外排；</w:t>
            </w: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rPr>
              <w:t>项目建成后全厂废水主要为生活污水和切削液稀释废水，生活污水产生量按用水量的80%计，约为268.8m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/a；切削液稀释废水为0.22t/a，作为危废委托有危废资质单位处理，不外排。生活污水主要污染物浓度为CODcr：350mg/L，NH3-N：35mg/L，各主要污染物产生量为CODcr：0.164t/a，NH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-N：0.0164/a，生活污水经化粪池暂存后用作周边农田农肥。因此，</w:t>
            </w: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rPr>
              <w:t>项目对周边地表水环境影响较小。</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3、固体废物</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lang w:eastAsia="zh-CN"/>
              </w:rPr>
              <w:t>项目</w:t>
            </w:r>
            <w:r>
              <w:rPr>
                <w:rFonts w:hint="default" w:ascii="Times New Roman" w:hAnsi="Times New Roman" w:eastAsia="宋体" w:cs="Times New Roman"/>
                <w:color w:val="auto"/>
                <w:kern w:val="0"/>
                <w:sz w:val="24"/>
              </w:rPr>
              <w:t>固体废物主要为一般固废</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危险废物</w:t>
            </w:r>
            <w:r>
              <w:rPr>
                <w:rFonts w:hint="default" w:ascii="Times New Roman" w:hAnsi="Times New Roman" w:eastAsia="宋体" w:cs="Times New Roman"/>
                <w:color w:val="auto"/>
                <w:kern w:val="0"/>
                <w:sz w:val="24"/>
                <w:lang w:eastAsia="zh-CN"/>
              </w:rPr>
              <w:t>和生活垃圾</w:t>
            </w:r>
            <w:r>
              <w:rPr>
                <w:rFonts w:hint="default" w:ascii="Times New Roman" w:hAnsi="Times New Roman" w:eastAsia="宋体" w:cs="Times New Roman"/>
                <w:color w:val="auto"/>
                <w:kern w:val="0"/>
                <w:sz w:val="24"/>
              </w:rPr>
              <w:t>。其中一般工业固废为</w:t>
            </w:r>
            <w:r>
              <w:rPr>
                <w:rFonts w:hint="default" w:ascii="Times New Roman" w:hAnsi="Times New Roman" w:eastAsia="宋体" w:cs="Times New Roman"/>
                <w:color w:val="auto"/>
                <w:kern w:val="0"/>
                <w:sz w:val="24"/>
                <w:lang w:eastAsia="zh-CN"/>
              </w:rPr>
              <w:t>初加工过程产生的边角料（</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焊接过程产生的废焊条和焊渣（</w:t>
            </w:r>
            <w:r>
              <w:rPr>
                <w:rFonts w:hint="default" w:ascii="Times New Roman" w:hAnsi="Times New Roman" w:eastAsia="宋体" w:cs="Times New Roman"/>
                <w:color w:val="auto"/>
                <w:kern w:val="0"/>
                <w:sz w:val="24"/>
                <w:lang w:val="en-US" w:eastAsia="zh-CN"/>
              </w:rPr>
              <w:t>345-003-99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机床加工过程产生的金属碎屑（</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衬塑、喷塑过程产生的废包装材料（</w:t>
            </w:r>
            <w:r>
              <w:rPr>
                <w:rFonts w:hint="default" w:ascii="Times New Roman" w:hAnsi="Times New Roman" w:eastAsia="宋体" w:cs="Times New Roman"/>
                <w:color w:val="auto"/>
                <w:kern w:val="0"/>
                <w:sz w:val="24"/>
                <w:lang w:val="en-US" w:eastAsia="zh-CN"/>
              </w:rPr>
              <w:t>345-003-07</w:t>
            </w:r>
            <w:r>
              <w:rPr>
                <w:rFonts w:hint="default" w:ascii="Times New Roman" w:hAnsi="Times New Roman" w:eastAsia="宋体" w:cs="Times New Roman"/>
                <w:color w:val="auto"/>
                <w:kern w:val="0"/>
                <w:sz w:val="24"/>
                <w:lang w:eastAsia="zh-CN"/>
              </w:rPr>
              <w:t>）、脉冲式布袋除尘器收尘（</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）、焊烟净化器收尘（</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；危险废物主要为设备维修维护过程产生的含油废手套抹布（HW49，900-041-49）、废油桶（HW08，900-212-08）以及</w:t>
            </w:r>
            <w:r>
              <w:rPr>
                <w:rFonts w:hint="default" w:ascii="Times New Roman" w:hAnsi="Times New Roman" w:eastAsia="宋体" w:cs="Times New Roman"/>
                <w:color w:val="auto"/>
                <w:kern w:val="0"/>
                <w:sz w:val="24"/>
                <w:lang w:eastAsia="zh-CN"/>
              </w:rPr>
              <w:t>二级活性炭吸附装置</w:t>
            </w:r>
            <w:r>
              <w:rPr>
                <w:rFonts w:hint="default" w:ascii="Times New Roman" w:hAnsi="Times New Roman" w:eastAsia="宋体" w:cs="Times New Roman"/>
                <w:color w:val="auto"/>
                <w:kern w:val="0"/>
                <w:sz w:val="24"/>
              </w:rPr>
              <w:t>产生的废活性炭（HW49，900-039-49）</w:t>
            </w:r>
            <w:r>
              <w:rPr>
                <w:rFonts w:hint="default" w:ascii="Times New Roman" w:hAnsi="Times New Roman" w:eastAsia="宋体" w:cs="Times New Roman"/>
                <w:color w:val="auto"/>
                <w:kern w:val="0"/>
                <w:sz w:val="24"/>
                <w:lang w:eastAsia="zh-CN"/>
              </w:rPr>
              <w:t>、喷塑过程产生的废滤芯（</w:t>
            </w:r>
            <w:r>
              <w:rPr>
                <w:rFonts w:hint="default" w:ascii="Times New Roman" w:hAnsi="Times New Roman" w:eastAsia="宋体" w:cs="Times New Roman"/>
                <w:color w:val="auto"/>
                <w:kern w:val="0"/>
                <w:sz w:val="24"/>
                <w:lang w:val="en-US" w:eastAsia="zh-CN"/>
              </w:rPr>
              <w:t>HW49，900-041-49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w:t>
            </w:r>
            <w:r>
              <w:rPr>
                <w:rFonts w:hint="default" w:ascii="Times New Roman" w:hAnsi="Times New Roman" w:eastAsia="宋体" w:cs="Times New Roman"/>
                <w:color w:val="auto"/>
                <w:kern w:val="0"/>
                <w:sz w:val="24"/>
                <w:lang w:eastAsia="zh-CN"/>
              </w:rPr>
              <w:t>初加工过程产生的边角料（</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初加工</w:t>
            </w:r>
            <w:r>
              <w:rPr>
                <w:rFonts w:hint="default" w:ascii="Times New Roman" w:hAnsi="Times New Roman" w:eastAsia="宋体" w:cs="Times New Roman"/>
                <w:color w:val="auto"/>
                <w:kern w:val="0"/>
                <w:sz w:val="24"/>
              </w:rPr>
              <w:t>工序会产生一定量的</w:t>
            </w:r>
            <w:r>
              <w:rPr>
                <w:rFonts w:hint="default" w:ascii="Times New Roman" w:hAnsi="Times New Roman" w:eastAsia="宋体" w:cs="Times New Roman"/>
                <w:color w:val="auto"/>
                <w:kern w:val="0"/>
                <w:sz w:val="24"/>
                <w:lang w:eastAsia="zh-CN"/>
              </w:rPr>
              <w:t>边角料</w:t>
            </w:r>
            <w:r>
              <w:rPr>
                <w:rFonts w:hint="default" w:ascii="Times New Roman" w:hAnsi="Times New Roman" w:eastAsia="宋体" w:cs="Times New Roman"/>
                <w:color w:val="auto"/>
                <w:kern w:val="0"/>
                <w:sz w:val="24"/>
              </w:rPr>
              <w:t>，产生量</w:t>
            </w:r>
            <w:r>
              <w:rPr>
                <w:rFonts w:hint="default" w:ascii="Times New Roman" w:hAnsi="Times New Roman" w:eastAsia="宋体" w:cs="Times New Roman"/>
                <w:color w:val="auto"/>
                <w:kern w:val="0"/>
                <w:sz w:val="24"/>
                <w:lang w:eastAsia="zh-CN"/>
              </w:rPr>
              <w:t>约为用量的</w:t>
            </w:r>
            <w:r>
              <w:rPr>
                <w:rFonts w:hint="default" w:ascii="Times New Roman" w:hAnsi="Times New Roman" w:eastAsia="宋体" w:cs="Times New Roman"/>
                <w:color w:val="auto"/>
                <w:kern w:val="0"/>
                <w:sz w:val="24"/>
                <w:lang w:val="en-US" w:eastAsia="zh-CN"/>
              </w:rPr>
              <w:t>1.5%，约</w:t>
            </w:r>
            <w:r>
              <w:rPr>
                <w:rFonts w:hint="default" w:ascii="Times New Roman" w:hAnsi="Times New Roman" w:eastAsia="宋体" w:cs="Times New Roman"/>
                <w:color w:val="auto"/>
                <w:kern w:val="0"/>
                <w:sz w:val="24"/>
              </w:rPr>
              <w:t>为</w:t>
            </w:r>
            <w:r>
              <w:rPr>
                <w:rFonts w:hint="default" w:ascii="Times New Roman" w:hAnsi="Times New Roman" w:eastAsia="宋体" w:cs="Times New Roman"/>
                <w:color w:val="auto"/>
                <w:kern w:val="0"/>
                <w:sz w:val="24"/>
                <w:lang w:val="en-US" w:eastAsia="zh-CN"/>
              </w:rPr>
              <w:t>2.25</w:t>
            </w:r>
            <w:r>
              <w:rPr>
                <w:rFonts w:hint="default" w:ascii="Times New Roman" w:hAnsi="Times New Roman" w:eastAsia="宋体" w:cs="Times New Roman"/>
                <w:color w:val="auto"/>
                <w:kern w:val="0"/>
                <w:sz w:val="24"/>
              </w:rPr>
              <w:t>t/a，属于一般固体废物，暂存于一般固废暂存区，</w:t>
            </w:r>
            <w:r>
              <w:rPr>
                <w:rFonts w:hint="default" w:ascii="Times New Roman" w:hAnsi="Times New Roman" w:eastAsia="宋体" w:cs="Times New Roman"/>
                <w:color w:val="auto"/>
                <w:kern w:val="0"/>
                <w:sz w:val="24"/>
                <w:lang w:eastAsia="zh-CN"/>
              </w:rPr>
              <w:t>定期外卖</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焊接过程产生的废焊条和焊渣（</w:t>
            </w:r>
            <w:r>
              <w:rPr>
                <w:rFonts w:hint="default" w:ascii="Times New Roman" w:hAnsi="Times New Roman" w:eastAsia="宋体" w:cs="Times New Roman"/>
                <w:color w:val="auto"/>
                <w:kern w:val="0"/>
                <w:sz w:val="24"/>
                <w:lang w:val="en-US" w:eastAsia="zh-CN"/>
              </w:rPr>
              <w:t>345-003-99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焊接过程会产生一定量的</w:t>
            </w:r>
            <w:r>
              <w:rPr>
                <w:rFonts w:hint="eastAsia" w:cs="Times New Roman"/>
                <w:color w:val="auto"/>
                <w:kern w:val="0"/>
                <w:sz w:val="24"/>
                <w:lang w:eastAsia="zh-CN"/>
              </w:rPr>
              <w:t>废</w:t>
            </w:r>
            <w:r>
              <w:rPr>
                <w:rFonts w:hint="default" w:ascii="Times New Roman" w:hAnsi="Times New Roman" w:eastAsia="宋体" w:cs="Times New Roman"/>
                <w:color w:val="auto"/>
                <w:kern w:val="0"/>
                <w:sz w:val="24"/>
                <w:lang w:eastAsia="zh-CN"/>
              </w:rPr>
              <w:t>焊条和焊渣</w:t>
            </w:r>
            <w:r>
              <w:rPr>
                <w:rFonts w:hint="default" w:ascii="Times New Roman" w:hAnsi="Times New Roman" w:eastAsia="宋体" w:cs="Times New Roman"/>
                <w:color w:val="auto"/>
                <w:kern w:val="0"/>
                <w:sz w:val="24"/>
              </w:rPr>
              <w:t>，产生量</w:t>
            </w:r>
            <w:r>
              <w:rPr>
                <w:rFonts w:hint="default" w:ascii="Times New Roman" w:hAnsi="Times New Roman" w:eastAsia="宋体" w:cs="Times New Roman"/>
                <w:color w:val="auto"/>
                <w:kern w:val="0"/>
                <w:sz w:val="24"/>
                <w:lang w:eastAsia="zh-CN"/>
              </w:rPr>
              <w:t>约</w:t>
            </w:r>
            <w:r>
              <w:rPr>
                <w:rFonts w:hint="default" w:ascii="Times New Roman" w:hAnsi="Times New Roman" w:eastAsia="宋体" w:cs="Times New Roman"/>
                <w:color w:val="auto"/>
                <w:kern w:val="0"/>
                <w:sz w:val="24"/>
              </w:rPr>
              <w:t>为</w:t>
            </w:r>
            <w:r>
              <w:rPr>
                <w:rFonts w:hint="default" w:ascii="Times New Roman" w:hAnsi="Times New Roman" w:eastAsia="宋体" w:cs="Times New Roman"/>
                <w:color w:val="auto"/>
                <w:kern w:val="0"/>
                <w:sz w:val="24"/>
                <w:lang w:val="en-US" w:eastAsia="zh-CN"/>
              </w:rPr>
              <w:t>0.3</w:t>
            </w:r>
            <w:r>
              <w:rPr>
                <w:rFonts w:hint="default" w:ascii="Times New Roman" w:hAnsi="Times New Roman" w:eastAsia="宋体" w:cs="Times New Roman"/>
                <w:color w:val="auto"/>
                <w:kern w:val="0"/>
                <w:sz w:val="24"/>
              </w:rPr>
              <w:t>t/a，属于一般固体废物，暂存于一般固废暂存区，</w:t>
            </w:r>
            <w:r>
              <w:rPr>
                <w:rFonts w:hint="default" w:ascii="Times New Roman" w:hAnsi="Times New Roman" w:eastAsia="宋体" w:cs="Times New Roman"/>
                <w:color w:val="auto"/>
                <w:kern w:val="0"/>
                <w:sz w:val="24"/>
                <w:lang w:eastAsia="zh-CN"/>
              </w:rPr>
              <w:t>定期外卖</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机床加工过程产生的金属碎屑（</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机床加工过程会产生一定量的金属碎屑</w:t>
            </w:r>
            <w:r>
              <w:rPr>
                <w:rFonts w:hint="default" w:ascii="Times New Roman" w:hAnsi="Times New Roman" w:eastAsia="宋体" w:cs="Times New Roman"/>
                <w:color w:val="auto"/>
                <w:kern w:val="0"/>
                <w:sz w:val="24"/>
              </w:rPr>
              <w:t>，产生量为0.0</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t/a，属于一般固废，暂存于一般固废暂存区，</w:t>
            </w:r>
            <w:r>
              <w:rPr>
                <w:rFonts w:hint="default" w:ascii="Times New Roman" w:hAnsi="Times New Roman" w:eastAsia="宋体" w:cs="Times New Roman"/>
                <w:color w:val="auto"/>
                <w:kern w:val="0"/>
                <w:sz w:val="24"/>
                <w:lang w:eastAsia="zh-CN"/>
              </w:rPr>
              <w:t>定期外卖</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衬塑、喷塑过程产生的废包装材料（</w:t>
            </w:r>
            <w:r>
              <w:rPr>
                <w:rFonts w:hint="default" w:ascii="Times New Roman" w:hAnsi="Times New Roman" w:eastAsia="宋体" w:cs="Times New Roman"/>
                <w:color w:val="auto"/>
                <w:kern w:val="0"/>
                <w:sz w:val="24"/>
                <w:lang w:val="en-US" w:eastAsia="zh-CN"/>
              </w:rPr>
              <w:t>345-003-07</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衬塑、喷塑过程会产生一定量的废包装塑料、纸壳及废纸箱</w:t>
            </w:r>
            <w:r>
              <w:rPr>
                <w:rFonts w:hint="default" w:ascii="Times New Roman" w:hAnsi="Times New Roman" w:eastAsia="宋体" w:cs="Times New Roman"/>
                <w:color w:val="auto"/>
                <w:kern w:val="0"/>
                <w:sz w:val="24"/>
              </w:rPr>
              <w:t>，产生量约0.0</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t/a，属于一般固废，暂存于一般固废暂存区，</w:t>
            </w:r>
            <w:r>
              <w:rPr>
                <w:rFonts w:hint="default" w:ascii="Times New Roman" w:hAnsi="Times New Roman" w:eastAsia="宋体" w:cs="Times New Roman"/>
                <w:color w:val="auto"/>
                <w:kern w:val="0"/>
                <w:sz w:val="24"/>
                <w:lang w:eastAsia="zh-CN"/>
              </w:rPr>
              <w:t>定期外卖</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lang w:eastAsia="zh-CN"/>
              </w:rPr>
              <w:t>脉冲式布袋除尘器收尘（</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）：生产过程中，脉冲式布袋除尘器收集部分切割粉尘及抛丸粉尘，根据物料核算，收尘量为</w:t>
            </w:r>
            <w:r>
              <w:rPr>
                <w:rFonts w:hint="default" w:ascii="Times New Roman" w:hAnsi="Times New Roman" w:eastAsia="宋体" w:cs="Times New Roman"/>
                <w:color w:val="auto"/>
                <w:kern w:val="0"/>
                <w:sz w:val="24"/>
                <w:lang w:val="en-US" w:eastAsia="zh-CN"/>
              </w:rPr>
              <w:t>0.4459t/a，</w:t>
            </w:r>
            <w:r>
              <w:rPr>
                <w:rFonts w:hint="default" w:ascii="Times New Roman" w:hAnsi="Times New Roman" w:eastAsia="宋体" w:cs="Times New Roman"/>
                <w:color w:val="auto"/>
                <w:kern w:val="0"/>
                <w:sz w:val="24"/>
              </w:rPr>
              <w:t>属于一般固废，暂存于一般固废暂存区，</w:t>
            </w:r>
            <w:r>
              <w:rPr>
                <w:rFonts w:hint="default" w:ascii="Times New Roman" w:hAnsi="Times New Roman" w:eastAsia="宋体" w:cs="Times New Roman"/>
                <w:color w:val="auto"/>
                <w:kern w:val="0"/>
                <w:sz w:val="24"/>
                <w:lang w:eastAsia="zh-CN"/>
              </w:rPr>
              <w:t>定期外卖。</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lang w:eastAsia="zh-CN"/>
              </w:rPr>
              <w:t>焊烟净化器收尘（</w:t>
            </w:r>
            <w:r>
              <w:rPr>
                <w:rFonts w:hint="default" w:ascii="Times New Roman" w:hAnsi="Times New Roman" w:eastAsia="宋体" w:cs="Times New Roman"/>
                <w:color w:val="auto"/>
                <w:kern w:val="0"/>
                <w:sz w:val="24"/>
                <w:lang w:val="en-US" w:eastAsia="zh-CN"/>
              </w:rPr>
              <w:t>345-003-09</w:t>
            </w:r>
            <w:r>
              <w:rPr>
                <w:rFonts w:hint="default" w:ascii="Times New Roman" w:hAnsi="Times New Roman" w:eastAsia="宋体" w:cs="Times New Roman"/>
                <w:color w:val="auto"/>
                <w:kern w:val="0"/>
                <w:sz w:val="24"/>
                <w:lang w:eastAsia="zh-CN"/>
              </w:rPr>
              <w:t>）：焊接过程中使用移动式焊烟净化器收集部分焊烟，根据物料核算，收尘量为</w:t>
            </w:r>
            <w:r>
              <w:rPr>
                <w:rFonts w:hint="default" w:ascii="Times New Roman" w:hAnsi="Times New Roman" w:eastAsia="宋体" w:cs="Times New Roman"/>
                <w:color w:val="auto"/>
                <w:kern w:val="0"/>
                <w:sz w:val="24"/>
                <w:lang w:val="en-US" w:eastAsia="zh-CN"/>
              </w:rPr>
              <w:t>0.15t/a，</w:t>
            </w:r>
            <w:r>
              <w:rPr>
                <w:rFonts w:hint="default" w:ascii="Times New Roman" w:hAnsi="Times New Roman" w:eastAsia="宋体" w:cs="Times New Roman"/>
                <w:color w:val="auto"/>
                <w:kern w:val="0"/>
                <w:sz w:val="24"/>
              </w:rPr>
              <w:t>属于一般固废，暂存于一般固废暂存区，</w:t>
            </w:r>
            <w:r>
              <w:rPr>
                <w:rFonts w:hint="default" w:ascii="Times New Roman" w:hAnsi="Times New Roman" w:eastAsia="宋体" w:cs="Times New Roman"/>
                <w:color w:val="auto"/>
                <w:kern w:val="0"/>
                <w:sz w:val="24"/>
                <w:lang w:eastAsia="zh-CN"/>
              </w:rPr>
              <w:t>定期外卖</w:t>
            </w:r>
            <w:r>
              <w:rPr>
                <w:rFonts w:hint="default" w:ascii="Times New Roman" w:hAnsi="Times New Roman" w:eastAsia="宋体" w:cs="Times New Roman"/>
                <w:color w:val="auto"/>
                <w:kern w:val="0"/>
                <w:sz w:val="24"/>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）含油废手套抹布（HW49，900-041-49）：部分设备需涂抹机油润滑，机油年用量约为0.01t，产生的废机油用抹布清理，</w:t>
            </w:r>
            <w:r>
              <w:rPr>
                <w:rFonts w:hint="eastAsia" w:cs="Times New Roman"/>
                <w:color w:val="auto"/>
                <w:kern w:val="0"/>
                <w:sz w:val="24"/>
                <w:lang w:eastAsia="zh-CN"/>
              </w:rPr>
              <w:t>含油</w:t>
            </w:r>
            <w:r>
              <w:rPr>
                <w:rFonts w:hint="default" w:ascii="Times New Roman" w:hAnsi="Times New Roman" w:eastAsia="宋体" w:cs="Times New Roman"/>
                <w:color w:val="auto"/>
                <w:kern w:val="0"/>
                <w:sz w:val="24"/>
              </w:rPr>
              <w:t>废手套抹布产生量约为0.02t/a，根据《国家危险废物名录》（2016版）附录“危险废物豁免管理清单”，含油废手套抹布全部环节豁免，豁免条件为混入生活垃圾处理，全过程不按危险废物管理，含油废手套抹布存放在厂区内垃圾桶，定期由环卫部门统一处理。</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8</w:t>
            </w:r>
            <w:r>
              <w:rPr>
                <w:rFonts w:hint="default" w:ascii="Times New Roman" w:hAnsi="Times New Roman" w:eastAsia="宋体" w:cs="Times New Roman"/>
                <w:color w:val="auto"/>
                <w:kern w:val="0"/>
                <w:sz w:val="24"/>
              </w:rPr>
              <w:t>）废油桶（HW08，900-249-08）：</w:t>
            </w:r>
            <w:r>
              <w:rPr>
                <w:rFonts w:hint="default" w:ascii="Times New Roman" w:hAnsi="Times New Roman" w:eastAsia="宋体" w:cs="Times New Roman"/>
                <w:color w:val="auto"/>
                <w:kern w:val="0"/>
                <w:sz w:val="24"/>
                <w:lang w:eastAsia="zh-CN"/>
              </w:rPr>
              <w:t>设备维修维护所需</w:t>
            </w:r>
            <w:r>
              <w:rPr>
                <w:rFonts w:hint="default" w:ascii="Times New Roman" w:hAnsi="Times New Roman" w:eastAsia="宋体" w:cs="Times New Roman"/>
                <w:color w:val="auto"/>
                <w:kern w:val="0"/>
                <w:sz w:val="24"/>
              </w:rPr>
              <w:t>润滑油由设备厂家维修维护时提供，企业不暂存，维修维护过程中废润滑油桶产生量为5个/a，储存于危废暂存间，委托具有危险废物处理资质的单位处理。</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rPr>
              <w:t>）废活性炭（900-039-49）：根据杨芬、刘品华《活性炭纤维在挥发性有机废气处理中的应用》的试验结果表明，每1kg活性炭可吸附0.22-0.25kg的有机废气，取值每1kg活性炭可吸附0.25kg有机废气，活性炭吸附有机废气约为0.</w:t>
            </w:r>
            <w:r>
              <w:rPr>
                <w:rFonts w:hint="default" w:ascii="Times New Roman" w:hAnsi="Times New Roman" w:eastAsia="宋体" w:cs="Times New Roman"/>
                <w:color w:val="auto"/>
                <w:kern w:val="0"/>
                <w:sz w:val="24"/>
                <w:lang w:val="en-US" w:eastAsia="zh-CN"/>
              </w:rPr>
              <w:t>0022</w:t>
            </w:r>
            <w:r>
              <w:rPr>
                <w:rFonts w:hint="default" w:ascii="Times New Roman" w:hAnsi="Times New Roman" w:eastAsia="宋体" w:cs="Times New Roman"/>
                <w:color w:val="auto"/>
                <w:kern w:val="0"/>
                <w:sz w:val="24"/>
              </w:rPr>
              <w:t>t/a，需使用0.</w:t>
            </w:r>
            <w:r>
              <w:rPr>
                <w:rFonts w:hint="default" w:ascii="Times New Roman" w:hAnsi="Times New Roman" w:eastAsia="宋体" w:cs="Times New Roman"/>
                <w:color w:val="auto"/>
                <w:kern w:val="0"/>
                <w:sz w:val="24"/>
                <w:lang w:val="en-US" w:eastAsia="zh-CN"/>
              </w:rPr>
              <w:t>0088</w:t>
            </w:r>
            <w:r>
              <w:rPr>
                <w:rFonts w:hint="default" w:ascii="Times New Roman" w:hAnsi="Times New Roman" w:eastAsia="宋体" w:cs="Times New Roman"/>
                <w:color w:val="auto"/>
                <w:kern w:val="0"/>
                <w:sz w:val="24"/>
              </w:rPr>
              <w:t>t活性炭，为保证活性炭吸附效率，活性炭每年需要更换</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次，</w:t>
            </w:r>
            <w:r>
              <w:rPr>
                <w:rFonts w:hint="default" w:ascii="Times New Roman" w:hAnsi="Times New Roman" w:eastAsia="宋体" w:cs="Times New Roman"/>
                <w:color w:val="auto"/>
                <w:kern w:val="0"/>
                <w:sz w:val="24"/>
                <w:lang w:eastAsia="zh-CN"/>
              </w:rPr>
              <w:t>每次</w:t>
            </w:r>
            <w:r>
              <w:rPr>
                <w:rFonts w:hint="default" w:ascii="Times New Roman" w:hAnsi="Times New Roman" w:eastAsia="宋体" w:cs="Times New Roman"/>
                <w:color w:val="auto"/>
                <w:kern w:val="0"/>
                <w:sz w:val="24"/>
              </w:rPr>
              <w:t>更换量为0.</w:t>
            </w:r>
            <w:r>
              <w:rPr>
                <w:rFonts w:hint="default" w:ascii="Times New Roman" w:hAnsi="Times New Roman" w:eastAsia="宋体" w:cs="Times New Roman"/>
                <w:color w:val="auto"/>
                <w:kern w:val="0"/>
                <w:sz w:val="24"/>
                <w:lang w:val="en-US" w:eastAsia="zh-CN"/>
              </w:rPr>
              <w:t>005</w:t>
            </w:r>
            <w:r>
              <w:rPr>
                <w:rFonts w:hint="default" w:ascii="Times New Roman" w:hAnsi="Times New Roman" w:eastAsia="宋体" w:cs="Times New Roman"/>
                <w:color w:val="auto"/>
                <w:kern w:val="0"/>
                <w:sz w:val="24"/>
              </w:rPr>
              <w:t>t，故项目产生的废活性炭约为0.</w:t>
            </w:r>
            <w:r>
              <w:rPr>
                <w:rFonts w:hint="default" w:ascii="Times New Roman" w:hAnsi="Times New Roman" w:eastAsia="宋体" w:cs="Times New Roman"/>
                <w:color w:val="auto"/>
                <w:kern w:val="0"/>
                <w:sz w:val="24"/>
                <w:lang w:val="en-US" w:eastAsia="zh-CN"/>
              </w:rPr>
              <w:t>01</w:t>
            </w:r>
            <w:r>
              <w:rPr>
                <w:rFonts w:hint="default" w:ascii="Times New Roman" w:hAnsi="Times New Roman" w:eastAsia="宋体" w:cs="Times New Roman"/>
                <w:color w:val="auto"/>
                <w:kern w:val="0"/>
                <w:sz w:val="24"/>
              </w:rPr>
              <w:t>t/a。暂存于危废暂存间内，委托具有危险废物处理资质的单位进行处理处置</w:t>
            </w:r>
            <w:r>
              <w:rPr>
                <w:rFonts w:hint="default" w:ascii="Times New Roman" w:hAnsi="Times New Roman" w:eastAsia="宋体" w:cs="Times New Roman"/>
                <w:color w:val="auto"/>
                <w:kern w:val="0"/>
                <w:sz w:val="24"/>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val="en-US" w:eastAsia="zh-CN"/>
              </w:rPr>
              <w:t>10）</w:t>
            </w:r>
            <w:r>
              <w:rPr>
                <w:rFonts w:hint="default" w:ascii="Times New Roman" w:hAnsi="Times New Roman" w:eastAsia="宋体" w:cs="Times New Roman"/>
                <w:color w:val="auto"/>
                <w:kern w:val="0"/>
                <w:sz w:val="24"/>
                <w:lang w:eastAsia="zh-CN"/>
              </w:rPr>
              <w:t>废滤芯（</w:t>
            </w:r>
            <w:r>
              <w:rPr>
                <w:rFonts w:hint="default" w:ascii="Times New Roman" w:hAnsi="Times New Roman" w:eastAsia="宋体" w:cs="Times New Roman"/>
                <w:color w:val="auto"/>
                <w:kern w:val="0"/>
                <w:sz w:val="24"/>
                <w:lang w:val="en-US" w:eastAsia="zh-CN"/>
              </w:rPr>
              <w:t>HW49，900-041-49</w:t>
            </w:r>
            <w:r>
              <w:rPr>
                <w:rFonts w:hint="default" w:ascii="Times New Roman" w:hAnsi="Times New Roman" w:eastAsia="宋体" w:cs="Times New Roman"/>
                <w:color w:val="auto"/>
                <w:kern w:val="0"/>
                <w:sz w:val="24"/>
                <w:lang w:eastAsia="zh-CN"/>
              </w:rPr>
              <w:t>）：喷塑工序产生一定量的喷塑粉尘，使用</w:t>
            </w:r>
            <w:r>
              <w:rPr>
                <w:rFonts w:hint="default" w:ascii="Times New Roman" w:hAnsi="Times New Roman" w:eastAsia="宋体" w:cs="Times New Roman"/>
                <w:color w:val="auto"/>
                <w:sz w:val="24"/>
                <w:szCs w:val="24"/>
                <w:lang w:val="en-US" w:eastAsia="zh-CN"/>
              </w:rPr>
              <w:t>喷塑柜自带滤芯回收+滤芯除尘器收集，根据物料核算，收尘量为0.23t/a，全部沾染在滤芯上。为保证滤芯吸附效率，滤芯每年需要更换3次，更换量为3个，单个滤芯重量约为1kg，则废滤芯产生量为0.233t/a</w:t>
            </w:r>
            <w:r>
              <w:rPr>
                <w:rFonts w:hint="default" w:ascii="Times New Roman" w:hAnsi="Times New Roman" w:eastAsia="宋体" w:cs="Times New Roman"/>
                <w:color w:val="auto"/>
                <w:kern w:val="0"/>
                <w:sz w:val="24"/>
              </w:rPr>
              <w:t>。暂存于危废暂存间内，委托具有危险废物处理资质的单位进行处理处置</w:t>
            </w:r>
            <w:r>
              <w:rPr>
                <w:rFonts w:hint="default" w:ascii="Times New Roman" w:hAnsi="Times New Roman" w:eastAsia="宋体" w:cs="Times New Roman"/>
                <w:color w:val="auto"/>
                <w:kern w:val="0"/>
                <w:sz w:val="24"/>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val="en-US" w:eastAsia="zh-CN"/>
              </w:rPr>
              <w:t>11）生活垃圾：</w:t>
            </w:r>
            <w:r>
              <w:rPr>
                <w:rFonts w:hint="default" w:ascii="Times New Roman" w:hAnsi="Times New Roman" w:eastAsia="宋体" w:cs="Times New Roman"/>
                <w:color w:val="auto"/>
                <w:sz w:val="24"/>
              </w:rPr>
              <w:t>根据《环境保护实用数据手册》的相关数据，生活垃圾产生量按0.5 kg/(人·d)，项目建设完成后劳动定员30人，年工作300天，则生活垃圾的产生量为4.5t/a，暂存于厂区垃圾桶内，由环卫部门定期清运处理</w:t>
            </w:r>
            <w:r>
              <w:rPr>
                <w:rFonts w:hint="default" w:ascii="Times New Roman" w:hAnsi="Times New Roman" w:eastAsia="宋体" w:cs="Times New Roman"/>
                <w:color w:val="auto"/>
                <w:kern w:val="0"/>
                <w:sz w:val="24"/>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eastAsia" w:cs="Times New Roman"/>
                <w:color w:val="auto"/>
                <w:kern w:val="0"/>
                <w:sz w:val="24"/>
                <w:lang w:val="en-US" w:eastAsia="zh-CN"/>
              </w:rPr>
              <w:t>现有</w:t>
            </w:r>
            <w:r>
              <w:rPr>
                <w:rFonts w:hint="default" w:ascii="Times New Roman" w:hAnsi="Times New Roman" w:eastAsia="宋体" w:cs="Times New Roman"/>
                <w:color w:val="auto"/>
                <w:kern w:val="0"/>
                <w:sz w:val="24"/>
                <w:lang w:eastAsia="zh-CN"/>
              </w:rPr>
              <w:t>项目</w:t>
            </w:r>
            <w:r>
              <w:rPr>
                <w:rFonts w:hint="default" w:ascii="Times New Roman" w:hAnsi="Times New Roman" w:eastAsia="宋体" w:cs="Times New Roman"/>
                <w:color w:val="auto"/>
                <w:kern w:val="0"/>
                <w:sz w:val="24"/>
              </w:rPr>
              <w:t>固体废物的产生及控制方案见</w:t>
            </w:r>
            <w:r>
              <w:rPr>
                <w:rFonts w:hint="default" w:ascii="Times New Roman" w:hAnsi="Times New Roman" w:eastAsia="宋体" w:cs="Times New Roman"/>
                <w:color w:val="auto"/>
                <w:kern w:val="0"/>
                <w:sz w:val="24"/>
                <w:lang w:val="en-US" w:eastAsia="zh-CN"/>
              </w:rPr>
              <w:t>下</w:t>
            </w:r>
            <w:r>
              <w:rPr>
                <w:rFonts w:hint="default" w:ascii="Times New Roman" w:hAnsi="Times New Roman" w:eastAsia="宋体" w:cs="Times New Roman"/>
                <w:color w:val="auto"/>
                <w:kern w:val="0"/>
                <w:sz w:val="24"/>
              </w:rPr>
              <w:t>表。</w:t>
            </w:r>
          </w:p>
          <w:p>
            <w:pPr>
              <w:pStyle w:val="46"/>
              <w:shd w:val="clear"/>
              <w:spacing w:line="240" w:lineRule="auto"/>
              <w:outlineLvl w:val="4"/>
              <w:rPr>
                <w:rFonts w:hint="default" w:ascii="Times New Roman" w:hAnsi="Times New Roman" w:eastAsia="宋体" w:cs="Times New Roman"/>
                <w:caps w:val="0"/>
                <w:color w:val="auto"/>
                <w:kern w:val="0"/>
              </w:rPr>
            </w:pPr>
            <w:r>
              <w:rPr>
                <w:rFonts w:hint="default" w:ascii="Times New Roman" w:hAnsi="Times New Roman" w:eastAsia="宋体" w:cs="Times New Roman"/>
                <w:caps w:val="0"/>
                <w:color w:val="auto"/>
                <w:kern w:val="0"/>
              </w:rPr>
              <w:t>表</w:t>
            </w:r>
            <w:r>
              <w:rPr>
                <w:rFonts w:hint="default" w:ascii="Times New Roman" w:hAnsi="Times New Roman" w:eastAsia="宋体" w:cs="Times New Roman"/>
                <w:caps w:val="0"/>
                <w:color w:val="auto"/>
                <w:kern w:val="0"/>
                <w:lang w:val="en-US" w:eastAsia="zh-CN"/>
              </w:rPr>
              <w:t>2</w:t>
            </w:r>
            <w:r>
              <w:rPr>
                <w:rFonts w:hint="default" w:ascii="Times New Roman" w:hAnsi="Times New Roman" w:eastAsia="宋体" w:cs="Times New Roman"/>
                <w:caps w:val="0"/>
                <w:color w:val="auto"/>
                <w:kern w:val="0"/>
              </w:rPr>
              <w:t>-</w:t>
            </w:r>
            <w:r>
              <w:rPr>
                <w:rFonts w:hint="default" w:ascii="Times New Roman" w:hAnsi="Times New Roman" w:eastAsia="宋体" w:cs="Times New Roman"/>
                <w:caps w:val="0"/>
                <w:color w:val="auto"/>
                <w:kern w:val="0"/>
                <w:lang w:val="en-US" w:eastAsia="zh-CN"/>
              </w:rPr>
              <w:t>13</w:t>
            </w:r>
            <w:r>
              <w:rPr>
                <w:rFonts w:hint="default" w:ascii="Times New Roman" w:hAnsi="Times New Roman" w:eastAsia="宋体" w:cs="Times New Roman"/>
                <w:caps w:val="0"/>
                <w:color w:val="auto"/>
                <w:kern w:val="0"/>
              </w:rPr>
              <w:t xml:space="preserve"> </w:t>
            </w:r>
            <w:r>
              <w:rPr>
                <w:rFonts w:hint="default" w:ascii="Times New Roman" w:hAnsi="Times New Roman" w:eastAsia="宋体" w:cs="Times New Roman"/>
                <w:caps w:val="0"/>
                <w:color w:val="auto"/>
                <w:kern w:val="0"/>
                <w:lang w:val="en-US" w:eastAsia="zh-CN"/>
              </w:rPr>
              <w:t>现有项目</w:t>
            </w:r>
            <w:r>
              <w:rPr>
                <w:rFonts w:hint="default" w:ascii="Times New Roman" w:hAnsi="Times New Roman" w:eastAsia="宋体" w:cs="Times New Roman"/>
                <w:caps w:val="0"/>
                <w:color w:val="auto"/>
                <w:kern w:val="0"/>
              </w:rPr>
              <w:t>固体废物的产生及控制方案一览表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3"/>
              <w:gridCol w:w="1399"/>
              <w:gridCol w:w="1110"/>
              <w:gridCol w:w="835"/>
              <w:gridCol w:w="559"/>
              <w:gridCol w:w="608"/>
              <w:gridCol w:w="660"/>
              <w:gridCol w:w="479"/>
              <w:gridCol w:w="902"/>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产生环节</w:t>
                  </w:r>
                </w:p>
              </w:tc>
              <w:tc>
                <w:tcPr>
                  <w:tcW w:w="833"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固体废物名称</w:t>
                  </w:r>
                </w:p>
              </w:tc>
              <w:tc>
                <w:tcPr>
                  <w:tcW w:w="661"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固废属性</w:t>
                  </w:r>
                </w:p>
              </w:tc>
              <w:tc>
                <w:tcPr>
                  <w:tcW w:w="497" w:type="pct"/>
                  <w:vAlign w:val="center"/>
                </w:tcPr>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color w:val="auto"/>
                      <w:kern w:val="0"/>
                      <w:szCs w:val="21"/>
                      <w:lang w:bidi="ar"/>
                    </w:rPr>
                    <w:t>有害成分</w:t>
                  </w:r>
                </w:p>
              </w:tc>
              <w:tc>
                <w:tcPr>
                  <w:tcW w:w="333"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物理性状</w:t>
                  </w:r>
                </w:p>
              </w:tc>
              <w:tc>
                <w:tcPr>
                  <w:tcW w:w="362"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环境危险性</w:t>
                  </w:r>
                </w:p>
              </w:tc>
              <w:tc>
                <w:tcPr>
                  <w:tcW w:w="393"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年度产生量（t/a）</w:t>
                  </w:r>
                </w:p>
              </w:tc>
              <w:tc>
                <w:tcPr>
                  <w:tcW w:w="285"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贮存方式</w:t>
                  </w:r>
                </w:p>
              </w:tc>
              <w:tc>
                <w:tcPr>
                  <w:tcW w:w="537"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利用处置方向和去向</w:t>
                  </w:r>
                </w:p>
              </w:tc>
              <w:tc>
                <w:tcPr>
                  <w:tcW w:w="538"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初加工</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边角料（</w:t>
                  </w:r>
                  <w:r>
                    <w:rPr>
                      <w:rFonts w:hint="default" w:ascii="Times New Roman" w:hAnsi="Times New Roman" w:eastAsia="宋体" w:cs="Times New Roman"/>
                      <w:color w:val="auto"/>
                      <w:kern w:val="0"/>
                      <w:szCs w:val="21"/>
                      <w:lang w:val="en-US" w:eastAsia="zh-CN"/>
                    </w:rPr>
                    <w:t>345-003-09</w:t>
                  </w:r>
                  <w:r>
                    <w:rPr>
                      <w:rFonts w:hint="default" w:ascii="Times New Roman" w:hAnsi="Times New Roman" w:eastAsia="宋体" w:cs="Times New Roman"/>
                      <w:color w:val="auto"/>
                      <w:kern w:val="0"/>
                      <w:szCs w:val="21"/>
                      <w:lang w:eastAsia="zh-CN"/>
                    </w:rPr>
                    <w:t>）</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2.25</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焊接</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废焊条和焊渣（</w:t>
                  </w:r>
                  <w:r>
                    <w:rPr>
                      <w:rFonts w:hint="default" w:ascii="Times New Roman" w:hAnsi="Times New Roman" w:eastAsia="宋体" w:cs="Times New Roman"/>
                      <w:color w:val="auto"/>
                      <w:kern w:val="0"/>
                      <w:szCs w:val="21"/>
                      <w:lang w:val="en-US" w:eastAsia="zh-CN"/>
                    </w:rPr>
                    <w:t>345-003-99</w:t>
                  </w:r>
                  <w:r>
                    <w:rPr>
                      <w:rFonts w:hint="default" w:ascii="Times New Roman" w:hAnsi="Times New Roman" w:eastAsia="宋体" w:cs="Times New Roman"/>
                      <w:color w:val="auto"/>
                      <w:kern w:val="0"/>
                      <w:szCs w:val="21"/>
                      <w:lang w:eastAsia="zh-CN"/>
                    </w:rPr>
                    <w:t>）</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0.3</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机床加工</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金属碎屑（</w:t>
                  </w:r>
                  <w:r>
                    <w:rPr>
                      <w:rFonts w:hint="default" w:ascii="Times New Roman" w:hAnsi="Times New Roman" w:eastAsia="宋体" w:cs="Times New Roman"/>
                      <w:color w:val="auto"/>
                      <w:kern w:val="0"/>
                      <w:szCs w:val="21"/>
                      <w:lang w:val="en-US" w:eastAsia="zh-CN"/>
                    </w:rPr>
                    <w:t>345-003-09</w:t>
                  </w:r>
                  <w:r>
                    <w:rPr>
                      <w:rFonts w:hint="default" w:ascii="Times New Roman" w:hAnsi="Times New Roman" w:eastAsia="宋体" w:cs="Times New Roman"/>
                      <w:color w:val="auto"/>
                      <w:kern w:val="0"/>
                      <w:szCs w:val="21"/>
                      <w:lang w:eastAsia="zh-CN"/>
                    </w:rPr>
                    <w:t>）</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喷塑、衬塑</w:t>
                  </w:r>
                </w:p>
              </w:tc>
              <w:tc>
                <w:tcPr>
                  <w:tcW w:w="833"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废包装材料（</w:t>
                  </w:r>
                  <w:r>
                    <w:rPr>
                      <w:rFonts w:hint="default" w:ascii="Times New Roman" w:hAnsi="Times New Roman" w:eastAsia="宋体" w:cs="Times New Roman"/>
                      <w:color w:val="auto"/>
                      <w:kern w:val="0"/>
                      <w:szCs w:val="21"/>
                      <w:lang w:val="en-US" w:eastAsia="zh-CN"/>
                    </w:rPr>
                    <w:t>345-003-07</w:t>
                  </w:r>
                  <w:r>
                    <w:rPr>
                      <w:rFonts w:hint="default" w:ascii="Times New Roman" w:hAnsi="Times New Roman" w:eastAsia="宋体" w:cs="Times New Roman"/>
                      <w:color w:val="auto"/>
                      <w:kern w:val="0"/>
                      <w:szCs w:val="21"/>
                      <w:lang w:eastAsia="zh-CN"/>
                    </w:rPr>
                    <w:t>）</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0.0</w:t>
                  </w:r>
                  <w:r>
                    <w:rPr>
                      <w:rFonts w:hint="default" w:ascii="Times New Roman" w:hAnsi="Times New Roman" w:eastAsia="宋体" w:cs="Times New Roman"/>
                      <w:color w:val="auto"/>
                      <w:kern w:val="0"/>
                      <w:szCs w:val="21"/>
                      <w:lang w:val="en-US" w:eastAsia="zh-CN"/>
                    </w:rPr>
                    <w:t>5</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0.0</w:t>
                  </w:r>
                  <w:r>
                    <w:rPr>
                      <w:rFonts w:hint="default" w:ascii="Times New Roman" w:hAnsi="Times New Roman" w:eastAsia="宋体" w:cs="Times New Roman"/>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废气处理</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脉冲式布袋除尘器收尘（345-003-09）</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0.4459</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0.4459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焊烟处理</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焊烟净化器收尘（345-003-09）</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一般固废</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93" w:type="pct"/>
                  <w:vAlign w:val="center"/>
                </w:tcPr>
                <w:p>
                  <w:pPr>
                    <w:shd w:val="clear"/>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0.15</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收集后外售</w:t>
                  </w:r>
                </w:p>
              </w:tc>
              <w:tc>
                <w:tcPr>
                  <w:tcW w:w="538"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保养维护</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含油废手套抹布</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危险废物900-041-49</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有机废物</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T，I</w:t>
                  </w:r>
                </w:p>
              </w:tc>
              <w:tc>
                <w:tcPr>
                  <w:tcW w:w="39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0.02</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环卫部门定期清运</w:t>
                  </w:r>
                </w:p>
              </w:tc>
              <w:tc>
                <w:tcPr>
                  <w:tcW w:w="538"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保养维护</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废油桶</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危险废物900-249-08</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有机废物</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T/In</w:t>
                  </w:r>
                </w:p>
              </w:tc>
              <w:tc>
                <w:tcPr>
                  <w:tcW w:w="39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5个</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537"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暂存于危废暂存间内，委托具有危险废物处理资质的单位进行处理处置</w:t>
                  </w:r>
                </w:p>
              </w:tc>
              <w:tc>
                <w:tcPr>
                  <w:tcW w:w="538"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二级活性炭吸附</w:t>
                  </w:r>
                </w:p>
              </w:tc>
              <w:tc>
                <w:tcPr>
                  <w:tcW w:w="8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废活性炭</w:t>
                  </w:r>
                </w:p>
              </w:tc>
              <w:tc>
                <w:tcPr>
                  <w:tcW w:w="6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危险废物900-039-49</w:t>
                  </w:r>
                </w:p>
              </w:tc>
              <w:tc>
                <w:tcPr>
                  <w:tcW w:w="497"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烃类</w:t>
                  </w:r>
                </w:p>
              </w:tc>
              <w:tc>
                <w:tcPr>
                  <w:tcW w:w="333"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固态</w:t>
                  </w:r>
                </w:p>
              </w:tc>
              <w:tc>
                <w:tcPr>
                  <w:tcW w:w="3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0.</w:t>
                  </w:r>
                  <w:r>
                    <w:rPr>
                      <w:rFonts w:hint="default" w:ascii="Times New Roman" w:hAnsi="Times New Roman" w:eastAsia="宋体" w:cs="Times New Roman"/>
                      <w:color w:val="auto"/>
                      <w:kern w:val="0"/>
                      <w:szCs w:val="21"/>
                      <w:lang w:val="en-US" w:eastAsia="zh-CN"/>
                    </w:rPr>
                    <w:t>01</w:t>
                  </w:r>
                </w:p>
              </w:tc>
              <w:tc>
                <w:tcPr>
                  <w:tcW w:w="2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袋装</w:t>
                  </w:r>
                </w:p>
              </w:tc>
              <w:tc>
                <w:tcPr>
                  <w:tcW w:w="537" w:type="pct"/>
                  <w:vMerge w:val="continue"/>
                  <w:vAlign w:val="center"/>
                </w:tcPr>
                <w:p>
                  <w:pPr>
                    <w:shd w:val="clear"/>
                    <w:jc w:val="center"/>
                    <w:rPr>
                      <w:rFonts w:hint="default" w:ascii="Times New Roman" w:hAnsi="Times New Roman" w:eastAsia="宋体" w:cs="Times New Roman"/>
                      <w:color w:val="auto"/>
                      <w:kern w:val="0"/>
                      <w:szCs w:val="21"/>
                    </w:rPr>
                  </w:pP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0.</w:t>
                  </w:r>
                  <w:r>
                    <w:rPr>
                      <w:rFonts w:hint="default" w:ascii="Times New Roman" w:hAnsi="Times New Roman" w:eastAsia="宋体" w:cs="Times New Roman"/>
                      <w:color w:val="auto"/>
                      <w:kern w:val="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喷塑废气吸附</w:t>
                  </w:r>
                </w:p>
              </w:tc>
              <w:tc>
                <w:tcPr>
                  <w:tcW w:w="833"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废滤芯</w:t>
                  </w:r>
                </w:p>
              </w:tc>
              <w:tc>
                <w:tcPr>
                  <w:tcW w:w="661"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eastAsia="zh-CN"/>
                    </w:rPr>
                    <w:t>危险废物</w:t>
                  </w:r>
                  <w:r>
                    <w:rPr>
                      <w:rFonts w:hint="default" w:ascii="Times New Roman" w:hAnsi="Times New Roman" w:eastAsia="宋体" w:cs="Times New Roman"/>
                      <w:color w:val="auto"/>
                      <w:kern w:val="0"/>
                      <w:szCs w:val="21"/>
                      <w:lang w:val="en-US" w:eastAsia="zh-CN"/>
                    </w:rPr>
                    <w:t>900-041-49</w:t>
                  </w:r>
                </w:p>
              </w:tc>
              <w:tc>
                <w:tcPr>
                  <w:tcW w:w="497"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有机废物</w:t>
                  </w:r>
                </w:p>
              </w:tc>
              <w:tc>
                <w:tcPr>
                  <w:tcW w:w="333"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固态</w:t>
                  </w:r>
                </w:p>
              </w:tc>
              <w:tc>
                <w:tcPr>
                  <w:tcW w:w="362"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0.233</w:t>
                  </w:r>
                </w:p>
              </w:tc>
              <w:tc>
                <w:tcPr>
                  <w:tcW w:w="285"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袋装</w:t>
                  </w:r>
                </w:p>
              </w:tc>
              <w:tc>
                <w:tcPr>
                  <w:tcW w:w="537" w:type="pct"/>
                  <w:vMerge w:val="continue"/>
                  <w:vAlign w:val="center"/>
                </w:tcPr>
                <w:p>
                  <w:pPr>
                    <w:shd w:val="clear"/>
                    <w:jc w:val="center"/>
                    <w:rPr>
                      <w:rFonts w:hint="default" w:ascii="Times New Roman" w:hAnsi="Times New Roman" w:eastAsia="宋体" w:cs="Times New Roman"/>
                      <w:color w:val="auto"/>
                      <w:kern w:val="0"/>
                      <w:szCs w:val="21"/>
                    </w:rPr>
                  </w:pP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生产生活</w:t>
                  </w:r>
                </w:p>
              </w:tc>
              <w:tc>
                <w:tcPr>
                  <w:tcW w:w="833"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生活垃圾</w:t>
                  </w:r>
                </w:p>
              </w:tc>
              <w:tc>
                <w:tcPr>
                  <w:tcW w:w="661"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497"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33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362"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393"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c>
                <w:tcPr>
                  <w:tcW w:w="2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537"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环卫部门定期清运</w:t>
                  </w:r>
                </w:p>
              </w:tc>
              <w:tc>
                <w:tcPr>
                  <w:tcW w:w="538"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r>
          </w:tbl>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4、噪声</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b w:val="0"/>
                <w:bCs w:val="0"/>
                <w:color w:val="auto"/>
                <w:kern w:val="0"/>
                <w:sz w:val="24"/>
              </w:rPr>
              <w:t>（1）噪声产生情况</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现有项目</w:t>
            </w:r>
            <w:r>
              <w:rPr>
                <w:rFonts w:hint="default" w:ascii="Times New Roman" w:hAnsi="Times New Roman" w:eastAsia="宋体" w:cs="Times New Roman"/>
                <w:color w:val="auto"/>
                <w:kern w:val="0"/>
                <w:sz w:val="24"/>
              </w:rPr>
              <w:t>噪声源均布置在车间内部，主要来自</w:t>
            </w:r>
            <w:r>
              <w:rPr>
                <w:rFonts w:hint="default" w:ascii="Times New Roman" w:hAnsi="Times New Roman" w:eastAsia="宋体" w:cs="Times New Roman"/>
                <w:color w:val="auto"/>
                <w:kern w:val="0"/>
                <w:sz w:val="24"/>
                <w:lang w:eastAsia="zh-CN"/>
              </w:rPr>
              <w:t>切割机、等离子切割机、折弯机、卷板机、车床、钻床、钻铣床、焊机、抛丸机、喷塑生产线、衬塑生产线、循环热风炉</w:t>
            </w:r>
            <w:r>
              <w:rPr>
                <w:rFonts w:hint="default" w:ascii="Times New Roman" w:hAnsi="Times New Roman" w:eastAsia="宋体" w:cs="Times New Roman"/>
                <w:color w:val="auto"/>
                <w:kern w:val="0"/>
                <w:sz w:val="24"/>
              </w:rPr>
              <w:t>等生产设备运行产生的噪声，噪声源强为60~95dB（A）。主要设备的噪声源强及控制方案见下表。</w:t>
            </w:r>
          </w:p>
          <w:p>
            <w:pPr>
              <w:pStyle w:val="46"/>
              <w:shd w:val="clear"/>
              <w:spacing w:line="240" w:lineRule="auto"/>
              <w:outlineLvl w:val="4"/>
              <w:rPr>
                <w:rFonts w:hint="default" w:ascii="Times New Roman" w:hAnsi="Times New Roman" w:eastAsia="宋体" w:cs="Times New Roman"/>
                <w:caps w:val="0"/>
                <w:color w:val="auto"/>
                <w:kern w:val="0"/>
              </w:rPr>
            </w:pPr>
            <w:r>
              <w:rPr>
                <w:rFonts w:hint="default" w:ascii="Times New Roman" w:hAnsi="Times New Roman" w:eastAsia="宋体" w:cs="Times New Roman"/>
                <w:caps w:val="0"/>
                <w:color w:val="auto"/>
                <w:kern w:val="0"/>
              </w:rPr>
              <w:t>表</w:t>
            </w:r>
            <w:r>
              <w:rPr>
                <w:rFonts w:hint="default" w:ascii="Times New Roman" w:hAnsi="Times New Roman" w:eastAsia="宋体" w:cs="Times New Roman"/>
                <w:caps w:val="0"/>
                <w:color w:val="auto"/>
                <w:kern w:val="0"/>
                <w:lang w:val="en-US" w:eastAsia="zh-CN"/>
              </w:rPr>
              <w:t>2</w:t>
            </w:r>
            <w:r>
              <w:rPr>
                <w:rFonts w:hint="default" w:ascii="Times New Roman" w:hAnsi="Times New Roman" w:eastAsia="宋体" w:cs="Times New Roman"/>
                <w:caps w:val="0"/>
                <w:color w:val="auto"/>
                <w:kern w:val="0"/>
              </w:rPr>
              <w:t>-</w:t>
            </w:r>
            <w:r>
              <w:rPr>
                <w:rFonts w:hint="default" w:ascii="Times New Roman" w:hAnsi="Times New Roman" w:eastAsia="宋体" w:cs="Times New Roman"/>
                <w:caps w:val="0"/>
                <w:color w:val="auto"/>
                <w:kern w:val="0"/>
                <w:lang w:val="en-US" w:eastAsia="zh-CN"/>
              </w:rPr>
              <w:t>14</w:t>
            </w:r>
            <w:r>
              <w:rPr>
                <w:rFonts w:hint="default" w:ascii="Times New Roman" w:hAnsi="Times New Roman" w:eastAsia="宋体" w:cs="Times New Roman"/>
                <w:caps w:val="0"/>
                <w:color w:val="auto"/>
                <w:kern w:val="0"/>
              </w:rPr>
              <w:t xml:space="preserve"> 主要设备的噪声源强及控制方案一览表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1"/>
              <w:gridCol w:w="1583"/>
              <w:gridCol w:w="601"/>
              <w:gridCol w:w="943"/>
              <w:gridCol w:w="606"/>
              <w:gridCol w:w="1006"/>
              <w:gridCol w:w="1011"/>
              <w:gridCol w:w="1031"/>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restar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943" w:type="pct"/>
                  <w:vMerge w:val="restar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装置</w:t>
                  </w:r>
                </w:p>
              </w:tc>
              <w:tc>
                <w:tcPr>
                  <w:tcW w:w="358" w:type="pct"/>
                  <w:vMerge w:val="restar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台数/台</w:t>
                  </w:r>
                </w:p>
              </w:tc>
              <w:tc>
                <w:tcPr>
                  <w:tcW w:w="562" w:type="pct"/>
                  <w:vMerge w:val="restar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声源类型</w:t>
                  </w:r>
                </w:p>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（偶发/频发）</w:t>
                  </w:r>
                </w:p>
              </w:tc>
              <w:tc>
                <w:tcPr>
                  <w:tcW w:w="361" w:type="pct"/>
                  <w:vMerge w:val="restar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持续时间h</w:t>
                  </w:r>
                </w:p>
              </w:tc>
              <w:tc>
                <w:tcPr>
                  <w:tcW w:w="599"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噪声源强</w:t>
                  </w:r>
                </w:p>
              </w:tc>
              <w:tc>
                <w:tcPr>
                  <w:tcW w:w="1216" w:type="pct"/>
                  <w:gridSpan w:val="2"/>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降噪措施</w:t>
                  </w:r>
                </w:p>
              </w:tc>
              <w:tc>
                <w:tcPr>
                  <w:tcW w:w="600"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噪声排放值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continue"/>
                  <w:vAlign w:val="center"/>
                </w:tcPr>
                <w:p>
                  <w:pPr>
                    <w:widowControl/>
                    <w:shd w:val="clear"/>
                    <w:jc w:val="center"/>
                    <w:rPr>
                      <w:rFonts w:hint="default" w:ascii="Times New Roman" w:hAnsi="Times New Roman" w:eastAsia="宋体" w:cs="Times New Roman"/>
                      <w:b/>
                      <w:bCs/>
                      <w:color w:val="auto"/>
                      <w:kern w:val="0"/>
                      <w:szCs w:val="21"/>
                    </w:rPr>
                  </w:pPr>
                </w:p>
              </w:tc>
              <w:tc>
                <w:tcPr>
                  <w:tcW w:w="943" w:type="pct"/>
                  <w:vMerge w:val="continue"/>
                  <w:vAlign w:val="center"/>
                </w:tcPr>
                <w:p>
                  <w:pPr>
                    <w:widowControl/>
                    <w:shd w:val="clear"/>
                    <w:jc w:val="center"/>
                    <w:rPr>
                      <w:rFonts w:hint="default" w:ascii="Times New Roman" w:hAnsi="Times New Roman" w:eastAsia="宋体" w:cs="Times New Roman"/>
                      <w:b/>
                      <w:bCs/>
                      <w:color w:val="auto"/>
                      <w:kern w:val="0"/>
                      <w:szCs w:val="21"/>
                    </w:rPr>
                  </w:pPr>
                </w:p>
              </w:tc>
              <w:tc>
                <w:tcPr>
                  <w:tcW w:w="358" w:type="pct"/>
                  <w:vMerge w:val="continue"/>
                  <w:vAlign w:val="center"/>
                </w:tcPr>
                <w:p>
                  <w:pPr>
                    <w:widowControl/>
                    <w:shd w:val="clear"/>
                    <w:jc w:val="center"/>
                    <w:rPr>
                      <w:rFonts w:hint="default" w:ascii="Times New Roman" w:hAnsi="Times New Roman" w:eastAsia="宋体" w:cs="Times New Roman"/>
                      <w:b/>
                      <w:bCs/>
                      <w:color w:val="auto"/>
                      <w:kern w:val="0"/>
                      <w:szCs w:val="21"/>
                    </w:rPr>
                  </w:pPr>
                </w:p>
              </w:tc>
              <w:tc>
                <w:tcPr>
                  <w:tcW w:w="562" w:type="pct"/>
                  <w:vMerge w:val="continue"/>
                  <w:vAlign w:val="center"/>
                </w:tcPr>
                <w:p>
                  <w:pPr>
                    <w:widowControl/>
                    <w:shd w:val="clear"/>
                    <w:jc w:val="center"/>
                    <w:rPr>
                      <w:rFonts w:hint="default" w:ascii="Times New Roman" w:hAnsi="Times New Roman" w:eastAsia="宋体" w:cs="Times New Roman"/>
                      <w:b/>
                      <w:bCs/>
                      <w:color w:val="auto"/>
                      <w:kern w:val="0"/>
                      <w:szCs w:val="21"/>
                    </w:rPr>
                  </w:pPr>
                </w:p>
              </w:tc>
              <w:tc>
                <w:tcPr>
                  <w:tcW w:w="361" w:type="pct"/>
                  <w:vMerge w:val="continue"/>
                  <w:vAlign w:val="center"/>
                </w:tcPr>
                <w:p>
                  <w:pPr>
                    <w:widowControl/>
                    <w:shd w:val="clear"/>
                    <w:jc w:val="center"/>
                    <w:rPr>
                      <w:rFonts w:hint="default" w:ascii="Times New Roman" w:hAnsi="Times New Roman" w:eastAsia="宋体" w:cs="Times New Roman"/>
                      <w:b/>
                      <w:bCs/>
                      <w:color w:val="auto"/>
                      <w:kern w:val="0"/>
                      <w:szCs w:val="21"/>
                    </w:rPr>
                  </w:pPr>
                </w:p>
              </w:tc>
              <w:tc>
                <w:tcPr>
                  <w:tcW w:w="599"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噪声值/</w:t>
                  </w:r>
                </w:p>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dB（A）</w:t>
                  </w:r>
                </w:p>
              </w:tc>
              <w:tc>
                <w:tcPr>
                  <w:tcW w:w="602"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工艺</w:t>
                  </w:r>
                </w:p>
              </w:tc>
              <w:tc>
                <w:tcPr>
                  <w:tcW w:w="614"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降噪效果/</w:t>
                  </w:r>
                </w:p>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dB（A）</w:t>
                  </w:r>
                </w:p>
              </w:tc>
              <w:tc>
                <w:tcPr>
                  <w:tcW w:w="600"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噪声值/</w:t>
                  </w:r>
                </w:p>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切割机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95</w:t>
                  </w:r>
                </w:p>
              </w:tc>
              <w:tc>
                <w:tcPr>
                  <w:tcW w:w="602"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厂房隔声，基础减振，低噪音设备</w:t>
                  </w:r>
                </w:p>
              </w:tc>
              <w:tc>
                <w:tcPr>
                  <w:tcW w:w="614"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20~30</w:t>
                  </w: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等离子切割机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折弯机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90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卷板机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90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车床</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85</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钻床</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偶发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85</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钻铣床</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85</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焊机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12</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95</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抛丸机</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85</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喷塑生产线</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11</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衬塑生产线</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12</w:t>
                  </w:r>
                </w:p>
              </w:tc>
              <w:tc>
                <w:tcPr>
                  <w:tcW w:w="94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循环热风炉</w:t>
                  </w:r>
                </w:p>
              </w:tc>
              <w:tc>
                <w:tcPr>
                  <w:tcW w:w="358" w:type="pct"/>
                  <w:vAlign w:val="center"/>
                </w:tcPr>
                <w:p>
                  <w:pPr>
                    <w:widowControl/>
                    <w:shd w:val="clear"/>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562"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频发</w:t>
                  </w:r>
                </w:p>
              </w:tc>
              <w:tc>
                <w:tcPr>
                  <w:tcW w:w="361"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4480</w:t>
                  </w:r>
                </w:p>
              </w:tc>
              <w:tc>
                <w:tcPr>
                  <w:tcW w:w="599"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c>
                <w:tcPr>
                  <w:tcW w:w="602" w:type="pct"/>
                  <w:vMerge w:val="continue"/>
                  <w:vAlign w:val="center"/>
                </w:tcPr>
                <w:p>
                  <w:pPr>
                    <w:shd w:val="clear"/>
                    <w:jc w:val="center"/>
                    <w:rPr>
                      <w:rFonts w:hint="default" w:ascii="Times New Roman" w:hAnsi="Times New Roman" w:eastAsia="宋体" w:cs="Times New Roman"/>
                      <w:color w:val="auto"/>
                      <w:kern w:val="0"/>
                      <w:szCs w:val="21"/>
                    </w:rPr>
                  </w:pPr>
                </w:p>
              </w:tc>
              <w:tc>
                <w:tcPr>
                  <w:tcW w:w="614" w:type="pct"/>
                  <w:vMerge w:val="continue"/>
                  <w:vAlign w:val="center"/>
                </w:tcPr>
                <w:p>
                  <w:pPr>
                    <w:shd w:val="clear"/>
                    <w:jc w:val="center"/>
                    <w:rPr>
                      <w:rFonts w:hint="default" w:ascii="Times New Roman" w:hAnsi="Times New Roman" w:eastAsia="宋体" w:cs="Times New Roman"/>
                      <w:color w:val="auto"/>
                      <w:kern w:val="0"/>
                      <w:szCs w:val="21"/>
                    </w:rPr>
                  </w:pPr>
                </w:p>
              </w:tc>
              <w:tc>
                <w:tcPr>
                  <w:tcW w:w="600"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30</w:t>
                  </w:r>
                </w:p>
              </w:tc>
            </w:tr>
          </w:tbl>
          <w:p>
            <w:pPr>
              <w:shd w:val="clear"/>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表</w:t>
            </w:r>
            <w:r>
              <w:rPr>
                <w:rFonts w:hint="default" w:ascii="Times New Roman" w:hAnsi="Times New Roman" w:eastAsia="宋体" w:cs="Times New Roman"/>
                <w:b/>
                <w:color w:val="auto"/>
                <w:kern w:val="0"/>
                <w:sz w:val="24"/>
                <w:lang w:val="en-US" w:eastAsia="zh-CN"/>
              </w:rPr>
              <w:t>2</w:t>
            </w:r>
            <w:r>
              <w:rPr>
                <w:rFonts w:hint="default" w:ascii="Times New Roman" w:hAnsi="Times New Roman" w:eastAsia="宋体" w:cs="Times New Roman"/>
                <w:b/>
                <w:color w:val="auto"/>
                <w:kern w:val="0"/>
                <w:sz w:val="24"/>
              </w:rPr>
              <w:t>-</w:t>
            </w:r>
            <w:r>
              <w:rPr>
                <w:rFonts w:hint="default" w:ascii="Times New Roman" w:hAnsi="Times New Roman" w:eastAsia="宋体" w:cs="Times New Roman"/>
                <w:b/>
                <w:color w:val="auto"/>
                <w:kern w:val="0"/>
                <w:sz w:val="24"/>
                <w:lang w:val="en-US" w:eastAsia="zh-CN"/>
              </w:rPr>
              <w:t>15</w:t>
            </w:r>
            <w:r>
              <w:rPr>
                <w:rFonts w:hint="default" w:ascii="Times New Roman" w:hAnsi="Times New Roman" w:eastAsia="宋体" w:cs="Times New Roman"/>
                <w:b/>
                <w:color w:val="auto"/>
                <w:kern w:val="0"/>
                <w:sz w:val="24"/>
              </w:rPr>
              <w:t xml:space="preserve"> 项目主要噪声源强及位置一览表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1"/>
              <w:gridCol w:w="524"/>
              <w:gridCol w:w="1904"/>
              <w:gridCol w:w="706"/>
              <w:gridCol w:w="1359"/>
              <w:gridCol w:w="815"/>
              <w:gridCol w:w="924"/>
              <w:gridCol w:w="835"/>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445" w:type="pct"/>
                  <w:gridSpan w:val="2"/>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噪声设备</w:t>
                  </w:r>
                </w:p>
              </w:tc>
              <w:tc>
                <w:tcPr>
                  <w:tcW w:w="420"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台数</w:t>
                  </w:r>
                </w:p>
              </w:tc>
              <w:tc>
                <w:tcPr>
                  <w:tcW w:w="80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预测源强</w:t>
                  </w:r>
                </w:p>
              </w:tc>
              <w:tc>
                <w:tcPr>
                  <w:tcW w:w="2007" w:type="pct"/>
                  <w:gridSpan w:val="4"/>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与四厂界最近距离/m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Merge w:val="continue"/>
                  <w:vAlign w:val="center"/>
                </w:tcPr>
                <w:p>
                  <w:pPr>
                    <w:shd w:val="clear"/>
                    <w:jc w:val="center"/>
                    <w:rPr>
                      <w:rFonts w:hint="default" w:ascii="Times New Roman" w:hAnsi="Times New Roman" w:eastAsia="宋体" w:cs="Times New Roman"/>
                      <w:color w:val="auto"/>
                      <w:kern w:val="0"/>
                      <w:szCs w:val="21"/>
                    </w:rPr>
                  </w:pPr>
                </w:p>
              </w:tc>
              <w:tc>
                <w:tcPr>
                  <w:tcW w:w="1445" w:type="pct"/>
                  <w:gridSpan w:val="2"/>
                  <w:vMerge w:val="continue"/>
                  <w:vAlign w:val="center"/>
                </w:tcPr>
                <w:p>
                  <w:pPr>
                    <w:shd w:val="clear"/>
                    <w:jc w:val="center"/>
                    <w:rPr>
                      <w:rFonts w:hint="default" w:ascii="Times New Roman" w:hAnsi="Times New Roman" w:eastAsia="宋体" w:cs="Times New Roman"/>
                      <w:color w:val="auto"/>
                      <w:kern w:val="0"/>
                      <w:szCs w:val="21"/>
                    </w:rPr>
                  </w:pPr>
                </w:p>
              </w:tc>
              <w:tc>
                <w:tcPr>
                  <w:tcW w:w="420" w:type="pct"/>
                  <w:vMerge w:val="continue"/>
                  <w:vAlign w:val="center"/>
                </w:tcPr>
                <w:p>
                  <w:pPr>
                    <w:shd w:val="clear"/>
                    <w:jc w:val="center"/>
                    <w:rPr>
                      <w:rFonts w:hint="default" w:ascii="Times New Roman" w:hAnsi="Times New Roman" w:eastAsia="宋体" w:cs="Times New Roman"/>
                      <w:color w:val="auto"/>
                      <w:kern w:val="0"/>
                      <w:szCs w:val="21"/>
                    </w:rPr>
                  </w:pPr>
                </w:p>
              </w:tc>
              <w:tc>
                <w:tcPr>
                  <w:tcW w:w="809"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噪声值dB（A）</w:t>
                  </w:r>
                </w:p>
              </w:tc>
              <w:tc>
                <w:tcPr>
                  <w:tcW w:w="4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东</w:t>
                  </w:r>
                </w:p>
              </w:tc>
              <w:tc>
                <w:tcPr>
                  <w:tcW w:w="550"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西</w:t>
                  </w:r>
                </w:p>
              </w:tc>
              <w:tc>
                <w:tcPr>
                  <w:tcW w:w="497"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南</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312" w:type="pct"/>
                  <w:vMerge w:val="restar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生产车间</w:t>
                  </w: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切割机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65</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p>
              </w:tc>
              <w:tc>
                <w:tcPr>
                  <w:tcW w:w="497" w:type="pct"/>
                  <w:vAlign w:val="bottom"/>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等离子切割机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80</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25</w:t>
                  </w:r>
                </w:p>
              </w:tc>
              <w:tc>
                <w:tcPr>
                  <w:tcW w:w="497" w:type="pct"/>
                  <w:vAlign w:val="bottom"/>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折弯机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卷板机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35</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车床</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62.78</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钻床</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70</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钻铣床</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58.01</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65</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焊机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12</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75.79</w:t>
                  </w:r>
                </w:p>
              </w:tc>
              <w:tc>
                <w:tcPr>
                  <w:tcW w:w="4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550"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65</w:t>
                  </w:r>
                </w:p>
              </w:tc>
              <w:tc>
                <w:tcPr>
                  <w:tcW w:w="497" w:type="pct"/>
                  <w:vAlign w:val="bottom"/>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50</w:t>
                  </w:r>
                </w:p>
              </w:tc>
              <w:tc>
                <w:tcPr>
                  <w:tcW w:w="47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抛丸机</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55</w:t>
                  </w:r>
                </w:p>
              </w:tc>
              <w:tc>
                <w:tcPr>
                  <w:tcW w:w="48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550"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65</w:t>
                  </w:r>
                </w:p>
              </w:tc>
              <w:tc>
                <w:tcPr>
                  <w:tcW w:w="497" w:type="pct"/>
                  <w:vAlign w:val="bottom"/>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c>
                <w:tcPr>
                  <w:tcW w:w="47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喷塑生产线</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11</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衬塑生产线</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12</w:t>
                  </w:r>
                </w:p>
              </w:tc>
              <w:tc>
                <w:tcPr>
                  <w:tcW w:w="312" w:type="pct"/>
                  <w:vMerge w:val="continue"/>
                  <w:vAlign w:val="center"/>
                </w:tcPr>
                <w:p>
                  <w:pPr>
                    <w:shd w:val="clear"/>
                    <w:jc w:val="center"/>
                    <w:rPr>
                      <w:rFonts w:hint="default" w:ascii="Times New Roman" w:hAnsi="Times New Roman" w:eastAsia="宋体" w:cs="Times New Roman"/>
                      <w:color w:val="auto"/>
                      <w:kern w:val="0"/>
                      <w:szCs w:val="21"/>
                    </w:rPr>
                  </w:pPr>
                </w:p>
              </w:tc>
              <w:tc>
                <w:tcPr>
                  <w:tcW w:w="1133"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循环热风炉</w:t>
                  </w:r>
                </w:p>
              </w:tc>
              <w:tc>
                <w:tcPr>
                  <w:tcW w:w="420" w:type="pct"/>
                  <w:vAlign w:val="center"/>
                </w:tcPr>
                <w:p>
                  <w:pPr>
                    <w:widowControl/>
                    <w:shd w:val="clear"/>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w:t>
                  </w:r>
                </w:p>
              </w:tc>
              <w:tc>
                <w:tcPr>
                  <w:tcW w:w="809"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30</w:t>
                  </w:r>
                </w:p>
              </w:tc>
              <w:tc>
                <w:tcPr>
                  <w:tcW w:w="485"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80</w:t>
                  </w:r>
                </w:p>
              </w:tc>
              <w:tc>
                <w:tcPr>
                  <w:tcW w:w="550" w:type="pct"/>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25</w:t>
                  </w:r>
                </w:p>
              </w:tc>
              <w:tc>
                <w:tcPr>
                  <w:tcW w:w="497" w:type="pct"/>
                  <w:vAlign w:val="bottom"/>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60</w:t>
                  </w:r>
                </w:p>
              </w:tc>
              <w:tc>
                <w:tcPr>
                  <w:tcW w:w="475"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15</w:t>
                  </w:r>
                </w:p>
              </w:tc>
            </w:tr>
          </w:tbl>
          <w:p>
            <w:pPr>
              <w:shd w:val="clear"/>
              <w:spacing w:line="360" w:lineRule="auto"/>
              <w:ind w:firstLine="480" w:firstLineChars="200"/>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b w:val="0"/>
                <w:bCs w:val="0"/>
                <w:color w:val="auto"/>
                <w:kern w:val="0"/>
                <w:sz w:val="24"/>
              </w:rPr>
              <w:t>（2）厂界和环境保护目标达标情况</w:t>
            </w:r>
          </w:p>
          <w:p>
            <w:pPr>
              <w:shd w:val="clea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w:t>
            </w:r>
            <w:r>
              <w:rPr>
                <w:rFonts w:hint="default" w:ascii="Times New Roman" w:hAnsi="Times New Roman" w:eastAsia="宋体" w:cs="Times New Roman"/>
                <w:color w:val="auto"/>
                <w:kern w:val="0"/>
                <w:sz w:val="24"/>
                <w:szCs w:val="24"/>
                <w:lang w:eastAsia="zh-CN"/>
              </w:rPr>
              <w:t>现有项目实际情况，因设备位置发生改变，噪声源位置发生移动，预测时未考虑现有项目噪声值。</w:t>
            </w:r>
            <w:r>
              <w:rPr>
                <w:rFonts w:hint="default" w:ascii="Times New Roman" w:hAnsi="Times New Roman" w:eastAsia="宋体" w:cs="Times New Roman"/>
                <w:color w:val="auto"/>
                <w:kern w:val="0"/>
                <w:sz w:val="24"/>
                <w:szCs w:val="24"/>
              </w:rPr>
              <w:t>按照《环境影响评价技术导则 声环境》（HJ2.4-2009）附录A中预测计算模式进行预测，项目建成后各厂界预测点的噪声预测结果见下表。</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预测模式</w:t>
            </w:r>
          </w:p>
          <w:p>
            <w:pPr>
              <w:shd w:val="clear"/>
              <w:spacing w:line="360" w:lineRule="auto"/>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基准预测点噪声级叠加公式：</w:t>
            </w:r>
          </w:p>
          <w:p>
            <w:pPr>
              <w:shd w:val="clear"/>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rPr>
              <w:t>=10lg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position w:val="-28"/>
                <w:sz w:val="24"/>
                <w:szCs w:val="24"/>
                <w:highlight w:val="none"/>
              </w:rPr>
              <w:object>
                <v:shape id="_x0000_i1025" o:spt="75" type="#_x0000_t75" style="height:29.85pt;width:58.65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2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噪声贡献值，</w:t>
            </w:r>
            <w:r>
              <w:rPr>
                <w:rFonts w:hint="default" w:ascii="Times New Roman" w:hAnsi="Times New Roman" w:eastAsia="宋体" w:cs="Times New Roman"/>
                <w:color w:val="auto"/>
                <w:sz w:val="24"/>
                <w:szCs w:val="24"/>
                <w:highlight w:val="none"/>
                <w:lang w:val="en-US" w:eastAsia="zh-CN"/>
              </w:rPr>
              <w:t>dB；</w:t>
            </w:r>
          </w:p>
          <w:p>
            <w:pPr>
              <w:shd w:val="clear"/>
              <w:spacing w:line="360" w:lineRule="auto"/>
              <w:ind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预测计算的时间段</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s；</w:t>
            </w:r>
          </w:p>
          <w:p>
            <w:pPr>
              <w:shd w:val="clear"/>
              <w:spacing w:line="360" w:lineRule="auto"/>
              <w:ind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i声源在T时段内的运行时间，s；</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LAi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i声源在预测点产生的等效连续A声级，dB</w:t>
            </w:r>
            <w:r>
              <w:rPr>
                <w:rFonts w:hint="default" w:ascii="Times New Roman" w:hAnsi="Times New Roman" w:eastAsia="宋体" w:cs="Times New Roman"/>
                <w:color w:val="auto"/>
                <w:sz w:val="24"/>
                <w:szCs w:val="24"/>
                <w:highlight w:val="none"/>
              </w:rPr>
              <w:t>。</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用上述公式计算出各噪声源点至基准预测点的总声压级，然后以基准预测点的噪声强度为工程噪声源强。</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计算预测点的声级：</w:t>
            </w:r>
          </w:p>
          <w:p>
            <w:pPr>
              <w:shd w:val="clear"/>
              <w:ind w:firstLine="4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6" o:spt="75" type="#_x0000_t75" style="height:18pt;width:148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val="en-US" w:eastAsia="zh-CN"/>
              </w:rPr>
              <w:t>Leq</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预测点的噪声预测值</w:t>
            </w:r>
            <w:r>
              <w:rPr>
                <w:rFonts w:hint="default" w:ascii="Times New Roman" w:hAnsi="Times New Roman" w:eastAsia="宋体" w:cs="Times New Roman"/>
                <w:color w:val="auto"/>
                <w:sz w:val="24"/>
                <w:szCs w:val="24"/>
                <w:highlight w:val="none"/>
              </w:rPr>
              <w:t>，dB；</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Leqg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建设项目声源在预测点产生的噪声贡献值</w:t>
            </w:r>
            <w:r>
              <w:rPr>
                <w:rFonts w:hint="default" w:ascii="Times New Roman" w:hAnsi="Times New Roman" w:eastAsia="宋体" w:cs="Times New Roman"/>
                <w:color w:val="auto"/>
                <w:sz w:val="24"/>
                <w:szCs w:val="24"/>
                <w:highlight w:val="none"/>
              </w:rPr>
              <w:t>，dB；</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highlight w:val="none"/>
                <w:lang w:val="en-US" w:eastAsia="zh-CN"/>
              </w:rPr>
              <w:t>Leqb</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预测点的背景噪声值</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kern w:val="0"/>
                <w:sz w:val="24"/>
                <w:szCs w:val="24"/>
              </w:rPr>
              <w:t>。</w:t>
            </w:r>
          </w:p>
          <w:p>
            <w:pPr>
              <w:pStyle w:val="46"/>
              <w:shd w:val="clear"/>
              <w:adjustRightInd/>
              <w:snapToGrid/>
              <w:spacing w:line="240" w:lineRule="auto"/>
              <w:outlineLvl w:val="4"/>
              <w:rPr>
                <w:rFonts w:hint="default" w:ascii="Times New Roman" w:hAnsi="Times New Roman" w:eastAsia="宋体" w:cs="Times New Roman"/>
                <w:caps w:val="0"/>
                <w:color w:val="auto"/>
                <w:kern w:val="0"/>
              </w:rPr>
            </w:pPr>
            <w:r>
              <w:rPr>
                <w:rFonts w:hint="default" w:ascii="Times New Roman" w:hAnsi="Times New Roman" w:eastAsia="宋体" w:cs="Times New Roman"/>
                <w:caps w:val="0"/>
                <w:color w:val="auto"/>
                <w:kern w:val="0"/>
              </w:rPr>
              <w:t>表</w:t>
            </w:r>
            <w:r>
              <w:rPr>
                <w:rFonts w:hint="default" w:ascii="Times New Roman" w:hAnsi="Times New Roman" w:eastAsia="宋体" w:cs="Times New Roman"/>
                <w:caps w:val="0"/>
                <w:color w:val="auto"/>
                <w:kern w:val="0"/>
                <w:lang w:val="en-US" w:eastAsia="zh-CN"/>
              </w:rPr>
              <w:t>2</w:t>
            </w:r>
            <w:r>
              <w:rPr>
                <w:rFonts w:hint="default" w:ascii="Times New Roman" w:hAnsi="Times New Roman" w:eastAsia="宋体" w:cs="Times New Roman"/>
                <w:caps w:val="0"/>
                <w:color w:val="auto"/>
                <w:kern w:val="0"/>
              </w:rPr>
              <w:t>-</w:t>
            </w:r>
            <w:r>
              <w:rPr>
                <w:rFonts w:hint="default" w:ascii="Times New Roman" w:hAnsi="Times New Roman" w:eastAsia="宋体" w:cs="Times New Roman"/>
                <w:caps w:val="0"/>
                <w:color w:val="auto"/>
                <w:kern w:val="0"/>
                <w:lang w:val="en-US" w:eastAsia="zh-CN"/>
              </w:rPr>
              <w:t>16</w:t>
            </w:r>
            <w:r>
              <w:rPr>
                <w:rFonts w:hint="default" w:ascii="Times New Roman" w:hAnsi="Times New Roman" w:eastAsia="宋体" w:cs="Times New Roman"/>
                <w:caps w:val="0"/>
                <w:color w:val="auto"/>
                <w:kern w:val="0"/>
              </w:rPr>
              <w:t xml:space="preserve"> 噪声影响预测结果一览表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96"/>
              <w:gridCol w:w="1574"/>
              <w:gridCol w:w="1574"/>
              <w:gridCol w:w="1574"/>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贡献值</w:t>
                  </w:r>
                </w:p>
              </w:tc>
              <w:tc>
                <w:tcPr>
                  <w:tcW w:w="937"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东厂界</w:t>
                  </w:r>
                </w:p>
              </w:tc>
              <w:tc>
                <w:tcPr>
                  <w:tcW w:w="937"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西厂界</w:t>
                  </w:r>
                </w:p>
              </w:tc>
              <w:tc>
                <w:tcPr>
                  <w:tcW w:w="937"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南厂界</w:t>
                  </w:r>
                </w:p>
              </w:tc>
              <w:tc>
                <w:tcPr>
                  <w:tcW w:w="938" w:type="pct"/>
                  <w:vAlign w:val="center"/>
                </w:tcPr>
                <w:p>
                  <w:pPr>
                    <w:shd w:val="clea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dB（A）</w:t>
                  </w:r>
                </w:p>
              </w:tc>
              <w:tc>
                <w:tcPr>
                  <w:tcW w:w="1527" w:type="dxa"/>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46.55</w:t>
                  </w:r>
                </w:p>
              </w:tc>
              <w:tc>
                <w:tcPr>
                  <w:tcW w:w="1527" w:type="dxa"/>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42.93</w:t>
                  </w:r>
                </w:p>
              </w:tc>
              <w:tc>
                <w:tcPr>
                  <w:tcW w:w="1527" w:type="dxa"/>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43.84</w:t>
                  </w:r>
                </w:p>
              </w:tc>
              <w:tc>
                <w:tcPr>
                  <w:tcW w:w="1529" w:type="dxa"/>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48.18</w:t>
                  </w:r>
                </w:p>
              </w:tc>
            </w:tr>
          </w:tbl>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项目噪声主要来自设备生产运行产生的噪声，项目采取设备基础减震、厂房隔声和合理布置等降噪措施，噪声经过衰减后，昼间噪声值≤60dB（A），</w:t>
            </w:r>
            <w:r>
              <w:rPr>
                <w:rFonts w:hint="default" w:ascii="Times New Roman" w:hAnsi="Times New Roman" w:eastAsia="宋体" w:cs="Times New Roman"/>
                <w:color w:val="auto"/>
                <w:kern w:val="0"/>
                <w:sz w:val="24"/>
                <w:lang w:eastAsia="zh-CN"/>
              </w:rPr>
              <w:t>夜间</w:t>
            </w:r>
            <w:r>
              <w:rPr>
                <w:rFonts w:hint="default" w:ascii="Times New Roman" w:hAnsi="Times New Roman" w:eastAsia="宋体" w:cs="Times New Roman"/>
                <w:color w:val="auto"/>
                <w:kern w:val="0"/>
                <w:sz w:val="24"/>
              </w:rPr>
              <w:t>噪声值≤</w:t>
            </w:r>
            <w:r>
              <w:rPr>
                <w:rFonts w:hint="default" w:ascii="Times New Roman" w:hAnsi="Times New Roman" w:eastAsia="宋体" w:cs="Times New Roman"/>
                <w:color w:val="auto"/>
                <w:kern w:val="0"/>
                <w:sz w:val="24"/>
                <w:lang w:val="en-US" w:eastAsia="zh-CN"/>
              </w:rPr>
              <w:t>50</w:t>
            </w:r>
            <w:r>
              <w:rPr>
                <w:rFonts w:hint="default" w:ascii="Times New Roman" w:hAnsi="Times New Roman" w:eastAsia="宋体" w:cs="Times New Roman"/>
                <w:color w:val="auto"/>
                <w:kern w:val="0"/>
                <w:sz w:val="24"/>
              </w:rPr>
              <w:t>dB（A）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可以满足《工业企业厂界环境噪声排放标准》（GB12348-2008）中2类标准。</w:t>
            </w:r>
          </w:p>
          <w:p>
            <w:pPr>
              <w:widowControl/>
              <w:shd w:val="clear"/>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综上所述，项目运行产生的噪声对区域声环境影响较小。</w:t>
            </w:r>
          </w:p>
          <w:p>
            <w:pPr>
              <w:widowControl/>
              <w:shd w:val="clear"/>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项目</w:t>
            </w:r>
            <w:r>
              <w:rPr>
                <w:rFonts w:hint="default" w:ascii="Times New Roman" w:hAnsi="Times New Roman" w:eastAsia="宋体" w:cs="Times New Roman"/>
                <w:color w:val="auto"/>
                <w:kern w:val="0"/>
                <w:sz w:val="24"/>
              </w:rPr>
              <w:t>污染物排放情况及处理措施见下表。</w:t>
            </w:r>
          </w:p>
          <w:p>
            <w:pPr>
              <w:pStyle w:val="2"/>
              <w:shd w:val="clear"/>
              <w:spacing w:after="0"/>
              <w:ind w:left="0" w:leftChars="0" w:firstLine="482"/>
              <w:jc w:val="center"/>
              <w:rPr>
                <w:rFonts w:hint="default" w:ascii="Times New Roman" w:hAnsi="Times New Roman" w:eastAsia="宋体" w:cs="Times New Roman"/>
                <w:b/>
                <w:bCs/>
                <w:color w:val="auto"/>
                <w:kern w:val="0"/>
                <w:szCs w:val="24"/>
              </w:rPr>
            </w:pPr>
            <w:r>
              <w:rPr>
                <w:rFonts w:hint="default" w:ascii="Times New Roman" w:hAnsi="Times New Roman" w:eastAsia="宋体" w:cs="Times New Roman"/>
                <w:b/>
                <w:bCs/>
                <w:color w:val="auto"/>
                <w:kern w:val="0"/>
                <w:szCs w:val="24"/>
              </w:rPr>
              <w:t>表2-</w:t>
            </w:r>
            <w:r>
              <w:rPr>
                <w:rFonts w:hint="default" w:ascii="Times New Roman" w:hAnsi="Times New Roman" w:eastAsia="宋体" w:cs="Times New Roman"/>
                <w:b/>
                <w:bCs/>
                <w:color w:val="auto"/>
                <w:kern w:val="0"/>
                <w:szCs w:val="24"/>
                <w:lang w:val="en-US" w:eastAsia="zh-CN"/>
              </w:rPr>
              <w:t>17 现有</w:t>
            </w:r>
            <w:r>
              <w:rPr>
                <w:rFonts w:hint="default" w:ascii="Times New Roman" w:hAnsi="Times New Roman" w:eastAsia="宋体" w:cs="Times New Roman"/>
                <w:b/>
                <w:bCs/>
                <w:color w:val="auto"/>
                <w:kern w:val="0"/>
                <w:szCs w:val="24"/>
                <w:lang w:eastAsia="zh-CN"/>
              </w:rPr>
              <w:t>项目</w:t>
            </w:r>
            <w:r>
              <w:rPr>
                <w:rFonts w:hint="default" w:ascii="Times New Roman" w:hAnsi="Times New Roman" w:eastAsia="宋体" w:cs="Times New Roman"/>
                <w:b/>
                <w:bCs/>
                <w:color w:val="auto"/>
                <w:kern w:val="0"/>
                <w:szCs w:val="24"/>
              </w:rPr>
              <w:t>污染物排放情况及处理措施表</w:t>
            </w:r>
          </w:p>
          <w:tbl>
            <w:tblPr>
              <w:tblStyle w:val="22"/>
              <w:tblW w:w="84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557"/>
              <w:gridCol w:w="2139"/>
              <w:gridCol w:w="1646"/>
              <w:gridCol w:w="2446"/>
              <w:gridCol w:w="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排放口名称及编号</w:t>
                  </w:r>
                </w:p>
              </w:tc>
              <w:tc>
                <w:tcPr>
                  <w:tcW w:w="12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产污环节</w:t>
                  </w:r>
                </w:p>
              </w:tc>
              <w:tc>
                <w:tcPr>
                  <w:tcW w:w="9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w:t>
                  </w:r>
                </w:p>
              </w:tc>
              <w:tc>
                <w:tcPr>
                  <w:tcW w:w="14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主要污染防治措施</w:t>
                  </w:r>
                </w:p>
              </w:tc>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0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9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有组织排放</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衬塑生产线衬塑工序及喷塑生产线固化工序</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集气罩收入两级活性炭吸附装置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切割工序、抛丸工序</w:t>
                  </w:r>
                </w:p>
              </w:tc>
              <w:tc>
                <w:tcPr>
                  <w:tcW w:w="9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集气罩收入脉冲式布袋除尘器</w:t>
                  </w:r>
                </w:p>
              </w:tc>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喷塑粉尘</w:t>
                  </w:r>
                </w:p>
              </w:tc>
              <w:tc>
                <w:tcPr>
                  <w:tcW w:w="9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滤芯回收+滤芯除尘器</w:t>
                  </w: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无组织排放</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车间</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切割工序、抛丸工序、喷塑生产线未被收集的粉尘</w:t>
                  </w:r>
                </w:p>
              </w:tc>
              <w:tc>
                <w:tcPr>
                  <w:tcW w:w="9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加强生产操作管理</w:t>
                  </w:r>
                </w:p>
              </w:tc>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焊烟</w:t>
                  </w:r>
                </w:p>
              </w:tc>
              <w:tc>
                <w:tcPr>
                  <w:tcW w:w="9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移动式焊烟净化器</w:t>
                  </w: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衬塑生产线衬塑工序及喷塑生产线固化工序</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加强通风，加强生产操作管理</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固废</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生产环节</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初加工</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边角料（345-003-09）</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焊接</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废焊条和焊渣（345-003-99）</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机床加工</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金属碎屑（345-003-09）</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喷塑、衬塑</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废包装材料（345-003-07）</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废气处理</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脉冲式布袋除尘器收尘（345-003-09）</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焊烟处理</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焊烟净化器收尘（345-003-09）</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收集后外售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保养维护</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含油废手套抹布</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环卫部门定期清运</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保养维护</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废油桶</w:t>
                  </w:r>
                </w:p>
              </w:tc>
              <w:tc>
                <w:tcPr>
                  <w:tcW w:w="14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暂存于危废暂存间内，委托具有危险废物处理资质的单位进行处理处置</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二级活性炭吸附</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废活性炭</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喷塑废气吸附</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废滤芯</w:t>
                  </w:r>
                </w:p>
              </w:tc>
              <w:tc>
                <w:tcPr>
                  <w:tcW w:w="14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1"/>
                      <w:szCs w:val="21"/>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default" w:ascii="Times New Roman" w:hAnsi="Times New Roman" w:eastAsia="宋体" w:cs="Times New Roman"/>
                      <w:i w:val="0"/>
                      <w:iCs w:val="0"/>
                      <w:color w:val="auto"/>
                      <w:sz w:val="22"/>
                      <w:szCs w:val="22"/>
                      <w:u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生产生活</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环卫部门定期清运</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水污染物</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生产环节</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、氨氮、SS等</w:t>
                  </w:r>
                </w:p>
              </w:tc>
              <w:tc>
                <w:tcPr>
                  <w:tcW w:w="1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生活污水经化粪池暂存，用作周边农田农肥，不外排</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生产环节</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各种机械设备运行</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1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采用低噪音设备、隔声、基础减振等措施降噪</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pPr>
              <w:pStyle w:val="2"/>
              <w:shd w:val="clear"/>
              <w:spacing w:after="0" w:line="360" w:lineRule="auto"/>
              <w:ind w:left="0" w:leftChars="0"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四、现有项目存在的问题及整改措施</w:t>
            </w:r>
          </w:p>
          <w:p>
            <w:pPr>
              <w:pStyle w:val="21"/>
              <w:shd w:val="clear"/>
              <w:spacing w:before="0" w:beforeAutospacing="0" w:after="0" w:afterAutospacing="0"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1、存在的问题</w:t>
            </w:r>
          </w:p>
          <w:p>
            <w:pPr>
              <w:pStyle w:val="21"/>
              <w:shd w:val="clear"/>
              <w:spacing w:before="0" w:beforeAutospacing="0" w:after="0" w:afterAutospacing="0" w:line="360" w:lineRule="auto"/>
              <w:ind w:firstLine="480" w:firstLineChars="20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lang w:val="en-US" w:eastAsia="zh-CN"/>
              </w:rPr>
              <w:t>1</w:t>
            </w:r>
            <w:r>
              <w:rPr>
                <w:rFonts w:hint="default" w:ascii="Times New Roman" w:hAnsi="Times New Roman" w:eastAsia="宋体" w:cs="Times New Roman"/>
                <w:color w:val="auto"/>
                <w:kern w:val="0"/>
                <w:szCs w:val="24"/>
                <w:lang w:eastAsia="zh-CN"/>
              </w:rPr>
              <w:t>）排污许可证未申领</w:t>
            </w:r>
            <w:r>
              <w:rPr>
                <w:rFonts w:hint="default" w:ascii="Times New Roman" w:hAnsi="Times New Roman" w:eastAsia="宋体" w:cs="Times New Roman"/>
                <w:color w:val="auto"/>
                <w:kern w:val="0"/>
                <w:szCs w:val="24"/>
              </w:rPr>
              <w:t>。</w:t>
            </w:r>
          </w:p>
          <w:p>
            <w:pPr>
              <w:shd w:val="clea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2、整改措施</w:t>
            </w:r>
          </w:p>
          <w:p>
            <w:pPr>
              <w:shd w:val="clea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rPr>
              <w:t>（1）</w:t>
            </w:r>
            <w:r>
              <w:rPr>
                <w:rFonts w:hint="default" w:ascii="Times New Roman" w:hAnsi="Times New Roman" w:eastAsia="宋体" w:cs="Times New Roman"/>
                <w:color w:val="auto"/>
                <w:kern w:val="0"/>
                <w:sz w:val="24"/>
                <w:szCs w:val="24"/>
                <w:lang w:val="en-US" w:eastAsia="zh-CN"/>
              </w:rPr>
              <w:t>企业应在实际排污之前进行排污许可登记工作</w:t>
            </w:r>
            <w:r>
              <w:rPr>
                <w:rFonts w:hint="default" w:ascii="Times New Roman" w:hAnsi="Times New Roman" w:eastAsia="宋体" w:cs="Times New Roman"/>
                <w:color w:val="auto"/>
                <w:kern w:val="0"/>
                <w:sz w:val="24"/>
              </w:rPr>
              <w:t>。</w:t>
            </w:r>
          </w:p>
        </w:tc>
      </w:tr>
    </w:tbl>
    <w:p>
      <w:pPr>
        <w:pStyle w:val="21"/>
        <w:keepNext w:val="0"/>
        <w:keepLines w:val="0"/>
        <w:pageBreakBefore w:val="0"/>
        <w:widowControl/>
        <w:numPr>
          <w:ilvl w:val="0"/>
          <w:numId w:val="0"/>
        </w:numPr>
        <w:shd w:val="clear"/>
        <w:kinsoku/>
        <w:wordWrap/>
        <w:overflowPunct/>
        <w:topLinePunct w:val="0"/>
        <w:autoSpaceDE/>
        <w:autoSpaceDN/>
        <w:bidi w:val="0"/>
        <w:adjustRightInd w:val="0"/>
        <w:snapToGrid/>
        <w:spacing w:before="0" w:beforeAutospacing="0" w:after="0" w:afterAutospacing="0"/>
        <w:jc w:val="both"/>
        <w:textAlignment w:val="auto"/>
        <w:outlineLvl w:val="0"/>
        <w:rPr>
          <w:rFonts w:hint="default" w:ascii="Times New Roman" w:hAnsi="Times New Roman" w:eastAsia="宋体"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1"/>
        <w:numPr>
          <w:ilvl w:val="0"/>
          <w:numId w:val="7"/>
        </w:numPr>
        <w:shd w:val="clear"/>
        <w:ind w:left="0" w:leftChars="0" w:firstLine="0" w:firstLineChars="0"/>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区域环境质量现状、环境保护目标及评价标准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jc w:val="center"/>
        </w:trPr>
        <w:tc>
          <w:tcPr>
            <w:tcW w:w="800" w:type="dxa"/>
            <w:tcBorders>
              <w:tl2br w:val="nil"/>
              <w:tr2bl w:val="nil"/>
            </w:tcBorders>
            <w:vAlign w:val="center"/>
          </w:tcPr>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4"/>
                <w:szCs w:val="24"/>
              </w:rPr>
              <w:t>现状</w:t>
            </w:r>
          </w:p>
        </w:tc>
        <w:tc>
          <w:tcPr>
            <w:tcW w:w="8245" w:type="dxa"/>
            <w:tcBorders>
              <w:tl2br w:val="nil"/>
              <w:tr2bl w:val="nil"/>
            </w:tcBorders>
            <w:vAlign w:val="center"/>
          </w:tcPr>
          <w:p>
            <w:pPr>
              <w:pStyle w:val="11"/>
              <w:shd w:val="clear"/>
              <w:adjustRightInd w:val="0"/>
              <w:spacing w:before="0" w:after="0"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1、大气环境</w:t>
            </w:r>
          </w:p>
          <w:p>
            <w:pPr>
              <w:widowControl/>
              <w:shd w:val="clear"/>
              <w:adjustRightInd w:val="0"/>
              <w:snapToGrid w:val="0"/>
              <w:spacing w:line="360" w:lineRule="auto"/>
              <w:ind w:left="42" w:leftChars="20" w:right="42" w:rightChars="20"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rPr>
              <w:t>根据</w:t>
            </w:r>
            <w:r>
              <w:rPr>
                <w:rFonts w:hint="default" w:ascii="Times New Roman" w:hAnsi="Times New Roman" w:eastAsia="宋体" w:cs="Times New Roman"/>
                <w:b w:val="0"/>
                <w:bCs w:val="0"/>
                <w:color w:val="auto"/>
                <w:kern w:val="0"/>
                <w:sz w:val="24"/>
                <w:szCs w:val="24"/>
                <w:lang w:eastAsia="zh-CN"/>
              </w:rPr>
              <w:t>淄博市生态环境局</w:t>
            </w:r>
            <w:r>
              <w:rPr>
                <w:rFonts w:hint="default" w:ascii="Times New Roman" w:hAnsi="Times New Roman" w:eastAsia="宋体" w:cs="Times New Roman"/>
                <w:b w:val="0"/>
                <w:bCs w:val="0"/>
                <w:color w:val="auto"/>
                <w:kern w:val="0"/>
                <w:sz w:val="24"/>
                <w:szCs w:val="24"/>
                <w:lang w:val="en-US" w:eastAsia="zh-CN"/>
              </w:rPr>
              <w:t>2023年1月23日</w:t>
            </w:r>
            <w:r>
              <w:rPr>
                <w:rFonts w:hint="default" w:ascii="Times New Roman" w:hAnsi="Times New Roman" w:eastAsia="宋体" w:cs="Times New Roman"/>
                <w:b w:val="0"/>
                <w:bCs w:val="0"/>
                <w:color w:val="auto"/>
                <w:kern w:val="0"/>
                <w:sz w:val="24"/>
                <w:szCs w:val="24"/>
              </w:rPr>
              <w:t>发布的《</w:t>
            </w:r>
            <w:r>
              <w:rPr>
                <w:rFonts w:hint="default" w:ascii="Times New Roman" w:hAnsi="Times New Roman" w:eastAsia="宋体" w:cs="Times New Roman"/>
                <w:b w:val="0"/>
                <w:bCs w:val="0"/>
                <w:color w:val="auto"/>
                <w:kern w:val="0"/>
                <w:sz w:val="24"/>
                <w:szCs w:val="24"/>
                <w:lang w:val="en-US" w:eastAsia="zh-CN"/>
              </w:rPr>
              <w:t>2022</w:t>
            </w:r>
            <w:r>
              <w:rPr>
                <w:rFonts w:hint="default" w:ascii="Times New Roman" w:hAnsi="Times New Roman" w:eastAsia="宋体" w:cs="Times New Roman"/>
                <w:b w:val="0"/>
                <w:bCs w:val="0"/>
                <w:color w:val="auto"/>
                <w:kern w:val="0"/>
                <w:sz w:val="24"/>
                <w:szCs w:val="24"/>
              </w:rPr>
              <w:t>年12月份及全年环境质量情况通报》，2022年，全市良好天数236天（国控），同比增加14天。重污染天数6天，同比减少2天。其中，二氧化硫（SO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）14微克/立方米，同比持平；二氧化氮（NO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）33微克/立方米，同比改善5.7%；可吸入颗粒物（PM</w:t>
            </w:r>
            <w:r>
              <w:rPr>
                <w:rFonts w:hint="default" w:ascii="Times New Roman" w:hAnsi="Times New Roman" w:eastAsia="宋体" w:cs="Times New Roman"/>
                <w:b w:val="0"/>
                <w:bCs w:val="0"/>
                <w:color w:val="auto"/>
                <w:kern w:val="0"/>
                <w:sz w:val="24"/>
                <w:szCs w:val="24"/>
                <w:vertAlign w:val="subscript"/>
              </w:rPr>
              <w:t>10</w:t>
            </w:r>
            <w:r>
              <w:rPr>
                <w:rFonts w:hint="default" w:ascii="Times New Roman" w:hAnsi="Times New Roman" w:eastAsia="宋体" w:cs="Times New Roman"/>
                <w:b w:val="0"/>
                <w:bCs w:val="0"/>
                <w:color w:val="auto"/>
                <w:kern w:val="0"/>
                <w:sz w:val="24"/>
                <w:szCs w:val="24"/>
              </w:rPr>
              <w:t>）75微克/立方米，同比改善2.6%；细颗粒物（PM</w:t>
            </w:r>
            <w:r>
              <w:rPr>
                <w:rFonts w:hint="default" w:ascii="Times New Roman" w:hAnsi="Times New Roman" w:eastAsia="宋体" w:cs="Times New Roman"/>
                <w:b w:val="0"/>
                <w:bCs w:val="0"/>
                <w:color w:val="auto"/>
                <w:kern w:val="0"/>
                <w:sz w:val="24"/>
                <w:szCs w:val="24"/>
                <w:vertAlign w:val="subscript"/>
              </w:rPr>
              <w:t>2.5</w:t>
            </w:r>
            <w:r>
              <w:rPr>
                <w:rFonts w:hint="default" w:ascii="Times New Roman" w:hAnsi="Times New Roman" w:eastAsia="宋体" w:cs="Times New Roman"/>
                <w:b w:val="0"/>
                <w:bCs w:val="0"/>
                <w:color w:val="auto"/>
                <w:kern w:val="0"/>
                <w:sz w:val="24"/>
                <w:szCs w:val="24"/>
              </w:rPr>
              <w:t>）43微克/立方米，同比改善8.5%；一氧化碳（CO）1.3毫克/立方米，同比改善18.8%；臭氧（O</w:t>
            </w:r>
            <w:r>
              <w:rPr>
                <w:rFonts w:hint="default" w:ascii="Times New Roman" w:hAnsi="Times New Roman" w:eastAsia="宋体" w:cs="Times New Roman"/>
                <w:b w:val="0"/>
                <w:bCs w:val="0"/>
                <w:color w:val="auto"/>
                <w:kern w:val="0"/>
                <w:sz w:val="24"/>
                <w:szCs w:val="24"/>
                <w:vertAlign w:val="subscript"/>
              </w:rPr>
              <w:t>3</w:t>
            </w:r>
            <w:r>
              <w:rPr>
                <w:rFonts w:hint="default" w:ascii="Times New Roman" w:hAnsi="Times New Roman" w:eastAsia="宋体" w:cs="Times New Roman"/>
                <w:b w:val="0"/>
                <w:bCs w:val="0"/>
                <w:color w:val="auto"/>
                <w:kern w:val="0"/>
                <w:sz w:val="24"/>
                <w:szCs w:val="24"/>
              </w:rPr>
              <w:t>）192微克/立方米，同比恶化4.9%。全市综合指数为4.87，同比改善4.3%。</w:t>
            </w:r>
          </w:p>
          <w:p>
            <w:pPr>
              <w:widowControl/>
              <w:shd w:val="clear"/>
              <w:snapToGrid w:val="0"/>
              <w:spacing w:line="360" w:lineRule="auto"/>
              <w:ind w:left="42" w:leftChars="20" w:right="42" w:rightChars="20" w:firstLine="48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其中，</w:t>
            </w:r>
            <w:r>
              <w:rPr>
                <w:rFonts w:hint="default" w:ascii="Times New Roman" w:hAnsi="Times New Roman" w:eastAsia="宋体" w:cs="Times New Roman"/>
                <w:b w:val="0"/>
                <w:bCs w:val="0"/>
                <w:color w:val="auto"/>
                <w:kern w:val="0"/>
                <w:sz w:val="24"/>
                <w:szCs w:val="24"/>
                <w:lang w:eastAsia="zh-CN"/>
              </w:rPr>
              <w:t>文昌湖区</w:t>
            </w:r>
            <w:r>
              <w:rPr>
                <w:rFonts w:hint="default" w:ascii="Times New Roman" w:hAnsi="Times New Roman" w:eastAsia="宋体" w:cs="Times New Roman"/>
                <w:b w:val="0"/>
                <w:bCs w:val="0"/>
                <w:color w:val="auto"/>
                <w:kern w:val="0"/>
                <w:sz w:val="24"/>
                <w:szCs w:val="24"/>
                <w:lang w:val="en-US" w:eastAsia="zh-CN"/>
              </w:rPr>
              <w:t>2022年度</w:t>
            </w:r>
            <w:r>
              <w:rPr>
                <w:rFonts w:hint="default" w:ascii="Times New Roman" w:hAnsi="Times New Roman" w:eastAsia="宋体" w:cs="Times New Roman"/>
                <w:b w:val="0"/>
                <w:bCs w:val="0"/>
                <w:color w:val="auto"/>
                <w:kern w:val="0"/>
                <w:sz w:val="24"/>
                <w:szCs w:val="24"/>
              </w:rPr>
              <w:t>污染物浓度统计如下：</w:t>
            </w:r>
          </w:p>
          <w:p>
            <w:pPr>
              <w:widowControl/>
              <w:shd w:val="clear"/>
              <w:snapToGrid w:val="0"/>
              <w:spacing w:line="360" w:lineRule="auto"/>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 xml:space="preserve">3-1 </w:t>
            </w:r>
            <w:r>
              <w:rPr>
                <w:rFonts w:hint="default" w:ascii="Times New Roman" w:hAnsi="Times New Roman" w:eastAsia="宋体" w:cs="Times New Roman"/>
                <w:b/>
                <w:bCs/>
                <w:color w:val="auto"/>
                <w:kern w:val="0"/>
                <w:sz w:val="24"/>
                <w:szCs w:val="24"/>
              </w:rPr>
              <w:t>文昌湖区</w:t>
            </w:r>
            <w:r>
              <w:rPr>
                <w:rFonts w:hint="default" w:ascii="Times New Roman" w:hAnsi="Times New Roman" w:eastAsia="宋体" w:cs="Times New Roman"/>
                <w:b/>
                <w:bCs/>
                <w:color w:val="auto"/>
                <w:kern w:val="0"/>
                <w:sz w:val="24"/>
                <w:szCs w:val="24"/>
                <w:lang w:val="en-US" w:eastAsia="zh-CN"/>
              </w:rPr>
              <w:t>2022年</w:t>
            </w:r>
            <w:r>
              <w:rPr>
                <w:rFonts w:hint="default" w:ascii="Times New Roman" w:hAnsi="Times New Roman" w:eastAsia="宋体" w:cs="Times New Roman"/>
                <w:b/>
                <w:bCs/>
                <w:color w:val="auto"/>
                <w:kern w:val="0"/>
                <w:sz w:val="24"/>
                <w:szCs w:val="24"/>
              </w:rPr>
              <w:t>污染物平均浓度统计表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874"/>
              <w:gridCol w:w="874"/>
              <w:gridCol w:w="874"/>
              <w:gridCol w:w="874"/>
              <w:gridCol w:w="874"/>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727"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项目</w:t>
                  </w:r>
                </w:p>
              </w:tc>
              <w:tc>
                <w:tcPr>
                  <w:tcW w:w="54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PM</w:t>
                  </w:r>
                  <w:r>
                    <w:rPr>
                      <w:rFonts w:hint="default" w:ascii="Times New Roman" w:hAnsi="Times New Roman" w:eastAsia="宋体" w:cs="Times New Roman"/>
                      <w:b/>
                      <w:bCs/>
                      <w:color w:val="auto"/>
                      <w:sz w:val="21"/>
                      <w:szCs w:val="21"/>
                      <w:vertAlign w:val="subscript"/>
                      <w:lang w:val="zh-CN"/>
                    </w:rPr>
                    <w:t>2.5</w:t>
                  </w:r>
                </w:p>
              </w:tc>
              <w:tc>
                <w:tcPr>
                  <w:tcW w:w="54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PM</w:t>
                  </w:r>
                  <w:r>
                    <w:rPr>
                      <w:rFonts w:hint="default" w:ascii="Times New Roman" w:hAnsi="Times New Roman" w:eastAsia="宋体" w:cs="Times New Roman"/>
                      <w:b/>
                      <w:bCs/>
                      <w:color w:val="auto"/>
                      <w:sz w:val="21"/>
                      <w:szCs w:val="21"/>
                      <w:vertAlign w:val="subscript"/>
                      <w:lang w:val="zh-CN"/>
                    </w:rPr>
                    <w:t>10</w:t>
                  </w:r>
                </w:p>
              </w:tc>
              <w:tc>
                <w:tcPr>
                  <w:tcW w:w="54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NO</w:t>
                  </w:r>
                  <w:r>
                    <w:rPr>
                      <w:rFonts w:hint="default" w:ascii="Times New Roman" w:hAnsi="Times New Roman" w:eastAsia="宋体" w:cs="Times New Roman"/>
                      <w:b/>
                      <w:bCs/>
                      <w:color w:val="auto"/>
                      <w:sz w:val="21"/>
                      <w:szCs w:val="21"/>
                      <w:vertAlign w:val="subscript"/>
                      <w:lang w:val="zh-CN"/>
                    </w:rPr>
                    <w:t>2</w:t>
                  </w:r>
                </w:p>
              </w:tc>
              <w:tc>
                <w:tcPr>
                  <w:tcW w:w="54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SO</w:t>
                  </w:r>
                  <w:r>
                    <w:rPr>
                      <w:rFonts w:hint="default" w:ascii="Times New Roman" w:hAnsi="Times New Roman" w:eastAsia="宋体" w:cs="Times New Roman"/>
                      <w:b/>
                      <w:bCs/>
                      <w:color w:val="auto"/>
                      <w:sz w:val="21"/>
                      <w:szCs w:val="21"/>
                      <w:vertAlign w:val="subscript"/>
                      <w:lang w:val="zh-CN"/>
                    </w:rPr>
                    <w:t>2</w:t>
                  </w:r>
                </w:p>
              </w:tc>
              <w:tc>
                <w:tcPr>
                  <w:tcW w:w="545"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O</w:t>
                  </w:r>
                  <w:r>
                    <w:rPr>
                      <w:rFonts w:hint="default" w:ascii="Times New Roman" w:hAnsi="Times New Roman" w:eastAsia="宋体" w:cs="Times New Roman"/>
                      <w:b/>
                      <w:bCs/>
                      <w:color w:val="auto"/>
                      <w:sz w:val="21"/>
                      <w:szCs w:val="21"/>
                      <w:vertAlign w:val="subscript"/>
                      <w:lang w:val="en-US" w:eastAsia="zh-CN"/>
                    </w:rPr>
                    <w:t>3</w:t>
                  </w:r>
                </w:p>
              </w:tc>
              <w:tc>
                <w:tcPr>
                  <w:tcW w:w="547" w:type="pct"/>
                  <w:tcBorders>
                    <w:tl2br w:val="nil"/>
                    <w:tr2bl w:val="nil"/>
                  </w:tcBorders>
                  <w:noWrap w:val="0"/>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27" w:type="pct"/>
                  <w:tcBorders>
                    <w:tl2br w:val="nil"/>
                    <w:tr2bl w:val="nil"/>
                  </w:tcBorders>
                  <w:noWrap w:val="0"/>
                  <w:vAlign w:val="center"/>
                </w:tcPr>
                <w:p>
                  <w:pPr>
                    <w:keepNext w:val="0"/>
                    <w:keepLines w:val="0"/>
                    <w:pageBreakBefore w:val="0"/>
                    <w:widowControl/>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监测</w:t>
                  </w:r>
                  <w:r>
                    <w:rPr>
                      <w:rFonts w:hint="default" w:ascii="Times New Roman" w:hAnsi="Times New Roman" w:eastAsia="宋体" w:cs="Times New Roman"/>
                      <w:b w:val="0"/>
                      <w:bCs w:val="0"/>
                      <w:color w:val="auto"/>
                      <w:kern w:val="0"/>
                      <w:sz w:val="21"/>
                      <w:szCs w:val="21"/>
                    </w:rPr>
                    <w:t>浓度</w:t>
                  </w:r>
                  <w:r>
                    <w:rPr>
                      <w:rFonts w:hint="default" w:ascii="Times New Roman" w:hAnsi="Times New Roman" w:eastAsia="宋体" w:cs="Times New Roman"/>
                      <w:b w:val="0"/>
                      <w:bCs w:val="0"/>
                      <w:color w:val="auto"/>
                      <w:kern w:val="0"/>
                      <w:sz w:val="21"/>
                      <w:szCs w:val="21"/>
                      <w:lang w:eastAsia="zh-CN"/>
                    </w:rPr>
                    <w:t>：</w:t>
                  </w:r>
                  <w:r>
                    <w:rPr>
                      <w:rFonts w:hint="default" w:ascii="Times New Roman" w:hAnsi="Times New Roman" w:eastAsia="宋体" w:cs="Times New Roman"/>
                      <w:b w:val="0"/>
                      <w:bCs w:val="0"/>
                      <w:color w:val="auto"/>
                      <w:kern w:val="0"/>
                      <w:sz w:val="21"/>
                      <w:szCs w:val="21"/>
                    </w:rPr>
                    <w:t>µg/m</w:t>
                  </w:r>
                  <w:r>
                    <w:rPr>
                      <w:rFonts w:hint="default" w:ascii="Times New Roman" w:hAnsi="Times New Roman" w:eastAsia="宋体" w:cs="Times New Roman"/>
                      <w:b w:val="0"/>
                      <w:bCs w:val="0"/>
                      <w:color w:val="auto"/>
                      <w:kern w:val="0"/>
                      <w:sz w:val="21"/>
                      <w:szCs w:val="21"/>
                      <w:vertAlign w:val="superscript"/>
                    </w:rPr>
                    <w:t>3</w:t>
                  </w:r>
                  <w:r>
                    <w:rPr>
                      <w:rFonts w:hint="default" w:ascii="Times New Roman" w:hAnsi="Times New Roman" w:eastAsia="宋体" w:cs="Times New Roman"/>
                      <w:b w:val="0"/>
                      <w:bCs w:val="0"/>
                      <w:color w:val="auto"/>
                      <w:kern w:val="0"/>
                      <w:sz w:val="21"/>
                      <w:szCs w:val="21"/>
                      <w:lang w:val="en-US" w:eastAsia="zh-CN"/>
                    </w:rPr>
                    <w:t>、COmg/m</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39</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73</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31</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13</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181</w:t>
                  </w:r>
                </w:p>
              </w:tc>
              <w:tc>
                <w:tcPr>
                  <w:tcW w:w="547"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27" w:type="pct"/>
                  <w:tcBorders>
                    <w:tl2br w:val="nil"/>
                    <w:tr2bl w:val="nil"/>
                  </w:tcBorders>
                  <w:noWrap w:val="0"/>
                  <w:vAlign w:val="center"/>
                </w:tcPr>
                <w:p>
                  <w:pPr>
                    <w:keepNext w:val="0"/>
                    <w:keepLines w:val="0"/>
                    <w:pageBreakBefore w:val="0"/>
                    <w:widowControl/>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标准值</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35</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70</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40</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60</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160</w:t>
                  </w:r>
                </w:p>
              </w:tc>
              <w:tc>
                <w:tcPr>
                  <w:tcW w:w="547"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27" w:type="pct"/>
                  <w:tcBorders>
                    <w:tl2br w:val="nil"/>
                    <w:tr2bl w:val="nil"/>
                  </w:tcBorders>
                  <w:noWrap w:val="0"/>
                  <w:vAlign w:val="center"/>
                </w:tcPr>
                <w:p>
                  <w:pPr>
                    <w:keepNext w:val="0"/>
                    <w:keepLines w:val="0"/>
                    <w:pageBreakBefore w:val="0"/>
                    <w:widowControl/>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占标率（%）</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111.4</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104.3</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77.5</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21.6</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113.1</w:t>
                  </w:r>
                </w:p>
              </w:tc>
              <w:tc>
                <w:tcPr>
                  <w:tcW w:w="547"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27" w:type="pct"/>
                  <w:tcBorders>
                    <w:tl2br w:val="nil"/>
                    <w:tr2bl w:val="nil"/>
                  </w:tcBorders>
                  <w:noWrap w:val="0"/>
                  <w:vAlign w:val="center"/>
                </w:tcPr>
                <w:p>
                  <w:pPr>
                    <w:keepNext w:val="0"/>
                    <w:keepLines w:val="0"/>
                    <w:pageBreakBefore w:val="0"/>
                    <w:widowControl/>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达标情况</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不达标</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不达标</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达标</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达标</w:t>
                  </w:r>
                </w:p>
              </w:tc>
              <w:tc>
                <w:tcPr>
                  <w:tcW w:w="545"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不达标</w:t>
                  </w:r>
                </w:p>
              </w:tc>
              <w:tc>
                <w:tcPr>
                  <w:tcW w:w="547" w:type="pct"/>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达标</w:t>
                  </w:r>
                </w:p>
              </w:tc>
            </w:tr>
          </w:tbl>
          <w:p>
            <w:pPr>
              <w:widowControl/>
              <w:shd w:val="clear"/>
              <w:adjustRightInd w:val="0"/>
              <w:snapToGrid w:val="0"/>
              <w:spacing w:line="360" w:lineRule="auto"/>
              <w:ind w:left="42" w:leftChars="20" w:right="42" w:rightChars="20" w:firstLine="480" w:firstLineChars="200"/>
              <w:rPr>
                <w:rFonts w:hint="default"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b w:val="0"/>
                <w:bCs w:val="0"/>
                <w:color w:val="auto"/>
                <w:kern w:val="0"/>
                <w:sz w:val="24"/>
                <w:szCs w:val="24"/>
                <w:lang w:eastAsia="zh-CN"/>
              </w:rPr>
              <w:t>根据《环境影响评价技术导则大气环境》（HJ/2.2-2018），</w:t>
            </w:r>
            <w:r>
              <w:rPr>
                <w:rFonts w:hint="default" w:ascii="Times New Roman" w:hAnsi="Times New Roman" w:eastAsia="宋体" w:cs="Times New Roman"/>
                <w:b w:val="0"/>
                <w:bCs w:val="0"/>
                <w:color w:val="auto"/>
                <w:kern w:val="0"/>
                <w:sz w:val="24"/>
                <w:szCs w:val="24"/>
              </w:rPr>
              <w:t>项目区域环境空气质量SO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NO</w:t>
            </w:r>
            <w:r>
              <w:rPr>
                <w:rFonts w:hint="default" w:ascii="Times New Roman" w:hAnsi="Times New Roman" w:eastAsia="宋体" w:cs="Times New Roman"/>
                <w:b w:val="0"/>
                <w:bCs w:val="0"/>
                <w:color w:val="auto"/>
                <w:kern w:val="0"/>
                <w:sz w:val="24"/>
                <w:szCs w:val="24"/>
                <w:vertAlign w:val="subscript"/>
                <w:lang w:val="en-US" w:eastAsia="zh-CN"/>
              </w:rPr>
              <w:t>2</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val="en-US" w:eastAsia="zh-CN"/>
              </w:rPr>
              <w:t>CO</w:t>
            </w:r>
            <w:r>
              <w:rPr>
                <w:rFonts w:hint="default" w:ascii="Times New Roman" w:hAnsi="Times New Roman" w:eastAsia="宋体" w:cs="Times New Roman"/>
                <w:b w:val="0"/>
                <w:bCs w:val="0"/>
                <w:color w:val="auto"/>
                <w:kern w:val="0"/>
                <w:sz w:val="24"/>
                <w:szCs w:val="24"/>
              </w:rPr>
              <w:t>可以满足《环境空气质量标准》(GB3095-2012)二级年均值标准，PM</w:t>
            </w:r>
            <w:r>
              <w:rPr>
                <w:rFonts w:hint="default" w:ascii="Times New Roman" w:hAnsi="Times New Roman" w:eastAsia="宋体" w:cs="Times New Roman"/>
                <w:b w:val="0"/>
                <w:bCs w:val="0"/>
                <w:color w:val="auto"/>
                <w:kern w:val="0"/>
                <w:sz w:val="24"/>
                <w:szCs w:val="24"/>
                <w:vertAlign w:val="subscript"/>
              </w:rPr>
              <w:t>10</w:t>
            </w:r>
            <w:r>
              <w:rPr>
                <w:rFonts w:hint="default" w:ascii="Times New Roman" w:hAnsi="Times New Roman" w:eastAsia="宋体" w:cs="Times New Roman"/>
                <w:b w:val="0"/>
                <w:bCs w:val="0"/>
                <w:color w:val="auto"/>
                <w:kern w:val="0"/>
                <w:sz w:val="24"/>
                <w:szCs w:val="24"/>
              </w:rPr>
              <w:t>、PM</w:t>
            </w:r>
            <w:r>
              <w:rPr>
                <w:rFonts w:hint="default" w:ascii="Times New Roman" w:hAnsi="Times New Roman" w:eastAsia="宋体" w:cs="Times New Roman"/>
                <w:b w:val="0"/>
                <w:bCs w:val="0"/>
                <w:color w:val="auto"/>
                <w:kern w:val="0"/>
                <w:sz w:val="24"/>
                <w:szCs w:val="24"/>
                <w:vertAlign w:val="subscript"/>
              </w:rPr>
              <w:t>2.5</w:t>
            </w: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O</w:t>
            </w:r>
            <w:r>
              <w:rPr>
                <w:rFonts w:hint="default" w:ascii="Times New Roman" w:hAnsi="Times New Roman" w:eastAsia="宋体" w:cs="Times New Roman"/>
                <w:b w:val="0"/>
                <w:bCs w:val="0"/>
                <w:color w:val="auto"/>
                <w:kern w:val="0"/>
                <w:sz w:val="24"/>
                <w:szCs w:val="24"/>
                <w:vertAlign w:val="subscript"/>
                <w:lang w:val="en-US" w:eastAsia="zh-CN"/>
              </w:rPr>
              <w:t>3</w:t>
            </w:r>
            <w:r>
              <w:rPr>
                <w:rFonts w:hint="default" w:ascii="Times New Roman" w:hAnsi="Times New Roman" w:eastAsia="宋体" w:cs="Times New Roman"/>
                <w:b w:val="0"/>
                <w:bCs w:val="0"/>
                <w:color w:val="auto"/>
                <w:kern w:val="0"/>
                <w:sz w:val="24"/>
                <w:szCs w:val="24"/>
              </w:rPr>
              <w:t>无法满足</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val="en-US" w:eastAsia="zh-CN"/>
              </w:rPr>
              <w:t>属于不达标区</w:t>
            </w:r>
            <w:r>
              <w:rPr>
                <w:rFonts w:hint="default" w:ascii="Times New Roman" w:hAnsi="Times New Roman" w:eastAsia="宋体" w:cs="Times New Roman"/>
                <w:b w:val="0"/>
                <w:bCs w:val="0"/>
                <w:color w:val="auto"/>
                <w:kern w:val="0"/>
                <w:sz w:val="24"/>
                <w:szCs w:val="24"/>
                <w:lang w:eastAsia="zh-CN"/>
              </w:rPr>
              <w:t>。</w:t>
            </w:r>
          </w:p>
          <w:p>
            <w:pPr>
              <w:shd w:val="clear"/>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rPr>
              <w:t>为进一步改善当地环境质量，淄博市政府制定了《淄博市“十四五”生态环境保护规划（征求意见稿）》。根据规划，将围绕重点企业集群、敏感区域及涉VOCs企业的无组织排放区布设高密度PM</w:t>
            </w:r>
            <w:r>
              <w:rPr>
                <w:rFonts w:hint="default"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lang w:val="en-US" w:eastAsia="zh-CN"/>
              </w:rPr>
              <w:t>、O</w:t>
            </w:r>
            <w:r>
              <w:rPr>
                <w:rFonts w:hint="default" w:ascii="Times New Roman" w:hAnsi="Times New Roman" w:eastAsia="宋体" w:cs="Times New Roman"/>
                <w:b w:val="0"/>
                <w:bCs w:val="0"/>
                <w:color w:val="auto"/>
                <w:kern w:val="0"/>
                <w:sz w:val="24"/>
                <w:szCs w:val="24"/>
                <w:vertAlign w:val="subscript"/>
                <w:lang w:val="en-US" w:eastAsia="zh-CN"/>
              </w:rPr>
              <w:t>3</w:t>
            </w:r>
            <w:r>
              <w:rPr>
                <w:rFonts w:hint="default" w:ascii="Times New Roman" w:hAnsi="Times New Roman" w:eastAsia="宋体" w:cs="Times New Roman"/>
                <w:b w:val="0"/>
                <w:bCs w:val="0"/>
                <w:color w:val="auto"/>
                <w:kern w:val="0"/>
                <w:sz w:val="24"/>
                <w:szCs w:val="24"/>
                <w:lang w:val="en-US" w:eastAsia="zh-CN"/>
              </w:rPr>
              <w:t>组合监测设备，搭建重点区域及重点对象监测网络。制定空气质量全面改善行动计划，明确达标区县和未达标区县分类控制目标、路线图和时间表。统筹考虑PM</w:t>
            </w:r>
            <w:r>
              <w:rPr>
                <w:rFonts w:hint="default"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lang w:val="en-US" w:eastAsia="zh-CN"/>
              </w:rPr>
              <w:t>和O</w:t>
            </w:r>
            <w:r>
              <w:rPr>
                <w:rFonts w:hint="default" w:ascii="Times New Roman" w:hAnsi="Times New Roman" w:eastAsia="宋体" w:cs="Times New Roman"/>
                <w:b w:val="0"/>
                <w:bCs w:val="0"/>
                <w:color w:val="auto"/>
                <w:kern w:val="0"/>
                <w:sz w:val="24"/>
                <w:szCs w:val="24"/>
                <w:vertAlign w:val="subscript"/>
                <w:lang w:val="en-US" w:eastAsia="zh-CN"/>
              </w:rPr>
              <w:t>3</w:t>
            </w:r>
            <w:r>
              <w:rPr>
                <w:rFonts w:hint="default" w:ascii="Times New Roman" w:hAnsi="Times New Roman" w:eastAsia="宋体" w:cs="Times New Roman"/>
                <w:b w:val="0"/>
                <w:bCs w:val="0"/>
                <w:color w:val="auto"/>
                <w:kern w:val="0"/>
                <w:sz w:val="24"/>
                <w:szCs w:val="24"/>
                <w:lang w:val="en-US" w:eastAsia="zh-CN"/>
              </w:rPr>
              <w:t>污染特征，强化分区分时分类差异化精细化协同管控，在夏季以石化、化工、工业涂装、包装印刷等行业为主，重点控制氮氧化物、烯烃、芳香烃、醛类等PM</w:t>
            </w:r>
            <w:r>
              <w:rPr>
                <w:rFonts w:hint="default"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lang w:val="en-US" w:eastAsia="zh-CN"/>
              </w:rPr>
              <w:t>和O</w:t>
            </w:r>
            <w:r>
              <w:rPr>
                <w:rFonts w:hint="default" w:ascii="Times New Roman" w:hAnsi="Times New Roman" w:eastAsia="宋体" w:cs="Times New Roman"/>
                <w:b w:val="0"/>
                <w:bCs w:val="0"/>
                <w:color w:val="auto"/>
                <w:kern w:val="0"/>
                <w:sz w:val="24"/>
                <w:szCs w:val="24"/>
                <w:vertAlign w:val="subscript"/>
                <w:lang w:val="en-US" w:eastAsia="zh-CN"/>
              </w:rPr>
              <w:t>3</w:t>
            </w:r>
            <w:r>
              <w:rPr>
                <w:rFonts w:hint="default" w:ascii="Times New Roman" w:hAnsi="Times New Roman" w:eastAsia="宋体" w:cs="Times New Roman"/>
                <w:b w:val="0"/>
                <w:bCs w:val="0"/>
                <w:color w:val="auto"/>
                <w:kern w:val="0"/>
                <w:sz w:val="24"/>
                <w:szCs w:val="24"/>
                <w:lang w:val="en-US" w:eastAsia="zh-CN"/>
              </w:rPr>
              <w:t>重要前体物；在秋冬季以移动源、化学能源污染管控为主，重点控制不利扩散条件下颗粒物、氮氧化物、二氧化硫、氨排放。并全面加强无组织排放管控，严格控制铸造、铁合金、水泥、砖瓦、石灰、耐火材料、有色金属冶炼等行业物料储存、输送及生产工艺过程无组织排放。</w:t>
            </w:r>
          </w:p>
          <w:p>
            <w:pPr>
              <w:shd w:val="clear"/>
              <w:adjustRightInd w:val="0"/>
              <w:snapToGrid w:val="0"/>
              <w:spacing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2、地表水环境</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rPr>
              <w:t>距离</w:t>
            </w:r>
            <w:r>
              <w:rPr>
                <w:rFonts w:hint="default" w:ascii="Times New Roman" w:hAnsi="Times New Roman" w:eastAsia="宋体" w:cs="Times New Roman"/>
                <w:b w:val="0"/>
                <w:bCs w:val="0"/>
                <w:color w:val="auto"/>
                <w:kern w:val="0"/>
                <w:sz w:val="24"/>
                <w:szCs w:val="24"/>
                <w:lang w:val="en-US" w:eastAsia="zh-CN"/>
              </w:rPr>
              <w:t>本</w:t>
            </w:r>
            <w:r>
              <w:rPr>
                <w:rFonts w:hint="default" w:ascii="Times New Roman" w:hAnsi="Times New Roman" w:eastAsia="宋体" w:cs="Times New Roman"/>
                <w:b w:val="0"/>
                <w:bCs w:val="0"/>
                <w:color w:val="auto"/>
                <w:kern w:val="0"/>
                <w:sz w:val="24"/>
                <w:szCs w:val="24"/>
                <w:lang w:eastAsia="zh-CN"/>
              </w:rPr>
              <w:t>项目</w:t>
            </w:r>
            <w:r>
              <w:rPr>
                <w:rFonts w:hint="default" w:ascii="Times New Roman" w:hAnsi="Times New Roman" w:eastAsia="宋体" w:cs="Times New Roman"/>
                <w:b w:val="0"/>
                <w:bCs w:val="0"/>
                <w:color w:val="auto"/>
                <w:kern w:val="0"/>
                <w:sz w:val="24"/>
                <w:szCs w:val="24"/>
              </w:rPr>
              <w:t>最近的地表水体为</w:t>
            </w:r>
            <w:r>
              <w:rPr>
                <w:rFonts w:hint="default" w:ascii="Times New Roman" w:hAnsi="Times New Roman" w:eastAsia="宋体" w:cs="Times New Roman"/>
                <w:b w:val="0"/>
                <w:bCs w:val="0"/>
                <w:color w:val="auto"/>
                <w:kern w:val="0"/>
                <w:sz w:val="24"/>
                <w:szCs w:val="24"/>
                <w:lang w:eastAsia="zh-CN"/>
              </w:rPr>
              <w:t>淦河（孝妇河支流）</w:t>
            </w:r>
            <w:r>
              <w:rPr>
                <w:rFonts w:hint="default" w:ascii="Times New Roman" w:hAnsi="Times New Roman" w:eastAsia="宋体" w:cs="Times New Roman"/>
                <w:b w:val="0"/>
                <w:bCs w:val="0"/>
                <w:color w:val="auto"/>
                <w:kern w:val="0"/>
                <w:sz w:val="24"/>
                <w:szCs w:val="24"/>
              </w:rPr>
              <w:t>，根据滨州市生态环境</w:t>
            </w:r>
            <w:r>
              <w:rPr>
                <w:rFonts w:hint="default" w:ascii="Times New Roman" w:hAnsi="Times New Roman" w:eastAsia="宋体" w:cs="Times New Roman"/>
                <w:b w:val="0"/>
                <w:bCs w:val="0"/>
                <w:color w:val="auto"/>
                <w:kern w:val="0"/>
                <w:sz w:val="24"/>
                <w:szCs w:val="24"/>
                <w:lang w:val="en-US" w:eastAsia="zh-CN"/>
              </w:rPr>
              <w:t>局发布的《滨州市环境水质检测实时数据》</w:t>
            </w: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color w:val="auto"/>
                <w:sz w:val="24"/>
                <w:szCs w:val="24"/>
              </w:rPr>
              <w:t>2023/</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 xml:space="preserve"> 8:00</w:t>
            </w:r>
            <w:r>
              <w:rPr>
                <w:rFonts w:hint="default" w:ascii="Times New Roman" w:hAnsi="Times New Roman" w:eastAsia="宋体" w:cs="Times New Roman"/>
                <w:b w:val="0"/>
                <w:bCs w:val="0"/>
                <w:color w:val="auto"/>
                <w:kern w:val="0"/>
                <w:sz w:val="24"/>
                <w:szCs w:val="24"/>
              </w:rPr>
              <w:t>）数据可知</w:t>
            </w:r>
            <w:r>
              <w:rPr>
                <w:rFonts w:hint="default" w:ascii="Times New Roman" w:hAnsi="Times New Roman" w:eastAsia="宋体" w:cs="Times New Roman"/>
                <w:b w:val="0"/>
                <w:bCs w:val="0"/>
                <w:color w:val="auto"/>
                <w:kern w:val="0"/>
                <w:sz w:val="24"/>
                <w:szCs w:val="24"/>
                <w:lang w:eastAsia="zh-CN"/>
              </w:rPr>
              <w:t>，孝妇河</w:t>
            </w:r>
            <w:r>
              <w:rPr>
                <w:rFonts w:hint="default" w:ascii="Times New Roman" w:hAnsi="Times New Roman" w:eastAsia="宋体" w:cs="Times New Roman"/>
                <w:b w:val="0"/>
                <w:bCs w:val="0"/>
                <w:color w:val="auto"/>
                <w:kern w:val="0"/>
                <w:sz w:val="24"/>
                <w:szCs w:val="24"/>
                <w:lang w:val="en-US" w:eastAsia="zh-CN"/>
              </w:rPr>
              <w:t>袁家桥</w:t>
            </w:r>
            <w:r>
              <w:rPr>
                <w:rFonts w:hint="default" w:ascii="Times New Roman" w:hAnsi="Times New Roman" w:eastAsia="宋体" w:cs="Times New Roman"/>
                <w:b w:val="0"/>
                <w:bCs w:val="0"/>
                <w:color w:val="auto"/>
                <w:kern w:val="0"/>
                <w:sz w:val="24"/>
                <w:szCs w:val="24"/>
                <w:lang w:eastAsia="zh-CN"/>
              </w:rPr>
              <w:t>站点</w:t>
            </w:r>
            <w:r>
              <w:rPr>
                <w:rFonts w:hint="default" w:ascii="Times New Roman" w:hAnsi="Times New Roman" w:eastAsia="宋体" w:cs="Times New Roman"/>
                <w:b w:val="0"/>
                <w:bCs w:val="0"/>
                <w:color w:val="auto"/>
                <w:kern w:val="0"/>
                <w:sz w:val="24"/>
                <w:szCs w:val="24"/>
              </w:rPr>
              <w:t>地表水水质</w:t>
            </w:r>
            <w:r>
              <w:rPr>
                <w:rFonts w:hint="default" w:ascii="Times New Roman" w:hAnsi="Times New Roman" w:eastAsia="宋体" w:cs="Times New Roman"/>
                <w:b w:val="0"/>
                <w:bCs w:val="0"/>
                <w:color w:val="auto"/>
                <w:kern w:val="0"/>
                <w:sz w:val="24"/>
                <w:szCs w:val="24"/>
                <w:lang w:eastAsia="zh-CN"/>
              </w:rPr>
              <w:t>能</w:t>
            </w:r>
            <w:r>
              <w:rPr>
                <w:rFonts w:hint="default" w:ascii="Times New Roman" w:hAnsi="Times New Roman" w:eastAsia="宋体" w:cs="Times New Roman"/>
                <w:b w:val="0"/>
                <w:bCs w:val="0"/>
                <w:color w:val="auto"/>
                <w:kern w:val="0"/>
                <w:sz w:val="24"/>
                <w:szCs w:val="24"/>
              </w:rPr>
              <w:t>达到《地表水环境质量标准》(GB3838-2002</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中的</w:t>
            </w:r>
            <w:r>
              <w:rPr>
                <w:rFonts w:hint="default" w:ascii="Times New Roman" w:hAnsi="Times New Roman" w:eastAsia="宋体" w:cs="Times New Roman"/>
                <w:b w:val="0"/>
                <w:bCs w:val="0"/>
                <w:color w:val="auto"/>
                <w:kern w:val="0"/>
                <w:sz w:val="24"/>
                <w:szCs w:val="24"/>
                <w:lang w:val="en-US" w:eastAsia="zh-CN"/>
              </w:rPr>
              <w:t>Ⅳ</w:t>
            </w:r>
            <w:r>
              <w:rPr>
                <w:rFonts w:hint="default" w:ascii="Times New Roman" w:hAnsi="Times New Roman" w:eastAsia="宋体" w:cs="Times New Roman"/>
                <w:b w:val="0"/>
                <w:bCs w:val="0"/>
                <w:color w:val="auto"/>
                <w:kern w:val="0"/>
                <w:sz w:val="24"/>
                <w:szCs w:val="24"/>
              </w:rPr>
              <w:t>类标</w:t>
            </w:r>
            <w:r>
              <w:rPr>
                <w:rFonts w:hint="default" w:ascii="Times New Roman" w:hAnsi="Times New Roman" w:eastAsia="宋体" w:cs="Times New Roman"/>
                <w:b w:val="0"/>
                <w:bCs w:val="0"/>
                <w:color w:val="auto"/>
                <w:kern w:val="0"/>
                <w:sz w:val="24"/>
                <w:szCs w:val="24"/>
                <w:lang w:eastAsia="zh-CN"/>
              </w:rPr>
              <w:t>准。</w:t>
            </w:r>
          </w:p>
          <w:p>
            <w:pPr>
              <w:shd w:val="clear"/>
              <w:adjustRightInd w:val="0"/>
              <w:snapToGrid w:val="0"/>
              <w:spacing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3、声环境</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根据近期《淄博市环境状况公报》可知，区域内的声环境质量良好，昼间、夜间噪声监测值均不超标，能够达到《声环境质量标准》（GB3096-2008）中2类区环境噪声限值要求。</w:t>
            </w:r>
          </w:p>
          <w:p>
            <w:pPr>
              <w:shd w:val="clear"/>
              <w:adjustRightInd w:val="0"/>
              <w:snapToGrid w:val="0"/>
              <w:spacing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4、生态环境</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建设项目所在地主要植被类型是一些人工绿化树木、草地、灌木</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val="en-US" w:eastAsia="zh-CN"/>
              </w:rPr>
              <w:t>农田</w:t>
            </w:r>
            <w:r>
              <w:rPr>
                <w:rFonts w:hint="default" w:ascii="Times New Roman" w:hAnsi="Times New Roman" w:eastAsia="宋体" w:cs="Times New Roman"/>
                <w:b w:val="0"/>
                <w:bCs w:val="0"/>
                <w:color w:val="auto"/>
                <w:kern w:val="0"/>
                <w:sz w:val="24"/>
                <w:szCs w:val="24"/>
              </w:rPr>
              <w:t>等；野生动植物较少，无珍稀濒危动物，生态环境一般。</w:t>
            </w:r>
          </w:p>
          <w:p>
            <w:pPr>
              <w:shd w:val="clear"/>
              <w:adjustRightInd w:val="0"/>
              <w:snapToGrid w:val="0"/>
              <w:spacing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5、电磁辐射</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eastAsia="zh-CN"/>
              </w:rPr>
              <w:t>新建项目</w:t>
            </w:r>
            <w:r>
              <w:rPr>
                <w:rFonts w:hint="default" w:ascii="Times New Roman" w:hAnsi="Times New Roman" w:eastAsia="宋体" w:cs="Times New Roman"/>
                <w:b w:val="0"/>
                <w:bCs w:val="0"/>
                <w:color w:val="auto"/>
                <w:kern w:val="0"/>
                <w:sz w:val="24"/>
                <w:szCs w:val="24"/>
              </w:rPr>
              <w:t>不属于广播电台、差转台、电视塔台、卫星地球上行站、雷达等电磁辐射类项目，本评价不再开展电磁环境影响分析。</w:t>
            </w:r>
          </w:p>
          <w:p>
            <w:pPr>
              <w:shd w:val="clear"/>
              <w:adjustRightInd w:val="0"/>
              <w:snapToGrid w:val="0"/>
              <w:spacing w:line="360" w:lineRule="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6、地下水、土壤环境</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4"/>
                <w:szCs w:val="24"/>
                <w:lang w:val="en-US" w:eastAsia="zh-CN"/>
              </w:rPr>
              <w:t>本</w:t>
            </w:r>
            <w:r>
              <w:rPr>
                <w:rFonts w:hint="default" w:ascii="Times New Roman" w:hAnsi="Times New Roman" w:eastAsia="宋体" w:cs="Times New Roman"/>
                <w:b w:val="0"/>
                <w:bCs w:val="0"/>
                <w:color w:val="auto"/>
                <w:kern w:val="0"/>
                <w:sz w:val="24"/>
                <w:szCs w:val="24"/>
                <w:lang w:eastAsia="zh-CN"/>
              </w:rPr>
              <w:t>项目</w:t>
            </w:r>
            <w:r>
              <w:rPr>
                <w:rFonts w:hint="default" w:ascii="Times New Roman" w:hAnsi="Times New Roman" w:eastAsia="宋体" w:cs="Times New Roman"/>
                <w:b w:val="0"/>
                <w:bCs w:val="0"/>
                <w:color w:val="auto"/>
                <w:kern w:val="0"/>
                <w:sz w:val="24"/>
                <w:szCs w:val="24"/>
                <w:lang w:val="en-US" w:eastAsia="zh-CN"/>
              </w:rPr>
              <w:t>运营</w:t>
            </w:r>
            <w:r>
              <w:rPr>
                <w:rFonts w:hint="default" w:ascii="Times New Roman" w:hAnsi="Times New Roman" w:eastAsia="宋体" w:cs="Times New Roman"/>
                <w:b w:val="0"/>
                <w:bCs w:val="0"/>
                <w:color w:val="auto"/>
                <w:kern w:val="0"/>
                <w:sz w:val="24"/>
                <w:szCs w:val="24"/>
              </w:rPr>
              <w:t>后，</w:t>
            </w:r>
            <w:r>
              <w:rPr>
                <w:rFonts w:hint="default" w:ascii="Times New Roman" w:hAnsi="Times New Roman" w:eastAsia="宋体" w:cs="Times New Roman"/>
                <w:b w:val="0"/>
                <w:bCs w:val="0"/>
                <w:color w:val="auto"/>
                <w:kern w:val="0"/>
                <w:sz w:val="24"/>
                <w:szCs w:val="24"/>
                <w:lang w:val="en-US" w:eastAsia="zh-CN"/>
              </w:rPr>
              <w:t>固废/</w:t>
            </w:r>
            <w:r>
              <w:rPr>
                <w:rFonts w:hint="default" w:ascii="Times New Roman" w:hAnsi="Times New Roman" w:eastAsia="宋体" w:cs="Times New Roman"/>
                <w:b w:val="0"/>
                <w:bCs w:val="0"/>
                <w:color w:val="auto"/>
                <w:kern w:val="0"/>
                <w:sz w:val="24"/>
                <w:szCs w:val="24"/>
              </w:rPr>
              <w:t>危废暂存间</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sz w:val="24"/>
                <w:szCs w:val="24"/>
                <w:lang w:val="en-US" w:eastAsia="zh-CN"/>
              </w:rPr>
              <w:t>循环水池、</w:t>
            </w:r>
            <w:r>
              <w:rPr>
                <w:rFonts w:hint="default" w:ascii="Times New Roman" w:hAnsi="Times New Roman" w:eastAsia="宋体" w:cs="Times New Roman"/>
                <w:b w:val="0"/>
                <w:bCs w:val="0"/>
                <w:color w:val="auto"/>
                <w:kern w:val="0"/>
                <w:sz w:val="24"/>
                <w:szCs w:val="24"/>
                <w:lang w:eastAsia="zh-CN"/>
              </w:rPr>
              <w:t>化粪池</w:t>
            </w:r>
            <w:r>
              <w:rPr>
                <w:rFonts w:hint="default" w:ascii="Times New Roman" w:hAnsi="Times New Roman" w:eastAsia="宋体" w:cs="Times New Roman"/>
                <w:b w:val="0"/>
                <w:bCs w:val="0"/>
                <w:color w:val="auto"/>
                <w:kern w:val="0"/>
                <w:sz w:val="24"/>
                <w:szCs w:val="24"/>
              </w:rPr>
              <w:t>采用重点防渗，10cm厚抗渗混凝土硬化，渗透系数小于1×10</w:t>
            </w:r>
            <w:r>
              <w:rPr>
                <w:rFonts w:hint="default" w:ascii="Times New Roman" w:hAnsi="Times New Roman" w:eastAsia="宋体" w:cs="Times New Roman"/>
                <w:b w:val="0"/>
                <w:bCs w:val="0"/>
                <w:color w:val="auto"/>
                <w:kern w:val="0"/>
                <w:sz w:val="24"/>
                <w:szCs w:val="24"/>
                <w:vertAlign w:val="superscript"/>
              </w:rPr>
              <w:t>-7</w:t>
            </w:r>
            <w:r>
              <w:rPr>
                <w:rFonts w:hint="default" w:ascii="Times New Roman" w:hAnsi="Times New Roman" w:eastAsia="宋体" w:cs="Times New Roman"/>
                <w:b w:val="0"/>
                <w:bCs w:val="0"/>
                <w:color w:val="auto"/>
                <w:kern w:val="0"/>
                <w:sz w:val="24"/>
                <w:szCs w:val="24"/>
              </w:rPr>
              <w:t>cm/s</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sz w:val="24"/>
                <w:szCs w:val="24"/>
                <w:lang w:val="en-US" w:eastAsia="zh-CN"/>
              </w:rPr>
              <w:t>车间内其他单元采用一般防渗。</w:t>
            </w:r>
            <w:r>
              <w:rPr>
                <w:rFonts w:hint="default" w:ascii="Times New Roman" w:hAnsi="Times New Roman" w:eastAsia="宋体" w:cs="Times New Roman"/>
                <w:b w:val="0"/>
                <w:bCs w:val="0"/>
                <w:color w:val="auto"/>
                <w:kern w:val="0"/>
                <w:sz w:val="24"/>
                <w:szCs w:val="24"/>
              </w:rPr>
              <w:t>正常工况下基本不会对地下水、土壤环境造成不利影响，故本评价原则上无需开展地下水、土壤现状调查。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800" w:type="dxa"/>
            <w:tcBorders>
              <w:tl2br w:val="nil"/>
              <w:tr2bl w:val="nil"/>
            </w:tcBorders>
            <w:vAlign w:val="center"/>
          </w:tcPr>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4"/>
                <w:szCs w:val="24"/>
              </w:rPr>
              <w:t>目标</w:t>
            </w:r>
          </w:p>
        </w:tc>
        <w:tc>
          <w:tcPr>
            <w:tcW w:w="8245" w:type="dxa"/>
            <w:tcBorders>
              <w:tl2br w:val="nil"/>
              <w:tr2bl w:val="nil"/>
            </w:tcBorders>
            <w:vAlign w:val="center"/>
          </w:tcPr>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项目周围500m范围内无自然保护区、风景旅游点和文物古迹等需要特别保护的环境敏感对象。总体上不因</w:t>
            </w:r>
            <w:r>
              <w:rPr>
                <w:rFonts w:hint="default" w:ascii="Times New Roman" w:hAnsi="Times New Roman" w:eastAsia="宋体" w:cs="Times New Roman"/>
                <w:b w:val="0"/>
                <w:bCs w:val="0"/>
                <w:color w:val="auto"/>
                <w:kern w:val="0"/>
                <w:sz w:val="24"/>
                <w:szCs w:val="24"/>
                <w:lang w:eastAsia="zh-CN"/>
              </w:rPr>
              <w:t>新建项目</w:t>
            </w:r>
            <w:r>
              <w:rPr>
                <w:rFonts w:hint="default" w:ascii="Times New Roman" w:hAnsi="Times New Roman" w:eastAsia="宋体" w:cs="Times New Roman"/>
                <w:b w:val="0"/>
                <w:bCs w:val="0"/>
                <w:color w:val="auto"/>
                <w:kern w:val="0"/>
                <w:sz w:val="24"/>
                <w:szCs w:val="24"/>
              </w:rPr>
              <w:t>的实施而改变区域环境现有功能。</w:t>
            </w:r>
          </w:p>
          <w:p>
            <w:pPr>
              <w:shd w:val="clear"/>
              <w:adjustRightInd w:val="0"/>
              <w:snapToGrid w:val="0"/>
              <w:spacing w:line="360" w:lineRule="auto"/>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 xml:space="preserve"> 主要环境保护目标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18"/>
              <w:gridCol w:w="1461"/>
              <w:gridCol w:w="978"/>
              <w:gridCol w:w="1810"/>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保护类别</w:t>
                  </w:r>
                </w:p>
              </w:tc>
              <w:tc>
                <w:tcPr>
                  <w:tcW w:w="911"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保护目标</w:t>
                  </w:r>
                </w:p>
              </w:tc>
              <w:tc>
                <w:tcPr>
                  <w:tcW w:w="610"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方位</w:t>
                  </w:r>
                </w:p>
              </w:tc>
              <w:tc>
                <w:tcPr>
                  <w:tcW w:w="1128"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与厂界最近距离</w:t>
                  </w:r>
                </w:p>
              </w:tc>
              <w:tc>
                <w:tcPr>
                  <w:tcW w:w="1652"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restar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大气环境</w:t>
                  </w:r>
                </w:p>
              </w:tc>
              <w:tc>
                <w:tcPr>
                  <w:tcW w:w="91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金山村</w:t>
                  </w:r>
                </w:p>
              </w:tc>
              <w:tc>
                <w:tcPr>
                  <w:tcW w:w="61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S</w:t>
                  </w:r>
                </w:p>
              </w:tc>
              <w:tc>
                <w:tcPr>
                  <w:tcW w:w="1128"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320</w:t>
                  </w:r>
                  <w:r>
                    <w:rPr>
                      <w:rFonts w:hint="default" w:ascii="Times New Roman" w:hAnsi="Times New Roman" w:eastAsia="宋体" w:cs="Times New Roman"/>
                      <w:b w:val="0"/>
                      <w:bCs w:val="0"/>
                      <w:color w:val="auto"/>
                      <w:kern w:val="0"/>
                      <w:sz w:val="21"/>
                      <w:szCs w:val="21"/>
                    </w:rPr>
                    <w:t>m</w:t>
                  </w:r>
                </w:p>
              </w:tc>
              <w:tc>
                <w:tcPr>
                  <w:tcW w:w="1652" w:type="pct"/>
                  <w:vMerge w:val="restar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continue"/>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p>
              </w:tc>
              <w:tc>
                <w:tcPr>
                  <w:tcW w:w="91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山头村</w:t>
                  </w:r>
                </w:p>
              </w:tc>
              <w:tc>
                <w:tcPr>
                  <w:tcW w:w="61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N</w:t>
                  </w:r>
                </w:p>
              </w:tc>
              <w:tc>
                <w:tcPr>
                  <w:tcW w:w="1128"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410</w:t>
                  </w:r>
                  <w:r>
                    <w:rPr>
                      <w:rFonts w:hint="default" w:ascii="Times New Roman" w:hAnsi="Times New Roman" w:eastAsia="宋体" w:cs="Times New Roman"/>
                      <w:b w:val="0"/>
                      <w:bCs w:val="0"/>
                      <w:color w:val="auto"/>
                      <w:kern w:val="0"/>
                      <w:sz w:val="21"/>
                      <w:szCs w:val="21"/>
                    </w:rPr>
                    <w:t>m</w:t>
                  </w:r>
                </w:p>
              </w:tc>
              <w:tc>
                <w:tcPr>
                  <w:tcW w:w="1652" w:type="pct"/>
                  <w:vMerge w:val="continue"/>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声环境</w:t>
                  </w:r>
                </w:p>
              </w:tc>
              <w:tc>
                <w:tcPr>
                  <w:tcW w:w="2650" w:type="pct"/>
                  <w:gridSpan w:val="3"/>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eastAsia="zh-CN"/>
                    </w:rPr>
                    <w:t>厂界</w:t>
                  </w:r>
                  <w:r>
                    <w:rPr>
                      <w:rFonts w:hint="default" w:ascii="Times New Roman" w:hAnsi="Times New Roman" w:eastAsia="宋体" w:cs="Times New Roman"/>
                      <w:b w:val="0"/>
                      <w:bCs w:val="0"/>
                      <w:color w:val="auto"/>
                      <w:kern w:val="0"/>
                      <w:sz w:val="21"/>
                      <w:szCs w:val="21"/>
                      <w:lang w:val="en-US" w:eastAsia="zh-CN"/>
                    </w:rPr>
                    <w:t>5</w:t>
                  </w:r>
                  <w:r>
                    <w:rPr>
                      <w:rFonts w:hint="default" w:ascii="Times New Roman" w:hAnsi="Times New Roman" w:eastAsia="宋体" w:cs="Times New Roman"/>
                      <w:b w:val="0"/>
                      <w:bCs w:val="0"/>
                      <w:color w:val="auto"/>
                      <w:kern w:val="0"/>
                      <w:sz w:val="21"/>
                      <w:szCs w:val="21"/>
                    </w:rPr>
                    <w:t>0m</w:t>
                  </w:r>
                  <w:r>
                    <w:rPr>
                      <w:rFonts w:hint="default" w:ascii="Times New Roman" w:hAnsi="Times New Roman" w:eastAsia="宋体" w:cs="Times New Roman"/>
                      <w:b w:val="0"/>
                      <w:bCs w:val="0"/>
                      <w:color w:val="auto"/>
                      <w:kern w:val="0"/>
                      <w:sz w:val="21"/>
                      <w:szCs w:val="21"/>
                      <w:lang w:eastAsia="zh-CN"/>
                    </w:rPr>
                    <w:t>范围</w:t>
                  </w:r>
                  <w:r>
                    <w:rPr>
                      <w:rFonts w:hint="default" w:ascii="Times New Roman" w:hAnsi="Times New Roman" w:eastAsia="宋体" w:cs="Times New Roman"/>
                      <w:b w:val="0"/>
                      <w:bCs w:val="0"/>
                      <w:color w:val="auto"/>
                      <w:kern w:val="0"/>
                      <w:sz w:val="21"/>
                      <w:szCs w:val="21"/>
                    </w:rPr>
                    <w:t>内无保护目标</w:t>
                  </w:r>
                </w:p>
              </w:tc>
              <w:tc>
                <w:tcPr>
                  <w:tcW w:w="1652"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《声环境质量标准》</w:t>
                  </w:r>
                </w:p>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地表水环境</w:t>
                  </w:r>
                </w:p>
              </w:tc>
              <w:tc>
                <w:tcPr>
                  <w:tcW w:w="911"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rPr>
                    <w:t>淦河</w:t>
                  </w:r>
                  <w:r>
                    <w:rPr>
                      <w:rFonts w:hint="default" w:ascii="Times New Roman" w:hAnsi="Times New Roman" w:eastAsia="宋体" w:cs="Times New Roman"/>
                      <w:b w:val="0"/>
                      <w:bCs w:val="0"/>
                      <w:color w:val="auto"/>
                      <w:kern w:val="0"/>
                      <w:sz w:val="21"/>
                      <w:szCs w:val="21"/>
                      <w:lang w:eastAsia="zh-CN"/>
                    </w:rPr>
                    <w:t>（孝妇河支流）</w:t>
                  </w:r>
                </w:p>
              </w:tc>
              <w:tc>
                <w:tcPr>
                  <w:tcW w:w="61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W</w:t>
                  </w:r>
                </w:p>
              </w:tc>
              <w:tc>
                <w:tcPr>
                  <w:tcW w:w="1128" w:type="pct"/>
                  <w:tcBorders>
                    <w:tl2br w:val="nil"/>
                    <w:tr2bl w:val="nil"/>
                  </w:tcBorders>
                  <w:vAlign w:val="center"/>
                </w:tcPr>
                <w:p>
                  <w:pPr>
                    <w:keepNext w:val="0"/>
                    <w:keepLines w:val="0"/>
                    <w:pageBreakBefore w:val="0"/>
                    <w:widowControl w:val="0"/>
                    <w:shd w:val="clear"/>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2900</w:t>
                  </w:r>
                  <w:r>
                    <w:rPr>
                      <w:rFonts w:hint="default" w:ascii="Times New Roman" w:hAnsi="Times New Roman" w:eastAsia="宋体" w:cs="Times New Roman"/>
                      <w:b w:val="0"/>
                      <w:bCs w:val="0"/>
                      <w:color w:val="auto"/>
                      <w:kern w:val="0"/>
                      <w:sz w:val="21"/>
                      <w:szCs w:val="21"/>
                    </w:rPr>
                    <w:t>m</w:t>
                  </w:r>
                </w:p>
              </w:tc>
              <w:tc>
                <w:tcPr>
                  <w:tcW w:w="1652"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《地表水环境质量标准》（GB3838-2002）</w:t>
                  </w:r>
                  <w:r>
                    <w:rPr>
                      <w:rFonts w:hint="default" w:ascii="Times New Roman" w:hAnsi="Times New Roman" w:eastAsia="宋体" w:cs="Times New Roman"/>
                      <w:b w:val="0"/>
                      <w:bCs w:val="0"/>
                      <w:color w:val="auto"/>
                      <w:kern w:val="0"/>
                      <w:sz w:val="21"/>
                      <w:szCs w:val="21"/>
                    </w:rPr>
                    <w:fldChar w:fldCharType="begin"/>
                  </w:r>
                  <w:r>
                    <w:rPr>
                      <w:rFonts w:hint="default" w:ascii="Times New Roman" w:hAnsi="Times New Roman" w:eastAsia="宋体" w:cs="Times New Roman"/>
                      <w:b w:val="0"/>
                      <w:bCs w:val="0"/>
                      <w:color w:val="auto"/>
                      <w:kern w:val="0"/>
                      <w:sz w:val="21"/>
                      <w:szCs w:val="21"/>
                    </w:rPr>
                    <w:instrText xml:space="preserve"> = 4 \* ROMAN \* MERGEFORMAT </w:instrText>
                  </w:r>
                  <w:r>
                    <w:rPr>
                      <w:rFonts w:hint="default" w:ascii="Times New Roman" w:hAnsi="Times New Roman" w:eastAsia="宋体" w:cs="Times New Roman"/>
                      <w:b w:val="0"/>
                      <w:bCs w:val="0"/>
                      <w:color w:val="auto"/>
                      <w:kern w:val="0"/>
                      <w:sz w:val="21"/>
                      <w:szCs w:val="21"/>
                    </w:rPr>
                    <w:fldChar w:fldCharType="separate"/>
                  </w:r>
                  <w:r>
                    <w:rPr>
                      <w:rFonts w:hint="default" w:ascii="Times New Roman" w:hAnsi="Times New Roman" w:eastAsia="宋体" w:cs="Times New Roman"/>
                      <w:b w:val="0"/>
                      <w:bCs w:val="0"/>
                      <w:color w:val="auto"/>
                      <w:kern w:val="0"/>
                      <w:sz w:val="21"/>
                      <w:szCs w:val="21"/>
                    </w:rPr>
                    <w:t>V</w:t>
                  </w:r>
                  <w:r>
                    <w:rPr>
                      <w:rFonts w:hint="default" w:ascii="Times New Roman" w:hAnsi="Times New Roman" w:eastAsia="宋体" w:cs="Times New Roman"/>
                      <w:b w:val="0"/>
                      <w:bCs w:val="0"/>
                      <w:color w:val="auto"/>
                      <w:kern w:val="0"/>
                      <w:sz w:val="21"/>
                      <w:szCs w:val="21"/>
                    </w:rPr>
                    <w:fldChar w:fldCharType="end"/>
                  </w:r>
                  <w:r>
                    <w:rPr>
                      <w:rFonts w:hint="default" w:ascii="Times New Roman" w:hAnsi="Times New Roman" w:eastAsia="宋体" w:cs="Times New Roman"/>
                      <w:b w:val="0"/>
                      <w:bCs w:val="0"/>
                      <w:color w:val="auto"/>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地下水环境</w:t>
                  </w:r>
                </w:p>
              </w:tc>
              <w:tc>
                <w:tcPr>
                  <w:tcW w:w="2650" w:type="pct"/>
                  <w:gridSpan w:val="3"/>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项目周边500m范围内无饮用水源地和热水、矿泉水、温泉等特殊地下水资源</w:t>
                  </w:r>
                </w:p>
              </w:tc>
              <w:tc>
                <w:tcPr>
                  <w:tcW w:w="1652"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生态环境</w:t>
                  </w:r>
                </w:p>
              </w:tc>
              <w:tc>
                <w:tcPr>
                  <w:tcW w:w="4302" w:type="pct"/>
                  <w:gridSpan w:val="4"/>
                  <w:tcBorders>
                    <w:tl2br w:val="nil"/>
                    <w:tr2bl w:val="nil"/>
                  </w:tcBorders>
                  <w:vAlign w:val="center"/>
                </w:tcPr>
                <w:p>
                  <w:pPr>
                    <w:keepNext w:val="0"/>
                    <w:keepLines w:val="0"/>
                    <w:pageBreakBefore w:val="0"/>
                    <w:widowControl w:val="0"/>
                    <w:shd w:val="clear"/>
                    <w:tabs>
                      <w:tab w:val="left" w:pos="1680"/>
                    </w:tabs>
                    <w:kinsoku/>
                    <w:wordWrap/>
                    <w:overflowPunct/>
                    <w:topLinePunct w:val="0"/>
                    <w:autoSpaceDE/>
                    <w:autoSpaceDN/>
                    <w:bidi w:val="0"/>
                    <w:ind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项目用地范围内不含有生态保护目标</w:t>
                  </w:r>
                </w:p>
              </w:tc>
            </w:tr>
          </w:tbl>
          <w:p>
            <w:pPr>
              <w:shd w:val="clear"/>
              <w:adjustRightInd w:val="0"/>
              <w:snapToGrid w:val="0"/>
              <w:spacing w:line="360" w:lineRule="auto"/>
              <w:ind w:firstLine="420" w:firstLineChars="200"/>
              <w:rPr>
                <w:rFonts w:hint="default" w:ascii="Times New Roman" w:hAnsi="Times New Roman" w:eastAsia="宋体" w:cs="Times New Roman"/>
                <w:b w:val="0"/>
                <w:bC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00" w:type="dxa"/>
            <w:tcBorders>
              <w:tl2br w:val="nil"/>
              <w:tr2bl w:val="nil"/>
            </w:tcBorders>
            <w:tcMar>
              <w:left w:w="28" w:type="dxa"/>
              <w:right w:w="28" w:type="dxa"/>
            </w:tcMar>
            <w:vAlign w:val="center"/>
          </w:tcPr>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4"/>
                <w:szCs w:val="24"/>
              </w:rPr>
              <w:t>准</w:t>
            </w:r>
          </w:p>
        </w:tc>
        <w:tc>
          <w:tcPr>
            <w:tcW w:w="8245" w:type="dxa"/>
            <w:tcBorders>
              <w:tl2br w:val="nil"/>
              <w:tr2bl w:val="nil"/>
            </w:tcBorders>
            <w:vAlign w:val="center"/>
          </w:tcPr>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1、废气</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运营</w:t>
            </w:r>
            <w:r>
              <w:rPr>
                <w:rFonts w:hint="default" w:ascii="Times New Roman" w:hAnsi="Times New Roman" w:eastAsia="宋体" w:cs="Times New Roman"/>
                <w:b w:val="0"/>
                <w:bCs w:val="0"/>
                <w:color w:val="auto"/>
                <w:kern w:val="0"/>
                <w:sz w:val="24"/>
                <w:szCs w:val="24"/>
                <w:lang w:val="en-US" w:eastAsia="zh-CN"/>
              </w:rPr>
              <w:t>后全厂</w:t>
            </w:r>
            <w:r>
              <w:rPr>
                <w:rFonts w:hint="default" w:ascii="Times New Roman" w:hAnsi="Times New Roman" w:eastAsia="宋体" w:cs="Times New Roman"/>
                <w:b w:val="0"/>
                <w:bCs w:val="0"/>
                <w:color w:val="auto"/>
                <w:kern w:val="0"/>
                <w:sz w:val="24"/>
                <w:szCs w:val="24"/>
              </w:rPr>
              <w:t xml:space="preserve">有组织颗粒物排放浓度执行《区域性大气污染物综合排放标准》（DB37/2376-2019）表1 大气污染物排放浓度限值重点控制区要求（颗粒物：10mg/m³），排放速率执行《大气污染物综合排放标准》（GB16297-1996）表2 </w:t>
            </w:r>
            <w:r>
              <w:rPr>
                <w:rFonts w:hint="default" w:ascii="Times New Roman" w:hAnsi="Times New Roman" w:eastAsia="宋体" w:cs="Times New Roman"/>
                <w:b w:val="0"/>
                <w:bCs w:val="0"/>
                <w:color w:val="auto"/>
                <w:kern w:val="0"/>
                <w:sz w:val="24"/>
                <w:szCs w:val="24"/>
                <w:lang w:val="en-US" w:eastAsia="zh-CN"/>
              </w:rPr>
              <w:t>新污染源大气污染物排放标准</w:t>
            </w:r>
            <w:r>
              <w:rPr>
                <w:rFonts w:hint="default" w:ascii="Times New Roman" w:hAnsi="Times New Roman" w:eastAsia="宋体" w:cs="Times New Roman"/>
                <w:b w:val="0"/>
                <w:bCs w:val="0"/>
                <w:color w:val="auto"/>
                <w:kern w:val="0"/>
                <w:sz w:val="24"/>
                <w:szCs w:val="24"/>
              </w:rPr>
              <w:t>要求（15m</w:t>
            </w:r>
            <w:r>
              <w:rPr>
                <w:rFonts w:hint="default" w:ascii="Times New Roman" w:hAnsi="Times New Roman" w:eastAsia="宋体" w:cs="Times New Roman"/>
                <w:b w:val="0"/>
                <w:bCs w:val="0"/>
                <w:color w:val="auto"/>
                <w:kern w:val="0"/>
                <w:sz w:val="24"/>
                <w:szCs w:val="24"/>
                <w:lang w:val="en-US" w:eastAsia="zh-CN"/>
              </w:rPr>
              <w:t>高</w:t>
            </w:r>
            <w:r>
              <w:rPr>
                <w:rFonts w:hint="default" w:ascii="Times New Roman" w:hAnsi="Times New Roman" w:eastAsia="宋体" w:cs="Times New Roman"/>
                <w:b w:val="0"/>
                <w:bCs w:val="0"/>
                <w:color w:val="auto"/>
                <w:kern w:val="0"/>
                <w:sz w:val="24"/>
                <w:szCs w:val="24"/>
              </w:rPr>
              <w:t>排气筒3.5kg/h）。</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0"/>
                <w:sz w:val="24"/>
                <w:szCs w:val="24"/>
              </w:rPr>
              <w:t>运营</w:t>
            </w:r>
            <w:r>
              <w:rPr>
                <w:rFonts w:hint="default" w:ascii="Times New Roman" w:hAnsi="Times New Roman" w:eastAsia="宋体" w:cs="Times New Roman"/>
                <w:b w:val="0"/>
                <w:bCs w:val="0"/>
                <w:color w:val="auto"/>
                <w:kern w:val="0"/>
                <w:sz w:val="24"/>
                <w:szCs w:val="24"/>
                <w:lang w:val="en-US" w:eastAsia="zh-CN"/>
              </w:rPr>
              <w:t>后全厂</w:t>
            </w:r>
            <w:r>
              <w:rPr>
                <w:rFonts w:hint="default" w:ascii="Times New Roman" w:hAnsi="Times New Roman" w:eastAsia="宋体" w:cs="Times New Roman"/>
                <w:b w:val="0"/>
                <w:bCs w:val="0"/>
                <w:color w:val="auto"/>
                <w:kern w:val="0"/>
                <w:sz w:val="24"/>
                <w:szCs w:val="24"/>
              </w:rPr>
              <w:t xml:space="preserve">无组织颗粒物排放浓度执行《大气污染物综合排放标准》（GB16297-1996）表2 </w:t>
            </w:r>
            <w:r>
              <w:rPr>
                <w:rFonts w:hint="default" w:ascii="Times New Roman" w:hAnsi="Times New Roman" w:eastAsia="宋体" w:cs="Times New Roman"/>
                <w:b w:val="0"/>
                <w:bCs w:val="0"/>
                <w:color w:val="auto"/>
                <w:kern w:val="0"/>
                <w:sz w:val="24"/>
                <w:szCs w:val="24"/>
                <w:lang w:val="en-US" w:eastAsia="zh-CN"/>
              </w:rPr>
              <w:t>新污染源大气污染物排放</w:t>
            </w:r>
            <w:r>
              <w:rPr>
                <w:rFonts w:hint="default" w:ascii="Times New Roman" w:hAnsi="Times New Roman" w:eastAsia="宋体" w:cs="Times New Roman"/>
                <w:b w:val="0"/>
                <w:bCs w:val="0"/>
                <w:color w:val="auto"/>
                <w:kern w:val="0"/>
                <w:sz w:val="24"/>
                <w:szCs w:val="24"/>
              </w:rPr>
              <w:t>标准要求（颗粒物：1.0mg/m³）。</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rPr>
              <w:t>运营</w:t>
            </w:r>
            <w:r>
              <w:rPr>
                <w:rFonts w:hint="default" w:ascii="Times New Roman" w:hAnsi="Times New Roman" w:eastAsia="宋体" w:cs="Times New Roman"/>
                <w:b w:val="0"/>
                <w:bCs w:val="0"/>
                <w:color w:val="auto"/>
                <w:kern w:val="0"/>
                <w:sz w:val="24"/>
                <w:szCs w:val="24"/>
                <w:lang w:val="en-US" w:eastAsia="zh-CN"/>
              </w:rPr>
              <w:t>后全厂VOCs有组织排放浓度、速率执行《挥发性有机物排放标准 第5部分：表面涂装行业》（DB37/2801.5-2018）表2中金属制品业相关要求（50mg/m³；2.0kg/h）及《挥发性有机物排放标准 第6部分:有机化工行业》（DB37/2801.6-2018）表1其他行业VOCs排放限值中其他行业Ⅱ时段限值（60mg/m³；3.0kg/h），取严</w:t>
            </w:r>
            <w:r>
              <w:rPr>
                <w:rFonts w:hint="eastAsia"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本项目VOCs有组织排放浓度、速率执行《挥发性有机物排放标准 第5部分：表面涂装行业》（DB37/2801.5-2018）表2中金属制品业相关要求；VOCs无组织排放浓度执行《挥发性有机物排放标准 第5部分：表面涂装行业》（DB37/2801.5-2018）表3</w:t>
            </w:r>
            <w:r>
              <w:rPr>
                <w:rFonts w:hint="eastAsia" w:cs="Times New Roman"/>
                <w:b w:val="0"/>
                <w:bCs w:val="0"/>
                <w:color w:val="auto"/>
                <w:kern w:val="0"/>
                <w:sz w:val="24"/>
                <w:szCs w:val="24"/>
                <w:lang w:val="en-US" w:eastAsia="zh-CN"/>
              </w:rPr>
              <w:t>厂界监控点浓度限值</w:t>
            </w:r>
            <w:r>
              <w:rPr>
                <w:rFonts w:hint="default" w:ascii="Times New Roman" w:hAnsi="Times New Roman" w:eastAsia="宋体" w:cs="Times New Roman"/>
                <w:b w:val="0"/>
                <w:bCs w:val="0"/>
                <w:color w:val="auto"/>
                <w:kern w:val="0"/>
                <w:sz w:val="24"/>
                <w:szCs w:val="24"/>
                <w:lang w:val="en-US" w:eastAsia="zh-CN"/>
              </w:rPr>
              <w:t>中标准要求。厂区内VOCs排放浓度执行《挥发性有机物无组织排放监控标准》（GB37822-2019）中表A.1特别排放限值要求。</w:t>
            </w:r>
          </w:p>
          <w:p>
            <w:pPr>
              <w:shd w:val="clear"/>
              <w:adjustRightInd w:val="0"/>
              <w:snapToGrid w:val="0"/>
              <w:spacing w:line="360" w:lineRule="auto"/>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 xml:space="preserve"> 大气污染物排放标准</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1"/>
              <w:gridCol w:w="1546"/>
              <w:gridCol w:w="1450"/>
              <w:gridCol w:w="1235"/>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Merge w:val="restar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4318" w:type="pct"/>
                  <w:gridSpan w:val="4"/>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Merge w:val="continue"/>
                  <w:vAlign w:val="center"/>
                </w:tcPr>
                <w:p>
                  <w:pPr>
                    <w:shd w:val="clear"/>
                    <w:autoSpaceDE w:val="0"/>
                    <w:autoSpaceDN w:val="0"/>
                    <w:snapToGrid w:val="0"/>
                    <w:jc w:val="center"/>
                    <w:rPr>
                      <w:rFonts w:hint="default" w:ascii="Times New Roman" w:hAnsi="Times New Roman" w:eastAsia="宋体" w:cs="Times New Roman"/>
                      <w:b/>
                      <w:color w:val="auto"/>
                      <w:kern w:val="0"/>
                      <w:sz w:val="21"/>
                      <w:szCs w:val="21"/>
                    </w:rPr>
                  </w:pPr>
                </w:p>
              </w:tc>
              <w:tc>
                <w:tcPr>
                  <w:tcW w:w="964"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浓度（mg/m</w:t>
                  </w:r>
                  <w:r>
                    <w:rPr>
                      <w:rFonts w:hint="default" w:ascii="Times New Roman" w:hAnsi="Times New Roman" w:eastAsia="宋体" w:cs="Times New Roman"/>
                      <w:b/>
                      <w:color w:val="auto"/>
                      <w:kern w:val="0"/>
                      <w:sz w:val="21"/>
                      <w:szCs w:val="21"/>
                      <w:vertAlign w:val="superscript"/>
                    </w:rPr>
                    <w:t>3</w:t>
                  </w:r>
                  <w:r>
                    <w:rPr>
                      <w:rFonts w:hint="default" w:ascii="Times New Roman" w:hAnsi="Times New Roman" w:eastAsia="宋体" w:cs="Times New Roman"/>
                      <w:b/>
                      <w:color w:val="auto"/>
                      <w:kern w:val="0"/>
                      <w:sz w:val="21"/>
                      <w:szCs w:val="21"/>
                    </w:rPr>
                    <w:t>）</w:t>
                  </w:r>
                </w:p>
              </w:tc>
              <w:tc>
                <w:tcPr>
                  <w:tcW w:w="904"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速率（kg/h）</w:t>
                  </w:r>
                </w:p>
              </w:tc>
              <w:tc>
                <w:tcPr>
                  <w:tcW w:w="770" w:type="pct"/>
                  <w:tcBorders>
                    <w:right w:val="single" w:color="auto" w:sz="4" w:space="0"/>
                  </w:tcBorders>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排气筒高度</w:t>
                  </w:r>
                </w:p>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（m）</w:t>
                  </w:r>
                </w:p>
              </w:tc>
              <w:tc>
                <w:tcPr>
                  <w:tcW w:w="1679" w:type="pct"/>
                  <w:tcBorders>
                    <w:left w:val="single" w:color="auto" w:sz="4" w:space="0"/>
                  </w:tcBorders>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无组织排放监控浓度限值（mg/m</w:t>
                  </w:r>
                  <w:r>
                    <w:rPr>
                      <w:rFonts w:hint="default" w:ascii="Times New Roman" w:hAnsi="Times New Roman" w:eastAsia="宋体" w:cs="Times New Roman"/>
                      <w:b/>
                      <w:color w:val="auto"/>
                      <w:kern w:val="0"/>
                      <w:sz w:val="21"/>
                      <w:szCs w:val="21"/>
                      <w:vertAlign w:val="superscript"/>
                    </w:rPr>
                    <w:t>3</w:t>
                  </w:r>
                  <w:r>
                    <w:rPr>
                      <w:rFonts w:hint="default" w:ascii="Times New Roman" w:hAnsi="Times New Roman" w:eastAsia="宋体" w:cs="Times New Roman"/>
                      <w:b/>
                      <w:color w:val="auto"/>
                      <w:kern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Align w:val="center"/>
                </w:tcPr>
                <w:p>
                  <w:pPr>
                    <w:shd w:val="clear"/>
                    <w:autoSpaceDE w:val="0"/>
                    <w:autoSpaceDN w:val="0"/>
                    <w:snapToGrid w:val="0"/>
                    <w:spacing w:line="263"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w:t>
                  </w:r>
                </w:p>
              </w:tc>
              <w:tc>
                <w:tcPr>
                  <w:tcW w:w="964" w:type="pct"/>
                  <w:vAlign w:val="center"/>
                </w:tcPr>
                <w:p>
                  <w:pPr>
                    <w:shd w:val="clear"/>
                    <w:autoSpaceDE w:val="0"/>
                    <w:autoSpaceDN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904" w:type="pct"/>
                  <w:vAlign w:val="center"/>
                </w:tcPr>
                <w:p>
                  <w:pPr>
                    <w:shd w:val="clear"/>
                    <w:autoSpaceDE w:val="0"/>
                    <w:autoSpaceDN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3.5</w:t>
                  </w:r>
                </w:p>
              </w:tc>
              <w:tc>
                <w:tcPr>
                  <w:tcW w:w="770" w:type="pct"/>
                  <w:tcBorders>
                    <w:right w:val="single" w:color="auto" w:sz="4" w:space="0"/>
                  </w:tcBorders>
                  <w:vAlign w:val="center"/>
                </w:tcPr>
                <w:p>
                  <w:pPr>
                    <w:shd w:val="clear"/>
                    <w:autoSpaceDE w:val="0"/>
                    <w:autoSpaceDN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1679" w:type="pct"/>
                  <w:tcBorders>
                    <w:left w:val="single" w:color="auto" w:sz="4" w:space="0"/>
                  </w:tcBorders>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w:t>
                  </w:r>
                </w:p>
              </w:tc>
              <w:tc>
                <w:tcPr>
                  <w:tcW w:w="964" w:type="pct"/>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904" w:type="pct"/>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770" w:type="pct"/>
                  <w:tcBorders>
                    <w:right w:val="single" w:color="auto" w:sz="4" w:space="0"/>
                  </w:tcBorders>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1679" w:type="pct"/>
                  <w:tcBorders>
                    <w:left w:val="single" w:color="auto" w:sz="4" w:space="0"/>
                  </w:tcBorders>
                  <w:vAlign w:val="center"/>
                </w:tcPr>
                <w:p>
                  <w:pPr>
                    <w:shd w:val="clear"/>
                    <w:autoSpaceDE w:val="0"/>
                    <w:autoSpaceDN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bl>
          <w:p>
            <w:pPr>
              <w:shd w:val="clea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表3-</w:t>
            </w:r>
            <w:r>
              <w:rPr>
                <w:rFonts w:hint="default" w:ascii="Times New Roman" w:hAnsi="Times New Roman" w:eastAsia="宋体" w:cs="Times New Roman"/>
                <w:b/>
                <w:color w:val="auto"/>
                <w:kern w:val="0"/>
                <w:sz w:val="24"/>
                <w:lang w:val="en-US" w:eastAsia="zh-CN"/>
              </w:rPr>
              <w:t>4</w:t>
            </w:r>
            <w:r>
              <w:rPr>
                <w:rFonts w:hint="default" w:ascii="Times New Roman" w:hAnsi="Times New Roman" w:eastAsia="宋体" w:cs="Times New Roman"/>
                <w:b/>
                <w:color w:val="auto"/>
                <w:kern w:val="0"/>
                <w:sz w:val="24"/>
              </w:rPr>
              <w:t xml:space="preserve"> 厂区内VOCs无组织排放限值 单位：mg/m</w:t>
            </w:r>
            <w:r>
              <w:rPr>
                <w:rFonts w:hint="default" w:ascii="Times New Roman" w:hAnsi="Times New Roman" w:eastAsia="宋体" w:cs="Times New Roman"/>
                <w:b/>
                <w:color w:val="auto"/>
                <w:kern w:val="0"/>
                <w:sz w:val="24"/>
                <w:vertAlign w:val="superscript"/>
              </w:rPr>
              <w:t>3</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612"/>
              <w:gridCol w:w="2678"/>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85"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污染物项目</w:t>
                  </w:r>
                </w:p>
              </w:tc>
              <w:tc>
                <w:tcPr>
                  <w:tcW w:w="1005"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特别排放限值</w:t>
                  </w:r>
                </w:p>
              </w:tc>
              <w:tc>
                <w:tcPr>
                  <w:tcW w:w="1670"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限值含义</w:t>
                  </w:r>
                </w:p>
              </w:tc>
              <w:tc>
                <w:tcPr>
                  <w:tcW w:w="1338" w:type="pct"/>
                  <w:vAlign w:val="center"/>
                </w:tcPr>
                <w:p>
                  <w:pPr>
                    <w:shd w:val="clear"/>
                    <w:autoSpaceDE w:val="0"/>
                    <w:autoSpaceDN w:val="0"/>
                    <w:snapToGrid w:val="0"/>
                    <w:spacing w:line="263"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 w:type="pct"/>
                  <w:vMerge w:val="restar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VOCs</w:t>
                  </w:r>
                </w:p>
              </w:tc>
              <w:tc>
                <w:tcPr>
                  <w:tcW w:w="1005" w:type="pc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6</w:t>
                  </w:r>
                </w:p>
              </w:tc>
              <w:tc>
                <w:tcPr>
                  <w:tcW w:w="1670" w:type="pc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监控点处1h平均浓度值</w:t>
                  </w:r>
                </w:p>
              </w:tc>
              <w:tc>
                <w:tcPr>
                  <w:tcW w:w="1338" w:type="pct"/>
                  <w:vMerge w:val="restar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 w:type="pct"/>
                  <w:vMerge w:val="continue"/>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p>
              </w:tc>
              <w:tc>
                <w:tcPr>
                  <w:tcW w:w="1005" w:type="pc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20</w:t>
                  </w:r>
                </w:p>
              </w:tc>
              <w:tc>
                <w:tcPr>
                  <w:tcW w:w="1670" w:type="pct"/>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监控点处任意一次浓度值</w:t>
                  </w:r>
                </w:p>
              </w:tc>
              <w:tc>
                <w:tcPr>
                  <w:tcW w:w="1338" w:type="pct"/>
                  <w:vMerge w:val="continue"/>
                  <w:vAlign w:val="center"/>
                </w:tcPr>
                <w:p>
                  <w:pPr>
                    <w:shd w:val="clear"/>
                    <w:autoSpaceDE w:val="0"/>
                    <w:autoSpaceDN w:val="0"/>
                    <w:snapToGrid w:val="0"/>
                    <w:spacing w:line="263" w:lineRule="exact"/>
                    <w:jc w:val="center"/>
                    <w:rPr>
                      <w:rFonts w:hint="default" w:ascii="Times New Roman" w:hAnsi="Times New Roman" w:eastAsia="宋体" w:cs="Times New Roman"/>
                      <w:bCs/>
                      <w:color w:val="auto"/>
                      <w:kern w:val="0"/>
                      <w:sz w:val="21"/>
                      <w:szCs w:val="21"/>
                    </w:rPr>
                  </w:pPr>
                </w:p>
              </w:tc>
            </w:tr>
          </w:tbl>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2、噪声</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rPr>
              <w:t>运营后全厂</w:t>
            </w:r>
            <w:r>
              <w:rPr>
                <w:rFonts w:hint="default" w:ascii="Times New Roman" w:hAnsi="Times New Roman" w:eastAsia="宋体" w:cs="Times New Roman"/>
                <w:b w:val="0"/>
                <w:bCs w:val="0"/>
                <w:color w:val="auto"/>
                <w:kern w:val="0"/>
                <w:sz w:val="24"/>
                <w:szCs w:val="24"/>
              </w:rPr>
              <w:t>噪声执行《工业企业厂界环境噪声排放标准》（GB3096-2008）的2类声环境功能区。</w:t>
            </w:r>
          </w:p>
          <w:p>
            <w:pPr>
              <w:shd w:val="clea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rPr>
              <w:t xml:space="preserve"> 工业企业厂界环境噪声排放标准</w:t>
            </w:r>
          </w:p>
          <w:tbl>
            <w:tblPr>
              <w:tblStyle w:val="22"/>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667"/>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ind w:firstLine="422"/>
                    <w:textAlignment w:val="baseline"/>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w:t>
                  </w:r>
                </w:p>
              </w:tc>
              <w:tc>
                <w:tcPr>
                  <w:tcW w:w="2667"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ind w:firstLine="422"/>
                    <w:textAlignment w:val="baseline"/>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昼间dB（A）</w:t>
                  </w:r>
                </w:p>
              </w:tc>
              <w:tc>
                <w:tcPr>
                  <w:tcW w:w="2464"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ind w:firstLine="422"/>
                    <w:textAlignment w:val="baseline"/>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textAlignment w:val="baseline"/>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GB12348-2008 2类</w:t>
                  </w:r>
                </w:p>
              </w:tc>
              <w:tc>
                <w:tcPr>
                  <w:tcW w:w="2667"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textAlignment w:val="baseline"/>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60</w:t>
                  </w:r>
                </w:p>
              </w:tc>
              <w:tc>
                <w:tcPr>
                  <w:tcW w:w="2464" w:type="dxa"/>
                  <w:tcBorders>
                    <w:top w:val="single" w:color="auto" w:sz="4" w:space="0"/>
                    <w:left w:val="single" w:color="auto" w:sz="4" w:space="0"/>
                    <w:bottom w:val="single" w:color="auto" w:sz="4" w:space="0"/>
                    <w:right w:val="single" w:color="auto" w:sz="4" w:space="0"/>
                  </w:tcBorders>
                  <w:vAlign w:val="center"/>
                </w:tcPr>
                <w:p>
                  <w:pPr>
                    <w:pStyle w:val="34"/>
                    <w:keepNext w:val="0"/>
                    <w:keepLines w:val="0"/>
                    <w:pageBreakBefore w:val="0"/>
                    <w:widowControl w:val="0"/>
                    <w:shd w:val="clear"/>
                    <w:kinsoku/>
                    <w:wordWrap/>
                    <w:overflowPunct/>
                    <w:topLinePunct w:val="0"/>
                    <w:autoSpaceDE/>
                    <w:autoSpaceDN/>
                    <w:bidi w:val="0"/>
                    <w:adjustRightInd w:val="0"/>
                    <w:snapToGrid/>
                    <w:textAlignment w:val="baseline"/>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50</w:t>
                  </w:r>
                </w:p>
              </w:tc>
            </w:tr>
          </w:tbl>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3、固废</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b w:val="0"/>
                <w:bCs w:val="0"/>
                <w:color w:val="auto"/>
                <w:kern w:val="0"/>
                <w:sz w:val="24"/>
                <w:szCs w:val="24"/>
              </w:rPr>
              <w:t>一般固废执行《一般工业固体废物贮存和填埋污染控制标准》（GB18599-2020）；危险废物执行《危险废物贮存污染控制标准》（GB18597-20</w:t>
            </w:r>
            <w:r>
              <w:rPr>
                <w:rFonts w:hint="default" w:ascii="Times New Roman" w:hAnsi="Times New Roman" w:eastAsia="宋体" w:cs="Times New Roman"/>
                <w:b w:val="0"/>
                <w:bCs w:val="0"/>
                <w:color w:val="auto"/>
                <w:kern w:val="0"/>
                <w:sz w:val="24"/>
                <w:szCs w:val="24"/>
                <w:lang w:val="en-US" w:eastAsia="zh-CN"/>
              </w:rPr>
              <w:t>23</w:t>
            </w:r>
            <w:r>
              <w:rPr>
                <w:rFonts w:hint="default" w:ascii="Times New Roman" w:hAnsi="Times New Roman" w:eastAsia="宋体" w:cs="Times New Roman"/>
                <w:b w:val="0"/>
                <w:bCs w:val="0"/>
                <w:color w:val="auto"/>
                <w:kern w:val="0"/>
                <w:sz w:val="24"/>
                <w:szCs w:val="24"/>
              </w:rPr>
              <w:t>）中的规定。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2" w:hRule="atLeast"/>
          <w:jc w:val="center"/>
        </w:trPr>
        <w:tc>
          <w:tcPr>
            <w:tcW w:w="800" w:type="dxa"/>
            <w:tcBorders>
              <w:tl2br w:val="nil"/>
              <w:tr2bl w:val="nil"/>
            </w:tcBorders>
            <w:vAlign w:val="center"/>
          </w:tcPr>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pPr>
              <w:shd w:val="clea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pPr>
              <w:shd w:val="clea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4"/>
                <w:szCs w:val="24"/>
              </w:rPr>
              <w:t>指标</w:t>
            </w:r>
          </w:p>
        </w:tc>
        <w:tc>
          <w:tcPr>
            <w:tcW w:w="8245" w:type="dxa"/>
            <w:tcBorders>
              <w:tl2br w:val="nil"/>
              <w:tr2bl w:val="nil"/>
            </w:tcBorders>
            <w:vAlign w:val="center"/>
          </w:tcPr>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淄博市生态环境局发布的《关于统筹使用“十四五”建设项目主要大气污染物总量指标的通知》（淄环函〔2021〕55号）总量指标使用原则，所有建设项目的主要大气污染物指标（二氧化硫、氮氧化物、颗粒物、挥发性有机物）的总量替代原则需严格按照《山东省建设项目主要大气污染物排放总量替代指标核算及管理办法》（鲁环发〔2019〕132号）、《山东省人民政府办公厅关于加强"两高"项目管理的通知》（鲁政办字〔2021〕57号）文件要求进行，由我市上一年度环境空气质量年平均浓度及细颗粒物年平均浓度的数据情况而定。若上一年度环境空气质量年平均浓度达标，则实施相关污染物进行等量替代；若上一年度环境空气质量年平均浓度不达标，相关污染物应按照建设项目所需替代的污染物排放总量指标的2倍进行削减替代（燃煤发电机组大气污染物排放浓度达到超低排放标准的进行等量替代）。202</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年淄博市环境空气质量平均浓度不达标，因此总量实行倍量替代。</w:t>
            </w:r>
          </w:p>
          <w:p>
            <w:pPr>
              <w:widowControl/>
              <w:numPr>
                <w:ilvl w:val="0"/>
                <w:numId w:val="9"/>
              </w:numPr>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大气污染物</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rPr>
            </w:pPr>
            <w:r>
              <w:rPr>
                <w:rFonts w:hint="eastAsia" w:cs="Times New Roman"/>
                <w:color w:val="auto"/>
                <w:sz w:val="24"/>
                <w:szCs w:val="24"/>
                <w:lang w:val="en-US" w:eastAsia="zh-CN"/>
              </w:rPr>
              <w:t>淄博诚泰化工设备有限公司防腐搪玻璃搅拌器和管件项目</w:t>
            </w:r>
            <w:commentRangeStart w:id="8"/>
            <w:r>
              <w:rPr>
                <w:rFonts w:hint="eastAsia" w:cs="Times New Roman"/>
                <w:color w:val="auto"/>
                <w:sz w:val="24"/>
                <w:szCs w:val="24"/>
                <w:lang w:val="en-US" w:eastAsia="zh-CN"/>
              </w:rPr>
              <w:t>产品包括防腐搪玻璃搅拌器、管件和防腐罐，</w:t>
            </w:r>
            <w:commentRangeEnd w:id="8"/>
            <w:r>
              <w:commentReference w:id="8"/>
            </w:r>
            <w:r>
              <w:rPr>
                <w:rFonts w:hint="eastAsia" w:cs="Times New Roman"/>
                <w:color w:val="auto"/>
                <w:sz w:val="24"/>
                <w:szCs w:val="24"/>
                <w:lang w:val="en-US" w:eastAsia="zh-CN"/>
              </w:rPr>
              <w:t>共计5000件/a，</w:t>
            </w:r>
            <w:commentRangeStart w:id="9"/>
            <w:r>
              <w:rPr>
                <w:rFonts w:hint="default" w:ascii="Times New Roman" w:hAnsi="Times New Roman" w:eastAsia="宋体" w:cs="Times New Roman"/>
                <w:color w:val="auto"/>
                <w:sz w:val="24"/>
                <w:szCs w:val="24"/>
                <w:lang w:eastAsia="zh-CN"/>
              </w:rPr>
              <w:t>项目颗粒物排放</w:t>
            </w:r>
            <w:r>
              <w:rPr>
                <w:rFonts w:hint="eastAsia" w:cs="Times New Roman"/>
                <w:color w:val="auto"/>
                <w:sz w:val="24"/>
                <w:szCs w:val="24"/>
                <w:lang w:val="en-US" w:eastAsia="zh-CN"/>
              </w:rPr>
              <w:t>总</w:t>
            </w:r>
            <w:r>
              <w:rPr>
                <w:rFonts w:hint="default" w:ascii="Times New Roman" w:hAnsi="Times New Roman" w:eastAsia="宋体" w:cs="Times New Roman"/>
                <w:color w:val="auto"/>
                <w:sz w:val="24"/>
                <w:szCs w:val="24"/>
                <w:lang w:eastAsia="zh-CN"/>
              </w:rPr>
              <w:t>量为</w:t>
            </w:r>
            <w:r>
              <w:rPr>
                <w:rFonts w:hint="eastAsia" w:cs="Times New Roman"/>
                <w:color w:val="auto"/>
                <w:sz w:val="24"/>
                <w:szCs w:val="24"/>
                <w:lang w:eastAsia="zh-CN"/>
              </w:rPr>
              <w:t>0.1876</w:t>
            </w:r>
            <w:r>
              <w:rPr>
                <w:rFonts w:hint="default" w:ascii="Times New Roman" w:hAnsi="Times New Roman" w:eastAsia="宋体" w:cs="Times New Roman"/>
                <w:color w:val="auto"/>
                <w:sz w:val="24"/>
                <w:szCs w:val="24"/>
                <w:lang w:eastAsia="zh-CN"/>
              </w:rPr>
              <w:t>t/a，</w:t>
            </w:r>
            <w:r>
              <w:rPr>
                <w:rFonts w:hint="eastAsia" w:cs="Times New Roman"/>
                <w:color w:val="auto"/>
                <w:sz w:val="24"/>
                <w:szCs w:val="24"/>
                <w:lang w:val="en-US" w:eastAsia="zh-CN"/>
              </w:rPr>
              <w:t>其中颗粒物有组织排放量为0.0736</w:t>
            </w:r>
            <w:r>
              <w:rPr>
                <w:rFonts w:hint="default" w:ascii="Times New Roman" w:hAnsi="Times New Roman" w:eastAsia="宋体" w:cs="Times New Roman"/>
                <w:color w:val="auto"/>
                <w:sz w:val="24"/>
                <w:szCs w:val="24"/>
                <w:lang w:eastAsia="zh-CN"/>
              </w:rPr>
              <w:t>t/a</w:t>
            </w:r>
            <w:r>
              <w:rPr>
                <w:rFonts w:hint="eastAsia" w:cs="Times New Roman"/>
                <w:color w:val="auto"/>
                <w:sz w:val="24"/>
                <w:szCs w:val="24"/>
                <w:lang w:eastAsia="zh-CN"/>
              </w:rPr>
              <w:t>，</w:t>
            </w:r>
            <w:r>
              <w:rPr>
                <w:rFonts w:hint="eastAsia" w:cs="Times New Roman"/>
                <w:color w:val="auto"/>
                <w:sz w:val="24"/>
                <w:szCs w:val="24"/>
                <w:lang w:val="en-US" w:eastAsia="zh-CN"/>
              </w:rPr>
              <w:t>颗粒物无组织排放量为0.1140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因此</w:t>
            </w:r>
            <w:r>
              <w:rPr>
                <w:rFonts w:hint="eastAsia" w:cs="Times New Roman"/>
                <w:color w:val="auto"/>
                <w:sz w:val="24"/>
                <w:szCs w:val="24"/>
                <w:lang w:val="en-US" w:eastAsia="zh-CN"/>
              </w:rPr>
              <w:t>本项目需申请总量</w:t>
            </w:r>
            <w:r>
              <w:rPr>
                <w:rFonts w:hint="default" w:ascii="Times New Roman" w:hAnsi="Times New Roman" w:eastAsia="宋体" w:cs="Times New Roman"/>
                <w:color w:val="auto"/>
                <w:sz w:val="24"/>
                <w:szCs w:val="24"/>
                <w:lang w:val="en-US" w:eastAsia="zh-CN"/>
              </w:rPr>
              <w:t>颗粒物</w:t>
            </w:r>
            <w:r>
              <w:rPr>
                <w:rFonts w:hint="eastAsia" w:cs="Times New Roman"/>
                <w:color w:val="auto"/>
                <w:sz w:val="24"/>
                <w:szCs w:val="24"/>
                <w:lang w:eastAsia="zh-CN"/>
              </w:rPr>
              <w:t>0.1876</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w:t>
            </w:r>
            <w:commentRangeEnd w:id="9"/>
            <w:r>
              <w:commentReference w:id="9"/>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（2）水污染物</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本项目运营过程中产生的废水主要为生活污水，经厂区</w:t>
            </w:r>
            <w:r>
              <w:rPr>
                <w:rFonts w:hint="default" w:ascii="Times New Roman" w:hAnsi="Times New Roman" w:eastAsia="宋体" w:cs="Times New Roman"/>
                <w:color w:val="auto"/>
                <w:kern w:val="0"/>
                <w:sz w:val="24"/>
                <w:szCs w:val="24"/>
                <w:lang w:eastAsia="zh-CN"/>
              </w:rPr>
              <w:t>化粪池</w:t>
            </w:r>
            <w:r>
              <w:rPr>
                <w:rFonts w:hint="default" w:ascii="Times New Roman" w:hAnsi="Times New Roman" w:eastAsia="宋体" w:cs="Times New Roman"/>
                <w:color w:val="auto"/>
                <w:kern w:val="0"/>
                <w:sz w:val="24"/>
                <w:szCs w:val="24"/>
              </w:rPr>
              <w:t>暂存用作周边农田农肥</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不外排，</w:t>
            </w:r>
            <w:r>
              <w:rPr>
                <w:rFonts w:hint="default" w:ascii="Times New Roman" w:hAnsi="Times New Roman" w:eastAsia="宋体" w:cs="Times New Roman"/>
                <w:color w:val="auto"/>
                <w:kern w:val="0"/>
                <w:sz w:val="24"/>
                <w:szCs w:val="24"/>
              </w:rPr>
              <w:t>因此无需申请COD、氨氮总量指标；</w:t>
            </w:r>
          </w:p>
          <w:p>
            <w:pPr>
              <w:widowControl/>
              <w:shd w:val="clear"/>
              <w:adjustRightInd w:val="0"/>
              <w:snapToGrid w:val="0"/>
              <w:spacing w:line="360" w:lineRule="auto"/>
              <w:ind w:left="55" w:leftChars="26" w:right="109" w:rightChars="52" w:firstLine="48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上一年度环境空气质量年平均浓度不达标，相关污染物应按照建设项目所需替代的污染物排放总量指标的2倍进行削减替代（燃煤发电机组大气污染物排放浓度达到超低排放标准的进行等量替代）</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综上，需申请总量控制指标为</w:t>
            </w:r>
            <w:r>
              <w:rPr>
                <w:rFonts w:hint="default" w:ascii="Times New Roman" w:hAnsi="Times New Roman" w:eastAsia="宋体" w:cs="Times New Roman"/>
                <w:color w:val="auto"/>
                <w:kern w:val="0"/>
                <w:sz w:val="24"/>
                <w:szCs w:val="24"/>
                <w:lang w:eastAsia="zh-CN"/>
              </w:rPr>
              <w:t>颗粒物</w:t>
            </w:r>
            <w:r>
              <w:rPr>
                <w:rFonts w:hint="default" w:ascii="Times New Roman" w:hAnsi="Times New Roman" w:eastAsia="宋体" w:cs="Times New Roman"/>
                <w:color w:val="auto"/>
                <w:kern w:val="0"/>
                <w:sz w:val="24"/>
                <w:szCs w:val="24"/>
                <w:lang w:val="en-US" w:eastAsia="zh-CN"/>
              </w:rPr>
              <w:t>0.</w:t>
            </w:r>
            <w:r>
              <w:rPr>
                <w:rFonts w:hint="eastAsia" w:cs="Times New Roman"/>
                <w:color w:val="auto"/>
                <w:kern w:val="0"/>
                <w:sz w:val="24"/>
                <w:szCs w:val="24"/>
                <w:lang w:val="en-US" w:eastAsia="zh-CN"/>
              </w:rPr>
              <w:t>3752</w:t>
            </w:r>
            <w:r>
              <w:rPr>
                <w:rFonts w:hint="default" w:ascii="Times New Roman" w:hAnsi="Times New Roman" w:eastAsia="宋体" w:cs="Times New Roman"/>
                <w:color w:val="auto"/>
                <w:kern w:val="0"/>
                <w:sz w:val="24"/>
                <w:szCs w:val="24"/>
                <w:lang w:val="en-US" w:eastAsia="zh-CN"/>
              </w:rPr>
              <w:t>t/a</w:t>
            </w:r>
            <w:r>
              <w:rPr>
                <w:rFonts w:hint="default" w:ascii="Times New Roman" w:hAnsi="Times New Roman" w:eastAsia="宋体" w:cs="Times New Roman"/>
                <w:color w:val="auto"/>
                <w:kern w:val="0"/>
                <w:sz w:val="24"/>
                <w:szCs w:val="24"/>
              </w:rPr>
              <w:t>。</w:t>
            </w:r>
            <w:bookmarkStart w:id="4" w:name="_GoBack"/>
            <w:bookmarkEnd w:id="4"/>
          </w:p>
        </w:tc>
      </w:tr>
    </w:tbl>
    <w:p>
      <w:pPr>
        <w:pStyle w:val="21"/>
        <w:numPr>
          <w:ilvl w:val="0"/>
          <w:numId w:val="7"/>
        </w:numPr>
        <w:shd w:val="clear"/>
        <w:ind w:left="0" w:leftChars="0" w:firstLine="0" w:firstLineChars="0"/>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br w:type="page"/>
      </w:r>
      <w:r>
        <w:rPr>
          <w:rFonts w:hint="default" w:ascii="Times New Roman" w:hAnsi="Times New Roman" w:eastAsia="宋体" w:cs="Times New Roman"/>
          <w:b/>
          <w:bCs/>
          <w:snapToGrid w:val="0"/>
          <w:color w:val="auto"/>
          <w:sz w:val="30"/>
          <w:szCs w:val="30"/>
          <w:lang w:val="en-US" w:eastAsia="zh-CN"/>
        </w:rPr>
        <w:t>主要环境影响和保护措施</w:t>
      </w:r>
    </w:p>
    <w:tbl>
      <w:tblPr>
        <w:tblStyle w:val="22"/>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dxa"/>
            <w:tcBorders>
              <w:tl2br w:val="nil"/>
              <w:tr2bl w:val="nil"/>
            </w:tcBorders>
            <w:tcMar>
              <w:left w:w="28" w:type="dxa"/>
              <w:right w:w="28" w:type="dxa"/>
            </w:tcMar>
            <w:vAlign w:val="center"/>
          </w:tcPr>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运营</w:t>
            </w:r>
          </w:p>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期环</w:t>
            </w:r>
          </w:p>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境影</w:t>
            </w:r>
          </w:p>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响和</w:t>
            </w:r>
          </w:p>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保护</w:t>
            </w:r>
          </w:p>
          <w:p>
            <w:pPr>
              <w:shd w:val="clear"/>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措施</w:t>
            </w:r>
          </w:p>
        </w:tc>
        <w:tc>
          <w:tcPr>
            <w:tcW w:w="8383" w:type="dxa"/>
            <w:tcBorders>
              <w:tl2br w:val="nil"/>
              <w:tr2bl w:val="nil"/>
            </w:tcBorders>
            <w:vAlign w:val="center"/>
          </w:tcPr>
          <w:p>
            <w:pPr>
              <w:numPr>
                <w:ilvl w:val="0"/>
                <w:numId w:val="10"/>
              </w:numPr>
              <w:shd w:val="clear"/>
              <w:adjustRightInd w:val="0"/>
              <w:snapToGrid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依托现有厂房，不再建设新的构筑物，施工期主要进行设备安装，影响主要为施工人员产生的生活污水、生活垃圾，设备安装时产生的噪声，生活污水排入化粪池；产生的少量生活垃圾由环卫部门清运；设备安装在车间内进行，经过车间的隔声后对外环境的影响较小。本项目施工时间短暂，施工期对外环境的影响随着设备的安装结束而消失。</w:t>
            </w:r>
          </w:p>
          <w:p>
            <w:pPr>
              <w:pStyle w:val="31"/>
              <w:keepNext w:val="0"/>
              <w:keepLines w:val="0"/>
              <w:pageBreakBefore w:val="0"/>
              <w:widowControl w:val="0"/>
              <w:numPr>
                <w:ilvl w:val="0"/>
                <w:numId w:val="10"/>
              </w:numPr>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运营期</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（1）废气产生及排放情况</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废气主要为</w:t>
            </w:r>
            <w:r>
              <w:rPr>
                <w:rFonts w:hint="default" w:ascii="Times New Roman" w:hAnsi="Times New Roman" w:eastAsia="宋体" w:cs="Times New Roman"/>
                <w:color w:val="auto"/>
                <w:sz w:val="24"/>
                <w:szCs w:val="24"/>
                <w:lang w:val="en-US" w:eastAsia="zh-CN"/>
              </w:rPr>
              <w:t>机</w:t>
            </w:r>
            <w:r>
              <w:rPr>
                <w:rFonts w:hint="default" w:ascii="Times New Roman" w:hAnsi="Times New Roman" w:eastAsia="宋体" w:cs="Times New Roman"/>
                <w:color w:val="auto"/>
                <w:sz w:val="24"/>
                <w:szCs w:val="24"/>
                <w:lang w:eastAsia="zh-CN"/>
              </w:rPr>
              <w:t>加工工序切割粉尘、焊接工序焊烟、抛丸工序抛丸粉尘、</w:t>
            </w:r>
            <w:r>
              <w:rPr>
                <w:rFonts w:hint="default" w:ascii="Times New Roman" w:hAnsi="Times New Roman" w:eastAsia="宋体" w:cs="Times New Roman"/>
                <w:color w:val="auto"/>
                <w:sz w:val="24"/>
                <w:szCs w:val="24"/>
                <w:lang w:val="en-US" w:eastAsia="zh-CN"/>
              </w:rPr>
              <w:t>喷丸工序喷丸粉尘、涂搪</w:t>
            </w:r>
            <w:r>
              <w:rPr>
                <w:rFonts w:hint="default" w:ascii="Times New Roman" w:hAnsi="Times New Roman" w:eastAsia="宋体" w:cs="Times New Roman"/>
                <w:color w:val="auto"/>
                <w:sz w:val="24"/>
                <w:szCs w:val="24"/>
                <w:lang w:eastAsia="zh-CN"/>
              </w:rPr>
              <w:t>工序</w:t>
            </w:r>
            <w:r>
              <w:rPr>
                <w:rFonts w:hint="default" w:ascii="Times New Roman" w:hAnsi="Times New Roman" w:eastAsia="宋体" w:cs="Times New Roman"/>
                <w:color w:val="auto"/>
                <w:sz w:val="24"/>
                <w:szCs w:val="24"/>
                <w:lang w:val="en-US" w:eastAsia="zh-CN"/>
              </w:rPr>
              <w:t>涂搪</w:t>
            </w:r>
            <w:r>
              <w:rPr>
                <w:rFonts w:hint="default" w:ascii="Times New Roman" w:hAnsi="Times New Roman" w:eastAsia="宋体" w:cs="Times New Roman"/>
                <w:color w:val="auto"/>
                <w:sz w:val="24"/>
                <w:szCs w:val="24"/>
                <w:lang w:eastAsia="zh-CN"/>
              </w:rPr>
              <w:t>粉尘</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项目总共设计</w:t>
            </w:r>
            <w:r>
              <w:rPr>
                <w:rFonts w:hint="default" w:ascii="Times New Roman" w:hAnsi="Times New Roman" w:eastAsia="宋体" w:cs="Times New Roman"/>
                <w:color w:val="auto"/>
                <w:sz w:val="24"/>
                <w:szCs w:val="24"/>
                <w:lang w:val="en-US" w:eastAsia="zh-CN"/>
              </w:rPr>
              <w:t>3个集气罩1个集气口，分别位于等离子切割机、抛丸机、喷丸机、涂搪间上方。集气罩尺寸为0.5m×0.5m。机加工工序切割粉尘、</w:t>
            </w:r>
            <w:r>
              <w:rPr>
                <w:rFonts w:hint="default" w:ascii="Times New Roman" w:hAnsi="Times New Roman" w:eastAsia="宋体" w:cs="Times New Roman"/>
                <w:color w:val="auto"/>
                <w:sz w:val="24"/>
                <w:szCs w:val="24"/>
                <w:lang w:eastAsia="zh-CN"/>
              </w:rPr>
              <w:t>抛丸工序抛丸粉尘、</w:t>
            </w:r>
            <w:r>
              <w:rPr>
                <w:rFonts w:hint="default" w:ascii="Times New Roman" w:hAnsi="Times New Roman" w:eastAsia="宋体" w:cs="Times New Roman"/>
                <w:color w:val="auto"/>
                <w:sz w:val="24"/>
                <w:szCs w:val="24"/>
                <w:lang w:val="en-US" w:eastAsia="zh-CN"/>
              </w:rPr>
              <w:t>喷丸工序喷丸粉尘、涂搪间涂搪粉尘</w:t>
            </w:r>
            <w:r>
              <w:rPr>
                <w:rFonts w:hint="default" w:ascii="Times New Roman" w:hAnsi="Times New Roman" w:eastAsia="宋体" w:cs="Times New Roman"/>
                <w:color w:val="auto"/>
                <w:sz w:val="24"/>
                <w:szCs w:val="24"/>
                <w:lang w:eastAsia="zh-CN"/>
              </w:rPr>
              <w:t>经集气</w:t>
            </w:r>
            <w:r>
              <w:rPr>
                <w:rFonts w:hint="default" w:ascii="Times New Roman" w:hAnsi="Times New Roman" w:eastAsia="宋体" w:cs="Times New Roman"/>
                <w:color w:val="auto"/>
                <w:sz w:val="24"/>
                <w:szCs w:val="24"/>
                <w:lang w:val="en-US" w:eastAsia="zh-CN"/>
              </w:rPr>
              <w:t>系统</w:t>
            </w:r>
            <w:r>
              <w:rPr>
                <w:rFonts w:hint="default" w:ascii="Times New Roman" w:hAnsi="Times New Roman" w:eastAsia="宋体" w:cs="Times New Roman"/>
                <w:color w:val="auto"/>
                <w:sz w:val="24"/>
                <w:szCs w:val="24"/>
                <w:lang w:eastAsia="zh-CN"/>
              </w:rPr>
              <w:t>收入脉冲式布袋除尘器处理后通过</w:t>
            </w:r>
            <w:r>
              <w:rPr>
                <w:rFonts w:hint="default" w:ascii="Times New Roman" w:hAnsi="Times New Roman" w:eastAsia="宋体" w:cs="Times New Roman"/>
                <w:color w:val="auto"/>
                <w:sz w:val="24"/>
                <w:szCs w:val="24"/>
                <w:lang w:val="en-US" w:eastAsia="zh-CN"/>
              </w:rPr>
              <w:t>P1排气筒有组织排放。</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单个集气罩集气风量计算公式：Q=（a×b）×V</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×3600。</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式中：Q：为集气罩集气风量，单位为m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/h；（a×b）为集气罩集气面积，单位为m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；V</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污染源气体流速，一般在0.5m/s~1.0m/s，本次评价取均值0.5m/s。</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经计算，项目颗粒物单个集气罩集气风量为Q单=（0.5×0.5）×0.5×3600=450m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/h；则P1风量Q1=Q单×4=450m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/h×4=1800m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/h；考虑到管道对风力的阻挡，因此项目环评设计风量P1为4000m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/h。通过集气罩的作用，能够有效的提升收集效率，可按90%计算，涂搪间密闭，通过集气口收集颗粒物，可按95%计算。</w:t>
            </w:r>
          </w:p>
          <w:p>
            <w:pPr>
              <w:shd w:val="clea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4"/>
                <w:szCs w:val="24"/>
              </w:rPr>
              <w:t>表4-1 大气污染物排放情况表</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6"/>
              <w:gridCol w:w="563"/>
              <w:gridCol w:w="1328"/>
              <w:gridCol w:w="1367"/>
              <w:gridCol w:w="1488"/>
              <w:gridCol w:w="1336"/>
              <w:gridCol w:w="1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产污</w:t>
                  </w:r>
                  <w:r>
                    <w:rPr>
                      <w:rFonts w:hint="default" w:ascii="Times New Roman" w:hAnsi="Times New Roman" w:eastAsia="宋体" w:cs="Times New Roman"/>
                      <w:b/>
                      <w:bCs/>
                      <w:color w:val="auto"/>
                      <w:sz w:val="21"/>
                      <w:szCs w:val="21"/>
                      <w:lang w:eastAsia="zh-CN"/>
                    </w:rPr>
                    <w:t>节点</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切割</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焊接</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抛丸</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喷丸</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涂搪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焊烟</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污染物产生浓度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13.8125</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23.2688</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23.2688</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104.1667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污染物产生量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814"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0.1326</w:t>
                  </w:r>
                </w:p>
              </w:tc>
              <w:tc>
                <w:tcPr>
                  <w:tcW w:w="838"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0.0414</w:t>
                  </w:r>
                </w:p>
              </w:tc>
              <w:tc>
                <w:tcPr>
                  <w:tcW w:w="912"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0.2234</w:t>
                  </w:r>
                </w:p>
              </w:tc>
              <w:tc>
                <w:tcPr>
                  <w:tcW w:w="819"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0.2234</w:t>
                  </w:r>
                </w:p>
              </w:tc>
              <w:tc>
                <w:tcPr>
                  <w:tcW w:w="819"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排放形式</w:t>
                  </w:r>
                </w:p>
              </w:tc>
              <w:tc>
                <w:tcPr>
                  <w:tcW w:w="814"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有组织连续</w:t>
                  </w:r>
                </w:p>
              </w:tc>
              <w:tc>
                <w:tcPr>
                  <w:tcW w:w="838"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lang w:eastAsia="zh-CN"/>
                    </w:rPr>
                    <w:t>组织连续</w:t>
                  </w:r>
                </w:p>
              </w:tc>
              <w:tc>
                <w:tcPr>
                  <w:tcW w:w="912"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有组织连续</w:t>
                  </w:r>
                </w:p>
              </w:tc>
              <w:tc>
                <w:tcPr>
                  <w:tcW w:w="819"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有组织连续</w:t>
                  </w:r>
                </w:p>
              </w:tc>
              <w:tc>
                <w:tcPr>
                  <w:tcW w:w="819" w:type="pct"/>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有组织连续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排放时长h</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restar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措施名称</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脉冲式布袋除尘</w:t>
                  </w:r>
                  <w:r>
                    <w:rPr>
                      <w:rFonts w:hint="default" w:ascii="Times New Roman" w:hAnsi="Times New Roman" w:eastAsia="宋体" w:cs="Times New Roman"/>
                      <w:color w:val="auto"/>
                      <w:sz w:val="21"/>
                      <w:szCs w:val="21"/>
                      <w:lang w:val="en-US" w:eastAsia="zh-CN"/>
                    </w:rPr>
                    <w:t>器</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移动式焊烟净化器</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脉冲式布袋除尘</w:t>
                  </w:r>
                  <w:r>
                    <w:rPr>
                      <w:rFonts w:hint="default" w:ascii="Times New Roman" w:hAnsi="Times New Roman" w:eastAsia="宋体" w:cs="Times New Roman"/>
                      <w:color w:val="auto"/>
                      <w:sz w:val="21"/>
                      <w:szCs w:val="21"/>
                      <w:lang w:val="en-US" w:eastAsia="zh-CN"/>
                    </w:rPr>
                    <w:t>器</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脉冲式布袋除尘</w:t>
                  </w:r>
                  <w:r>
                    <w:rPr>
                      <w:rFonts w:hint="default" w:ascii="Times New Roman" w:hAnsi="Times New Roman" w:eastAsia="宋体" w:cs="Times New Roman"/>
                      <w:color w:val="auto"/>
                      <w:sz w:val="21"/>
                      <w:szCs w:val="21"/>
                      <w:lang w:val="en-US" w:eastAsia="zh-CN"/>
                    </w:rPr>
                    <w:t>器</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脉冲式布袋除尘</w:t>
                  </w:r>
                  <w:r>
                    <w:rPr>
                      <w:rFonts w:hint="default" w:ascii="Times New Roman" w:hAnsi="Times New Roman" w:eastAsia="宋体" w:cs="Times New Roman"/>
                      <w:color w:val="auto"/>
                      <w:sz w:val="21"/>
                      <w:szCs w:val="21"/>
                      <w:lang w:val="en-US" w:eastAsia="zh-CN"/>
                    </w:rPr>
                    <w:t>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处理能力</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是否可行技术</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是</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是</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收集效率%</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去除效率%</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污染物排放</w:t>
                  </w:r>
                  <w:r>
                    <w:rPr>
                      <w:rFonts w:hint="default" w:ascii="Times New Roman" w:hAnsi="Times New Roman" w:eastAsia="宋体" w:cs="Times New Roman"/>
                      <w:color w:val="auto"/>
                      <w:sz w:val="21"/>
                      <w:szCs w:val="21"/>
                      <w:lang w:eastAsia="zh-CN"/>
                    </w:rPr>
                    <w:t>浓度（</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0.6216</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1.0471</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1.0471</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速率（</w:t>
                  </w:r>
                  <w:r>
                    <w:rPr>
                      <w:rFonts w:hint="default" w:ascii="Times New Roman" w:hAnsi="Times New Roman" w:eastAsia="宋体" w:cs="Times New Roman"/>
                      <w:color w:val="auto"/>
                      <w:sz w:val="21"/>
                      <w:szCs w:val="21"/>
                      <w:lang w:val="en-US" w:eastAsia="zh-CN"/>
                    </w:rPr>
                    <w:t>kg/h</w:t>
                  </w:r>
                  <w:r>
                    <w:rPr>
                      <w:rFonts w:hint="default" w:ascii="Times New Roman" w:hAnsi="Times New Roman" w:eastAsia="宋体" w:cs="Times New Roman"/>
                      <w:color w:val="auto"/>
                      <w:sz w:val="21"/>
                      <w:szCs w:val="21"/>
                      <w:lang w:eastAsia="zh-CN"/>
                    </w:rPr>
                    <w:t>）</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0.0025</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0.0025</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0.0042</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0.0042</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eastAsia="zh-CN"/>
                    </w:rPr>
                    <w:t>）</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0.0060</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0.0060</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0.0101</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0.0101</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6" w:type="pct"/>
                  <w:gridSpan w:val="2"/>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是否达标排放</w:t>
                  </w:r>
                </w:p>
              </w:tc>
              <w:tc>
                <w:tcPr>
                  <w:tcW w:w="814"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838"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912"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819" w:type="pct"/>
                  <w:tcBorders>
                    <w:right w:val="single" w:color="auto" w:sz="4" w:space="0"/>
                  </w:tcBorders>
                  <w:vAlign w:val="center"/>
                </w:tcPr>
                <w:p>
                  <w:pPr>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restar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排放口基本情况</w:t>
                  </w: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lang w:val="en-US" w:eastAsia="zh-CN"/>
                    </w:rPr>
                    <w:t>P1</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lang w:val="en-US" w:eastAsia="zh-CN"/>
                    </w:rPr>
                    <w:t>P1</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lang w:val="en-US" w:eastAsia="zh-CN"/>
                    </w:rPr>
                    <w:t>P1</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lang w:val="en-US" w:eastAsia="zh-CN"/>
                    </w:rPr>
                    <w:t>P1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117.83</w:t>
                  </w:r>
                  <w:r>
                    <w:rPr>
                      <w:rFonts w:hint="default" w:ascii="Times New Roman" w:hAnsi="Times New Roman" w:eastAsia="宋体" w:cs="Times New Roman"/>
                      <w:color w:val="auto"/>
                      <w:sz w:val="21"/>
                      <w:szCs w:val="21"/>
                      <w:lang w:val="en-US" w:eastAsia="zh-CN"/>
                    </w:rPr>
                    <w:t>9°北纬</w:t>
                  </w:r>
                  <w:r>
                    <w:rPr>
                      <w:rFonts w:hint="default" w:ascii="Times New Roman" w:hAnsi="Times New Roman" w:eastAsia="宋体" w:cs="Times New Roman"/>
                      <w:color w:val="auto"/>
                      <w:sz w:val="21"/>
                      <w:szCs w:val="21"/>
                    </w:rPr>
                    <w:t>36.73</w:t>
                  </w:r>
                  <w:r>
                    <w:rPr>
                      <w:rFonts w:hint="default" w:ascii="Times New Roman" w:hAnsi="Times New Roman" w:eastAsia="宋体" w:cs="Times New Roman"/>
                      <w:color w:val="auto"/>
                      <w:sz w:val="21"/>
                      <w:szCs w:val="21"/>
                      <w:lang w:val="en-US" w:eastAsia="zh-CN"/>
                    </w:rPr>
                    <w:t>5°</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117.83</w:t>
                  </w:r>
                  <w:r>
                    <w:rPr>
                      <w:rFonts w:hint="default" w:ascii="Times New Roman" w:hAnsi="Times New Roman" w:eastAsia="宋体" w:cs="Times New Roman"/>
                      <w:color w:val="auto"/>
                      <w:sz w:val="21"/>
                      <w:szCs w:val="21"/>
                      <w:lang w:val="en-US" w:eastAsia="zh-CN"/>
                    </w:rPr>
                    <w:t>9°北纬</w:t>
                  </w:r>
                  <w:r>
                    <w:rPr>
                      <w:rFonts w:hint="default" w:ascii="Times New Roman" w:hAnsi="Times New Roman" w:eastAsia="宋体" w:cs="Times New Roman"/>
                      <w:color w:val="auto"/>
                      <w:sz w:val="21"/>
                      <w:szCs w:val="21"/>
                    </w:rPr>
                    <w:t>36.73</w:t>
                  </w:r>
                  <w:r>
                    <w:rPr>
                      <w:rFonts w:hint="default" w:ascii="Times New Roman" w:hAnsi="Times New Roman" w:eastAsia="宋体" w:cs="Times New Roman"/>
                      <w:color w:val="auto"/>
                      <w:sz w:val="21"/>
                      <w:szCs w:val="21"/>
                      <w:lang w:val="en-US" w:eastAsia="zh-CN"/>
                    </w:rPr>
                    <w:t>5°</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117.83</w:t>
                  </w:r>
                  <w:r>
                    <w:rPr>
                      <w:rFonts w:hint="default" w:ascii="Times New Roman" w:hAnsi="Times New Roman" w:eastAsia="宋体" w:cs="Times New Roman"/>
                      <w:color w:val="auto"/>
                      <w:sz w:val="21"/>
                      <w:szCs w:val="21"/>
                      <w:lang w:val="en-US" w:eastAsia="zh-CN"/>
                    </w:rPr>
                    <w:t>9°北纬</w:t>
                  </w:r>
                  <w:r>
                    <w:rPr>
                      <w:rFonts w:hint="default" w:ascii="Times New Roman" w:hAnsi="Times New Roman" w:eastAsia="宋体" w:cs="Times New Roman"/>
                      <w:color w:val="auto"/>
                      <w:sz w:val="21"/>
                      <w:szCs w:val="21"/>
                    </w:rPr>
                    <w:t>36.73</w:t>
                  </w:r>
                  <w:r>
                    <w:rPr>
                      <w:rFonts w:hint="default" w:ascii="Times New Roman" w:hAnsi="Times New Roman" w:eastAsia="宋体" w:cs="Times New Roman"/>
                      <w:color w:val="auto"/>
                      <w:sz w:val="21"/>
                      <w:szCs w:val="21"/>
                      <w:lang w:val="en-US" w:eastAsia="zh-CN"/>
                    </w:rPr>
                    <w:t>5°</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117.83</w:t>
                  </w:r>
                  <w:r>
                    <w:rPr>
                      <w:rFonts w:hint="default" w:ascii="Times New Roman" w:hAnsi="Times New Roman" w:eastAsia="宋体" w:cs="Times New Roman"/>
                      <w:color w:val="auto"/>
                      <w:sz w:val="21"/>
                      <w:szCs w:val="21"/>
                      <w:lang w:val="en-US" w:eastAsia="zh-CN"/>
                    </w:rPr>
                    <w:t>9°北纬</w:t>
                  </w:r>
                  <w:r>
                    <w:rPr>
                      <w:rFonts w:hint="default" w:ascii="Times New Roman" w:hAnsi="Times New Roman" w:eastAsia="宋体" w:cs="Times New Roman"/>
                      <w:color w:val="auto"/>
                      <w:sz w:val="21"/>
                      <w:szCs w:val="21"/>
                    </w:rPr>
                    <w:t>36.73</w:t>
                  </w:r>
                  <w:r>
                    <w:rPr>
                      <w:rFonts w:hint="default" w:ascii="Times New Roman" w:hAnsi="Times New Roman" w:eastAsia="宋体" w:cs="Times New Roman"/>
                      <w:color w:val="auto"/>
                      <w:sz w:val="21"/>
                      <w:szCs w:val="21"/>
                      <w:lang w:val="en-US" w:eastAsia="zh-CN"/>
                    </w:rPr>
                    <w:t>5°</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rPr>
                    <w:t>117.83</w:t>
                  </w:r>
                  <w:r>
                    <w:rPr>
                      <w:rFonts w:hint="default" w:ascii="Times New Roman" w:hAnsi="Times New Roman" w:eastAsia="宋体" w:cs="Times New Roman"/>
                      <w:color w:val="auto"/>
                      <w:sz w:val="21"/>
                      <w:szCs w:val="21"/>
                      <w:lang w:val="en-US" w:eastAsia="zh-CN"/>
                    </w:rPr>
                    <w:t>9°北纬</w:t>
                  </w:r>
                  <w:r>
                    <w:rPr>
                      <w:rFonts w:hint="default" w:ascii="Times New Roman" w:hAnsi="Times New Roman" w:eastAsia="宋体" w:cs="Times New Roman"/>
                      <w:color w:val="auto"/>
                      <w:sz w:val="21"/>
                      <w:szCs w:val="21"/>
                    </w:rPr>
                    <w:t>36.73</w:t>
                  </w:r>
                  <w:r>
                    <w:rPr>
                      <w:rFonts w:hint="default" w:ascii="Times New Roman" w:hAnsi="Times New Roman" w:eastAsia="宋体" w:cs="Times New Roman"/>
                      <w:color w:val="auto"/>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排放口类型</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高度m</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内径m</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0.038</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0.038</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0.038</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1" w:type="pct"/>
                  <w:vMerge w:val="continue"/>
                  <w:tcBorders>
                    <w:top w:val="nil"/>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45" w:type="pct"/>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tc>
              <w:tc>
                <w:tcPr>
                  <w:tcW w:w="814"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38"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12"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19" w:type="pct"/>
                  <w:tcBorders>
                    <w:right w:val="single" w:color="auto" w:sz="4" w:space="0"/>
                  </w:tcBorders>
                  <w:vAlign w:val="center"/>
                </w:tcPr>
                <w:p>
                  <w:pPr>
                    <w:pStyle w:val="30"/>
                    <w:keepNext w:val="0"/>
                    <w:keepLines w:val="0"/>
                    <w:pageBreakBefore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r>
          </w:tbl>
          <w:p>
            <w:pPr>
              <w:pStyle w:val="30"/>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本次环评废气产生源强依据如下表：</w:t>
            </w:r>
          </w:p>
          <w:p>
            <w:pPr>
              <w:pStyle w:val="30"/>
              <w:shd w:val="clear"/>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4"/>
                <w:szCs w:val="24"/>
              </w:rPr>
              <w:t>表4-2 废气产生源强计算依据</w:t>
            </w:r>
          </w:p>
          <w:tbl>
            <w:tblPr>
              <w:tblStyle w:val="22"/>
              <w:tblW w:w="7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82"/>
              <w:gridCol w:w="2147"/>
              <w:gridCol w:w="3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源强</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切割粉尘（氧</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可燃气体切割）</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1.50千克/吨-原料</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排放源统计调查产排污核算方法和系数手册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33-37,431-434机械行业系数手册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切割粉尘（等离子切割）</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1.10千克/吨-原料</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排放源统计调查产排污核算方法和系数手册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33-37,431-434机械行业系数手册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焊接烟尘（二保焊、氩弧焊、埋弧焊）实心焊丝</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9.19千克/吨-原料</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排放源统计调查产排污核算方法和系数手册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33-37,431-434机械行业系数手册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抛丸</w:t>
                  </w:r>
                  <w:r>
                    <w:rPr>
                      <w:rFonts w:hint="default" w:ascii="Times New Roman" w:hAnsi="Times New Roman" w:eastAsia="宋体" w:cs="Times New Roman"/>
                      <w:color w:val="auto"/>
                      <w:sz w:val="21"/>
                      <w:szCs w:val="21"/>
                      <w:lang w:val="en-US" w:eastAsia="zh-CN"/>
                    </w:rPr>
                    <w:t>/喷丸</w:t>
                  </w:r>
                  <w:r>
                    <w:rPr>
                      <w:rFonts w:hint="default" w:ascii="Times New Roman" w:hAnsi="Times New Roman" w:eastAsia="宋体" w:cs="Times New Roman"/>
                      <w:color w:val="auto"/>
                      <w:sz w:val="21"/>
                      <w:szCs w:val="21"/>
                      <w:lang w:eastAsia="zh-CN"/>
                    </w:rPr>
                    <w:t>粉尘</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2.19千克/吨-原料</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排放源统计调查产排污核算方法和系数手册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33-37,431-434机械行业系数手册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涂搪颗</w:t>
                  </w:r>
                  <w:r>
                    <w:rPr>
                      <w:rFonts w:hint="default" w:ascii="Times New Roman" w:hAnsi="Times New Roman" w:eastAsia="宋体" w:cs="Times New Roman"/>
                      <w:color w:val="auto"/>
                      <w:sz w:val="21"/>
                      <w:szCs w:val="21"/>
                      <w:lang w:eastAsia="zh-CN"/>
                    </w:rPr>
                    <w:t>粒物</w:t>
                  </w:r>
                </w:p>
              </w:tc>
              <w:tc>
                <w:tcPr>
                  <w:tcW w:w="2147"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100千克/吨-原料</w:t>
                  </w:r>
                </w:p>
              </w:tc>
              <w:tc>
                <w:tcPr>
                  <w:tcW w:w="3970" w:type="dxa"/>
                  <w:vAlign w:val="center"/>
                </w:tcPr>
                <w:p>
                  <w:pPr>
                    <w:pStyle w:val="30"/>
                    <w:keepNext w:val="0"/>
                    <w:keepLines w:val="0"/>
                    <w:pageBreakBefore w:val="0"/>
                    <w:widowControl/>
                    <w:shd w:val="clea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类比</w:t>
                  </w:r>
                  <w:r>
                    <w:rPr>
                      <w:rFonts w:hint="default" w:ascii="Times New Roman" w:hAnsi="Times New Roman" w:eastAsia="宋体" w:cs="Times New Roman"/>
                      <w:color w:val="auto"/>
                      <w:sz w:val="21"/>
                      <w:szCs w:val="21"/>
                      <w:lang w:val="en-US" w:eastAsia="zh-CN"/>
                    </w:rPr>
                    <w:t>现有企业生产工艺</w:t>
                  </w:r>
                </w:p>
              </w:tc>
            </w:tr>
          </w:tbl>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源强核算过程简述：</w:t>
            </w:r>
          </w:p>
          <w:p>
            <w:pPr>
              <w:numPr>
                <w:ilvl w:val="0"/>
                <w:numId w:val="11"/>
              </w:num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切割粉尘</w:t>
            </w:r>
          </w:p>
          <w:p>
            <w:pPr>
              <w:shd w:val="clea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外购钢板钢管利用切割机、等离子切割机进行切割，过程产生一定量的切割粉尘。项目使用丙烷作为燃料进行切割，丙烷燃烧产生二氧化碳与水。根据《排放源统计调查产排污核算方法和系数手册》</w:t>
            </w:r>
            <w:r>
              <w:rPr>
                <w:rFonts w:hint="default" w:ascii="Times New Roman" w:hAnsi="Times New Roman" w:eastAsia="宋体" w:cs="Times New Roman"/>
                <w:color w:val="auto"/>
                <w:sz w:val="24"/>
                <w:szCs w:val="24"/>
                <w:lang w:val="en-US" w:eastAsia="zh-CN"/>
              </w:rPr>
              <w:t>33-37,431-434机械行业系数手册，氧/可燃气体切割过程颗粒物产生源强为1.50千克/吨-原料，等离子切割过程颗粒物产生源强为1.10千克/吨-原料，项目使用丙烷切割过程钢板钢管用量为51t/a，等离子切割过程钢板钢管用量为51t/a，则切割粉尘产生量为0.1326t/a。</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切割机、等离子切割机上方均覆盖集气罩，切割粉尘</w:t>
            </w:r>
            <w:r>
              <w:rPr>
                <w:rFonts w:hint="default" w:ascii="Times New Roman" w:hAnsi="Times New Roman" w:eastAsia="宋体" w:cs="Times New Roman"/>
                <w:color w:val="auto"/>
                <w:sz w:val="24"/>
                <w:szCs w:val="24"/>
              </w:rPr>
              <w:t>经集气罩收入</w:t>
            </w:r>
            <w:r>
              <w:rPr>
                <w:rFonts w:hint="default" w:ascii="Times New Roman" w:hAnsi="Times New Roman" w:eastAsia="宋体" w:cs="Times New Roman"/>
                <w:color w:val="auto"/>
                <w:sz w:val="24"/>
                <w:szCs w:val="24"/>
                <w:lang w:eastAsia="zh-CN"/>
              </w:rPr>
              <w:t>脉冲式布袋除尘器</w:t>
            </w:r>
            <w:r>
              <w:rPr>
                <w:rFonts w:hint="default" w:ascii="Times New Roman" w:hAnsi="Times New Roman" w:eastAsia="宋体" w:cs="Times New Roman"/>
                <w:color w:val="auto"/>
                <w:sz w:val="24"/>
                <w:szCs w:val="24"/>
              </w:rPr>
              <w:t>处理后由15m</w:t>
            </w:r>
            <w:r>
              <w:rPr>
                <w:rFonts w:hint="default"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rPr>
              <w:t>排气筒P1排放，收集效率以90%计，处理效率以</w:t>
            </w:r>
            <w:r>
              <w:rPr>
                <w:rFonts w:hint="default" w:ascii="Times New Roman" w:hAnsi="Times New Roman" w:eastAsia="宋体" w:cs="Times New Roman"/>
                <w:color w:val="auto"/>
                <w:sz w:val="24"/>
                <w:szCs w:val="24"/>
                <w:lang w:eastAsia="zh-CN"/>
              </w:rPr>
              <w:t>9</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%计，风机风量为</w:t>
            </w:r>
            <w:r>
              <w:rPr>
                <w:rFonts w:hint="default" w:ascii="Times New Roman" w:hAnsi="Times New Roman" w:eastAsia="宋体" w:cs="Times New Roman"/>
                <w:color w:val="auto"/>
                <w:sz w:val="24"/>
                <w:szCs w:val="24"/>
                <w:lang w:val="en-US" w:eastAsia="zh-CN"/>
              </w:rPr>
              <w:t>4000m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/h，则</w:t>
            </w:r>
            <w:r>
              <w:rPr>
                <w:rFonts w:hint="default" w:ascii="Times New Roman" w:hAnsi="Times New Roman" w:eastAsia="宋体" w:cs="Times New Roman"/>
                <w:color w:val="auto"/>
                <w:sz w:val="24"/>
                <w:szCs w:val="24"/>
                <w:lang w:val="en-US" w:eastAsia="zh-CN"/>
              </w:rPr>
              <w:t>切割</w:t>
            </w:r>
            <w:r>
              <w:rPr>
                <w:rFonts w:hint="default" w:ascii="Times New Roman" w:hAnsi="Times New Roman" w:eastAsia="宋体" w:cs="Times New Roman"/>
                <w:color w:val="auto"/>
                <w:sz w:val="24"/>
                <w:szCs w:val="24"/>
                <w:lang w:eastAsia="zh-CN"/>
              </w:rPr>
              <w:t>过程有组织颗粒物</w:t>
            </w:r>
            <w:r>
              <w:rPr>
                <w:rFonts w:hint="default" w:ascii="Times New Roman" w:hAnsi="Times New Roman" w:eastAsia="宋体" w:cs="Times New Roman"/>
                <w:color w:val="auto"/>
                <w:sz w:val="24"/>
                <w:szCs w:val="24"/>
                <w:lang w:val="en-US" w:eastAsia="zh-CN"/>
              </w:rPr>
              <w:t>收集</w:t>
            </w:r>
            <w:r>
              <w:rPr>
                <w:rFonts w:hint="default" w:ascii="Times New Roman" w:hAnsi="Times New Roman" w:eastAsia="宋体" w:cs="Times New Roman"/>
                <w:color w:val="auto"/>
                <w:sz w:val="24"/>
                <w:szCs w:val="24"/>
              </w:rPr>
              <w:t>量为0.</w:t>
            </w:r>
            <w:r>
              <w:rPr>
                <w:rFonts w:hint="default" w:ascii="Times New Roman" w:hAnsi="Times New Roman" w:eastAsia="宋体" w:cs="Times New Roman"/>
                <w:color w:val="auto"/>
                <w:sz w:val="24"/>
                <w:szCs w:val="24"/>
                <w:lang w:val="en-US" w:eastAsia="zh-CN"/>
              </w:rPr>
              <w:t>1193</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脉冲式布袋除尘器收集</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的量为0.</w:t>
            </w:r>
            <w:r>
              <w:rPr>
                <w:rFonts w:hint="default" w:ascii="Times New Roman" w:hAnsi="Times New Roman" w:eastAsia="宋体" w:cs="Times New Roman"/>
                <w:color w:val="auto"/>
                <w:sz w:val="24"/>
                <w:szCs w:val="24"/>
                <w:lang w:val="en-US" w:eastAsia="zh-CN"/>
              </w:rPr>
              <w:t>1134</w:t>
            </w:r>
            <w:r>
              <w:rPr>
                <w:rFonts w:hint="default" w:ascii="Times New Roman" w:hAnsi="Times New Roman" w:eastAsia="宋体" w:cs="Times New Roman"/>
                <w:color w:val="auto"/>
                <w:sz w:val="24"/>
                <w:szCs w:val="24"/>
              </w:rPr>
              <w:t>t/a；P1排气筒</w:t>
            </w:r>
            <w:r>
              <w:rPr>
                <w:rFonts w:hint="default" w:ascii="Times New Roman" w:hAnsi="Times New Roman" w:eastAsia="宋体" w:cs="Times New Roman"/>
                <w:color w:val="auto"/>
                <w:sz w:val="24"/>
                <w:szCs w:val="24"/>
                <w:lang w:val="en-US" w:eastAsia="zh-CN"/>
              </w:rPr>
              <w:t>切割</w:t>
            </w:r>
            <w:r>
              <w:rPr>
                <w:rFonts w:hint="default" w:ascii="Times New Roman" w:hAnsi="Times New Roman" w:eastAsia="宋体" w:cs="Times New Roman"/>
                <w:color w:val="auto"/>
                <w:sz w:val="24"/>
                <w:szCs w:val="24"/>
                <w:lang w:eastAsia="zh-CN"/>
              </w:rPr>
              <w:t>工序</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排放量为0.00</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t/a，有组织排放速率为0.002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kg/h，有组织排放浓度为</w:t>
            </w:r>
            <w:r>
              <w:rPr>
                <w:rFonts w:hint="default" w:ascii="Times New Roman" w:hAnsi="Times New Roman" w:eastAsia="宋体" w:cs="Times New Roman"/>
                <w:color w:val="auto"/>
                <w:sz w:val="24"/>
                <w:szCs w:val="24"/>
                <w:lang w:val="en-US" w:eastAsia="zh-CN"/>
              </w:rPr>
              <w:t>0.6216</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切割</w:t>
            </w:r>
            <w:r>
              <w:rPr>
                <w:rFonts w:hint="default" w:ascii="Times New Roman" w:hAnsi="Times New Roman" w:eastAsia="宋体" w:cs="Times New Roman"/>
                <w:color w:val="auto"/>
                <w:sz w:val="24"/>
                <w:szCs w:val="24"/>
                <w:lang w:eastAsia="zh-CN"/>
              </w:rPr>
              <w:t>工序无组织颗粒物排放量为</w:t>
            </w:r>
            <w:r>
              <w:rPr>
                <w:rFonts w:hint="default" w:ascii="Times New Roman" w:hAnsi="Times New Roman" w:eastAsia="宋体" w:cs="Times New Roman"/>
                <w:color w:val="auto"/>
                <w:sz w:val="24"/>
                <w:szCs w:val="24"/>
                <w:lang w:val="en-US" w:eastAsia="zh-CN"/>
              </w:rPr>
              <w:t>0.0133t/a，无组织排放速率为0.0055kg/h。</w:t>
            </w:r>
          </w:p>
          <w:p>
            <w:pPr>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抛丸粉尘</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焊接好的半成品利用抛丸机进行抛丸加工，此工序产生一定量的抛丸粉尘。根据《排放源统计调查产排污核算方法和系数手册》</w:t>
            </w:r>
            <w:r>
              <w:rPr>
                <w:rFonts w:hint="default" w:ascii="Times New Roman" w:hAnsi="Times New Roman" w:eastAsia="宋体" w:cs="Times New Roman"/>
                <w:color w:val="auto"/>
                <w:sz w:val="24"/>
                <w:szCs w:val="24"/>
                <w:lang w:val="en-US" w:eastAsia="zh-CN"/>
              </w:rPr>
              <w:t>33-37,431-434机械行业系数手册，抛丸工序颗粒物产生源强为2.19千克/吨-原料，项目抛丸过程钢板钢管用量为102t/a，则抛丸粉尘产生量为0.2234t/a。</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抛丸机上方覆盖集气罩，抛丸粉尘经集气罩收入脉冲式布袋除尘器处理后由15m</w:t>
            </w:r>
            <w:r>
              <w:rPr>
                <w:rFonts w:hint="default"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lang w:eastAsia="zh-CN"/>
              </w:rPr>
              <w:t>排气筒P1排放，收集效率以90%计，处理效</w:t>
            </w:r>
            <w:r>
              <w:rPr>
                <w:rFonts w:hint="default" w:ascii="Times New Roman" w:hAnsi="Times New Roman" w:eastAsia="宋体" w:cs="Times New Roman"/>
                <w:color w:val="auto"/>
                <w:sz w:val="24"/>
                <w:szCs w:val="24"/>
              </w:rPr>
              <w:t>率以</w:t>
            </w:r>
            <w:r>
              <w:rPr>
                <w:rFonts w:hint="default"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rPr>
              <w:t>%计，风机风量为</w:t>
            </w:r>
            <w:r>
              <w:rPr>
                <w:rFonts w:hint="default" w:ascii="Times New Roman" w:hAnsi="Times New Roman" w:eastAsia="宋体" w:cs="Times New Roman"/>
                <w:color w:val="auto"/>
                <w:sz w:val="24"/>
                <w:szCs w:val="24"/>
                <w:lang w:val="en-US" w:eastAsia="zh-CN"/>
              </w:rPr>
              <w:t>4000m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/h，则</w:t>
            </w:r>
            <w:r>
              <w:rPr>
                <w:rFonts w:hint="default" w:ascii="Times New Roman" w:hAnsi="Times New Roman" w:eastAsia="宋体" w:cs="Times New Roman"/>
                <w:color w:val="auto"/>
                <w:sz w:val="24"/>
                <w:szCs w:val="24"/>
                <w:lang w:eastAsia="zh-CN"/>
              </w:rPr>
              <w:t>抛丸工序有组织颗粒物</w:t>
            </w:r>
            <w:r>
              <w:rPr>
                <w:rFonts w:hint="default" w:ascii="Times New Roman" w:hAnsi="Times New Roman" w:eastAsia="宋体" w:cs="Times New Roman"/>
                <w:color w:val="auto"/>
                <w:sz w:val="24"/>
                <w:szCs w:val="24"/>
              </w:rPr>
              <w:t>产生量为</w:t>
            </w:r>
            <w:r>
              <w:rPr>
                <w:rFonts w:hint="default" w:ascii="Times New Roman" w:hAnsi="Times New Roman" w:eastAsia="宋体" w:cs="Times New Roman"/>
                <w:color w:val="auto"/>
                <w:sz w:val="24"/>
                <w:szCs w:val="24"/>
                <w:lang w:val="en-US" w:eastAsia="zh-CN"/>
              </w:rPr>
              <w:t>0.2010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脉冲式布袋除尘器收集</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的量为0.</w:t>
            </w:r>
            <w:r>
              <w:rPr>
                <w:rFonts w:hint="default" w:ascii="Times New Roman" w:hAnsi="Times New Roman" w:eastAsia="宋体" w:cs="Times New Roman"/>
                <w:color w:val="auto"/>
                <w:sz w:val="24"/>
                <w:szCs w:val="24"/>
                <w:lang w:val="en-US" w:eastAsia="zh-CN"/>
              </w:rPr>
              <w:t>1910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抛丸工序</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排放量为0.0</w:t>
            </w:r>
            <w:r>
              <w:rPr>
                <w:rFonts w:hint="default" w:ascii="Times New Roman" w:hAnsi="Times New Roman" w:eastAsia="宋体" w:cs="Times New Roman"/>
                <w:color w:val="auto"/>
                <w:sz w:val="24"/>
                <w:szCs w:val="24"/>
                <w:lang w:val="en-US" w:eastAsia="zh-CN"/>
              </w:rPr>
              <w:t>101</w:t>
            </w:r>
            <w:r>
              <w:rPr>
                <w:rFonts w:hint="default" w:ascii="Times New Roman" w:hAnsi="Times New Roman" w:eastAsia="宋体" w:cs="Times New Roman"/>
                <w:color w:val="auto"/>
                <w:sz w:val="24"/>
                <w:szCs w:val="24"/>
              </w:rPr>
              <w:t>t/a，有组织排放速率为0.00</w:t>
            </w:r>
            <w:r>
              <w:rPr>
                <w:rFonts w:hint="default"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rPr>
              <w:t>kg/h，有组织排放浓度为</w:t>
            </w:r>
            <w:r>
              <w:rPr>
                <w:rFonts w:hint="default" w:ascii="Times New Roman" w:hAnsi="Times New Roman" w:eastAsia="宋体" w:cs="Times New Roman"/>
                <w:color w:val="auto"/>
                <w:sz w:val="24"/>
                <w:szCs w:val="24"/>
                <w:lang w:val="en-US" w:eastAsia="zh-CN"/>
              </w:rPr>
              <w:t>1.0471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；抛丸工序无组织排放量为</w:t>
            </w:r>
            <w:r>
              <w:rPr>
                <w:rFonts w:hint="default" w:ascii="Times New Roman" w:hAnsi="Times New Roman" w:eastAsia="宋体" w:cs="Times New Roman"/>
                <w:color w:val="auto"/>
                <w:sz w:val="24"/>
                <w:szCs w:val="24"/>
                <w:lang w:val="en-US" w:eastAsia="zh-CN"/>
              </w:rPr>
              <w:t>0.0223t/a，无组织排放速率为0.0093kg/h。</w:t>
            </w:r>
          </w:p>
          <w:p>
            <w:pPr>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丸粉尘</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焊接好的半成品利用</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丸机进行</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丸加工，此工序产生一定量的</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丸粉尘。根据《排放源统计调查产排污核算方法和系数手册》</w:t>
            </w:r>
            <w:r>
              <w:rPr>
                <w:rFonts w:hint="default" w:ascii="Times New Roman" w:hAnsi="Times New Roman" w:eastAsia="宋体" w:cs="Times New Roman"/>
                <w:color w:val="auto"/>
                <w:sz w:val="24"/>
                <w:szCs w:val="24"/>
                <w:lang w:val="en-US" w:eastAsia="zh-CN"/>
              </w:rPr>
              <w:t>33-37,431-434机械行业系数手册，喷丸工序颗粒物产生源强为2.19千克/吨-原料，项目喷丸过程钢板钢管用量为102t/a，则喷丸粉尘产生量为0.2234t/a。</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丸机上方覆盖集气罩，</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丸粉尘经集气罩收入脉冲式布袋除尘器处理后由15m</w:t>
            </w:r>
            <w:r>
              <w:rPr>
                <w:rFonts w:hint="default"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lang w:eastAsia="zh-CN"/>
              </w:rPr>
              <w:t>排气筒P1排放，收集效率以90%计，处理效率以</w:t>
            </w:r>
            <w:r>
              <w:rPr>
                <w:rFonts w:hint="default"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lang w:eastAsia="zh-CN"/>
              </w:rPr>
              <w:t>%计，风机风量为</w:t>
            </w:r>
            <w:r>
              <w:rPr>
                <w:rFonts w:hint="default" w:ascii="Times New Roman" w:hAnsi="Times New Roman" w:eastAsia="宋体" w:cs="Times New Roman"/>
                <w:color w:val="auto"/>
                <w:sz w:val="24"/>
                <w:szCs w:val="24"/>
                <w:lang w:val="en-US" w:eastAsia="zh-CN"/>
              </w:rPr>
              <w:t>4000m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/h，则</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丸工序有组织颗粒物产生量为</w:t>
            </w:r>
            <w:r>
              <w:rPr>
                <w:rFonts w:hint="default" w:ascii="Times New Roman" w:hAnsi="Times New Roman" w:eastAsia="宋体" w:cs="Times New Roman"/>
                <w:color w:val="auto"/>
                <w:sz w:val="24"/>
                <w:szCs w:val="24"/>
                <w:lang w:val="en-US" w:eastAsia="zh-CN"/>
              </w:rPr>
              <w:t>0.2010</w:t>
            </w:r>
            <w:r>
              <w:rPr>
                <w:rFonts w:hint="default" w:ascii="Times New Roman" w:hAnsi="Times New Roman" w:eastAsia="宋体" w:cs="Times New Roman"/>
                <w:color w:val="auto"/>
                <w:sz w:val="24"/>
                <w:szCs w:val="24"/>
                <w:lang w:eastAsia="zh-CN"/>
              </w:rPr>
              <w:t>t/a，脉冲式布袋除尘器收集的颗粒物的量为0.</w:t>
            </w:r>
            <w:r>
              <w:rPr>
                <w:rFonts w:hint="default" w:ascii="Times New Roman" w:hAnsi="Times New Roman" w:eastAsia="宋体" w:cs="Times New Roman"/>
                <w:color w:val="auto"/>
                <w:sz w:val="24"/>
                <w:szCs w:val="24"/>
                <w:lang w:val="en-US" w:eastAsia="zh-CN"/>
              </w:rPr>
              <w:t>1910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丸工序有组织颗粒物排放量为0.0</w:t>
            </w:r>
            <w:r>
              <w:rPr>
                <w:rFonts w:hint="default" w:ascii="Times New Roman" w:hAnsi="Times New Roman" w:eastAsia="宋体" w:cs="Times New Roman"/>
                <w:color w:val="auto"/>
                <w:sz w:val="24"/>
                <w:szCs w:val="24"/>
                <w:lang w:val="en-US" w:eastAsia="zh-CN"/>
              </w:rPr>
              <w:t>101</w:t>
            </w:r>
            <w:r>
              <w:rPr>
                <w:rFonts w:hint="default" w:ascii="Times New Roman" w:hAnsi="Times New Roman" w:eastAsia="宋体" w:cs="Times New Roman"/>
                <w:color w:val="auto"/>
                <w:sz w:val="24"/>
                <w:szCs w:val="24"/>
                <w:lang w:eastAsia="zh-CN"/>
              </w:rPr>
              <w:t>t/a，有组织排放速率为0.00</w:t>
            </w:r>
            <w:r>
              <w:rPr>
                <w:rFonts w:hint="default"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lang w:eastAsia="zh-CN"/>
              </w:rPr>
              <w:t>kg/h，有组织排放浓度为</w:t>
            </w:r>
            <w:r>
              <w:rPr>
                <w:rFonts w:hint="default" w:ascii="Times New Roman" w:hAnsi="Times New Roman" w:eastAsia="宋体" w:cs="Times New Roman"/>
                <w:color w:val="auto"/>
                <w:sz w:val="24"/>
                <w:szCs w:val="24"/>
                <w:lang w:val="en-US" w:eastAsia="zh-CN"/>
              </w:rPr>
              <w:t>1.0471</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喷</w:t>
            </w:r>
            <w:r>
              <w:rPr>
                <w:rFonts w:hint="default" w:ascii="Times New Roman" w:hAnsi="Times New Roman" w:eastAsia="宋体" w:cs="Times New Roman"/>
                <w:color w:val="auto"/>
                <w:sz w:val="24"/>
                <w:szCs w:val="24"/>
                <w:lang w:eastAsia="zh-CN"/>
              </w:rPr>
              <w:t>丸工序无组织排放量为</w:t>
            </w:r>
            <w:r>
              <w:rPr>
                <w:rFonts w:hint="default" w:ascii="Times New Roman" w:hAnsi="Times New Roman" w:eastAsia="宋体" w:cs="Times New Roman"/>
                <w:color w:val="auto"/>
                <w:sz w:val="24"/>
                <w:szCs w:val="24"/>
                <w:lang w:val="en-US" w:eastAsia="zh-CN"/>
              </w:rPr>
              <w:t>0.0223t/a，无组织排放速率为0.0093kg/h。</w:t>
            </w:r>
          </w:p>
          <w:p>
            <w:pPr>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涂搪</w:t>
            </w:r>
            <w:r>
              <w:rPr>
                <w:rFonts w:hint="default" w:ascii="Times New Roman" w:hAnsi="Times New Roman" w:eastAsia="宋体" w:cs="Times New Roman"/>
                <w:color w:val="auto"/>
                <w:sz w:val="24"/>
                <w:szCs w:val="24"/>
                <w:lang w:eastAsia="zh-CN"/>
              </w:rPr>
              <w:t>粉尘</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涂搪在生产车间涂搪间</w:t>
            </w:r>
            <w:r>
              <w:rPr>
                <w:rFonts w:hint="default" w:ascii="Times New Roman" w:hAnsi="Times New Roman" w:eastAsia="宋体" w:cs="Times New Roman"/>
                <w:color w:val="auto"/>
                <w:sz w:val="24"/>
                <w:szCs w:val="24"/>
                <w:lang w:val="en-US" w:eastAsia="zh-CN"/>
              </w:rPr>
              <w:t>密闭</w:t>
            </w:r>
            <w:r>
              <w:rPr>
                <w:rFonts w:hint="default" w:ascii="Times New Roman" w:hAnsi="Times New Roman" w:eastAsia="宋体" w:cs="Times New Roman"/>
                <w:color w:val="auto"/>
                <w:sz w:val="24"/>
                <w:szCs w:val="24"/>
                <w:lang w:eastAsia="zh-CN"/>
              </w:rPr>
              <w:t>进行，涂搪过程产生的粉尘，经涂搪间上方集气口收集、脉冲式布袋除尘器除尘后由15m</w:t>
            </w:r>
            <w:r>
              <w:rPr>
                <w:rFonts w:hint="default"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lang w:eastAsia="zh-CN"/>
              </w:rPr>
              <w:t>排气筒P1有组织排放；收集效率</w:t>
            </w:r>
            <w:r>
              <w:rPr>
                <w:rFonts w:hint="default"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lang w:eastAsia="zh-CN"/>
              </w:rPr>
              <w:t>%、除尘效率95%、风机风量</w:t>
            </w:r>
            <w:r>
              <w:rPr>
                <w:rFonts w:hint="default"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根据咨询建设单位及结合项目实际工艺，粉尘产生</w:t>
            </w:r>
            <w:r>
              <w:rPr>
                <w:rFonts w:hint="default" w:ascii="Times New Roman" w:hAnsi="Times New Roman" w:eastAsia="宋体" w:cs="Times New Roman"/>
                <w:color w:val="auto"/>
                <w:sz w:val="24"/>
                <w:szCs w:val="24"/>
                <w:lang w:val="en-US" w:eastAsia="zh-CN"/>
              </w:rPr>
              <w:t>系数</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100千克/吨-原料</w:t>
            </w:r>
            <w:r>
              <w:rPr>
                <w:rFonts w:hint="default" w:ascii="Times New Roman" w:hAnsi="Times New Roman" w:eastAsia="宋体" w:cs="Times New Roman"/>
                <w:color w:val="auto"/>
                <w:sz w:val="24"/>
                <w:szCs w:val="24"/>
                <w:lang w:eastAsia="zh-CN"/>
              </w:rPr>
              <w:t>。项目搪瓷釉料年用量为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0t，则</w:t>
            </w:r>
            <w:r>
              <w:rPr>
                <w:rFonts w:hint="default" w:ascii="Times New Roman" w:hAnsi="Times New Roman" w:eastAsia="宋体" w:cs="Times New Roman"/>
                <w:color w:val="auto"/>
                <w:sz w:val="24"/>
                <w:szCs w:val="24"/>
                <w:lang w:val="en-US" w:eastAsia="zh-CN"/>
              </w:rPr>
              <w:t>涂搪工序</w:t>
            </w:r>
            <w:r>
              <w:rPr>
                <w:rFonts w:hint="default" w:ascii="Times New Roman" w:hAnsi="Times New Roman" w:eastAsia="宋体" w:cs="Times New Roman"/>
                <w:color w:val="auto"/>
                <w:sz w:val="24"/>
                <w:szCs w:val="24"/>
                <w:lang w:eastAsia="zh-CN"/>
              </w:rPr>
              <w:t>粉尘产生量为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产生速率为0.4167kg/h；</w:t>
            </w:r>
            <w:r>
              <w:rPr>
                <w:rFonts w:hint="default" w:ascii="Times New Roman" w:hAnsi="Times New Roman" w:eastAsia="宋体" w:cs="Times New Roman"/>
                <w:color w:val="auto"/>
                <w:sz w:val="24"/>
                <w:szCs w:val="24"/>
                <w:lang w:eastAsia="zh-CN"/>
              </w:rPr>
              <w:t>产生浓度为</w:t>
            </w:r>
            <w:r>
              <w:rPr>
                <w:rFonts w:hint="default" w:ascii="Times New Roman" w:hAnsi="Times New Roman" w:eastAsia="宋体" w:cs="Times New Roman"/>
                <w:color w:val="auto"/>
                <w:sz w:val="24"/>
                <w:szCs w:val="24"/>
                <w:lang w:val="en-US" w:eastAsia="zh-CN"/>
              </w:rPr>
              <w:t>104.1667</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。脉冲式布袋除尘器收集的颗粒物的量为0.</w:t>
            </w:r>
            <w:r>
              <w:rPr>
                <w:rFonts w:hint="default" w:ascii="Times New Roman" w:hAnsi="Times New Roman" w:eastAsia="宋体" w:cs="Times New Roman"/>
                <w:color w:val="auto"/>
                <w:sz w:val="24"/>
                <w:szCs w:val="24"/>
                <w:lang w:val="en-US" w:eastAsia="zh-CN"/>
              </w:rPr>
              <w:t>9025</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涂搪</w:t>
            </w:r>
            <w:r>
              <w:rPr>
                <w:rFonts w:hint="default" w:ascii="Times New Roman" w:hAnsi="Times New Roman" w:eastAsia="宋体" w:cs="Times New Roman"/>
                <w:color w:val="auto"/>
                <w:sz w:val="24"/>
                <w:szCs w:val="24"/>
                <w:lang w:eastAsia="zh-CN"/>
              </w:rPr>
              <w:t>工序有组织颗粒物排放量为</w:t>
            </w:r>
            <w:r>
              <w:rPr>
                <w:rFonts w:hint="default" w:ascii="Times New Roman" w:hAnsi="Times New Roman" w:eastAsia="宋体" w:cs="Times New Roman"/>
                <w:color w:val="auto"/>
                <w:sz w:val="24"/>
                <w:szCs w:val="24"/>
                <w:lang w:val="en-US" w:eastAsia="zh-CN"/>
              </w:rPr>
              <w:t>0.0475</w:t>
            </w:r>
            <w:r>
              <w:rPr>
                <w:rFonts w:hint="default" w:ascii="Times New Roman" w:hAnsi="Times New Roman" w:eastAsia="宋体" w:cs="Times New Roman"/>
                <w:color w:val="auto"/>
                <w:sz w:val="24"/>
                <w:szCs w:val="24"/>
                <w:lang w:eastAsia="zh-CN"/>
              </w:rPr>
              <w:t>t/a，有组织排放速率为0.0</w:t>
            </w:r>
            <w:r>
              <w:rPr>
                <w:rFonts w:hint="default" w:ascii="Times New Roman" w:hAnsi="Times New Roman" w:eastAsia="宋体" w:cs="Times New Roman"/>
                <w:color w:val="auto"/>
                <w:sz w:val="24"/>
                <w:szCs w:val="24"/>
                <w:lang w:val="en-US" w:eastAsia="zh-CN"/>
              </w:rPr>
              <w:t>198</w:t>
            </w:r>
            <w:r>
              <w:rPr>
                <w:rFonts w:hint="default" w:ascii="Times New Roman" w:hAnsi="Times New Roman" w:eastAsia="宋体" w:cs="Times New Roman"/>
                <w:color w:val="auto"/>
                <w:sz w:val="24"/>
                <w:szCs w:val="24"/>
                <w:lang w:eastAsia="zh-CN"/>
              </w:rPr>
              <w:t>kg/h，有组织排放浓度为</w:t>
            </w:r>
            <w:r>
              <w:rPr>
                <w:rFonts w:hint="default" w:ascii="Times New Roman" w:hAnsi="Times New Roman" w:eastAsia="宋体" w:cs="Times New Roman"/>
                <w:color w:val="auto"/>
                <w:sz w:val="24"/>
                <w:szCs w:val="24"/>
                <w:lang w:val="en-US" w:eastAsia="zh-CN"/>
              </w:rPr>
              <w:t>4.9479</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涂搪</w:t>
            </w:r>
            <w:r>
              <w:rPr>
                <w:rFonts w:hint="default" w:ascii="Times New Roman" w:hAnsi="Times New Roman" w:eastAsia="宋体" w:cs="Times New Roman"/>
                <w:color w:val="auto"/>
                <w:sz w:val="24"/>
                <w:szCs w:val="24"/>
                <w:lang w:eastAsia="zh-CN"/>
              </w:rPr>
              <w:t>工序无组织排放量为</w:t>
            </w:r>
            <w:r>
              <w:rPr>
                <w:rFonts w:hint="default" w:ascii="Times New Roman" w:hAnsi="Times New Roman" w:eastAsia="宋体" w:cs="Times New Roman"/>
                <w:color w:val="auto"/>
                <w:sz w:val="24"/>
                <w:szCs w:val="24"/>
                <w:lang w:val="en-US" w:eastAsia="zh-CN"/>
              </w:rPr>
              <w:t>0.05t/a，无组织排放速率为0.0208kg/h。</w:t>
            </w:r>
          </w:p>
          <w:p>
            <w:pPr>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焊接烟尘</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组装过程需要使用电弧焊、等离子焊等设备进行焊接，根据《排放源统计调查产排污核算方法和系数手册》</w:t>
            </w:r>
            <w:r>
              <w:rPr>
                <w:rFonts w:hint="default" w:ascii="Times New Roman" w:hAnsi="Times New Roman" w:eastAsia="宋体" w:cs="Times New Roman"/>
                <w:color w:val="auto"/>
                <w:sz w:val="24"/>
                <w:szCs w:val="24"/>
                <w:lang w:val="en-US" w:eastAsia="zh-CN"/>
              </w:rPr>
              <w:t>33-37,431-434机械行业系数手册，二氧化碳保护焊（实心焊丝）焊烟产污系数为9.19千克/吨-原料，二氧化碳保护焊焊丝使用量为4.5t/a，则焊接过程焊烟产生量为0.0414t/a。</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焊接过程使用移动式焊烟净化器来净化焊烟，收集效率以90%计，处理效率以95%计，则焊接过程焊烟无组织排放量为0.0060t/a，无组织排放速率为0.0025kg/h。</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颗粒物</w:t>
            </w:r>
            <w:r>
              <w:rPr>
                <w:rFonts w:hint="default" w:ascii="Times New Roman" w:hAnsi="Times New Roman" w:eastAsia="宋体" w:cs="Times New Roman"/>
                <w:color w:val="auto"/>
                <w:sz w:val="24"/>
                <w:szCs w:val="24"/>
                <w:lang w:eastAsia="zh-CN"/>
              </w:rPr>
              <w:t>有</w:t>
            </w:r>
            <w:r>
              <w:rPr>
                <w:rFonts w:hint="default" w:ascii="Times New Roman" w:hAnsi="Times New Roman" w:eastAsia="宋体" w:cs="Times New Roman"/>
                <w:color w:val="auto"/>
                <w:sz w:val="24"/>
                <w:szCs w:val="24"/>
              </w:rPr>
              <w:t>组织排放量为</w:t>
            </w:r>
            <w:r>
              <w:rPr>
                <w:rFonts w:hint="default" w:ascii="Times New Roman" w:hAnsi="Times New Roman" w:eastAsia="宋体" w:cs="Times New Roman"/>
                <w:color w:val="auto"/>
                <w:sz w:val="24"/>
                <w:szCs w:val="24"/>
                <w:lang w:eastAsia="zh-CN"/>
              </w:rPr>
              <w:t>0.0</w:t>
            </w:r>
            <w:r>
              <w:rPr>
                <w:rFonts w:hint="default" w:ascii="Times New Roman" w:hAnsi="Times New Roman" w:eastAsia="宋体" w:cs="Times New Roman"/>
                <w:color w:val="auto"/>
                <w:sz w:val="24"/>
                <w:szCs w:val="24"/>
                <w:lang w:val="en-US" w:eastAsia="zh-CN"/>
              </w:rPr>
              <w:t>736t</w:t>
            </w:r>
            <w:r>
              <w:rPr>
                <w:rFonts w:hint="default" w:ascii="Times New Roman" w:hAnsi="Times New Roman" w:eastAsia="宋体" w:cs="Times New Roman"/>
                <w:color w:val="auto"/>
                <w:sz w:val="24"/>
                <w:szCs w:val="24"/>
              </w:rPr>
              <w:t>/a，排放速率为</w:t>
            </w:r>
            <w:r>
              <w:rPr>
                <w:rFonts w:hint="default" w:ascii="Times New Roman" w:hAnsi="Times New Roman" w:eastAsia="宋体" w:cs="Times New Roman"/>
                <w:color w:val="auto"/>
                <w:sz w:val="24"/>
                <w:szCs w:val="24"/>
                <w:lang w:eastAsia="zh-CN"/>
              </w:rPr>
              <w:t>0.0</w:t>
            </w:r>
            <w:r>
              <w:rPr>
                <w:rFonts w:hint="default" w:ascii="Times New Roman" w:hAnsi="Times New Roman" w:eastAsia="宋体" w:cs="Times New Roman"/>
                <w:color w:val="auto"/>
                <w:sz w:val="24"/>
                <w:szCs w:val="24"/>
                <w:lang w:val="en-US" w:eastAsia="zh-CN"/>
              </w:rPr>
              <w:t>307</w:t>
            </w:r>
            <w:r>
              <w:rPr>
                <w:rFonts w:hint="default" w:ascii="Times New Roman" w:hAnsi="Times New Roman" w:eastAsia="宋体" w:cs="Times New Roman"/>
                <w:color w:val="auto"/>
                <w:sz w:val="24"/>
                <w:szCs w:val="24"/>
              </w:rPr>
              <w:t>kg/h</w:t>
            </w:r>
            <w:r>
              <w:rPr>
                <w:rFonts w:hint="default" w:ascii="Times New Roman" w:hAnsi="Times New Roman" w:eastAsia="宋体" w:cs="Times New Roman"/>
                <w:color w:val="auto"/>
                <w:sz w:val="24"/>
                <w:szCs w:val="24"/>
                <w:lang w:eastAsia="zh-CN"/>
              </w:rPr>
              <w:t>，排放浓度为</w:t>
            </w:r>
            <w:r>
              <w:rPr>
                <w:rFonts w:hint="default" w:ascii="Times New Roman" w:hAnsi="Times New Roman" w:eastAsia="宋体" w:cs="Times New Roman"/>
                <w:color w:val="auto"/>
                <w:sz w:val="24"/>
                <w:szCs w:val="24"/>
                <w:lang w:val="en-US" w:eastAsia="zh-CN"/>
              </w:rPr>
              <w:t>7.6637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无组织排放量为</w:t>
            </w:r>
            <w:r>
              <w:rPr>
                <w:rFonts w:hint="eastAsia" w:cs="Times New Roman"/>
                <w:color w:val="auto"/>
                <w:sz w:val="24"/>
                <w:szCs w:val="24"/>
                <w:lang w:eastAsia="zh-CN"/>
              </w:rPr>
              <w:t>0.1140</w:t>
            </w:r>
            <w:r>
              <w:rPr>
                <w:rFonts w:hint="default" w:ascii="Times New Roman" w:hAnsi="Times New Roman" w:eastAsia="宋体" w:cs="Times New Roman"/>
                <w:color w:val="auto"/>
                <w:sz w:val="24"/>
                <w:szCs w:val="24"/>
              </w:rPr>
              <w:t>t/a，排放速率为0.0</w:t>
            </w:r>
            <w:r>
              <w:rPr>
                <w:rFonts w:hint="default" w:ascii="Times New Roman" w:hAnsi="Times New Roman" w:eastAsia="宋体" w:cs="Times New Roman"/>
                <w:color w:val="auto"/>
                <w:sz w:val="24"/>
                <w:szCs w:val="24"/>
                <w:lang w:val="en-US" w:eastAsia="zh-CN"/>
              </w:rPr>
              <w:t>475</w:t>
            </w:r>
            <w:r>
              <w:rPr>
                <w:rFonts w:hint="default" w:ascii="Times New Roman" w:hAnsi="Times New Roman" w:eastAsia="宋体" w:cs="Times New Roman"/>
                <w:color w:val="auto"/>
                <w:sz w:val="24"/>
                <w:szCs w:val="24"/>
              </w:rPr>
              <w:t>kg/h</w:t>
            </w:r>
            <w:r>
              <w:rPr>
                <w:rFonts w:hint="default" w:ascii="Times New Roman" w:hAnsi="Times New Roman" w:eastAsia="宋体" w:cs="Times New Roman"/>
                <w:color w:val="auto"/>
                <w:sz w:val="24"/>
                <w:szCs w:val="24"/>
                <w:lang w:eastAsia="zh-CN"/>
              </w:rPr>
              <w:t>。</w:t>
            </w:r>
          </w:p>
          <w:p>
            <w:pPr>
              <w:rPr>
                <w:rFonts w:hint="default"/>
              </w:rPr>
            </w:pP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迁建</w:t>
            </w:r>
            <w:r>
              <w:rPr>
                <w:rFonts w:hint="default" w:ascii="Times New Roman" w:hAnsi="Times New Roman" w:eastAsia="宋体" w:cs="Times New Roman"/>
                <w:color w:val="auto"/>
                <w:sz w:val="24"/>
                <w:szCs w:val="24"/>
                <w:lang w:val="en-US" w:eastAsia="zh-CN"/>
              </w:rPr>
              <w:t>转让</w:t>
            </w:r>
            <w:r>
              <w:rPr>
                <w:rFonts w:hint="default" w:ascii="Times New Roman" w:hAnsi="Times New Roman" w:eastAsia="宋体" w:cs="Times New Roman"/>
                <w:color w:val="auto"/>
                <w:sz w:val="24"/>
                <w:szCs w:val="24"/>
                <w:lang w:eastAsia="zh-CN"/>
              </w:rPr>
              <w:t>后全厂废气排放情况：</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迁建后</w:t>
            </w:r>
            <w:r>
              <w:rPr>
                <w:rFonts w:hint="default" w:ascii="Times New Roman" w:hAnsi="Times New Roman" w:eastAsia="宋体" w:cs="Times New Roman"/>
                <w:color w:val="auto"/>
                <w:sz w:val="24"/>
                <w:szCs w:val="24"/>
                <w:lang w:val="en-US" w:eastAsia="zh-CN"/>
              </w:rPr>
              <w:t>淄博</w:t>
            </w:r>
            <w:r>
              <w:rPr>
                <w:rFonts w:hint="default" w:ascii="Times New Roman" w:hAnsi="Times New Roman" w:eastAsia="宋体" w:cs="Times New Roman"/>
                <w:color w:val="auto"/>
                <w:sz w:val="24"/>
                <w:szCs w:val="24"/>
                <w:lang w:eastAsia="zh-CN"/>
              </w:rPr>
              <w:t>诚泰</w:t>
            </w:r>
            <w:r>
              <w:rPr>
                <w:rFonts w:hint="default" w:ascii="Times New Roman" w:hAnsi="Times New Roman" w:eastAsia="宋体" w:cs="Times New Roman"/>
                <w:color w:val="auto"/>
                <w:sz w:val="24"/>
                <w:szCs w:val="24"/>
                <w:lang w:val="en-US" w:eastAsia="zh-CN"/>
              </w:rPr>
              <w:t>机械有限公司减速机和机械密封项目</w:t>
            </w:r>
            <w:r>
              <w:rPr>
                <w:rFonts w:hint="default" w:ascii="Times New Roman" w:hAnsi="Times New Roman" w:eastAsia="宋体" w:cs="Times New Roman"/>
                <w:color w:val="auto"/>
                <w:sz w:val="24"/>
                <w:szCs w:val="24"/>
                <w:lang w:eastAsia="zh-CN"/>
              </w:rPr>
              <w:t>颗粒物废气与</w:t>
            </w:r>
            <w:r>
              <w:rPr>
                <w:rFonts w:hint="default" w:ascii="Times New Roman" w:hAnsi="Times New Roman" w:eastAsia="宋体" w:cs="Times New Roman"/>
                <w:color w:val="auto"/>
                <w:sz w:val="24"/>
                <w:szCs w:val="24"/>
                <w:lang w:val="en-US" w:eastAsia="zh-CN"/>
              </w:rPr>
              <w:t>淄博诚泰化工设备有限公司防腐搪玻璃搅拌器和管件项目</w:t>
            </w:r>
            <w:r>
              <w:rPr>
                <w:rFonts w:hint="default" w:ascii="Times New Roman" w:hAnsi="Times New Roman" w:eastAsia="宋体" w:cs="Times New Roman"/>
                <w:color w:val="auto"/>
                <w:sz w:val="24"/>
                <w:szCs w:val="24"/>
                <w:lang w:eastAsia="zh-CN"/>
              </w:rPr>
              <w:t>颗粒物废气经各自废气处理设施处理后统一由</w:t>
            </w:r>
            <w:r>
              <w:rPr>
                <w:rFonts w:hint="default" w:ascii="Times New Roman" w:hAnsi="Times New Roman" w:eastAsia="宋体" w:cs="Times New Roman"/>
                <w:color w:val="auto"/>
                <w:sz w:val="24"/>
                <w:szCs w:val="24"/>
                <w:lang w:val="en-US" w:eastAsia="zh-CN"/>
              </w:rPr>
              <w:t>15m排气筒P1有组织排放；减速机和机械密封项目VOCs经二级活性炭处理设施处理后由15m排气筒P2有组织排放。</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）污染物达标情况分析</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①有组织废气</w:t>
            </w:r>
          </w:p>
          <w:p>
            <w:pPr>
              <w:shd w:val="clea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淄博诚泰化工设备有限公司防腐搪玻璃搅拌器和管件项目切割</w:t>
            </w:r>
            <w:r>
              <w:rPr>
                <w:rFonts w:hint="default" w:ascii="Times New Roman" w:hAnsi="Times New Roman" w:eastAsia="宋体" w:cs="Times New Roman"/>
                <w:color w:val="auto"/>
                <w:sz w:val="24"/>
                <w:szCs w:val="24"/>
                <w:lang w:eastAsia="zh-CN"/>
              </w:rPr>
              <w:t>粉尘、抛丸</w:t>
            </w:r>
            <w:r>
              <w:rPr>
                <w:rFonts w:hint="default" w:ascii="Times New Roman" w:hAnsi="Times New Roman" w:eastAsia="宋体" w:cs="Times New Roman"/>
                <w:color w:val="auto"/>
                <w:sz w:val="24"/>
                <w:szCs w:val="24"/>
                <w:lang w:val="en-US" w:eastAsia="zh-CN"/>
              </w:rPr>
              <w:t>粉尘、喷丸</w:t>
            </w:r>
            <w:r>
              <w:rPr>
                <w:rFonts w:hint="default" w:ascii="Times New Roman" w:hAnsi="Times New Roman" w:eastAsia="宋体" w:cs="Times New Roman"/>
                <w:color w:val="auto"/>
                <w:sz w:val="24"/>
                <w:szCs w:val="24"/>
                <w:lang w:eastAsia="zh-CN"/>
              </w:rPr>
              <w:t>粉尘、</w:t>
            </w:r>
            <w:r>
              <w:rPr>
                <w:rFonts w:hint="default" w:ascii="Times New Roman" w:hAnsi="Times New Roman" w:eastAsia="宋体" w:cs="Times New Roman"/>
                <w:color w:val="auto"/>
                <w:sz w:val="24"/>
                <w:szCs w:val="24"/>
                <w:lang w:val="en-US" w:eastAsia="zh-CN"/>
              </w:rPr>
              <w:t>涂搪粉尘</w:t>
            </w:r>
            <w:r>
              <w:rPr>
                <w:rFonts w:hint="default" w:ascii="Times New Roman" w:hAnsi="Times New Roman" w:eastAsia="宋体" w:cs="Times New Roman"/>
                <w:color w:val="auto"/>
                <w:sz w:val="24"/>
                <w:szCs w:val="24"/>
                <w:lang w:eastAsia="zh-CN"/>
              </w:rPr>
              <w:t>经集气罩收入脉冲式布袋除尘器处理后由</w:t>
            </w:r>
            <w:r>
              <w:rPr>
                <w:rFonts w:hint="default" w:ascii="Times New Roman" w:hAnsi="Times New Roman" w:eastAsia="宋体" w:cs="Times New Roman"/>
                <w:color w:val="auto"/>
                <w:sz w:val="24"/>
                <w:szCs w:val="24"/>
                <w:lang w:val="en-US" w:eastAsia="zh-CN"/>
              </w:rPr>
              <w:t>15m高排气筒P1有组织排放，淄博诚泰机械有限公司减速机和机械密封项目机加工切割、抛丸产生的颗粒物经集气罩收入脉冲式布袋除尘器处理后，由15m排气筒P1有组织排放；喷塑生产线固化工序、衬塑生产线衬塑工序产生的VOCs经集气罩收入两级活性炭吸附装置处理后，由15m高排气筒P2有组织排放。</w:t>
            </w:r>
          </w:p>
          <w:p>
            <w:pPr>
              <w:pStyle w:val="2"/>
              <w:keepNext w:val="0"/>
              <w:keepLines w:val="0"/>
              <w:pageBreakBefore w:val="0"/>
              <w:widowControl w:val="0"/>
              <w:shd w:val="clear"/>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共用</w:t>
            </w:r>
            <w:r>
              <w:rPr>
                <w:rFonts w:hint="default" w:ascii="Times New Roman" w:hAnsi="Times New Roman" w:eastAsia="宋体" w:cs="Times New Roman"/>
                <w:color w:val="auto"/>
                <w:sz w:val="24"/>
                <w:szCs w:val="24"/>
                <w:lang w:val="en-US" w:eastAsia="zh-CN"/>
              </w:rPr>
              <w:t>排气筒后两项目颗粒物同时排放时间为2400h，防腐搪玻璃搅拌器和管件项目颗粒物有组织排放量为0.0736t/a；减速机和机械密封项目颗粒物排放时间为4480h，颗粒物有组织排放量为</w:t>
            </w:r>
            <w:r>
              <w:rPr>
                <w:rFonts w:hint="default" w:ascii="Times New Roman" w:hAnsi="Times New Roman" w:eastAsia="宋体" w:cs="Times New Roman"/>
                <w:color w:val="auto"/>
                <w:kern w:val="0"/>
                <w:sz w:val="24"/>
                <w:lang w:eastAsia="zh-CN"/>
              </w:rPr>
              <w:t>0.0356</w:t>
            </w:r>
            <w:r>
              <w:rPr>
                <w:rFonts w:hint="default" w:ascii="Times New Roman" w:hAnsi="Times New Roman" w:eastAsia="宋体" w:cs="Times New Roman"/>
                <w:color w:val="auto"/>
                <w:kern w:val="0"/>
                <w:sz w:val="24"/>
              </w:rPr>
              <w:t>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折算到同时排放2400h计，则</w:t>
            </w:r>
            <w:r>
              <w:rPr>
                <w:rFonts w:hint="default" w:ascii="Times New Roman" w:hAnsi="Times New Roman" w:eastAsia="宋体" w:cs="Times New Roman"/>
                <w:color w:val="auto"/>
                <w:sz w:val="24"/>
                <w:szCs w:val="24"/>
                <w:lang w:val="en-US" w:eastAsia="zh-CN"/>
              </w:rPr>
              <w:t>减速机和机械密封项目</w:t>
            </w:r>
            <w:r>
              <w:rPr>
                <w:rFonts w:hint="default" w:ascii="Times New Roman" w:hAnsi="Times New Roman" w:eastAsia="宋体" w:cs="Times New Roman"/>
                <w:color w:val="auto"/>
                <w:kern w:val="0"/>
                <w:sz w:val="24"/>
                <w:lang w:val="en-US" w:eastAsia="zh-CN"/>
              </w:rPr>
              <w:t>颗粒物有组织排放量为0.01907</w:t>
            </w:r>
            <w:r>
              <w:rPr>
                <w:rFonts w:hint="default" w:ascii="Times New Roman" w:hAnsi="Times New Roman" w:eastAsia="宋体" w:cs="Times New Roman"/>
                <w:color w:val="auto"/>
                <w:kern w:val="0"/>
                <w:sz w:val="24"/>
              </w:rPr>
              <w:t>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因此排气筒合并后两项目颗粒物有组织排放量最大为0.09267</w:t>
            </w:r>
            <w:r>
              <w:rPr>
                <w:rFonts w:hint="default" w:ascii="Times New Roman" w:hAnsi="Times New Roman" w:eastAsia="宋体" w:cs="Times New Roman"/>
                <w:color w:val="auto"/>
                <w:kern w:val="0"/>
                <w:sz w:val="24"/>
              </w:rPr>
              <w:t>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有组织排放速率最大为0.03861</w:t>
            </w:r>
            <w:r>
              <w:rPr>
                <w:rFonts w:hint="default" w:ascii="Times New Roman" w:hAnsi="Times New Roman" w:eastAsia="宋体" w:cs="Times New Roman"/>
                <w:color w:val="auto"/>
                <w:sz w:val="24"/>
                <w:szCs w:val="24"/>
                <w:lang w:val="en-US" w:eastAsia="zh-CN"/>
              </w:rPr>
              <w:t>kg/h。</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color w:val="auto"/>
                <w:sz w:val="24"/>
                <w:szCs w:val="24"/>
                <w:lang w:val="en-US" w:eastAsia="zh-CN"/>
              </w:rPr>
              <w:t>淄博诚泰化工设备有限公司防腐搪玻璃搅拌器和管件项目颗粒物收集处理设施设计风机风量为4000m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/h，减速机和机械密封项目颗粒物收集处理设施设计风机风量为1500m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/h，因此</w:t>
            </w:r>
            <w:r>
              <w:rPr>
                <w:rFonts w:hint="eastAsia" w:cs="Times New Roman"/>
                <w:color w:val="auto"/>
                <w:sz w:val="24"/>
                <w:szCs w:val="24"/>
                <w:lang w:val="en-US" w:eastAsia="zh-CN"/>
              </w:rPr>
              <w:t>共用</w:t>
            </w:r>
            <w:r>
              <w:rPr>
                <w:rFonts w:hint="default" w:ascii="Times New Roman" w:hAnsi="Times New Roman" w:eastAsia="宋体" w:cs="Times New Roman"/>
                <w:color w:val="auto"/>
                <w:sz w:val="24"/>
                <w:szCs w:val="24"/>
                <w:lang w:val="en-US" w:eastAsia="zh-CN"/>
              </w:rPr>
              <w:t>排气筒后最大风量为5500m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共用</w:t>
            </w:r>
            <w:r>
              <w:rPr>
                <w:rFonts w:hint="default" w:ascii="Times New Roman" w:hAnsi="Times New Roman" w:eastAsia="宋体" w:cs="Times New Roman"/>
                <w:color w:val="auto"/>
                <w:sz w:val="24"/>
                <w:szCs w:val="24"/>
                <w:lang w:val="en-US" w:eastAsia="zh-CN"/>
              </w:rPr>
              <w:t>排气筒后有组织排放速率最大为</w:t>
            </w:r>
            <w:r>
              <w:rPr>
                <w:rFonts w:hint="default" w:ascii="Times New Roman" w:hAnsi="Times New Roman" w:eastAsia="宋体" w:cs="Times New Roman"/>
                <w:color w:val="auto"/>
                <w:kern w:val="0"/>
                <w:sz w:val="24"/>
                <w:lang w:val="en-US" w:eastAsia="zh-CN"/>
              </w:rPr>
              <w:t>0.03861</w:t>
            </w:r>
            <w:r>
              <w:rPr>
                <w:rFonts w:hint="default" w:ascii="Times New Roman" w:hAnsi="Times New Roman" w:eastAsia="宋体" w:cs="Times New Roman"/>
                <w:color w:val="auto"/>
                <w:sz w:val="24"/>
                <w:szCs w:val="24"/>
                <w:lang w:val="en-US" w:eastAsia="zh-CN"/>
              </w:rPr>
              <w:t>kg/h，则</w:t>
            </w:r>
            <w:r>
              <w:rPr>
                <w:rFonts w:hint="eastAsia" w:cs="Times New Roman"/>
                <w:color w:val="auto"/>
                <w:sz w:val="24"/>
                <w:szCs w:val="24"/>
                <w:lang w:val="en-US" w:eastAsia="zh-CN"/>
              </w:rPr>
              <w:t>共用</w:t>
            </w:r>
            <w:r>
              <w:rPr>
                <w:rFonts w:hint="default" w:ascii="Times New Roman" w:hAnsi="Times New Roman" w:eastAsia="宋体" w:cs="Times New Roman"/>
                <w:color w:val="auto"/>
                <w:sz w:val="24"/>
                <w:szCs w:val="24"/>
                <w:lang w:val="en-US" w:eastAsia="zh-CN"/>
              </w:rPr>
              <w:t>排气筒后有组织最大排放浓度为7.02</w:t>
            </w:r>
            <w:r>
              <w:rPr>
                <w:rFonts w:hint="default" w:ascii="Times New Roman" w:hAnsi="Times New Roman" w:eastAsia="宋体" w:cs="Times New Roman"/>
                <w:color w:val="auto"/>
                <w:kern w:val="0"/>
                <w:sz w:val="24"/>
              </w:rPr>
              <w:t>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lang w:eastAsia="zh-CN"/>
              </w:rPr>
              <w:t>排放浓度满足</w:t>
            </w:r>
            <w:r>
              <w:rPr>
                <w:rFonts w:hint="default" w:ascii="Times New Roman" w:hAnsi="Times New Roman" w:eastAsia="宋体" w:cs="Times New Roman"/>
                <w:color w:val="auto"/>
                <w:sz w:val="24"/>
              </w:rPr>
              <w:t>山东省《区域性大气污染物综合排放标准》（DB37/2376-2019）表1大气污染排放浓度限值中重点控制区限值要求</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kern w:val="0"/>
                <w:sz w:val="24"/>
                <w:szCs w:val="24"/>
              </w:rPr>
              <w:t>mg/m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sz w:val="24"/>
                <w:lang w:eastAsia="zh-CN"/>
              </w:rPr>
              <w:t>），排放速率满足</w:t>
            </w:r>
            <w:r>
              <w:rPr>
                <w:rFonts w:hint="default" w:ascii="Times New Roman" w:hAnsi="Times New Roman" w:eastAsia="宋体" w:cs="Times New Roman"/>
                <w:bCs/>
                <w:color w:val="auto"/>
                <w:sz w:val="24"/>
              </w:rPr>
              <w:t>《大气污染物综合排放标准》（GB16297-1996）表2新污染源大气污染物排放限值要求</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3.5kg/h</w:t>
            </w:r>
            <w:r>
              <w:rPr>
                <w:rFonts w:hint="default" w:ascii="Times New Roman" w:hAnsi="Times New Roman" w:eastAsia="宋体" w:cs="Times New Roman"/>
                <w:bCs/>
                <w:color w:val="auto"/>
                <w:sz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lang w:val="en-US" w:eastAsia="zh-CN"/>
              </w:rPr>
              <w:t>减速机和机械密封项目</w:t>
            </w:r>
            <w:r>
              <w:rPr>
                <w:rFonts w:hint="default" w:ascii="Times New Roman" w:hAnsi="Times New Roman" w:eastAsia="宋体" w:cs="Times New Roman"/>
                <w:color w:val="auto"/>
                <w:kern w:val="0"/>
                <w:sz w:val="24"/>
                <w:lang w:eastAsia="zh-CN"/>
              </w:rPr>
              <w:t>衬塑生产线衬塑工序及喷塑生产线固化工序产生的VOCs</w:t>
            </w:r>
            <w:r>
              <w:rPr>
                <w:rFonts w:hint="default" w:ascii="Times New Roman" w:hAnsi="Times New Roman" w:eastAsia="宋体" w:cs="Times New Roman"/>
                <w:color w:val="auto"/>
                <w:kern w:val="0"/>
                <w:sz w:val="24"/>
              </w:rPr>
              <w:t>经</w:t>
            </w:r>
            <w:r>
              <w:rPr>
                <w:rFonts w:hint="default" w:ascii="Times New Roman" w:hAnsi="Times New Roman" w:eastAsia="宋体" w:cs="Times New Roman"/>
                <w:color w:val="auto"/>
                <w:kern w:val="0"/>
                <w:sz w:val="24"/>
                <w:lang w:eastAsia="zh-CN"/>
              </w:rPr>
              <w:t>集气罩收入</w:t>
            </w:r>
            <w:r>
              <w:rPr>
                <w:rFonts w:hint="default" w:ascii="Times New Roman" w:hAnsi="Times New Roman" w:eastAsia="宋体" w:cs="Times New Roman"/>
                <w:color w:val="auto"/>
                <w:kern w:val="0"/>
                <w:sz w:val="24"/>
              </w:rPr>
              <w:t>两级活性炭吸附装置处理后由15m高排气筒P</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有组织排放，VOCs</w:t>
            </w:r>
            <w:r>
              <w:rPr>
                <w:rFonts w:hint="default" w:ascii="Times New Roman" w:hAnsi="Times New Roman" w:eastAsia="宋体" w:cs="Times New Roman"/>
                <w:color w:val="auto"/>
                <w:kern w:val="0"/>
                <w:sz w:val="24"/>
                <w:lang w:eastAsia="zh-CN"/>
              </w:rPr>
              <w:t>有组织</w:t>
            </w:r>
            <w:r>
              <w:rPr>
                <w:rFonts w:hint="default" w:ascii="Times New Roman" w:hAnsi="Times New Roman" w:eastAsia="宋体" w:cs="Times New Roman"/>
                <w:color w:val="auto"/>
                <w:kern w:val="0"/>
                <w:sz w:val="24"/>
              </w:rPr>
              <w:t>排放量为0.0</w:t>
            </w:r>
            <w:r>
              <w:rPr>
                <w:rFonts w:hint="default" w:ascii="Times New Roman" w:hAnsi="Times New Roman" w:eastAsia="宋体" w:cs="Times New Roman"/>
                <w:color w:val="auto"/>
                <w:kern w:val="0"/>
                <w:sz w:val="24"/>
                <w:lang w:val="en-US" w:eastAsia="zh-CN"/>
              </w:rPr>
              <w:t>0025</w:t>
            </w:r>
            <w:r>
              <w:rPr>
                <w:rFonts w:hint="default" w:ascii="Times New Roman" w:hAnsi="Times New Roman" w:eastAsia="宋体" w:cs="Times New Roman"/>
                <w:color w:val="auto"/>
                <w:kern w:val="0"/>
                <w:sz w:val="24"/>
              </w:rPr>
              <w:t>t/a，排放速率为</w:t>
            </w:r>
            <w:r>
              <w:rPr>
                <w:rFonts w:hint="default" w:ascii="Times New Roman" w:hAnsi="Times New Roman" w:eastAsia="宋体" w:cs="Times New Roman"/>
                <w:color w:val="auto"/>
                <w:kern w:val="0"/>
                <w:sz w:val="24"/>
                <w:lang w:val="en-US" w:eastAsia="zh-CN"/>
              </w:rPr>
              <w:t>0.00006</w:t>
            </w:r>
            <w:r>
              <w:rPr>
                <w:rFonts w:hint="default" w:ascii="Times New Roman" w:hAnsi="Times New Roman" w:eastAsia="宋体" w:cs="Times New Roman"/>
                <w:color w:val="auto"/>
                <w:kern w:val="0"/>
                <w:sz w:val="24"/>
              </w:rPr>
              <w:t>kg/h，排放浓度为</w:t>
            </w:r>
            <w:r>
              <w:rPr>
                <w:rFonts w:hint="default" w:ascii="Times New Roman" w:hAnsi="Times New Roman" w:eastAsia="宋体" w:cs="Times New Roman"/>
                <w:color w:val="auto"/>
                <w:kern w:val="0"/>
                <w:sz w:val="24"/>
                <w:lang w:val="en-US" w:eastAsia="zh-CN"/>
              </w:rPr>
              <w:t>0.06</w:t>
            </w:r>
            <w:r>
              <w:rPr>
                <w:rFonts w:hint="default" w:ascii="Times New Roman" w:hAnsi="Times New Roman" w:eastAsia="宋体" w:cs="Times New Roman"/>
                <w:color w:val="auto"/>
                <w:kern w:val="0"/>
                <w:sz w:val="24"/>
              </w:rPr>
              <w:t>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。排放满足《挥发性有机物排放标准 第5部分：表面涂装行业》</w:t>
            </w:r>
            <w:r>
              <w:rPr>
                <w:rFonts w:hint="default" w:ascii="Times New Roman" w:hAnsi="Times New Roman" w:eastAsia="宋体" w:cs="Times New Roman"/>
                <w:color w:val="auto"/>
                <w:kern w:val="0"/>
                <w:sz w:val="24"/>
                <w:lang w:eastAsia="zh-CN"/>
              </w:rPr>
              <w:t>（DB37/2801.5-2018）表2新建表面涂装企业或生产设施涂装工序VOCs排放限值中</w:t>
            </w:r>
            <w:r>
              <w:rPr>
                <w:rFonts w:hint="default" w:ascii="Times New Roman" w:hAnsi="Times New Roman" w:eastAsia="宋体" w:cs="Times New Roman"/>
                <w:color w:val="auto"/>
                <w:kern w:val="0"/>
                <w:sz w:val="24"/>
              </w:rPr>
              <w:t>相关要求</w:t>
            </w:r>
            <w:r>
              <w:rPr>
                <w:rFonts w:hint="default" w:ascii="Times New Roman" w:hAnsi="Times New Roman" w:eastAsia="宋体" w:cs="Times New Roman"/>
                <w:color w:val="auto"/>
                <w:kern w:val="0"/>
                <w:sz w:val="24"/>
                <w:lang w:val="de-DE"/>
              </w:rPr>
              <w:t>（</w:t>
            </w:r>
            <w:r>
              <w:rPr>
                <w:rFonts w:hint="default" w:ascii="Times New Roman" w:hAnsi="Times New Roman" w:eastAsia="宋体" w:cs="Times New Roman"/>
                <w:color w:val="auto"/>
                <w:kern w:val="0"/>
                <w:sz w:val="24"/>
              </w:rPr>
              <w:t>5</w:t>
            </w:r>
            <w:r>
              <w:rPr>
                <w:rFonts w:hint="default" w:ascii="Times New Roman" w:hAnsi="Times New Roman" w:eastAsia="宋体" w:cs="Times New Roman"/>
                <w:color w:val="auto"/>
                <w:kern w:val="0"/>
                <w:sz w:val="24"/>
                <w:lang w:val="de-DE"/>
              </w:rPr>
              <w:t>0mg/m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lang w:val="de-DE"/>
              </w:rPr>
              <w:t>，</w:t>
            </w:r>
            <w:r>
              <w:rPr>
                <w:rFonts w:hint="default" w:ascii="Times New Roman" w:hAnsi="Times New Roman" w:eastAsia="宋体" w:cs="Times New Roman"/>
                <w:color w:val="auto"/>
                <w:kern w:val="0"/>
                <w:sz w:val="24"/>
              </w:rPr>
              <w:t>2.0kg/h</w:t>
            </w:r>
            <w:r>
              <w:rPr>
                <w:rFonts w:hint="default" w:ascii="Times New Roman" w:hAnsi="Times New Roman" w:eastAsia="宋体" w:cs="Times New Roman"/>
                <w:color w:val="auto"/>
                <w:kern w:val="0"/>
                <w:sz w:val="24"/>
                <w:lang w:val="de-DE"/>
              </w:rPr>
              <w:t>）</w:t>
            </w:r>
            <w:r>
              <w:rPr>
                <w:rFonts w:hint="default" w:ascii="Times New Roman" w:hAnsi="Times New Roman" w:eastAsia="宋体" w:cs="Times New Roman"/>
                <w:color w:val="auto"/>
                <w:kern w:val="0"/>
                <w:sz w:val="24"/>
                <w:lang w:val="de-DE"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②无组织废气</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淄博诚泰化工设备有限公司防腐搪玻璃搅拌器和管件项目切割粉尘、抛丸粉尘、喷丸粉尘、涂搪粉尘未被收集的部分，焊烟在车间内无组织排放，颗粒物无组织排放量为</w:t>
            </w:r>
            <w:r>
              <w:rPr>
                <w:rFonts w:hint="eastAsia" w:cs="Times New Roman"/>
                <w:color w:val="auto"/>
                <w:sz w:val="24"/>
                <w:szCs w:val="24"/>
                <w:lang w:val="en-US" w:eastAsia="zh-CN"/>
              </w:rPr>
              <w:t>0.1140</w:t>
            </w:r>
            <w:r>
              <w:rPr>
                <w:rFonts w:hint="default" w:ascii="Times New Roman" w:hAnsi="Times New Roman" w:eastAsia="宋体" w:cs="Times New Roman"/>
                <w:color w:val="auto"/>
                <w:sz w:val="24"/>
                <w:szCs w:val="24"/>
                <w:lang w:val="en-US" w:eastAsia="zh-CN"/>
              </w:rPr>
              <w:t>t/a，排放速率为0.0475kg/h</w:t>
            </w:r>
            <w:r>
              <w:rPr>
                <w:rFonts w:hint="default" w:ascii="Times New Roman" w:hAnsi="Times New Roman" w:eastAsia="宋体" w:cs="Times New Roman"/>
                <w:color w:val="auto"/>
                <w:sz w:val="24"/>
                <w:szCs w:val="24"/>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淄博诚泰机械有限公司</w:t>
            </w:r>
            <w:r>
              <w:rPr>
                <w:rFonts w:hint="default" w:ascii="Times New Roman" w:hAnsi="Times New Roman" w:eastAsia="宋体" w:cs="Times New Roman"/>
                <w:color w:val="auto"/>
                <w:kern w:val="0"/>
                <w:sz w:val="24"/>
                <w:lang w:val="en-US" w:eastAsia="zh-CN"/>
              </w:rPr>
              <w:t>减速机和机械密封项目</w:t>
            </w:r>
            <w:r>
              <w:rPr>
                <w:rFonts w:hint="default" w:ascii="Times New Roman" w:hAnsi="Times New Roman" w:eastAsia="宋体" w:cs="Times New Roman"/>
                <w:color w:val="auto"/>
                <w:sz w:val="24"/>
                <w:szCs w:val="24"/>
                <w:lang w:val="en-US" w:eastAsia="zh-CN"/>
              </w:rPr>
              <w:t>切割粉尘、抛丸粉尘、喷塑粉尘未被收集的部分，焊烟在车间内无组织排放，颗粒物无组织排放量为0.09t/a，无组织排放速率为0.02kg/h；折算到排放2400h计，颗粒物无组织排放量为0.0482t/a，无组织排放速率为0.0200kg/h。</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因此淄博新诚泰机械有限公司</w:t>
            </w:r>
            <w:r>
              <w:rPr>
                <w:rFonts w:hint="eastAsia" w:cs="Times New Roman"/>
                <w:color w:val="auto"/>
                <w:sz w:val="24"/>
                <w:szCs w:val="24"/>
                <w:lang w:val="en-US" w:eastAsia="zh-CN"/>
              </w:rPr>
              <w:t>两项目共用P1排气筒后</w:t>
            </w:r>
            <w:r>
              <w:rPr>
                <w:rFonts w:hint="default" w:ascii="Times New Roman" w:hAnsi="Times New Roman" w:eastAsia="宋体" w:cs="Times New Roman"/>
                <w:color w:val="auto"/>
                <w:sz w:val="24"/>
                <w:szCs w:val="24"/>
                <w:lang w:val="en-US" w:eastAsia="zh-CN"/>
              </w:rPr>
              <w:t>后，颗粒物无组织同时排放最大排放量合计为0.1675t/a，无组织排放速率最大为0.0698kg/h。</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根据《环境影响评价技术导则大气环境》（HJ2.2-2018）中推荐的估算模式AERSCREEN计算可知，厂界无组织颗粒物排放浓度均可满足《大气污染物综合排放标准》（GB16297-1996）表2</w:t>
            </w:r>
            <w:r>
              <w:rPr>
                <w:rFonts w:hint="default" w:ascii="Times New Roman" w:hAnsi="Times New Roman" w:eastAsia="宋体" w:cs="Times New Roman"/>
                <w:b w:val="0"/>
                <w:bCs w:val="0"/>
                <w:color w:val="auto"/>
                <w:kern w:val="0"/>
                <w:sz w:val="24"/>
                <w:szCs w:val="24"/>
                <w:lang w:val="en-US" w:eastAsia="zh-CN"/>
              </w:rPr>
              <w:t>新污染源大气污染物排放标准</w:t>
            </w:r>
            <w:r>
              <w:rPr>
                <w:rFonts w:hint="default" w:ascii="Times New Roman" w:hAnsi="Times New Roman" w:eastAsia="宋体" w:cs="Times New Roman"/>
                <w:color w:val="auto"/>
                <w:sz w:val="24"/>
                <w:szCs w:val="24"/>
              </w:rPr>
              <w:t>中无组织排放浓度监控限值要求（颗粒物：1.0mg/m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大气污染物年排放量核算见下表。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表4-3本项目大气污染物年排放量核算表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636"/>
              <w:gridCol w:w="846"/>
              <w:gridCol w:w="742"/>
              <w:gridCol w:w="915"/>
              <w:gridCol w:w="2401"/>
              <w:gridCol w:w="122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7" w:type="dxa"/>
                  <w:gridSpan w:val="2"/>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排放口名称及编号</w:t>
                  </w:r>
                </w:p>
              </w:tc>
              <w:tc>
                <w:tcPr>
                  <w:tcW w:w="846"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74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1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主要污染防治措施</w:t>
                  </w:r>
                </w:p>
              </w:tc>
              <w:tc>
                <w:tcPr>
                  <w:tcW w:w="3626"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w:t>
                  </w:r>
                </w:p>
              </w:tc>
              <w:tc>
                <w:tcPr>
                  <w:tcW w:w="9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67" w:type="dxa"/>
                  <w:gridSpan w:val="2"/>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846"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74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91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p>
              </w:tc>
              <w:tc>
                <w:tcPr>
                  <w:tcW w:w="240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122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w:t>
                  </w:r>
                </w:p>
              </w:tc>
              <w:tc>
                <w:tcPr>
                  <w:tcW w:w="95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431"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w:t>
                  </w:r>
                </w:p>
              </w:tc>
              <w:tc>
                <w:tcPr>
                  <w:tcW w:w="636"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w:t>
                  </w:r>
                </w:p>
              </w:tc>
              <w:tc>
                <w:tcPr>
                  <w:tcW w:w="846"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切割工序、抛丸、喷丸、涂搪工序</w:t>
                  </w:r>
                </w:p>
              </w:tc>
              <w:tc>
                <w:tcPr>
                  <w:tcW w:w="742"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915"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集气罩收入脉冲式布袋除尘器</w:t>
                  </w:r>
                </w:p>
              </w:tc>
              <w:tc>
                <w:tcPr>
                  <w:tcW w:w="2401"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浓度执行山东省《区域性大气污染物综合排放标准》（DB37/2376-2019）表1大气污染排放浓度限值中重点控制区限值要求，颗粒物有组织排放速率执行《大气污染物综合排放标准》（GB16297-1996）表2新污染源大气污染物排放限值要求</w:t>
                  </w:r>
                </w:p>
              </w:tc>
              <w:tc>
                <w:tcPr>
                  <w:tcW w:w="1225"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de-DE" w:eastAsia="zh-CN"/>
                    </w:rPr>
                    <w:t>、</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lang w:val="de-DE"/>
                    </w:rPr>
                    <w:t>kg/h</w:t>
                  </w:r>
                </w:p>
              </w:tc>
              <w:tc>
                <w:tcPr>
                  <w:tcW w:w="950"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31" w:type="dxa"/>
                  <w:vMerge w:val="restart"/>
                  <w:tcBorders>
                    <w:tl2br w:val="nil"/>
                    <w:tr2bl w:val="nil"/>
                  </w:tcBorders>
                  <w:noWrap w:val="0"/>
                  <w:vAlign w:val="center"/>
                </w:tcPr>
                <w:p>
                  <w:pPr>
                    <w:pStyle w:val="45"/>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c>
                <w:tcPr>
                  <w:tcW w:w="636"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w:t>
                  </w: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切割工序、抛丸工序、喷塑生产线未被收集的粉尘</w:t>
                  </w:r>
                </w:p>
              </w:tc>
              <w:tc>
                <w:tcPr>
                  <w:tcW w:w="742" w:type="dxa"/>
                  <w:vMerge w:val="restart"/>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加强生产操作管理</w:t>
                  </w:r>
                </w:p>
              </w:tc>
              <w:tc>
                <w:tcPr>
                  <w:tcW w:w="2401" w:type="dxa"/>
                  <w:vMerge w:val="restart"/>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无组织排放浓度执行《大气污染物综合排放标准》（GB16297-1996）表2新污染源大气污染物排放限值中无组织排放监控浓度限值</w:t>
                  </w:r>
                </w:p>
              </w:tc>
              <w:tc>
                <w:tcPr>
                  <w:tcW w:w="122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50" w:type="dxa"/>
                  <w:vMerge w:val="restart"/>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431" w:type="dxa"/>
                  <w:vMerge w:val="continue"/>
                  <w:tcBorders>
                    <w:tl2br w:val="nil"/>
                    <w:tr2bl w:val="nil"/>
                  </w:tcBorders>
                  <w:noWrap w:val="0"/>
                  <w:vAlign w:val="center"/>
                </w:tcPr>
                <w:p>
                  <w:pPr>
                    <w:pStyle w:val="45"/>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636"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焊烟</w:t>
                  </w:r>
                </w:p>
              </w:tc>
              <w:tc>
                <w:tcPr>
                  <w:tcW w:w="742" w:type="dxa"/>
                  <w:vMerge w:val="continue"/>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移动式焊烟净化器</w:t>
                  </w:r>
                </w:p>
              </w:tc>
              <w:tc>
                <w:tcPr>
                  <w:tcW w:w="2401" w:type="dxa"/>
                  <w:vMerge w:val="continue"/>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225" w:type="dxa"/>
                  <w:vMerge w:val="continue"/>
                  <w:tcBorders>
                    <w:tl2br w:val="nil"/>
                    <w:tr2bl w:val="nil"/>
                  </w:tcBorders>
                  <w:noWrap w:val="0"/>
                  <w:vAlign w:val="center"/>
                </w:tcPr>
                <w:p>
                  <w:pPr>
                    <w:keepNext w:val="0"/>
                    <w:keepLines w:val="0"/>
                    <w:pageBreakBefore w:val="0"/>
                    <w:shd w:val="clear"/>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950" w:type="dxa"/>
                  <w:vMerge w:val="continue"/>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13" w:type="dxa"/>
                  <w:gridSpan w:val="3"/>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排放总计</w:t>
                  </w:r>
                </w:p>
              </w:tc>
              <w:tc>
                <w:tcPr>
                  <w:tcW w:w="5283"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950" w:type="dxa"/>
                  <w:tcBorders>
                    <w:tl2br w:val="nil"/>
                    <w:tr2bl w:val="nil"/>
                  </w:tcBorders>
                  <w:noWrap w:val="0"/>
                  <w:vAlign w:val="center"/>
                </w:tcPr>
                <w:p>
                  <w:pPr>
                    <w:keepNext w:val="0"/>
                    <w:keepLines w:val="0"/>
                    <w:pageBreakBefore w:val="0"/>
                    <w:suppressLineNumbers w:val="0"/>
                    <w:shd w:val="clear"/>
                    <w:kinsoku/>
                    <w:wordWrap/>
                    <w:overflowPunct/>
                    <w:topLinePunct w:val="0"/>
                    <w:bidi w:val="0"/>
                    <w:spacing w:before="0"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0.1876</w:t>
                  </w:r>
                </w:p>
              </w:tc>
            </w:tr>
          </w:tbl>
          <w:p>
            <w:pPr>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淄博新诚泰机械有限公司转让给淄博诚泰化工设备有限公司后全厂大气污染物年排放量核算见下表。</w:t>
            </w:r>
          </w:p>
          <w:p>
            <w:pPr>
              <w:pStyle w:val="2"/>
              <w:shd w:val="clear"/>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val="en-US" w:eastAsia="zh-CN"/>
              </w:rPr>
              <w:t>表4-4转让后全厂大气污染物年排放量核算表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636"/>
              <w:gridCol w:w="846"/>
              <w:gridCol w:w="742"/>
              <w:gridCol w:w="915"/>
              <w:gridCol w:w="2401"/>
              <w:gridCol w:w="122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7" w:type="dxa"/>
                  <w:gridSpan w:val="2"/>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排放口名称及编号</w:t>
                  </w:r>
                </w:p>
              </w:tc>
              <w:tc>
                <w:tcPr>
                  <w:tcW w:w="846"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产污环节</w:t>
                  </w:r>
                </w:p>
              </w:tc>
              <w:tc>
                <w:tcPr>
                  <w:tcW w:w="74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污染物</w:t>
                  </w:r>
                </w:p>
              </w:tc>
              <w:tc>
                <w:tcPr>
                  <w:tcW w:w="91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主要污染防治措施</w:t>
                  </w:r>
                </w:p>
              </w:tc>
              <w:tc>
                <w:tcPr>
                  <w:tcW w:w="3626"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国家或地方污染物排放标准</w:t>
                  </w:r>
                </w:p>
              </w:tc>
              <w:tc>
                <w:tcPr>
                  <w:tcW w:w="9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67" w:type="dxa"/>
                  <w:gridSpan w:val="2"/>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846"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74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91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240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标准名称</w:t>
                  </w:r>
                </w:p>
              </w:tc>
              <w:tc>
                <w:tcPr>
                  <w:tcW w:w="122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vertAlign w:val="superscript"/>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限值</w:t>
                  </w:r>
                </w:p>
              </w:tc>
              <w:tc>
                <w:tcPr>
                  <w:tcW w:w="95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31" w:type="dxa"/>
                  <w:vMerge w:val="restart"/>
                  <w:tcBorders>
                    <w:tl2br w:val="nil"/>
                    <w:tr2bl w:val="nil"/>
                  </w:tcBorders>
                  <w:noWrap w:val="0"/>
                  <w:vAlign w:val="center"/>
                </w:tcPr>
                <w:p>
                  <w:pPr>
                    <w:pStyle w:val="45"/>
                    <w:keepNext w:val="0"/>
                    <w:keepLines w:val="0"/>
                    <w:suppressLineNumbers w:val="0"/>
                    <w:shd w:val="clear"/>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aps w:val="0"/>
                      <w:snapToGrid w:val="0"/>
                      <w:color w:val="auto"/>
                      <w:spacing w:val="0"/>
                      <w:kern w:val="0"/>
                      <w:position w:val="0"/>
                      <w:sz w:val="21"/>
                      <w:szCs w:val="21"/>
                      <w:shd w:val="clear" w:color="auto" w:fill="auto"/>
                      <w:lang w:val="en-US" w:eastAsia="zh-CN" w:bidi="ar-SA"/>
                    </w:rPr>
                  </w:pPr>
                  <w:r>
                    <w:rPr>
                      <w:rFonts w:hint="default" w:ascii="Times New Roman" w:hAnsi="Times New Roman" w:eastAsia="宋体" w:cs="Times New Roman"/>
                      <w:b w:val="0"/>
                      <w:bCs/>
                      <w:caps w:val="0"/>
                      <w:snapToGrid w:val="0"/>
                      <w:color w:val="auto"/>
                      <w:spacing w:val="0"/>
                      <w:kern w:val="0"/>
                      <w:position w:val="0"/>
                      <w:sz w:val="21"/>
                      <w:szCs w:val="21"/>
                      <w:shd w:val="clear" w:color="auto" w:fill="auto"/>
                      <w:lang w:val="en-US" w:eastAsia="zh-CN" w:bidi="ar-SA"/>
                    </w:rPr>
                    <w:t>有组织排放</w:t>
                  </w:r>
                </w:p>
              </w:tc>
              <w:tc>
                <w:tcPr>
                  <w:tcW w:w="636"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bidi="ar-SA"/>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排气筒</w:t>
                  </w: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衬塑生产线衬塑工序及喷塑生产线固化工序</w:t>
                  </w:r>
                </w:p>
              </w:tc>
              <w:tc>
                <w:tcPr>
                  <w:tcW w:w="742"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VOCs</w:t>
                  </w: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集气罩收入两级活性炭吸附装置</w:t>
                  </w:r>
                </w:p>
              </w:tc>
              <w:tc>
                <w:tcPr>
                  <w:tcW w:w="2401"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有组织排放浓度、速率执行《挥发性有机物排放标准 第5部分：表面涂装行业》（DB37/2801.5-2018）表2新建表面涂装企业或生产设施涂装工序VOCs排放限值中相关要求</w:t>
                  </w:r>
                </w:p>
              </w:tc>
              <w:tc>
                <w:tcPr>
                  <w:tcW w:w="1225" w:type="dxa"/>
                  <w:tcBorders>
                    <w:tl2br w:val="nil"/>
                    <w:tr2bl w:val="nil"/>
                  </w:tcBorders>
                  <w:noWrap w:val="0"/>
                  <w:vAlign w:val="center"/>
                </w:tcPr>
                <w:p>
                  <w:pPr>
                    <w:pStyle w:val="20"/>
                    <w:shd w:val="clear"/>
                    <w:adjustRightInd w:val="0"/>
                    <w:snapToGrid w:val="0"/>
                    <w:spacing w:after="0" w:line="240" w:lineRule="auto"/>
                    <w:ind w:left="0" w:lef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50mg/m</w:t>
                  </w:r>
                  <w:r>
                    <w:rPr>
                      <w:rFonts w:hint="default" w:ascii="Times New Roman" w:hAnsi="Times New Roman" w:eastAsia="宋体" w:cs="Times New Roman"/>
                      <w:color w:val="auto"/>
                      <w:spacing w:val="0"/>
                      <w:kern w:val="0"/>
                      <w:position w:val="0"/>
                      <w:sz w:val="21"/>
                      <w:szCs w:val="21"/>
                      <w:highlight w:val="none"/>
                      <w:shd w:val="clear" w:color="auto" w:fill="auto"/>
                      <w:vertAlign w:val="superscript"/>
                      <w:lang w:val="en-US" w:eastAsia="zh-CN"/>
                    </w:rPr>
                    <w:t>3</w:t>
                  </w:r>
                  <w:r>
                    <w:rPr>
                      <w:rFonts w:hint="default" w:ascii="Times New Roman" w:hAnsi="Times New Roman" w:eastAsia="宋体" w:cs="Times New Roman"/>
                      <w:color w:val="auto"/>
                      <w:kern w:val="0"/>
                      <w:sz w:val="21"/>
                      <w:szCs w:val="21"/>
                      <w:lang w:val="de-DE" w:eastAsia="zh-CN"/>
                    </w:rPr>
                    <w:t>、</w:t>
                  </w:r>
                  <w:r>
                    <w:rPr>
                      <w:rFonts w:hint="default"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lang w:val="de-DE"/>
                    </w:rPr>
                    <w:t>.0kg/h</w:t>
                  </w:r>
                </w:p>
              </w:tc>
              <w:tc>
                <w:tcPr>
                  <w:tcW w:w="950"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431"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rPr>
                  </w:pPr>
                </w:p>
              </w:tc>
              <w:tc>
                <w:tcPr>
                  <w:tcW w:w="636"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846"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切割工序、抛丸、喷丸、涂搪工序</w:t>
                  </w:r>
                </w:p>
              </w:tc>
              <w:tc>
                <w:tcPr>
                  <w:tcW w:w="742" w:type="dxa"/>
                  <w:vMerge w:val="restart"/>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颗粒物</w:t>
                  </w:r>
                </w:p>
              </w:tc>
              <w:tc>
                <w:tcPr>
                  <w:tcW w:w="915"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集气罩收入脉冲式布袋除尘器</w:t>
                  </w:r>
                </w:p>
              </w:tc>
              <w:tc>
                <w:tcPr>
                  <w:tcW w:w="2401" w:type="dxa"/>
                  <w:vMerge w:val="restart"/>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有组织排放浓度执行山东省《区域性大气污染物综合排放标准》（DB37/2376-2019）表1大气污染排放浓度限值中重点控制区限值要求，颗粒物有组织排放速率执行《大气污染物综合排放标准》（GB16297-1996）表2新污染源大气污染物排放限值要求</w:t>
                  </w:r>
                </w:p>
              </w:tc>
              <w:tc>
                <w:tcPr>
                  <w:tcW w:w="1225" w:type="dxa"/>
                  <w:vMerge w:val="restart"/>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10mg/m</w:t>
                  </w:r>
                  <w:r>
                    <w:rPr>
                      <w:rFonts w:hint="default" w:ascii="Times New Roman" w:hAnsi="Times New Roman" w:eastAsia="宋体" w:cs="Times New Roman"/>
                      <w:color w:val="auto"/>
                      <w:spacing w:val="0"/>
                      <w:kern w:val="0"/>
                      <w:position w:val="0"/>
                      <w:sz w:val="21"/>
                      <w:szCs w:val="21"/>
                      <w:highlight w:val="none"/>
                      <w:shd w:val="clear" w:color="auto" w:fill="auto"/>
                      <w:vertAlign w:val="superscript"/>
                      <w:lang w:val="en-US" w:eastAsia="zh-CN"/>
                    </w:rPr>
                    <w:t>3</w:t>
                  </w:r>
                  <w:r>
                    <w:rPr>
                      <w:rFonts w:hint="default" w:ascii="Times New Roman" w:hAnsi="Times New Roman" w:eastAsia="宋体" w:cs="Times New Roman"/>
                      <w:color w:val="auto"/>
                      <w:kern w:val="0"/>
                      <w:sz w:val="21"/>
                      <w:szCs w:val="21"/>
                      <w:lang w:val="de-DE" w:eastAsia="zh-CN"/>
                    </w:rPr>
                    <w:t>、</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color w:val="auto"/>
                      <w:kern w:val="0"/>
                      <w:sz w:val="21"/>
                      <w:szCs w:val="21"/>
                      <w:lang w:val="de-DE"/>
                    </w:rPr>
                    <w:t>kg/h</w:t>
                  </w:r>
                </w:p>
              </w:tc>
              <w:tc>
                <w:tcPr>
                  <w:tcW w:w="950" w:type="dxa"/>
                  <w:vMerge w:val="restart"/>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t>0.1092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431"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rPr>
                  </w:pPr>
                </w:p>
              </w:tc>
              <w:tc>
                <w:tcPr>
                  <w:tcW w:w="636"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rPr>
                  </w:pP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喷塑粉尘</w:t>
                  </w:r>
                </w:p>
              </w:tc>
              <w:tc>
                <w:tcPr>
                  <w:tcW w:w="742" w:type="dxa"/>
                  <w:vMerge w:val="continue"/>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val="en-US" w:eastAsia="zh-CN" w:bidi="ar-SA"/>
                    </w:rPr>
                  </w:pPr>
                  <w:r>
                    <w:rPr>
                      <w:rFonts w:hint="default" w:ascii="Times New Roman" w:hAnsi="Times New Roman" w:eastAsia="宋体" w:cs="Times New Roman"/>
                      <w:color w:val="auto"/>
                      <w:spacing w:val="0"/>
                      <w:kern w:val="0"/>
                      <w:position w:val="0"/>
                      <w:sz w:val="21"/>
                      <w:szCs w:val="21"/>
                      <w:shd w:val="clear" w:color="auto" w:fill="auto"/>
                      <w:lang w:val="en-US" w:eastAsia="zh-CN"/>
                    </w:rPr>
                    <w:t>滤芯回收+滤芯除尘器</w:t>
                  </w:r>
                </w:p>
              </w:tc>
              <w:tc>
                <w:tcPr>
                  <w:tcW w:w="2401"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1225"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950"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31" w:type="dxa"/>
                  <w:vMerge w:val="restart"/>
                  <w:tcBorders>
                    <w:tl2br w:val="nil"/>
                    <w:tr2bl w:val="nil"/>
                  </w:tcBorders>
                  <w:noWrap w:val="0"/>
                  <w:vAlign w:val="center"/>
                </w:tcPr>
                <w:p>
                  <w:pPr>
                    <w:pStyle w:val="45"/>
                    <w:keepNext w:val="0"/>
                    <w:keepLines w:val="0"/>
                    <w:suppressLineNumbers w:val="0"/>
                    <w:shd w:val="clear"/>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t>无组织排放</w:t>
                  </w:r>
                </w:p>
              </w:tc>
              <w:tc>
                <w:tcPr>
                  <w:tcW w:w="636"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bidi="ar-SA"/>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bidi="ar-SA"/>
                    </w:rPr>
                    <w:t>车间</w:t>
                  </w: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切割工序、抛丸工序、喷丸工序、喷塑生产线未被收集的粉尘</w:t>
                  </w:r>
                </w:p>
              </w:tc>
              <w:tc>
                <w:tcPr>
                  <w:tcW w:w="742" w:type="dxa"/>
                  <w:vMerge w:val="restart"/>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颗粒物</w:t>
                  </w: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val="en-US" w:eastAsia="zh-CN" w:bidi="ar-SA"/>
                    </w:rPr>
                  </w:pPr>
                  <w:r>
                    <w:rPr>
                      <w:rFonts w:hint="default" w:ascii="Times New Roman" w:hAnsi="Times New Roman" w:eastAsia="宋体" w:cs="Times New Roman"/>
                      <w:color w:val="auto"/>
                      <w:spacing w:val="0"/>
                      <w:kern w:val="0"/>
                      <w:position w:val="0"/>
                      <w:sz w:val="21"/>
                      <w:szCs w:val="21"/>
                      <w:shd w:val="clear" w:color="auto" w:fill="auto"/>
                    </w:rPr>
                    <w:t>加强生产操作管理</w:t>
                  </w:r>
                </w:p>
              </w:tc>
              <w:tc>
                <w:tcPr>
                  <w:tcW w:w="2401" w:type="dxa"/>
                  <w:vMerge w:val="restart"/>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无组织排放浓度执行《大气污染物综合排放标准》（GB16297-1996）表2新污染源大气污染物排放限值中无组织排放监控浓度限值</w:t>
                  </w:r>
                </w:p>
              </w:tc>
              <w:tc>
                <w:tcPr>
                  <w:tcW w:w="122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aps w:val="0"/>
                      <w:color w:val="auto"/>
                      <w:spacing w:val="0"/>
                      <w:kern w:val="0"/>
                      <w:position w:val="0"/>
                      <w:sz w:val="21"/>
                      <w:szCs w:val="21"/>
                      <w:shd w:val="clear" w:color="auto" w:fill="auto"/>
                    </w:rPr>
                  </w:pPr>
                  <w:r>
                    <w:rPr>
                      <w:rFonts w:hint="default" w:ascii="Times New Roman" w:hAnsi="Times New Roman" w:eastAsia="宋体" w:cs="Times New Roman"/>
                      <w:caps w:val="0"/>
                      <w:color w:val="auto"/>
                      <w:spacing w:val="0"/>
                      <w:kern w:val="0"/>
                      <w:position w:val="0"/>
                      <w:sz w:val="21"/>
                      <w:szCs w:val="21"/>
                      <w:shd w:val="clear" w:color="auto" w:fill="auto"/>
                      <w:lang w:val="en-US" w:eastAsia="zh-CN"/>
                    </w:rPr>
                    <w:t>1.0</w:t>
                  </w:r>
                  <w:r>
                    <w:rPr>
                      <w:rFonts w:hint="default" w:ascii="Times New Roman" w:hAnsi="Times New Roman" w:eastAsia="宋体" w:cs="Times New Roman"/>
                      <w:caps w:val="0"/>
                      <w:color w:val="auto"/>
                      <w:spacing w:val="0"/>
                      <w:kern w:val="0"/>
                      <w:position w:val="0"/>
                      <w:sz w:val="21"/>
                      <w:szCs w:val="21"/>
                      <w:shd w:val="clear" w:color="auto" w:fill="auto"/>
                    </w:rPr>
                    <w:t>mg/</w:t>
                  </w:r>
                  <w:r>
                    <w:rPr>
                      <w:rFonts w:hint="default" w:ascii="Times New Roman" w:hAnsi="Times New Roman" w:eastAsia="宋体" w:cs="Times New Roman"/>
                      <w:caps w:val="0"/>
                      <w:color w:val="auto"/>
                      <w:spacing w:val="0"/>
                      <w:kern w:val="0"/>
                      <w:position w:val="0"/>
                      <w:sz w:val="21"/>
                      <w:szCs w:val="21"/>
                      <w:highlight w:val="none"/>
                      <w:shd w:val="clear" w:color="auto" w:fill="auto"/>
                    </w:rPr>
                    <w:t>m</w:t>
                  </w:r>
                  <w:r>
                    <w:rPr>
                      <w:rFonts w:hint="default" w:ascii="Times New Roman" w:hAnsi="Times New Roman" w:eastAsia="宋体" w:cs="Times New Roman"/>
                      <w:caps w:val="0"/>
                      <w:color w:val="auto"/>
                      <w:spacing w:val="0"/>
                      <w:kern w:val="0"/>
                      <w:position w:val="0"/>
                      <w:sz w:val="21"/>
                      <w:szCs w:val="21"/>
                      <w:highlight w:val="none"/>
                      <w:shd w:val="clear" w:color="auto" w:fill="auto"/>
                      <w:vertAlign w:val="superscript"/>
                    </w:rPr>
                    <w:t>3</w:t>
                  </w:r>
                </w:p>
              </w:tc>
              <w:tc>
                <w:tcPr>
                  <w:tcW w:w="950" w:type="dxa"/>
                  <w:vMerge w:val="restart"/>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vertAlign w:val="baseline"/>
                      <w:lang w:val="en-US" w:eastAsia="zh-CN"/>
                    </w:rPr>
                    <w:t>0.2039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431" w:type="dxa"/>
                  <w:vMerge w:val="continue"/>
                  <w:tcBorders>
                    <w:tl2br w:val="nil"/>
                    <w:tr2bl w:val="nil"/>
                  </w:tcBorders>
                  <w:noWrap w:val="0"/>
                  <w:vAlign w:val="center"/>
                </w:tcPr>
                <w:p>
                  <w:pPr>
                    <w:pStyle w:val="45"/>
                    <w:keepNext w:val="0"/>
                    <w:keepLines w:val="0"/>
                    <w:suppressLineNumbers w:val="0"/>
                    <w:shd w:val="clear"/>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p>
              </w:tc>
              <w:tc>
                <w:tcPr>
                  <w:tcW w:w="636"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焊烟</w:t>
                  </w:r>
                </w:p>
              </w:tc>
              <w:tc>
                <w:tcPr>
                  <w:tcW w:w="742" w:type="dxa"/>
                  <w:vMerge w:val="continue"/>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val="en-US" w:eastAsia="zh-CN" w:bidi="ar-SA"/>
                    </w:rPr>
                  </w:pPr>
                  <w:r>
                    <w:rPr>
                      <w:rFonts w:hint="default" w:ascii="Times New Roman" w:hAnsi="Times New Roman" w:eastAsia="宋体" w:cs="Times New Roman"/>
                      <w:color w:val="auto"/>
                      <w:spacing w:val="0"/>
                      <w:kern w:val="0"/>
                      <w:position w:val="0"/>
                      <w:sz w:val="21"/>
                      <w:szCs w:val="21"/>
                      <w:shd w:val="clear" w:color="auto" w:fill="auto"/>
                      <w:lang w:eastAsia="zh-CN"/>
                    </w:rPr>
                    <w:t>移动式焊烟净化器</w:t>
                  </w:r>
                </w:p>
              </w:tc>
              <w:tc>
                <w:tcPr>
                  <w:tcW w:w="2401" w:type="dxa"/>
                  <w:vMerge w:val="continue"/>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p>
              </w:tc>
              <w:tc>
                <w:tcPr>
                  <w:tcW w:w="1225" w:type="dxa"/>
                  <w:vMerge w:val="continue"/>
                  <w:tcBorders>
                    <w:tl2br w:val="nil"/>
                    <w:tr2bl w:val="nil"/>
                  </w:tcBorders>
                  <w:noWrap w:val="0"/>
                  <w:vAlign w:val="center"/>
                </w:tcPr>
                <w:p>
                  <w:pPr>
                    <w:shd w:val="clear"/>
                    <w:autoSpaceDE w:val="0"/>
                    <w:autoSpaceDN w:val="0"/>
                    <w:snapToGrid w:val="0"/>
                    <w:jc w:val="center"/>
                    <w:rPr>
                      <w:rFonts w:hint="default" w:ascii="Times New Roman" w:hAnsi="Times New Roman" w:eastAsia="宋体" w:cs="Times New Roman"/>
                      <w:color w:val="auto"/>
                      <w:kern w:val="0"/>
                      <w:sz w:val="21"/>
                      <w:szCs w:val="21"/>
                      <w:lang w:val="en-US" w:eastAsia="zh-CN" w:bidi="ar-SA"/>
                    </w:rPr>
                  </w:pPr>
                </w:p>
              </w:tc>
              <w:tc>
                <w:tcPr>
                  <w:tcW w:w="950"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31" w:type="dxa"/>
                  <w:vMerge w:val="continue"/>
                  <w:tcBorders>
                    <w:tl2br w:val="nil"/>
                    <w:tr2bl w:val="nil"/>
                  </w:tcBorders>
                  <w:noWrap w:val="0"/>
                  <w:vAlign w:val="center"/>
                </w:tcPr>
                <w:p>
                  <w:pPr>
                    <w:pStyle w:val="45"/>
                    <w:keepNext w:val="0"/>
                    <w:keepLines w:val="0"/>
                    <w:suppressLineNumbers w:val="0"/>
                    <w:shd w:val="clear"/>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p>
              </w:tc>
              <w:tc>
                <w:tcPr>
                  <w:tcW w:w="636"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846"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衬塑生产线衬塑工序及喷塑生产线固化工序</w:t>
                  </w:r>
                </w:p>
              </w:tc>
              <w:tc>
                <w:tcPr>
                  <w:tcW w:w="742"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VOCs</w:t>
                  </w:r>
                </w:p>
              </w:tc>
              <w:tc>
                <w:tcPr>
                  <w:tcW w:w="91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eastAsia="zh-CN"/>
                    </w:rPr>
                  </w:pPr>
                  <w:r>
                    <w:rPr>
                      <w:rFonts w:hint="default" w:ascii="Times New Roman" w:hAnsi="Times New Roman" w:eastAsia="宋体" w:cs="Times New Roman"/>
                      <w:color w:val="auto"/>
                      <w:spacing w:val="0"/>
                      <w:kern w:val="0"/>
                      <w:position w:val="0"/>
                      <w:sz w:val="21"/>
                      <w:szCs w:val="21"/>
                      <w:shd w:val="clear" w:color="auto" w:fill="auto"/>
                      <w:lang w:eastAsia="zh-CN"/>
                    </w:rPr>
                    <w:t>加强通风，</w:t>
                  </w:r>
                  <w:r>
                    <w:rPr>
                      <w:rFonts w:hint="default" w:ascii="Times New Roman" w:hAnsi="Times New Roman" w:eastAsia="宋体" w:cs="Times New Roman"/>
                      <w:color w:val="auto"/>
                      <w:spacing w:val="0"/>
                      <w:kern w:val="0"/>
                      <w:position w:val="0"/>
                      <w:sz w:val="21"/>
                      <w:szCs w:val="21"/>
                      <w:shd w:val="clear" w:color="auto" w:fill="auto"/>
                    </w:rPr>
                    <w:t>加强生产操作管理</w:t>
                  </w:r>
                </w:p>
              </w:tc>
              <w:tc>
                <w:tcPr>
                  <w:tcW w:w="2401" w:type="dxa"/>
                  <w:tcBorders>
                    <w:tl2br w:val="nil"/>
                    <w:tr2bl w:val="nil"/>
                  </w:tcBorders>
                  <w:noWrap w:val="0"/>
                  <w:vAlign w:val="center"/>
                </w:tcPr>
                <w:p>
                  <w:pPr>
                    <w:pStyle w:val="20"/>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厂界VOCS监控点浓度限值满足《挥发性有机物排放标准 第5部分：表面涂装行业》（DB37/2801.5-2018）表3厂界监控点浓度限值中标准要求（2.0mg/m³）；厂区内VOCs排放浓度满足《挥发性有机物无组织排放监控标准》（GB37822-2019）中表A.1特别排放限值要求</w:t>
                  </w:r>
                </w:p>
              </w:tc>
              <w:tc>
                <w:tcPr>
                  <w:tcW w:w="1225" w:type="dxa"/>
                  <w:tcBorders>
                    <w:tl2br w:val="nil"/>
                    <w:tr2bl w:val="nil"/>
                  </w:tcBorders>
                  <w:noWrap w:val="0"/>
                  <w:vAlign w:val="center"/>
                </w:tcPr>
                <w:p>
                  <w:pPr>
                    <w:shd w:val="clear"/>
                    <w:autoSpaceDE w:val="0"/>
                    <w:autoSpaceDN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r>
                    <w:rPr>
                      <w:rFonts w:hint="default" w:ascii="Times New Roman" w:hAnsi="Times New Roman" w:eastAsia="宋体" w:cs="Times New Roman"/>
                      <w:caps w:val="0"/>
                      <w:color w:val="auto"/>
                      <w:spacing w:val="0"/>
                      <w:kern w:val="0"/>
                      <w:position w:val="0"/>
                      <w:sz w:val="21"/>
                      <w:szCs w:val="21"/>
                      <w:shd w:val="clear" w:color="auto" w:fill="auto"/>
                    </w:rPr>
                    <w:t>mg/</w:t>
                  </w:r>
                  <w:r>
                    <w:rPr>
                      <w:rFonts w:hint="default" w:ascii="Times New Roman" w:hAnsi="Times New Roman" w:eastAsia="宋体" w:cs="Times New Roman"/>
                      <w:caps w:val="0"/>
                      <w:color w:val="auto"/>
                      <w:spacing w:val="0"/>
                      <w:kern w:val="0"/>
                      <w:position w:val="0"/>
                      <w:sz w:val="21"/>
                      <w:szCs w:val="21"/>
                      <w:highlight w:val="none"/>
                      <w:shd w:val="clear" w:color="auto" w:fill="auto"/>
                    </w:rPr>
                    <w:t>m</w:t>
                  </w:r>
                  <w:r>
                    <w:rPr>
                      <w:rFonts w:hint="default" w:ascii="Times New Roman" w:hAnsi="Times New Roman" w:eastAsia="宋体" w:cs="Times New Roman"/>
                      <w:caps w:val="0"/>
                      <w:color w:val="auto"/>
                      <w:spacing w:val="0"/>
                      <w:kern w:val="0"/>
                      <w:position w:val="0"/>
                      <w:sz w:val="21"/>
                      <w:szCs w:val="21"/>
                      <w:highlight w:val="none"/>
                      <w:shd w:val="clear" w:color="auto" w:fill="auto"/>
                      <w:vertAlign w:val="superscript"/>
                    </w:rPr>
                    <w:t>3</w:t>
                  </w:r>
                </w:p>
              </w:tc>
              <w:tc>
                <w:tcPr>
                  <w:tcW w:w="950"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13" w:type="dxa"/>
                  <w:gridSpan w:val="3"/>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r>
                    <w:rPr>
                      <w:rFonts w:hint="default" w:ascii="Times New Roman" w:hAnsi="Times New Roman" w:eastAsia="宋体" w:cs="Times New Roman"/>
                      <w:caps w:val="0"/>
                      <w:color w:val="auto"/>
                      <w:spacing w:val="0"/>
                      <w:kern w:val="0"/>
                      <w:position w:val="0"/>
                      <w:sz w:val="21"/>
                      <w:szCs w:val="21"/>
                      <w:highlight w:val="none"/>
                      <w:shd w:val="clear" w:color="auto" w:fill="auto"/>
                    </w:rPr>
                    <w:t>排放总计</w:t>
                  </w:r>
                </w:p>
              </w:tc>
              <w:tc>
                <w:tcPr>
                  <w:tcW w:w="5283"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颗粒物</w:t>
                  </w:r>
                </w:p>
              </w:tc>
              <w:tc>
                <w:tcPr>
                  <w:tcW w:w="950"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bidi="ar-SA"/>
                    </w:rPr>
                  </w:pPr>
                  <w:r>
                    <w:rPr>
                      <w:rFonts w:hint="eastAsia" w:cs="Times New Roman"/>
                      <w:color w:val="auto"/>
                      <w:kern w:val="0"/>
                      <w:sz w:val="21"/>
                      <w:szCs w:val="21"/>
                      <w:vertAlign w:val="baseline"/>
                      <w:lang w:val="en-US" w:eastAsia="zh-CN"/>
                    </w:rPr>
                    <w:t>0.3132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13" w:type="dxa"/>
                  <w:gridSpan w:val="3"/>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p>
              </w:tc>
              <w:tc>
                <w:tcPr>
                  <w:tcW w:w="5283"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VOCs</w:t>
                  </w:r>
                </w:p>
              </w:tc>
              <w:tc>
                <w:tcPr>
                  <w:tcW w:w="9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0.00053</w:t>
                  </w:r>
                </w:p>
              </w:tc>
            </w:tr>
          </w:tbl>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建设项目所在区域环境质量为不达标区，大气环境质量中超标的因子主要是PM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，项目污染物主要为颗粒物，经收集处理达标排放，因此废气的排放可以被周边环境接受</w:t>
            </w:r>
            <w:r>
              <w:rPr>
                <w:rFonts w:hint="default" w:ascii="Times New Roman" w:hAnsi="Times New Roman" w:eastAsia="宋体" w:cs="Times New Roman"/>
                <w:color w:val="auto"/>
                <w:sz w:val="24"/>
                <w:szCs w:val="24"/>
              </w:rPr>
              <w:t>。</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）非正常工况</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非正常工况是指工艺运行中所有生产运行技术参数未达到设计范围的情况。包括生产运行阶段的开停车、检修，工艺设备的运转异常、污染物排放控制措施达不到应有的效率、一般性事故和泄漏，以及发生严重的环境事故等。</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就</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来讲，开停车、检修均在生产设备及环保设备正常运行时进行，开启设备时，先开启环保设备，再开启生产设备；停车及停车检修时先关闭生产设备，后关闭环保设备，只要按顺序进行操作，基本不会有非生产排放现象发生。项目主要考虑环保系统出现故障时的废气排放情况，经现场调查，</w:t>
            </w:r>
            <w:r>
              <w:rPr>
                <w:rFonts w:hint="default" w:ascii="Times New Roman" w:hAnsi="Times New Roman" w:eastAsia="宋体" w:cs="Times New Roman"/>
                <w:color w:val="auto"/>
                <w:sz w:val="24"/>
                <w:szCs w:val="24"/>
                <w:lang w:eastAsia="zh-CN"/>
              </w:rPr>
              <w:t>新建项目</w:t>
            </w:r>
            <w:r>
              <w:rPr>
                <w:rFonts w:hint="default" w:ascii="Times New Roman" w:hAnsi="Times New Roman" w:eastAsia="宋体" w:cs="Times New Roman"/>
                <w:color w:val="auto"/>
                <w:sz w:val="24"/>
                <w:szCs w:val="24"/>
              </w:rPr>
              <w:t>非正常工况主要是由于停电、设备故障等原因，环保设备出现故障后废气去除率降低甚至为零，导致污染物在一段时间内排放量增加，污染环境。</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针对上述情况，本环评建议项目方采取如下措施：</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val="zh-CN"/>
              </w:rPr>
              <w:t>发生停电时及时转换电力线路；</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②对废气处理设施认真保养维护，定期进行检修，最大程度减少设备发生故障的可能性；</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③开车前，废气处理设施运转正常再开车，同时逐渐扩大产能；停车时逐步降低产能，并直到全部停后再停环保设施。确保由于开停车产生的大气污染物得到有效治理，并满足相关标准要求。</w:t>
            </w:r>
          </w:p>
          <w:p>
            <w:pPr>
              <w:shd w:val="clea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以最不利情况计，</w:t>
            </w:r>
            <w:r>
              <w:rPr>
                <w:rFonts w:hint="default" w:ascii="Times New Roman" w:hAnsi="Times New Roman" w:eastAsia="宋体" w:cs="Times New Roman"/>
                <w:color w:val="auto"/>
                <w:sz w:val="24"/>
                <w:szCs w:val="24"/>
              </w:rPr>
              <w:t>非正常工况下废气污染物排放情况见下表。</w:t>
            </w:r>
          </w:p>
          <w:p>
            <w:pPr>
              <w:shd w:val="clea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污染源非正常排放情况一览表</w:t>
            </w:r>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195"/>
              <w:gridCol w:w="923"/>
              <w:gridCol w:w="933"/>
              <w:gridCol w:w="1331"/>
              <w:gridCol w:w="1164"/>
              <w:gridCol w:w="855"/>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388"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733"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污染源</w:t>
                  </w:r>
                </w:p>
              </w:tc>
              <w:tc>
                <w:tcPr>
                  <w:tcW w:w="566"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污染物种类</w:t>
                  </w:r>
                </w:p>
              </w:tc>
              <w:tc>
                <w:tcPr>
                  <w:tcW w:w="572"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年发生频次</w:t>
                  </w:r>
                </w:p>
              </w:tc>
              <w:tc>
                <w:tcPr>
                  <w:tcW w:w="816"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排放浓度/（mg/m</w:t>
                  </w:r>
                  <w:r>
                    <w:rPr>
                      <w:rFonts w:hint="default" w:ascii="Times New Roman" w:hAnsi="Times New Roman" w:eastAsia="宋体" w:cs="Times New Roman"/>
                      <w:b/>
                      <w:color w:val="auto"/>
                      <w:kern w:val="0"/>
                      <w:szCs w:val="21"/>
                      <w:vertAlign w:val="superscript"/>
                    </w:rPr>
                    <w:t>3</w:t>
                  </w:r>
                  <w:r>
                    <w:rPr>
                      <w:rFonts w:hint="default" w:ascii="Times New Roman" w:hAnsi="Times New Roman" w:eastAsia="宋体" w:cs="Times New Roman"/>
                      <w:b/>
                      <w:color w:val="auto"/>
                      <w:kern w:val="0"/>
                      <w:szCs w:val="21"/>
                    </w:rPr>
                    <w:t>）</w:t>
                  </w:r>
                </w:p>
              </w:tc>
              <w:tc>
                <w:tcPr>
                  <w:tcW w:w="714"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持续时间/（min）</w:t>
                  </w:r>
                </w:p>
              </w:tc>
              <w:tc>
                <w:tcPr>
                  <w:tcW w:w="524"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排放量kg/次）</w:t>
                  </w:r>
                </w:p>
              </w:tc>
              <w:tc>
                <w:tcPr>
                  <w:tcW w:w="682" w:type="pct"/>
                  <w:vAlign w:val="center"/>
                </w:tcPr>
                <w:p>
                  <w:pPr>
                    <w:shd w:val="clea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 w:type="pct"/>
                  <w:vAlign w:val="center"/>
                </w:tcPr>
                <w:p>
                  <w:pPr>
                    <w:shd w:val="clea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w:t>
                  </w:r>
                </w:p>
              </w:tc>
              <w:tc>
                <w:tcPr>
                  <w:tcW w:w="733" w:type="pct"/>
                  <w:vAlign w:val="center"/>
                </w:tcPr>
                <w:p>
                  <w:pPr>
                    <w:shd w:val="clea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二级活性炭吸附装置</w:t>
                  </w:r>
                </w:p>
              </w:tc>
              <w:tc>
                <w:tcPr>
                  <w:tcW w:w="566" w:type="pct"/>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VOCs</w:t>
                  </w:r>
                </w:p>
              </w:tc>
              <w:tc>
                <w:tcPr>
                  <w:tcW w:w="572" w:type="pct"/>
                  <w:vAlign w:val="center"/>
                </w:tcPr>
                <w:p>
                  <w:pPr>
                    <w:shd w:val="clea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1次/a</w:t>
                  </w:r>
                </w:p>
              </w:tc>
              <w:tc>
                <w:tcPr>
                  <w:tcW w:w="816" w:type="pct"/>
                  <w:vAlign w:val="center"/>
                </w:tcPr>
                <w:p>
                  <w:pPr>
                    <w:widowControl/>
                    <w:shd w:val="clear"/>
                    <w:adjustRightInd w:val="0"/>
                    <w:snapToGrid w:val="0"/>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0.6</w:t>
                  </w:r>
                </w:p>
              </w:tc>
              <w:tc>
                <w:tcPr>
                  <w:tcW w:w="714" w:type="pct"/>
                  <w:vAlign w:val="center"/>
                </w:tcPr>
                <w:p>
                  <w:pPr>
                    <w:shd w:val="clear"/>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60</w:t>
                  </w:r>
                </w:p>
              </w:tc>
              <w:tc>
                <w:tcPr>
                  <w:tcW w:w="524" w:type="pct"/>
                  <w:vAlign w:val="center"/>
                </w:tcPr>
                <w:p>
                  <w:pPr>
                    <w:shd w:val="clear"/>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0.0006</w:t>
                  </w:r>
                </w:p>
              </w:tc>
              <w:tc>
                <w:tcPr>
                  <w:tcW w:w="682" w:type="pct"/>
                  <w:vMerge w:val="restart"/>
                  <w:vAlign w:val="center"/>
                </w:tcPr>
                <w:p>
                  <w:pPr>
                    <w:shd w:val="clea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定期检修。如果故障在1h内无法恢复正常运行，应立即停止运行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 w:type="pct"/>
                  <w:vAlign w:val="center"/>
                </w:tcPr>
                <w:p>
                  <w:pPr>
                    <w:shd w:val="clear"/>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2</w:t>
                  </w:r>
                </w:p>
              </w:tc>
              <w:tc>
                <w:tcPr>
                  <w:tcW w:w="733" w:type="pct"/>
                  <w:vAlign w:val="center"/>
                </w:tcPr>
                <w:p>
                  <w:pPr>
                    <w:shd w:val="clea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脉冲式布袋除尘器</w:t>
                  </w:r>
                </w:p>
              </w:tc>
              <w:tc>
                <w:tcPr>
                  <w:tcW w:w="566" w:type="pct"/>
                  <w:vAlign w:val="center"/>
                </w:tcPr>
                <w:p>
                  <w:pPr>
                    <w:shd w:val="clear"/>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颗粒物</w:t>
                  </w:r>
                </w:p>
              </w:tc>
              <w:tc>
                <w:tcPr>
                  <w:tcW w:w="572" w:type="pct"/>
                  <w:vAlign w:val="center"/>
                </w:tcPr>
                <w:p>
                  <w:pPr>
                    <w:shd w:val="clear"/>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1次/a</w:t>
                  </w:r>
                </w:p>
              </w:tc>
              <w:tc>
                <w:tcPr>
                  <w:tcW w:w="816" w:type="pct"/>
                  <w:vAlign w:val="center"/>
                </w:tcPr>
                <w:p>
                  <w:pPr>
                    <w:widowControl/>
                    <w:shd w:val="clea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137.84</w:t>
                  </w:r>
                </w:p>
              </w:tc>
              <w:tc>
                <w:tcPr>
                  <w:tcW w:w="714" w:type="pct"/>
                  <w:vAlign w:val="center"/>
                </w:tcPr>
                <w:p>
                  <w:pPr>
                    <w:shd w:val="clear"/>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60</w:t>
                  </w:r>
                </w:p>
              </w:tc>
              <w:tc>
                <w:tcPr>
                  <w:tcW w:w="524" w:type="pct"/>
                  <w:vAlign w:val="center"/>
                </w:tcPr>
                <w:p>
                  <w:pPr>
                    <w:shd w:val="clear"/>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0.7581</w:t>
                  </w:r>
                </w:p>
              </w:tc>
              <w:tc>
                <w:tcPr>
                  <w:tcW w:w="682" w:type="pct"/>
                  <w:vMerge w:val="continue"/>
                  <w:vAlign w:val="center"/>
                </w:tcPr>
                <w:p>
                  <w:pPr>
                    <w:shd w:val="clear"/>
                    <w:adjustRightInd w:val="0"/>
                    <w:snapToGrid w:val="0"/>
                    <w:jc w:val="center"/>
                    <w:rPr>
                      <w:rFonts w:hint="default" w:ascii="Times New Roman" w:hAnsi="Times New Roman" w:eastAsia="宋体" w:cs="Times New Roman"/>
                      <w:bCs/>
                      <w:color w:val="auto"/>
                      <w:kern w:val="0"/>
                      <w:szCs w:val="21"/>
                    </w:rPr>
                  </w:pPr>
                </w:p>
              </w:tc>
            </w:tr>
          </w:tbl>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根据计算结果可知，非正常工况下</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会</w:t>
            </w:r>
            <w:r>
              <w:rPr>
                <w:rFonts w:hint="default" w:ascii="Times New Roman" w:hAnsi="Times New Roman" w:eastAsia="宋体" w:cs="Times New Roman"/>
                <w:color w:val="auto"/>
                <w:sz w:val="24"/>
                <w:szCs w:val="24"/>
                <w:lang w:eastAsia="zh-CN"/>
              </w:rPr>
              <w:t>超浓度排放</w:t>
            </w:r>
            <w:r>
              <w:rPr>
                <w:rFonts w:hint="default" w:ascii="Times New Roman" w:hAnsi="Times New Roman" w:eastAsia="宋体" w:cs="Times New Roman"/>
                <w:color w:val="auto"/>
                <w:sz w:val="24"/>
                <w:szCs w:val="24"/>
              </w:rPr>
              <w:t>。建设单位应及时检修设备，按操作规程严格操作，并定期巡视、检修，确保废气治理设施正常运行。</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）结论</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综上，在落实环评提出的各项环境保护措施基础上，项目废气排放可以达到最低排放强度和排放浓度要求，废气处理设施投资</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万元，为企业可接受范围，因此，项目废气治理措施可行，经济合理，项目排放的大气污染物对周围环境影响较小，其环境影响可接受。</w:t>
            </w:r>
          </w:p>
          <w:p>
            <w:pPr>
              <w:shd w:val="clear"/>
              <w:adjustRightInd w:val="0"/>
              <w:snapToGrid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2、废水</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本项目无废水外排。</w:t>
            </w:r>
          </w:p>
          <w:p>
            <w:pPr>
              <w:shd w:val="clea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lang w:val="en-US" w:eastAsia="zh-CN"/>
              </w:rPr>
              <w:t>项目主要生产废水为试压废水，试压废水产生量为9600t/a，经循环水池沉淀后循环使用，不外排。生活污水产生量以生活用水量的80%计，约192t/a，经化粪池暂存后用作周边农田农肥，不外排。</w:t>
            </w:r>
          </w:p>
          <w:p>
            <w:pPr>
              <w:shd w:val="clea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淄博新诚泰机械有限公司项目转让</w:t>
            </w:r>
            <w:r>
              <w:rPr>
                <w:rFonts w:hint="eastAsia" w:cs="Times New Roman"/>
                <w:color w:val="auto"/>
                <w:sz w:val="24"/>
                <w:szCs w:val="24"/>
                <w:lang w:val="en-US" w:eastAsia="zh-CN"/>
              </w:rPr>
              <w:t>给</w:t>
            </w:r>
            <w:r>
              <w:rPr>
                <w:rFonts w:hint="default" w:ascii="Times New Roman" w:hAnsi="Times New Roman" w:eastAsia="宋体" w:cs="Times New Roman"/>
                <w:color w:val="auto"/>
                <w:sz w:val="24"/>
                <w:szCs w:val="24"/>
                <w:lang w:val="en-US" w:eastAsia="zh-CN"/>
              </w:rPr>
              <w:t>淄博诚泰化工设备有限公司后</w:t>
            </w:r>
            <w:r>
              <w:rPr>
                <w:rFonts w:hint="default" w:ascii="Times New Roman" w:hAnsi="Times New Roman" w:eastAsia="宋体" w:cs="Times New Roman"/>
                <w:color w:val="auto"/>
                <w:sz w:val="24"/>
                <w:szCs w:val="24"/>
                <w:lang w:eastAsia="zh-CN"/>
              </w:rPr>
              <w:t>全厂废水主要为生活污水和切削液稀释废水，生活污水产生量</w:t>
            </w:r>
            <w:r>
              <w:rPr>
                <w:rFonts w:hint="default" w:ascii="Times New Roman" w:hAnsi="Times New Roman" w:eastAsia="宋体" w:cs="Times New Roman"/>
                <w:color w:val="auto"/>
                <w:sz w:val="24"/>
                <w:szCs w:val="24"/>
                <w:lang w:val="en-US" w:eastAsia="zh-CN"/>
              </w:rPr>
              <w:t>总计</w:t>
            </w:r>
            <w:r>
              <w:rPr>
                <w:rFonts w:hint="default" w:ascii="Times New Roman" w:hAnsi="Times New Roman" w:eastAsia="宋体" w:cs="Times New Roman"/>
                <w:color w:val="auto"/>
                <w:sz w:val="24"/>
                <w:szCs w:val="24"/>
                <w:lang w:eastAsia="zh-CN"/>
              </w:rPr>
              <w:t>约为</w:t>
            </w:r>
            <w:r>
              <w:rPr>
                <w:rFonts w:hint="default" w:ascii="Times New Roman" w:hAnsi="Times New Roman" w:eastAsia="宋体" w:cs="Times New Roman"/>
                <w:color w:val="auto"/>
                <w:sz w:val="24"/>
                <w:szCs w:val="24"/>
                <w:lang w:val="en-US" w:eastAsia="zh-CN"/>
              </w:rPr>
              <w:t>460</w:t>
            </w:r>
            <w:r>
              <w:rPr>
                <w:rFonts w:hint="default" w:ascii="Times New Roman" w:hAnsi="Times New Roman" w:eastAsia="宋体" w:cs="Times New Roman"/>
                <w:color w:val="auto"/>
                <w:sz w:val="24"/>
                <w:szCs w:val="24"/>
                <w:lang w:eastAsia="zh-CN"/>
              </w:rPr>
              <w:t>.8m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/a；切削液稀释废水为0.22t/a，作为危废委托有危废资质单位处理，不外排。生活污水经化粪池暂存后用作周边农田农肥。</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对周边地表水环境影响较小。</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（1）噪声产生情况</w:t>
            </w:r>
          </w:p>
          <w:p>
            <w:pPr>
              <w:shd w:val="clear"/>
              <w:adjustRightInd w:val="0"/>
              <w:snapToGrid w:val="0"/>
              <w:spacing w:line="360" w:lineRule="auto"/>
              <w:ind w:firstLine="48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噪声源均布置在车间内部，主要来自</w:t>
            </w:r>
            <w:r>
              <w:rPr>
                <w:rFonts w:hint="default" w:ascii="Times New Roman" w:hAnsi="Times New Roman" w:eastAsia="宋体" w:cs="Times New Roman"/>
                <w:color w:val="auto"/>
                <w:sz w:val="24"/>
                <w:szCs w:val="24"/>
                <w:lang w:eastAsia="zh-CN"/>
              </w:rPr>
              <w:t>切割机、等离子切割机、折弯机、卷板机、焊机、抛丸机、</w:t>
            </w:r>
            <w:r>
              <w:rPr>
                <w:rFonts w:hint="default" w:ascii="Times New Roman" w:hAnsi="Times New Roman" w:eastAsia="宋体" w:cs="Times New Roman"/>
                <w:color w:val="auto"/>
                <w:sz w:val="24"/>
                <w:szCs w:val="24"/>
                <w:lang w:val="en-US" w:eastAsia="zh-CN"/>
              </w:rPr>
              <w:t>喷丸机、涂搪</w:t>
            </w:r>
            <w:r>
              <w:rPr>
                <w:rFonts w:hint="default" w:ascii="Times New Roman" w:hAnsi="Times New Roman" w:eastAsia="宋体" w:cs="Times New Roman"/>
                <w:color w:val="auto"/>
                <w:sz w:val="24"/>
                <w:szCs w:val="24"/>
                <w:lang w:eastAsia="zh-CN"/>
              </w:rPr>
              <w:t>生产线、</w:t>
            </w:r>
            <w:r>
              <w:rPr>
                <w:rFonts w:hint="default" w:ascii="Times New Roman" w:hAnsi="Times New Roman" w:eastAsia="宋体" w:cs="Times New Roman"/>
                <w:color w:val="auto"/>
                <w:sz w:val="24"/>
                <w:szCs w:val="24"/>
                <w:lang w:val="en-US" w:eastAsia="zh-CN"/>
              </w:rPr>
              <w:t>电</w:t>
            </w:r>
            <w:r>
              <w:rPr>
                <w:rFonts w:hint="default" w:ascii="Times New Roman" w:hAnsi="Times New Roman" w:eastAsia="宋体" w:cs="Times New Roman"/>
                <w:color w:val="auto"/>
                <w:sz w:val="24"/>
                <w:szCs w:val="24"/>
                <w:lang w:eastAsia="zh-CN"/>
              </w:rPr>
              <w:t>炉</w:t>
            </w:r>
            <w:r>
              <w:rPr>
                <w:rFonts w:hint="default" w:ascii="Times New Roman" w:hAnsi="Times New Roman" w:eastAsia="宋体" w:cs="Times New Roman"/>
                <w:color w:val="auto"/>
                <w:sz w:val="24"/>
                <w:szCs w:val="24"/>
              </w:rPr>
              <w:t>等生产设备运行产生的噪声，噪声源强为60~95dB（A）。主要设备的噪声源强及控制方案见下表。</w:t>
            </w:r>
          </w:p>
          <w:p>
            <w:pPr>
              <w:pStyle w:val="46"/>
              <w:shd w:val="clear"/>
              <w:spacing w:line="360" w:lineRule="auto"/>
              <w:outlineLvl w:val="4"/>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rPr>
              <w:t xml:space="preserve"> 主要设备的噪声源强及控制方案一览表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3"/>
              <w:gridCol w:w="1538"/>
              <w:gridCol w:w="584"/>
              <w:gridCol w:w="917"/>
              <w:gridCol w:w="589"/>
              <w:gridCol w:w="977"/>
              <w:gridCol w:w="982"/>
              <w:gridCol w:w="1001"/>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43"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装置</w:t>
                  </w:r>
                </w:p>
              </w:tc>
              <w:tc>
                <w:tcPr>
                  <w:tcW w:w="358"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台数/台</w:t>
                  </w:r>
                </w:p>
              </w:tc>
              <w:tc>
                <w:tcPr>
                  <w:tcW w:w="562"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声源类型</w:t>
                  </w:r>
                </w:p>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（偶发/频发）</w:t>
                  </w:r>
                </w:p>
              </w:tc>
              <w:tc>
                <w:tcPr>
                  <w:tcW w:w="361"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持续时间h</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噪声源强</w:t>
                  </w:r>
                </w:p>
              </w:tc>
              <w:tc>
                <w:tcPr>
                  <w:tcW w:w="1216" w:type="pct"/>
                  <w:gridSpan w:val="2"/>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降噪措施</w:t>
                  </w: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噪声排放值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continue"/>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943" w:type="pct"/>
                  <w:vMerge w:val="continue"/>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358" w:type="pct"/>
                  <w:vMerge w:val="continue"/>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562" w:type="pct"/>
                  <w:vMerge w:val="continue"/>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361" w:type="pct"/>
                  <w:vMerge w:val="continue"/>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噪声值/</w:t>
                  </w:r>
                </w:p>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dB（A）</w:t>
                  </w:r>
                </w:p>
              </w:tc>
              <w:tc>
                <w:tcPr>
                  <w:tcW w:w="60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w:t>
                  </w:r>
                </w:p>
              </w:tc>
              <w:tc>
                <w:tcPr>
                  <w:tcW w:w="614"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降噪效果/</w:t>
                  </w:r>
                </w:p>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dB（A）</w:t>
                  </w: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噪声值/</w:t>
                  </w:r>
                </w:p>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螺杆式空气压缩机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602"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厂房隔声，基础减振，低噪音设备</w:t>
                  </w:r>
                </w:p>
              </w:tc>
              <w:tc>
                <w:tcPr>
                  <w:tcW w:w="614"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20~30</w:t>
                  </w: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等离子切割机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折弯机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卷板机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车床</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钻床</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钻铣床</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焊机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抛丸机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喷丸机</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涂搪</w:t>
                  </w:r>
                  <w:r>
                    <w:rPr>
                      <w:rFonts w:hint="default" w:ascii="Times New Roman" w:hAnsi="Times New Roman" w:eastAsia="宋体" w:cs="Times New Roman"/>
                      <w:color w:val="auto"/>
                      <w:sz w:val="21"/>
                      <w:szCs w:val="21"/>
                      <w:lang w:eastAsia="zh-CN"/>
                    </w:rPr>
                    <w:t>生产线</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94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电</w:t>
                  </w:r>
                  <w:r>
                    <w:rPr>
                      <w:rFonts w:hint="default" w:ascii="Times New Roman" w:hAnsi="Times New Roman" w:eastAsia="宋体" w:cs="Times New Roman"/>
                      <w:color w:val="auto"/>
                      <w:sz w:val="21"/>
                      <w:szCs w:val="21"/>
                      <w:lang w:eastAsia="zh-CN"/>
                    </w:rPr>
                    <w:t>炉</w:t>
                  </w:r>
                </w:p>
              </w:tc>
              <w:tc>
                <w:tcPr>
                  <w:tcW w:w="358"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62"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361"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2400</w:t>
                  </w:r>
                </w:p>
              </w:tc>
              <w:tc>
                <w:tcPr>
                  <w:tcW w:w="59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60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0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bl>
          <w:p>
            <w:pPr>
              <w:shd w:val="clear"/>
              <w:spacing w:line="360" w:lineRule="auto"/>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项目主要噪声源强及位置一览表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15"/>
              <w:gridCol w:w="509"/>
              <w:gridCol w:w="1850"/>
              <w:gridCol w:w="686"/>
              <w:gridCol w:w="1321"/>
              <w:gridCol w:w="792"/>
              <w:gridCol w:w="898"/>
              <w:gridCol w:w="811"/>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316"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445" w:type="pct"/>
                  <w:gridSpan w:val="2"/>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噪声设备</w:t>
                  </w:r>
                </w:p>
              </w:tc>
              <w:tc>
                <w:tcPr>
                  <w:tcW w:w="420"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台数</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预测源强</w:t>
                  </w:r>
                </w:p>
              </w:tc>
              <w:tc>
                <w:tcPr>
                  <w:tcW w:w="2007" w:type="pct"/>
                  <w:gridSpan w:val="4"/>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与四厂界最近距离/m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1445" w:type="pct"/>
                  <w:gridSpan w:val="2"/>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420"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噪声值dB（A）</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东</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西</w:t>
                  </w:r>
                </w:p>
              </w:tc>
              <w:tc>
                <w:tcPr>
                  <w:tcW w:w="497"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南</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2" w:type="pct"/>
                  <w:vMerge w:val="restar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螺杆式空气压缩机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等离子切割机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折弯机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卷板机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44.76</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车床</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钻床</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55</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钻铣床</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55</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焊机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13</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56.11</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71</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14</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抛丸机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75</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喷丸机</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涂搪</w:t>
                  </w:r>
                  <w:r>
                    <w:rPr>
                      <w:rFonts w:hint="default" w:ascii="Times New Roman" w:hAnsi="Times New Roman" w:eastAsia="宋体" w:cs="Times New Roman"/>
                      <w:color w:val="auto"/>
                      <w:sz w:val="21"/>
                      <w:szCs w:val="21"/>
                      <w:lang w:eastAsia="zh-CN"/>
                    </w:rPr>
                    <w:t>生产线</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6"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312" w:type="pct"/>
                  <w:vMerge w:val="continue"/>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1133"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电</w:t>
                  </w:r>
                  <w:r>
                    <w:rPr>
                      <w:rFonts w:hint="default" w:ascii="Times New Roman" w:hAnsi="Times New Roman" w:eastAsia="宋体" w:cs="Times New Roman"/>
                      <w:color w:val="auto"/>
                      <w:sz w:val="21"/>
                      <w:szCs w:val="21"/>
                      <w:lang w:eastAsia="zh-CN"/>
                    </w:rPr>
                    <w:t>炉</w:t>
                  </w:r>
                </w:p>
              </w:tc>
              <w:tc>
                <w:tcPr>
                  <w:tcW w:w="420" w:type="pct"/>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4</w:t>
                  </w:r>
                </w:p>
              </w:tc>
              <w:tc>
                <w:tcPr>
                  <w:tcW w:w="809"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48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550"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97" w:type="pct"/>
                  <w:vAlign w:val="bottom"/>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w:t>
                  </w:r>
                </w:p>
              </w:tc>
              <w:tc>
                <w:tcPr>
                  <w:tcW w:w="475" w:type="pct"/>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p>
              </w:tc>
            </w:tr>
          </w:tbl>
          <w:p>
            <w:pPr>
              <w:shd w:val="clea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（2）厂界和环境保护目标达标情况</w:t>
            </w:r>
          </w:p>
          <w:p>
            <w:pPr>
              <w:shd w:val="clea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项目实际情况，因设备位置发生改变，噪声源位置发生移动，预测时未考虑现有项目噪声值。</w:t>
            </w:r>
            <w:r>
              <w:rPr>
                <w:rFonts w:hint="default" w:ascii="Times New Roman" w:hAnsi="Times New Roman" w:eastAsia="宋体" w:cs="Times New Roman"/>
                <w:color w:val="auto"/>
                <w:sz w:val="24"/>
                <w:szCs w:val="24"/>
              </w:rPr>
              <w:t>按照《环境影响评价技术导则声环境》（HJ2.4-2009）附录A中预测计算模式进行预测。</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预测模式</w:t>
            </w:r>
          </w:p>
          <w:p>
            <w:pPr>
              <w:shd w:val="clear"/>
              <w:spacing w:line="360" w:lineRule="auto"/>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基准预测点噪声级叠加公式：</w:t>
            </w:r>
          </w:p>
          <w:p>
            <w:pPr>
              <w:shd w:val="clear"/>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rPr>
              <w:t>=10lg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position w:val="-28"/>
                <w:sz w:val="24"/>
                <w:szCs w:val="24"/>
                <w:highlight w:val="none"/>
              </w:rPr>
              <w:object>
                <v:shape id="_x0000_i1027" o:spt="75" type="#_x0000_t75" style="height:29.85pt;width:58.65pt;" o:ole="t" filled="f" o:preferrelative="t" stroked="f" coordsize="21600,21600">
                  <v:path/>
                  <v:fill on="f" focussize="0,0"/>
                  <v:stroke on="f"/>
                  <v:imagedata r:id="rId14" o:title=""/>
                  <o:lock v:ext="edit" aspectratio="t"/>
                  <w10:wrap type="none"/>
                  <w10:anchorlock/>
                </v:shape>
                <o:OLEObject Type="Embed" ProgID="Equation.3" ShapeID="_x0000_i1027" DrawAspect="Content" ObjectID="_1468075727" r:id="rId17">
                  <o:LockedField>false</o:LockedField>
                </o:OLEObject>
              </w:objec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2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噪声贡献值，</w:t>
            </w:r>
            <w:r>
              <w:rPr>
                <w:rFonts w:hint="default" w:ascii="Times New Roman" w:hAnsi="Times New Roman" w:eastAsia="宋体" w:cs="Times New Roman"/>
                <w:color w:val="auto"/>
                <w:sz w:val="24"/>
                <w:szCs w:val="24"/>
                <w:highlight w:val="none"/>
                <w:lang w:val="en-US" w:eastAsia="zh-CN"/>
              </w:rPr>
              <w:t>dB；</w:t>
            </w:r>
          </w:p>
          <w:p>
            <w:pPr>
              <w:shd w:val="clear"/>
              <w:spacing w:line="360" w:lineRule="auto"/>
              <w:ind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预测计算的时间段</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s；</w:t>
            </w:r>
          </w:p>
          <w:p>
            <w:pPr>
              <w:shd w:val="clear"/>
              <w:spacing w:line="360" w:lineRule="auto"/>
              <w:ind w:firstLine="42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i声源在T时段内的运行时间，s；</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LAi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i声源在预测点产生的等效连续A声级，dB</w:t>
            </w:r>
            <w:r>
              <w:rPr>
                <w:rFonts w:hint="default" w:ascii="Times New Roman" w:hAnsi="Times New Roman" w:eastAsia="宋体" w:cs="Times New Roman"/>
                <w:color w:val="auto"/>
                <w:sz w:val="24"/>
                <w:szCs w:val="24"/>
                <w:highlight w:val="none"/>
              </w:rPr>
              <w:t>。</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用上述公式计算出各噪声源点至基准预测点的总声压级，然后以基准预测点的噪声强度为工程噪声源强。</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计算预测点的声级：</w:t>
            </w:r>
          </w:p>
          <w:p>
            <w:pPr>
              <w:shd w:val="clear"/>
              <w:ind w:firstLine="4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8" o:spt="75" type="#_x0000_t75" style="height:18pt;width:148pt;" o:ole="t" filled="f" o:preferrelative="t" stroked="f" coordsize="21600,21600">
                  <v:path/>
                  <v:fill on="f" focussize="0,0"/>
                  <v:stroke on="f"/>
                  <v:imagedata r:id="rId16" o:title=""/>
                  <o:lock v:ext="edit" aspectratio="t"/>
                  <w10:wrap type="none"/>
                  <w10:anchorlock/>
                </v:shape>
                <o:OLEObject Type="Embed" ProgID="Equation.3" ShapeID="_x0000_i1028" DrawAspect="Content" ObjectID="_1468075728" r:id="rId18">
                  <o:LockedField>false</o:LockedField>
                </o:OLEObject>
              </w:objec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val="en-US" w:eastAsia="zh-CN"/>
              </w:rPr>
              <w:t>Leq</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预测点的噪声预测值</w:t>
            </w:r>
            <w:r>
              <w:rPr>
                <w:rFonts w:hint="default" w:ascii="Times New Roman" w:hAnsi="Times New Roman" w:eastAsia="宋体" w:cs="Times New Roman"/>
                <w:color w:val="auto"/>
                <w:sz w:val="24"/>
                <w:szCs w:val="24"/>
                <w:highlight w:val="none"/>
              </w:rPr>
              <w:t>，dB；</w:t>
            </w:r>
          </w:p>
          <w:p>
            <w:pPr>
              <w:shd w:val="clear"/>
              <w:spacing w:line="360" w:lineRule="auto"/>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Leqg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建设项目声源在预测点产生的噪声贡献值</w:t>
            </w:r>
            <w:r>
              <w:rPr>
                <w:rFonts w:hint="default" w:ascii="Times New Roman" w:hAnsi="Times New Roman" w:eastAsia="宋体" w:cs="Times New Roman"/>
                <w:color w:val="auto"/>
                <w:sz w:val="24"/>
                <w:szCs w:val="24"/>
                <w:highlight w:val="none"/>
              </w:rPr>
              <w:t>，dB；</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Leqb</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预测点的背景噪声值</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rPr>
              <w:t>。</w:t>
            </w:r>
          </w:p>
          <w:p>
            <w:pPr>
              <w:shd w:val="clear"/>
              <w:spacing w:line="360" w:lineRule="auto"/>
              <w:ind w:firstLine="48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根据本项目主要噪声设备的位置，利用以上预测模式和参数计算确定了各主要噪声源对各厂界外1m的噪声贡献情况。主要噪声源对各厂界的噪声贡献情况见下表。</w:t>
            </w:r>
          </w:p>
          <w:p>
            <w:pPr>
              <w:pStyle w:val="46"/>
              <w:shd w:val="clear"/>
              <w:adjustRightInd/>
              <w:snapToGrid/>
              <w:spacing w:line="360" w:lineRule="auto"/>
              <w:outlineLvl w:val="4"/>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rPr>
              <w:t xml:space="preserve"> 噪声影响预测结果一览表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36"/>
              <w:gridCol w:w="1529"/>
              <w:gridCol w:w="1529"/>
              <w:gridCol w:w="1529"/>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p>
              </w:tc>
              <w:tc>
                <w:tcPr>
                  <w:tcW w:w="937"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东厂界</w:t>
                  </w:r>
                </w:p>
              </w:tc>
              <w:tc>
                <w:tcPr>
                  <w:tcW w:w="937"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西厂界</w:t>
                  </w:r>
                </w:p>
              </w:tc>
              <w:tc>
                <w:tcPr>
                  <w:tcW w:w="937"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南厂界</w:t>
                  </w:r>
                </w:p>
              </w:tc>
              <w:tc>
                <w:tcPr>
                  <w:tcW w:w="938"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 w:name="_Hlk322356205"/>
                  <w:r>
                    <w:rPr>
                      <w:rFonts w:hint="default" w:ascii="Times New Roman" w:hAnsi="Times New Roman" w:eastAsia="宋体" w:cs="Times New Roman"/>
                      <w:color w:val="auto"/>
                      <w:sz w:val="21"/>
                      <w:szCs w:val="21"/>
                    </w:rPr>
                    <w:t>dB（A）</w:t>
                  </w:r>
                </w:p>
              </w:tc>
              <w:tc>
                <w:tcPr>
                  <w:tcW w:w="1527"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49.37</w:t>
                  </w:r>
                </w:p>
              </w:tc>
              <w:tc>
                <w:tcPr>
                  <w:tcW w:w="1527"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53.28</w:t>
                  </w:r>
                </w:p>
              </w:tc>
              <w:tc>
                <w:tcPr>
                  <w:tcW w:w="1527"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47.53</w:t>
                  </w:r>
                </w:p>
              </w:tc>
              <w:tc>
                <w:tcPr>
                  <w:tcW w:w="1529"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51.38</w:t>
                  </w:r>
                </w:p>
              </w:tc>
            </w:tr>
            <w:bookmarkEnd w:id="2"/>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建成后厂区设备噪声采用上述隔声、减振措施后，经过距离衰减，厂界噪声最大贡献值及最大叠加值都满足《工业企业厂界环境噪声排放标准》（GB12348-2008）2类标准；因此，本项目在做好噪声治理措施后，设备噪声对周围环境不会造成太大影响。</w:t>
            </w:r>
          </w:p>
          <w:p>
            <w:pPr>
              <w:numPr>
                <w:ilvl w:val="0"/>
                <w:numId w:val="0"/>
              </w:numPr>
              <w:shd w:val="clear"/>
              <w:adjustRightInd w:val="0"/>
              <w:snapToGrid w:val="0"/>
              <w:spacing w:line="360" w:lineRule="auto"/>
              <w:ind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固体废物</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本项目固废主要为生活垃圾、一般固废和危险废物，其中一般固废为</w:t>
            </w:r>
            <w:r>
              <w:rPr>
                <w:rFonts w:hint="default" w:ascii="Times New Roman" w:hAnsi="Times New Roman" w:eastAsia="宋体" w:cs="Times New Roman"/>
                <w:color w:val="auto"/>
                <w:sz w:val="24"/>
                <w:szCs w:val="24"/>
                <w:lang w:val="en-US" w:eastAsia="zh-CN"/>
              </w:rPr>
              <w:t>钢材下脚料</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焊头焊渣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脉冲式布袋除尘器收尘</w:t>
            </w:r>
            <w:r>
              <w:rPr>
                <w:rFonts w:hint="default" w:ascii="Times New Roman" w:hAnsi="Times New Roman" w:eastAsia="宋体" w:cs="Times New Roman"/>
                <w:color w:val="auto"/>
                <w:sz w:val="24"/>
                <w:szCs w:val="24"/>
                <w:lang w:eastAsia="zh-CN"/>
              </w:rPr>
              <w:t>、焊烟净化器收尘，危险废物为含油废手套抹布、</w:t>
            </w:r>
            <w:r>
              <w:rPr>
                <w:rFonts w:hint="default" w:ascii="Times New Roman" w:hAnsi="Times New Roman" w:eastAsia="宋体" w:cs="Times New Roman"/>
                <w:color w:val="auto"/>
                <w:sz w:val="24"/>
                <w:szCs w:val="24"/>
                <w:lang w:val="en-US" w:eastAsia="zh-CN"/>
              </w:rPr>
              <w:t>废液压油、</w:t>
            </w:r>
            <w:r>
              <w:rPr>
                <w:rFonts w:hint="default" w:ascii="Times New Roman" w:hAnsi="Times New Roman" w:eastAsia="宋体" w:cs="Times New Roman"/>
                <w:color w:val="auto"/>
                <w:sz w:val="24"/>
                <w:szCs w:val="24"/>
                <w:lang w:eastAsia="zh-CN"/>
              </w:rPr>
              <w:t>废机油、废机油桶。</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1、一般固废</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）生活垃圾：本项目定员</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0人，职工生活垃圾按0.5kg/（人·天）计，年工作300天，则项目生活垃圾产生量为</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t/a，生活垃圾属于一般固废，</w:t>
            </w:r>
            <w:r>
              <w:rPr>
                <w:rFonts w:hint="default" w:ascii="Times New Roman" w:hAnsi="Times New Roman" w:eastAsia="宋体" w:cs="Times New Roman"/>
                <w:color w:val="auto"/>
                <w:sz w:val="24"/>
                <w:szCs w:val="24"/>
                <w:lang w:val="en-US" w:eastAsia="zh-CN"/>
              </w:rPr>
              <w:t>暂存于厂区垃圾桶内，</w:t>
            </w:r>
            <w:r>
              <w:rPr>
                <w:rFonts w:hint="default" w:ascii="Times New Roman" w:hAnsi="Times New Roman" w:eastAsia="宋体" w:cs="Times New Roman"/>
                <w:color w:val="auto"/>
                <w:sz w:val="24"/>
                <w:szCs w:val="24"/>
                <w:lang w:eastAsia="zh-CN"/>
              </w:rPr>
              <w:t>由环卫部门定期清运。</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钢材下脚料：切割工序下脚料，产生量约为用量的1.5%，约为1.53t/a，属于一般固体废物，暂存于一般固废暂存区，集中收集后外售。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（3）机床加工金属碎屑，产生量约为0.024t/a；属于一般固体废物，暂存于一般固废暂存区，集中收集后外售。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（4）废焊头焊渣：焊接过程会产生一定量的废焊头和焊渣，产生量约为0.05t/a，属于一般固体废物，暂存于一般固废暂存区，集中收集后外售。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脉冲式布袋除尘器收尘（345-003-09）：生产过程中，脉冲式布袋除尘器收集部分切割粉尘、抛丸粉尘、喷完粉尘及涂搪粉尘，根据物料核算，收尘量为1.4t/a，属于一般固废，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（6）焊烟净化器收尘（345-003-09）：焊接过程中使用移动式焊烟净化器收集部分焊烟，根据物料核算，收尘量为0.0354t/a，属于一般固废，暂存于一般固废暂存区，集中收集后外售。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（7）循环水池沉淀物产生量约为0.03t/a，属于一般固废，暂存于一般固废暂存区，集中收集后外售。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2、危险废物</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含油废手套抹布（HW49，900-041-49）：部分设备需涂抹机油润滑，机油年用量约为0.01t，产生的废机油用抹布清理，含油废手套抹布产生量约为0.05t/a，根据《国家危险废物名录》（2016版）附录“危险废物豁免管理清单”，含油废手套抹布全部环节豁免，豁免条件为混入生活垃圾处理，全过程不按危险废物管理，含油废手套抹布存放在厂区内垃圾桶，定期由环卫部门统一处理。</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（2）废油桶（HW08，900-249-08）：设备维修维护所需润滑油由设备厂家维修维护时提供，企业不暂存，维修维护过程中废润滑油桶产生量为5个/a，储存于危废暂存间，委托具有危险废物处理资质的单位处理。</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（3）废机油（HW08，900-249-08）：设备维修维护后所产生的废机油（产生量为0.06t/a），暂存于危废暂存间内，委托具有危险废物处理资质的单位进行处理处置。</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（4）废液压油（HW08，900-218-08）：设备维修维护后所产生的废液压油（产生量为0.02t/a），暂存于危废暂存间内，委托具有危险废物处理资质的单位进行处理处置。</w:t>
            </w:r>
          </w:p>
          <w:p>
            <w:pPr>
              <w:pStyle w:val="2"/>
              <w:keepNext w:val="0"/>
              <w:keepLines w:val="0"/>
              <w:pageBreakBefore w:val="0"/>
              <w:widowControl w:val="0"/>
              <w:shd w:val="clear"/>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lang w:val="en-US" w:eastAsia="zh-CN"/>
              </w:rPr>
              <w:t>淄博新诚泰机械有限公司减速机和机械密封项目转让给淄博诚泰化工设备有限公司后固体废物</w:t>
            </w:r>
            <w:r>
              <w:rPr>
                <w:rFonts w:hint="default" w:ascii="Times New Roman" w:hAnsi="Times New Roman" w:eastAsia="宋体" w:cs="Times New Roman"/>
                <w:color w:val="auto"/>
                <w:sz w:val="24"/>
                <w:szCs w:val="24"/>
                <w:lang w:eastAsia="zh-CN"/>
              </w:rPr>
              <w:t>主要为生活垃圾、一般固废和危险废物，其中一般固废为</w:t>
            </w:r>
            <w:r>
              <w:rPr>
                <w:rFonts w:hint="default" w:ascii="Times New Roman" w:hAnsi="Times New Roman" w:eastAsia="宋体" w:cs="Times New Roman"/>
                <w:color w:val="auto"/>
                <w:sz w:val="24"/>
                <w:szCs w:val="24"/>
                <w:lang w:val="en-US" w:eastAsia="zh-CN"/>
              </w:rPr>
              <w:t>钢材下脚料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lang w:eastAsia="zh-CN"/>
              </w:rPr>
              <w:t>初加工过程产生的边角料、</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焊头焊渣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lang w:eastAsia="zh-CN"/>
              </w:rPr>
              <w:t>机床加工过程产生的金属碎屑、衬塑、喷塑过程产生的废包装材料、</w:t>
            </w:r>
            <w:r>
              <w:rPr>
                <w:rFonts w:hint="default" w:ascii="Times New Roman" w:hAnsi="Times New Roman" w:eastAsia="宋体" w:cs="Times New Roman"/>
                <w:color w:val="auto"/>
                <w:sz w:val="24"/>
                <w:szCs w:val="24"/>
                <w:lang w:val="en-US" w:eastAsia="zh-CN"/>
              </w:rPr>
              <w:t>脉冲式布袋除尘器收尘</w:t>
            </w:r>
            <w:r>
              <w:rPr>
                <w:rFonts w:hint="default" w:ascii="Times New Roman" w:hAnsi="Times New Roman" w:eastAsia="宋体" w:cs="Times New Roman"/>
                <w:color w:val="auto"/>
                <w:sz w:val="24"/>
                <w:szCs w:val="24"/>
                <w:lang w:eastAsia="zh-CN"/>
              </w:rPr>
              <w:t>、焊烟净化器收尘；危险废物为含油废手套抹布、</w:t>
            </w:r>
            <w:r>
              <w:rPr>
                <w:rFonts w:hint="default" w:ascii="Times New Roman" w:hAnsi="Times New Roman" w:eastAsia="宋体" w:cs="Times New Roman"/>
                <w:color w:val="auto"/>
                <w:sz w:val="24"/>
                <w:szCs w:val="24"/>
                <w:lang w:val="en-US" w:eastAsia="zh-CN"/>
              </w:rPr>
              <w:t>废液压油、</w:t>
            </w:r>
            <w:r>
              <w:rPr>
                <w:rFonts w:hint="default" w:ascii="Times New Roman" w:hAnsi="Times New Roman" w:eastAsia="宋体" w:cs="Times New Roman"/>
                <w:color w:val="auto"/>
                <w:sz w:val="24"/>
                <w:szCs w:val="24"/>
                <w:lang w:eastAsia="zh-CN"/>
              </w:rPr>
              <w:t>废机油、废机油桶、</w:t>
            </w:r>
            <w:r>
              <w:rPr>
                <w:rFonts w:hint="default" w:ascii="Times New Roman" w:hAnsi="Times New Roman" w:eastAsia="宋体" w:cs="Times New Roman"/>
                <w:color w:val="auto"/>
                <w:kern w:val="0"/>
                <w:sz w:val="24"/>
                <w:lang w:eastAsia="zh-CN"/>
              </w:rPr>
              <w:t>二级活性炭吸附装置</w:t>
            </w:r>
            <w:r>
              <w:rPr>
                <w:rFonts w:hint="default" w:ascii="Times New Roman" w:hAnsi="Times New Roman" w:eastAsia="宋体" w:cs="Times New Roman"/>
                <w:color w:val="auto"/>
                <w:kern w:val="0"/>
                <w:sz w:val="24"/>
              </w:rPr>
              <w:t>产生的废活性炭</w:t>
            </w:r>
            <w:r>
              <w:rPr>
                <w:rFonts w:hint="default" w:ascii="Times New Roman" w:hAnsi="Times New Roman" w:eastAsia="宋体" w:cs="Times New Roman"/>
                <w:color w:val="auto"/>
                <w:kern w:val="0"/>
                <w:sz w:val="24"/>
                <w:lang w:val="en-US" w:eastAsia="zh-CN"/>
              </w:rPr>
              <w:t>和</w:t>
            </w:r>
            <w:r>
              <w:rPr>
                <w:rFonts w:hint="default" w:ascii="Times New Roman" w:hAnsi="Times New Roman" w:eastAsia="宋体" w:cs="Times New Roman"/>
                <w:color w:val="auto"/>
                <w:kern w:val="0"/>
                <w:sz w:val="24"/>
                <w:lang w:eastAsia="zh-CN"/>
              </w:rPr>
              <w:t>喷塑过程产生的废滤芯</w:t>
            </w:r>
            <w:r>
              <w:rPr>
                <w:rFonts w:hint="default" w:ascii="Times New Roman" w:hAnsi="Times New Roman" w:eastAsia="宋体" w:cs="Times New Roman"/>
                <w:color w:val="auto"/>
                <w:sz w:val="24"/>
                <w:szCs w:val="24"/>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生活垃圾总计为7.5t/a，暂存于厂区垃圾桶内，由环卫部门定期清运处理。钢材下脚料共计1.53t/a，属于一般固体废物，暂存于一般固废暂存区，集中收集后外售。</w:t>
            </w:r>
            <w:r>
              <w:rPr>
                <w:rFonts w:hint="default" w:ascii="Times New Roman" w:hAnsi="Times New Roman" w:eastAsia="宋体" w:cs="Times New Roman"/>
                <w:color w:val="auto"/>
                <w:kern w:val="0"/>
                <w:sz w:val="24"/>
                <w:lang w:eastAsia="zh-CN"/>
              </w:rPr>
              <w:t>初加工过程产生的边角料</w:t>
            </w:r>
            <w:r>
              <w:rPr>
                <w:rFonts w:hint="default" w:ascii="Times New Roman" w:hAnsi="Times New Roman" w:eastAsia="宋体" w:cs="Times New Roman"/>
                <w:color w:val="auto"/>
                <w:kern w:val="0"/>
                <w:sz w:val="24"/>
              </w:rPr>
              <w:t>产生量</w:t>
            </w:r>
            <w:r>
              <w:rPr>
                <w:rFonts w:hint="default" w:ascii="Times New Roman" w:hAnsi="Times New Roman" w:eastAsia="宋体" w:cs="Times New Roman"/>
                <w:color w:val="auto"/>
                <w:kern w:val="0"/>
                <w:sz w:val="24"/>
                <w:lang w:eastAsia="zh-CN"/>
              </w:rPr>
              <w:t>约为</w:t>
            </w:r>
            <w:r>
              <w:rPr>
                <w:rFonts w:hint="default" w:ascii="Times New Roman" w:hAnsi="Times New Roman" w:eastAsia="宋体" w:cs="Times New Roman"/>
                <w:color w:val="auto"/>
                <w:kern w:val="0"/>
                <w:sz w:val="24"/>
                <w:lang w:val="en-US" w:eastAsia="zh-CN"/>
              </w:rPr>
              <w:t>2.25</w:t>
            </w:r>
            <w:r>
              <w:rPr>
                <w:rFonts w:hint="default" w:ascii="Times New Roman" w:hAnsi="Times New Roman" w:eastAsia="宋体" w:cs="Times New Roman"/>
                <w:color w:val="auto"/>
                <w:kern w:val="0"/>
                <w:sz w:val="24"/>
              </w:rPr>
              <w:t>t/a，属于一般固体废物，暂存于一般固废暂存区，</w:t>
            </w:r>
            <w:r>
              <w:rPr>
                <w:rFonts w:hint="default" w:ascii="Times New Roman" w:hAnsi="Times New Roman" w:eastAsia="宋体" w:cs="Times New Roman"/>
                <w:color w:val="auto"/>
                <w:kern w:val="0"/>
                <w:sz w:val="24"/>
                <w:lang w:eastAsia="zh-CN"/>
              </w:rPr>
              <w:t>定期外卖；机床加工过程产生的金属碎屑</w:t>
            </w:r>
            <w:r>
              <w:rPr>
                <w:rFonts w:hint="default" w:ascii="Times New Roman" w:hAnsi="Times New Roman" w:eastAsia="宋体" w:cs="Times New Roman"/>
                <w:color w:val="auto"/>
                <w:kern w:val="0"/>
                <w:sz w:val="24"/>
              </w:rPr>
              <w:t>产生量为0.0</w:t>
            </w:r>
            <w:r>
              <w:rPr>
                <w:rFonts w:hint="default" w:ascii="Times New Roman" w:hAnsi="Times New Roman" w:eastAsia="宋体" w:cs="Times New Roman"/>
                <w:color w:val="auto"/>
                <w:kern w:val="0"/>
                <w:sz w:val="24"/>
                <w:lang w:val="en-US" w:eastAsia="zh-CN"/>
              </w:rPr>
              <w:t>74</w:t>
            </w:r>
            <w:r>
              <w:rPr>
                <w:rFonts w:hint="default" w:ascii="Times New Roman" w:hAnsi="Times New Roman" w:eastAsia="宋体" w:cs="Times New Roman"/>
                <w:color w:val="auto"/>
                <w:kern w:val="0"/>
                <w:sz w:val="24"/>
              </w:rPr>
              <w:t>t/a，属于一般固废，暂存于一般固废暂存区，外售综合利用</w:t>
            </w:r>
            <w:r>
              <w:rPr>
                <w:rFonts w:hint="default" w:ascii="Times New Roman" w:hAnsi="Times New Roman" w:eastAsia="宋体" w:cs="Times New Roman"/>
                <w:color w:val="auto"/>
                <w:kern w:val="0"/>
                <w:sz w:val="24"/>
                <w:lang w:eastAsia="zh-CN"/>
              </w:rPr>
              <w:t>；衬塑、喷塑过程产生的废包装材料</w:t>
            </w:r>
            <w:r>
              <w:rPr>
                <w:rFonts w:hint="default" w:ascii="Times New Roman" w:hAnsi="Times New Roman" w:eastAsia="宋体" w:cs="Times New Roman"/>
                <w:color w:val="auto"/>
                <w:kern w:val="0"/>
                <w:sz w:val="24"/>
              </w:rPr>
              <w:t>产生量约0.0</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t/a，属于一般固废，暂存于一般固废暂存区，外售综合利用</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szCs w:val="24"/>
                <w:lang w:val="en-US" w:eastAsia="zh-CN"/>
              </w:rPr>
              <w:t>废焊头和焊渣总计0.35t/a，属于一般固体废物，暂存于一般固废暂存区，集中收集后外售；循环水池沉淀物产生量约为0.03t/a，属于一般固废，暂存于一般固废暂存区；脉冲式布袋除尘器收尘量为1.8459t/a，属于一般固废，暂存于一般固废暂存区，集中收集后外售；移动式焊烟净化器收尘量为0.1854t/a，属于一般固废，暂存于一般固废暂存区，集中收集后外售；</w:t>
            </w:r>
            <w:r>
              <w:rPr>
                <w:rFonts w:hint="default" w:ascii="Times New Roman" w:hAnsi="Times New Roman" w:eastAsia="宋体" w:cs="Times New Roman"/>
                <w:color w:val="auto"/>
                <w:kern w:val="0"/>
                <w:sz w:val="24"/>
              </w:rPr>
              <w:t>含油废手套抹布产生量约为0.0</w:t>
            </w:r>
            <w:r>
              <w:rPr>
                <w:rFonts w:hint="default"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t/a，根据《国家危险废物名录》（2016版）附录“危险废物豁免管理清单”，含油废抹布全部环节豁免，豁免条件为混入生活垃圾处理，全过程不按危险废物管理，含油废手套抹布存放在厂区内垃圾桶，定期由环卫部门统一处理</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szCs w:val="24"/>
                <w:lang w:val="en-US" w:eastAsia="zh-CN"/>
              </w:rPr>
              <w:t>废润滑油桶产生量为10个/a，储存于危废暂存间，委托具有危险废物处理资质的单位处理；废机油产生量为0.06t/a，暂存于危废暂存间内，委托具有危险废物处理资质的单位处理；废液压油产生量为0.02t/a，暂存于危废暂存间内，委托具有危险废物处理资质的单位处理；</w:t>
            </w:r>
            <w:r>
              <w:rPr>
                <w:rFonts w:hint="default" w:ascii="Times New Roman" w:hAnsi="Times New Roman" w:eastAsia="宋体" w:cs="Times New Roman"/>
                <w:color w:val="auto"/>
                <w:kern w:val="0"/>
                <w:sz w:val="24"/>
              </w:rPr>
              <w:t>废活性炭产生</w:t>
            </w:r>
            <w:r>
              <w:rPr>
                <w:rFonts w:hint="default" w:ascii="Times New Roman" w:hAnsi="Times New Roman" w:eastAsia="宋体" w:cs="Times New Roman"/>
                <w:color w:val="auto"/>
                <w:kern w:val="0"/>
                <w:sz w:val="24"/>
                <w:lang w:val="en-US" w:eastAsia="zh-CN"/>
              </w:rPr>
              <w:t>量</w:t>
            </w:r>
            <w:r>
              <w:rPr>
                <w:rFonts w:hint="default" w:ascii="Times New Roman" w:hAnsi="Times New Roman" w:eastAsia="宋体" w:cs="Times New Roman"/>
                <w:color w:val="auto"/>
                <w:kern w:val="0"/>
                <w:sz w:val="24"/>
              </w:rPr>
              <w:t>约为0.</w:t>
            </w:r>
            <w:r>
              <w:rPr>
                <w:rFonts w:hint="default" w:ascii="Times New Roman" w:hAnsi="Times New Roman" w:eastAsia="宋体" w:cs="Times New Roman"/>
                <w:color w:val="auto"/>
                <w:kern w:val="0"/>
                <w:sz w:val="24"/>
                <w:lang w:val="en-US" w:eastAsia="zh-CN"/>
              </w:rPr>
              <w:t>01</w:t>
            </w:r>
            <w:r>
              <w:rPr>
                <w:rFonts w:hint="default" w:ascii="Times New Roman" w:hAnsi="Times New Roman" w:eastAsia="宋体" w:cs="Times New Roman"/>
                <w:color w:val="auto"/>
                <w:kern w:val="0"/>
                <w:sz w:val="24"/>
              </w:rPr>
              <w:t>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暂存于危废暂存间内，委托具有危险废物处理资质的单位进行处理处置</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sz w:val="24"/>
                <w:szCs w:val="24"/>
                <w:lang w:val="en-US" w:eastAsia="zh-CN"/>
              </w:rPr>
              <w:t>废滤芯产生量为0.233t/a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暂存于危废暂存间内，委托具有危险废物处理资质的单位进行处理处置</w:t>
            </w:r>
            <w:r>
              <w:rPr>
                <w:rFonts w:hint="default" w:ascii="Times New Roman" w:hAnsi="Times New Roman" w:eastAsia="宋体" w:cs="Times New Roman"/>
                <w:color w:val="auto"/>
                <w:kern w:val="0"/>
                <w:sz w:val="24"/>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lang w:val="en-US" w:eastAsia="zh-CN"/>
              </w:rPr>
              <w:t>转让后全厂</w:t>
            </w:r>
            <w:r>
              <w:rPr>
                <w:rFonts w:hint="default" w:ascii="Times New Roman" w:hAnsi="Times New Roman" w:eastAsia="宋体" w:cs="Times New Roman"/>
                <w:color w:val="auto"/>
                <w:sz w:val="24"/>
                <w:szCs w:val="24"/>
              </w:rPr>
              <w:t>固体废物的产生及控制方案见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pPr>
              <w:pStyle w:val="46"/>
              <w:shd w:val="clear"/>
              <w:spacing w:line="240" w:lineRule="auto"/>
              <w:outlineLvl w:val="4"/>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val="en-US" w:eastAsia="zh-CN"/>
              </w:rPr>
              <w:t>8</w:t>
            </w:r>
            <w:r>
              <w:rPr>
                <w:rFonts w:hint="default" w:ascii="Times New Roman" w:hAnsi="Times New Roman" w:eastAsia="宋体" w:cs="Times New Roman"/>
                <w:b/>
                <w:bCs w:val="0"/>
                <w:color w:val="auto"/>
                <w:sz w:val="24"/>
                <w:szCs w:val="24"/>
              </w:rPr>
              <w:t xml:space="preserve"> 转让后</w:t>
            </w:r>
            <w:r>
              <w:rPr>
                <w:rFonts w:hint="default" w:ascii="Times New Roman" w:hAnsi="Times New Roman" w:eastAsia="宋体" w:cs="Times New Roman"/>
                <w:b/>
                <w:bCs w:val="0"/>
                <w:color w:val="auto"/>
                <w:sz w:val="24"/>
                <w:szCs w:val="24"/>
                <w:lang w:val="en-US" w:eastAsia="zh-CN"/>
              </w:rPr>
              <w:t>全厂</w:t>
            </w:r>
            <w:r>
              <w:rPr>
                <w:rFonts w:hint="default" w:ascii="Times New Roman" w:hAnsi="Times New Roman" w:eastAsia="宋体" w:cs="Times New Roman"/>
                <w:b/>
                <w:bCs w:val="0"/>
                <w:color w:val="auto"/>
                <w:sz w:val="24"/>
                <w:szCs w:val="24"/>
              </w:rPr>
              <w:t>固体废物的产生及控制方案一览表</w:t>
            </w:r>
          </w:p>
          <w:tbl>
            <w:tblPr>
              <w:tblStyle w:val="22"/>
              <w:tblpPr w:leftFromText="180" w:rightFromText="180" w:vertAnchor="text" w:horzAnchor="page" w:tblpX="83" w:tblpY="12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1"/>
              <w:gridCol w:w="1763"/>
              <w:gridCol w:w="1130"/>
              <w:gridCol w:w="542"/>
              <w:gridCol w:w="498"/>
              <w:gridCol w:w="405"/>
              <w:gridCol w:w="689"/>
              <w:gridCol w:w="1053"/>
              <w:gridCol w:w="887"/>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产生环节</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固体废物名称</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固废属性</w:t>
                  </w:r>
                </w:p>
              </w:tc>
              <w:tc>
                <w:tcPr>
                  <w:tcW w:w="332"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有害成分</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物理性状</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环境危险性</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年度产生量（t/a）</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利用处置方向和去向</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restar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机加工</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钢材下脚</w:t>
                  </w:r>
                  <w:r>
                    <w:rPr>
                      <w:rFonts w:hint="default" w:ascii="Times New Roman" w:hAnsi="Times New Roman" w:eastAsia="宋体" w:cs="Times New Roman"/>
                      <w:color w:val="auto"/>
                      <w:sz w:val="21"/>
                      <w:szCs w:val="21"/>
                      <w:lang w:eastAsia="zh-CN"/>
                    </w:rPr>
                    <w:t>料</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1.53</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初加工过程产生的边角料</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金属碎屑</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0.074</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焊接</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废焊</w:t>
                  </w:r>
                  <w:r>
                    <w:rPr>
                      <w:rFonts w:hint="default" w:ascii="Times New Roman" w:hAnsi="Times New Roman" w:eastAsia="宋体" w:cs="Times New Roman"/>
                      <w:color w:val="auto"/>
                      <w:sz w:val="21"/>
                      <w:szCs w:val="21"/>
                      <w:lang w:val="en-US" w:eastAsia="zh-CN"/>
                    </w:rPr>
                    <w:t>头</w:t>
                  </w:r>
                  <w:r>
                    <w:rPr>
                      <w:rFonts w:hint="default" w:ascii="Times New Roman" w:hAnsi="Times New Roman" w:eastAsia="宋体" w:cs="Times New Roman"/>
                      <w:color w:val="auto"/>
                      <w:sz w:val="21"/>
                      <w:szCs w:val="21"/>
                      <w:lang w:eastAsia="zh-CN"/>
                    </w:rPr>
                    <w:t>和焊渣（</w:t>
                  </w:r>
                  <w:r>
                    <w:rPr>
                      <w:rFonts w:hint="default" w:ascii="Times New Roman" w:hAnsi="Times New Roman" w:eastAsia="宋体" w:cs="Times New Roman"/>
                      <w:color w:val="auto"/>
                      <w:sz w:val="21"/>
                      <w:szCs w:val="21"/>
                      <w:lang w:val="en-US" w:eastAsia="zh-CN"/>
                    </w:rPr>
                    <w:t>345-003-99</w:t>
                  </w:r>
                  <w:r>
                    <w:rPr>
                      <w:rFonts w:hint="default" w:ascii="Times New Roman" w:hAnsi="Times New Roman" w:eastAsia="宋体" w:cs="Times New Roman"/>
                      <w:color w:val="auto"/>
                      <w:sz w:val="21"/>
                      <w:szCs w:val="21"/>
                      <w:lang w:eastAsia="zh-CN"/>
                    </w:rPr>
                    <w:t>）</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废气处理</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脉冲式布袋除尘器收尘（345-003-09）</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1.8459</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1.8459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试压</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循环水池沉淀物</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焊烟处理</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焊烟净化器收尘（345-003-09）</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0.1854</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暂存于一般固废区</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收集后外售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restar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保养维护</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含油废手套抹布</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危险废物900-041-49</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有机废物</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7</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暂存于厂区垃圾桶内</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环卫部门定期清运</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r>
                    <w:rPr>
                      <w:rFonts w:hint="default" w:ascii="Times New Roman" w:hAnsi="Times New Roman" w:eastAsia="宋体" w:cs="Times New Roman"/>
                      <w:color w:val="auto"/>
                      <w:sz w:val="24"/>
                      <w:szCs w:val="24"/>
                      <w:lang w:val="en-US" w:eastAsia="zh-CN"/>
                    </w:rPr>
                    <w:t>900-249-08</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有机废物</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T，I</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不在厂区内暂存</w:t>
                  </w:r>
                </w:p>
              </w:tc>
              <w:tc>
                <w:tcPr>
                  <w:tcW w:w="543" w:type="pct"/>
                  <w:vMerge w:val="restar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暂存于危废暂存间内，委托具有危险废物处理资质的单位进行处理处置</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废液压油</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r>
                    <w:rPr>
                      <w:rFonts w:hint="default" w:ascii="Times New Roman" w:hAnsi="Times New Roman" w:eastAsia="宋体" w:cs="Times New Roman"/>
                      <w:color w:val="auto"/>
                      <w:sz w:val="24"/>
                      <w:szCs w:val="24"/>
                      <w:lang w:val="en-US" w:eastAsia="zh-CN"/>
                    </w:rPr>
                    <w:t>900-218-08</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有机废物</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T，I</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不在厂区内暂存</w:t>
                  </w:r>
                </w:p>
              </w:tc>
              <w:tc>
                <w:tcPr>
                  <w:tcW w:w="543"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废油桶</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危险废物900-249-08</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有机废物</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T，I</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个</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w:t>
                  </w:r>
                  <w:r>
                    <w:rPr>
                      <w:rFonts w:hint="default" w:ascii="Times New Roman" w:hAnsi="Times New Roman" w:eastAsia="宋体" w:cs="Times New Roman"/>
                      <w:color w:val="auto"/>
                      <w:sz w:val="21"/>
                      <w:szCs w:val="21"/>
                      <w:lang w:val="en-US" w:eastAsia="zh-CN"/>
                    </w:rPr>
                    <w:t>危废间</w:t>
                  </w:r>
                </w:p>
              </w:tc>
              <w:tc>
                <w:tcPr>
                  <w:tcW w:w="543" w:type="pct"/>
                  <w:vMerge w:val="continue"/>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7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生产生活</w:t>
                  </w:r>
                </w:p>
              </w:tc>
              <w:tc>
                <w:tcPr>
                  <w:tcW w:w="1080"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69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0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48"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2"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645"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暂存于厂区垃圾桶内</w:t>
                  </w:r>
                </w:p>
              </w:tc>
              <w:tc>
                <w:tcPr>
                  <w:tcW w:w="543"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环卫部门定期清运</w:t>
                  </w:r>
                </w:p>
              </w:tc>
              <w:tc>
                <w:tcPr>
                  <w:tcW w:w="557" w:type="pct"/>
                  <w:vAlign w:val="center"/>
                </w:tcPr>
                <w:p>
                  <w:pPr>
                    <w:keepNext w:val="0"/>
                    <w:keepLines w:val="0"/>
                    <w:pageBreakBefore w:val="0"/>
                    <w:widowControl w:val="0"/>
                    <w:shd w:val="clear"/>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color w:val="auto"/>
                <w:sz w:val="24"/>
                <w:szCs w:val="24"/>
              </w:rPr>
              <w:t>环</w:t>
            </w:r>
            <w:r>
              <w:rPr>
                <w:rFonts w:hint="default" w:ascii="Times New Roman" w:hAnsi="Times New Roman" w:eastAsia="宋体" w:cs="Times New Roman"/>
                <w:color w:val="auto"/>
                <w:sz w:val="24"/>
                <w:szCs w:val="24"/>
              </w:rPr>
              <w:t>境管理要求</w:t>
            </w:r>
            <w:r>
              <w:rPr>
                <w:rFonts w:hint="default" w:ascii="Times New Roman" w:hAnsi="Times New Roman" w:eastAsia="宋体" w:cs="Times New Roman"/>
                <w:color w:val="auto"/>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1.一般固废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拟建项目产生的一般固体废物，应严格按照《中华人民共和国固体废物污染环境防治法》的要求规范建设和维护厂区内的固体废物临时堆放场，必须做好该堆放场防雨、防风、防渗、防漏等措施，并制定好固体废物转移运输途中的污染防治。一般固废处置符合《一般工业固体废物贮存和填埋污染控制标准》（GB 18599-2020）</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生活垃圾全部袋装化，定时收集，垃圾桶密封无渗漏，集中收集后，委托环卫部门收集处置。生活垃圾不会直接排入环境，减少了对环境的影响。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2.危险废物</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本项目在厂房内东北侧设置一座2m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危废间1座，本次环评针对危废管理提出以下要求：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①危废暂存库要严格按照《危险废物贮存污染控制标准》（GB18597-2023）要求进行防渗工程设计施工，并配备消防设备。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②存储容器做到防腐、防漏，暂存于危废暂存间，设置危险废物标识。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③根据《挥发性有机物无组织排放控制标准》（GB37822-2019）10.4要求对危险废物设置专人管理和登记，建立危险废物储存台账，如实记录危险废物储存和处理情况，台账保存期限不小于5年。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④危险废物定期由有资质单位负责转运处理，企业不得私自转运。转移严格按照《危险废物转移联单管理办法》的相关要求执行。</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a）建立环境管理台账制度，落实台账记录的责任单位和责任人，明确工作职责，包括台账的记录、整理、维护和管理等；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b）有组织废气治理设施记录设施运行时间、运行参数、污染物排放情况；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c）无组织废气排放控制记录措施执行情况；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d）生产设施运行情况，记录统计时段内的主要产品产量；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e）排污单位在特殊时段应记录管理要求、执行情况等。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公司应设置专门危险固废管理机构，作为厂内环境管理、监测的重要组成部分，主要负责危险固废的收集、贮存及处置，按月统计公司危险废物种类、产生量、暂存时间、交由处置时间等，并按月向当地环保部门报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本项目还应积极采用先进技术，注重清洁生产，在生产过程中尽量降低固废的产生量。工程产生的固体废物要及时运走，不要积存，以减轻对周围环境的影响。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设置专门的固废暂存处，固废暂存处封闭设置，地面进行硬化处理，可以做到防渗漏、防雨淋、防扬尘等环境保护要求，一般固废暂存满足《中华人民共和国固体废物污染环境防治法》相关要求；危险废物处置满足《危险废物贮存污染控制标准》（GB18597-2023）。产生的固体废物均得到了妥善处置，对周围环境产生的影响较小。</w:t>
            </w:r>
          </w:p>
          <w:p>
            <w:pPr>
              <w:pStyle w:val="46"/>
              <w:shd w:val="clear"/>
              <w:spacing w:line="360" w:lineRule="auto"/>
              <w:outlineLvl w:val="4"/>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表4-9 转让后全厂危险废物贮存场所（设施）基本情况表</w:t>
            </w:r>
          </w:p>
          <w:tbl>
            <w:tblPr>
              <w:tblStyle w:val="23"/>
              <w:tblW w:w="54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807"/>
              <w:gridCol w:w="1030"/>
              <w:gridCol w:w="1299"/>
              <w:gridCol w:w="653"/>
              <w:gridCol w:w="736"/>
              <w:gridCol w:w="655"/>
              <w:gridCol w:w="1153"/>
              <w:gridCol w:w="65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6" w:type="pct"/>
              </w:trPr>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贮存场所（设施）名</w:t>
                  </w:r>
                </w:p>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称</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危险废物名称</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危险废物类别</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危险废物代码</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位置</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贮存能力（个）</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6" w:type="pct"/>
              </w:trPr>
              <w:tc>
                <w:tcPr>
                  <w:tcW w:w="0" w:type="auto"/>
                  <w:vMerge w:val="restart"/>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危险废物暂存间</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w:t>
                  </w:r>
                  <w:r>
                    <w:rPr>
                      <w:rFonts w:hint="default" w:ascii="Times New Roman" w:hAnsi="Times New Roman" w:eastAsia="宋体" w:cs="Times New Roman"/>
                      <w:color w:val="auto"/>
                      <w:sz w:val="21"/>
                      <w:szCs w:val="21"/>
                    </w:rPr>
                    <w:t>油桶</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900-249-08</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车间西侧</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2</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10个</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6" w:type="pct"/>
              </w:trPr>
              <w:tc>
                <w:tcPr>
                  <w:tcW w:w="0" w:type="auto"/>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900-249-08</w:t>
                  </w:r>
                </w:p>
              </w:tc>
              <w:tc>
                <w:tcPr>
                  <w:tcW w:w="0" w:type="auto"/>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车间西侧</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2</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桶装</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0.06t</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6" w:type="pct"/>
              </w:trPr>
              <w:tc>
                <w:tcPr>
                  <w:tcW w:w="0" w:type="auto"/>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废液压油</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900-218-08</w:t>
                  </w:r>
                </w:p>
              </w:tc>
              <w:tc>
                <w:tcPr>
                  <w:tcW w:w="0" w:type="auto"/>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车间西侧</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2</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桶装</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0.02t</w:t>
                  </w:r>
                </w:p>
              </w:tc>
              <w:tc>
                <w:tcPr>
                  <w:tcW w:w="0" w:type="auto"/>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废活性炭</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HW49</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900-039-49</w:t>
                  </w:r>
                </w:p>
              </w:tc>
              <w:tc>
                <w:tcPr>
                  <w:tcW w:w="654" w:type="dxa"/>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车间西侧</w:t>
                  </w:r>
                </w:p>
              </w:tc>
              <w:tc>
                <w:tcPr>
                  <w:tcW w:w="0" w:type="auto"/>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2</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袋装</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0.5</w:t>
                  </w:r>
                  <w:r>
                    <w:rPr>
                      <w:rFonts w:hint="default" w:ascii="Times New Roman" w:hAnsi="Times New Roman" w:eastAsia="宋体" w:cs="Times New Roman"/>
                      <w:color w:val="auto"/>
                      <w:kern w:val="0"/>
                      <w:szCs w:val="21"/>
                    </w:rPr>
                    <w:t>t</w:t>
                  </w:r>
                </w:p>
              </w:tc>
              <w:tc>
                <w:tcPr>
                  <w:tcW w:w="0" w:type="auto"/>
                  <w:vAlign w:val="center"/>
                </w:tcPr>
                <w:p>
                  <w:pPr>
                    <w:shd w:val="clea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1年</w:t>
                  </w:r>
                </w:p>
              </w:tc>
              <w:tc>
                <w:tcPr>
                  <w:tcW w:w="386" w:type="pct"/>
                  <w:vAlign w:val="center"/>
                </w:tcPr>
                <w:p>
                  <w:pPr>
                    <w:shd w:val="clea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eastAsia="zh-CN"/>
                    </w:rPr>
                    <w:t>废滤芯</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HW49</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900-041-49</w:t>
                  </w:r>
                </w:p>
              </w:tc>
              <w:tc>
                <w:tcPr>
                  <w:tcW w:w="654" w:type="dxa"/>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车间西侧</w:t>
                  </w:r>
                </w:p>
              </w:tc>
              <w:tc>
                <w:tcPr>
                  <w:tcW w:w="0" w:type="auto"/>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2</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袋装</w:t>
                  </w:r>
                </w:p>
              </w:tc>
              <w:tc>
                <w:tcPr>
                  <w:tcW w:w="0" w:type="auto"/>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0.5t</w:t>
                  </w:r>
                </w:p>
              </w:tc>
              <w:tc>
                <w:tcPr>
                  <w:tcW w:w="0" w:type="auto"/>
                  <w:vAlign w:val="center"/>
                </w:tcPr>
                <w:p>
                  <w:pPr>
                    <w:shd w:val="clea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1年</w:t>
                  </w:r>
                </w:p>
              </w:tc>
              <w:tc>
                <w:tcPr>
                  <w:tcW w:w="386" w:type="pct"/>
                  <w:vAlign w:val="center"/>
                </w:tcPr>
                <w:p>
                  <w:pPr>
                    <w:shd w:val="clea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1年</w:t>
                  </w:r>
                </w:p>
              </w:tc>
            </w:tr>
          </w:tbl>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4"/>
                <w:szCs w:val="24"/>
              </w:rPr>
              <w:t>、地下水、土壤</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位于文昌湖区</w:t>
            </w:r>
            <w:r>
              <w:rPr>
                <w:rFonts w:hint="default" w:ascii="Times New Roman" w:hAnsi="Times New Roman" w:eastAsia="宋体" w:cs="Times New Roman"/>
                <w:color w:val="auto"/>
                <w:sz w:val="24"/>
                <w:szCs w:val="24"/>
                <w:lang w:eastAsia="zh-CN"/>
              </w:rPr>
              <w:t>萌水镇金山村</w:t>
            </w:r>
            <w:r>
              <w:rPr>
                <w:rFonts w:hint="default"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rPr>
              <w:t>，不属于地下水水源地补给区。为防止项目运营后对周围地下水、土壤环境造成污染，企业措施应按照“源头控制、分区防治、污染监控、应急响应”相结合的原则，从污染物的产生、入渗、扩散、应急响应进行控制。</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拟建项目采取分区防渗的治理措施，化粪池、危废间、循环水池设为重点防渗区，防渗层要求达到等效粘土防渗层厚度6米以上、渗透系数不大于10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cm/s，或参照GB18598执行防渗处理；生产车间、一般固废暂存区为一般防渗区，防渗层要求达到等效粘土防渗层厚度1.5米以上、渗透系数不大于10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cm/s，或参照GB16889执行防渗处理；办公区、公用工程区域为简单防渗区进行一般地面硬化。</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采取以上防治措施后，建设项目对周围地下水和土壤的影响可得到有效控制，避免对地下水和土壤产生影响。</w:t>
            </w:r>
          </w:p>
          <w:p>
            <w:pPr>
              <w:shd w:val="clear"/>
              <w:autoSpaceDE w:val="0"/>
              <w:autoSpaceDN w:val="0"/>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表4-1</w:t>
            </w:r>
            <w:r>
              <w:rPr>
                <w:rFonts w:hint="default"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rPr>
              <w:t xml:space="preserve"> 污染影响敏感程度分级表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710"/>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24"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防渗分区</w:t>
                  </w:r>
                </w:p>
              </w:tc>
              <w:tc>
                <w:tcPr>
                  <w:tcW w:w="1048"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厂区分布</w:t>
                  </w:r>
                </w:p>
              </w:tc>
              <w:tc>
                <w:tcPr>
                  <w:tcW w:w="3427"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24"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rPr>
                    <w:t>简单</w:t>
                  </w:r>
                  <w:r>
                    <w:rPr>
                      <w:rFonts w:hint="default" w:ascii="Times New Roman" w:hAnsi="Times New Roman" w:eastAsia="宋体" w:cs="Times New Roman"/>
                      <w:color w:val="auto"/>
                      <w:lang w:val="en-US" w:eastAsia="zh-CN"/>
                    </w:rPr>
                    <w:t>防渗区</w:t>
                  </w:r>
                </w:p>
              </w:tc>
              <w:tc>
                <w:tcPr>
                  <w:tcW w:w="1048"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办公区</w:t>
                  </w:r>
                </w:p>
              </w:tc>
              <w:tc>
                <w:tcPr>
                  <w:tcW w:w="3427"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24"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w:t>
                  </w:r>
                  <w:r>
                    <w:rPr>
                      <w:rFonts w:hint="default" w:ascii="Times New Roman" w:hAnsi="Times New Roman" w:eastAsia="宋体" w:cs="Times New Roman"/>
                      <w:color w:val="auto"/>
                      <w:lang w:val="en-US" w:eastAsia="zh-CN"/>
                    </w:rPr>
                    <w:t>防渗区</w:t>
                  </w:r>
                </w:p>
              </w:tc>
              <w:tc>
                <w:tcPr>
                  <w:tcW w:w="1048"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生产车间、一般固废暂存区</w:t>
                  </w:r>
                </w:p>
              </w:tc>
              <w:tc>
                <w:tcPr>
                  <w:tcW w:w="3427"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地面防渗自上而下：①水泥砂浆结合层一道；②100mm厚c15混凝土随打随抹光；③3:7水泥土夯实。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24"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重点</w:t>
                  </w:r>
                  <w:r>
                    <w:rPr>
                      <w:rFonts w:hint="default" w:ascii="Times New Roman" w:hAnsi="Times New Roman" w:eastAsia="宋体" w:cs="Times New Roman"/>
                      <w:color w:val="auto"/>
                      <w:lang w:val="en-US" w:eastAsia="zh-CN"/>
                    </w:rPr>
                    <w:t>防渗区</w:t>
                  </w:r>
                </w:p>
              </w:tc>
              <w:tc>
                <w:tcPr>
                  <w:tcW w:w="1048"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危废暂存间</w:t>
                  </w:r>
                  <w:r>
                    <w:rPr>
                      <w:rFonts w:hint="default" w:ascii="Times New Roman" w:hAnsi="Times New Roman" w:eastAsia="宋体" w:cs="Times New Roman"/>
                      <w:color w:val="auto"/>
                      <w:lang w:eastAsia="zh-CN"/>
                    </w:rPr>
                    <w:t>、化粪池</w:t>
                  </w:r>
                </w:p>
              </w:tc>
              <w:tc>
                <w:tcPr>
                  <w:tcW w:w="3427"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10cm厚抗渗混凝土硬化，渗透系数小于1×10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w:t>
                  </w:r>
                </w:p>
              </w:tc>
            </w:tr>
          </w:tbl>
          <w:p>
            <w:pPr>
              <w:pStyle w:val="30"/>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项目运行期间，在各防渗措施按照要求严格落实情况下，正常工况下不存在土壤、地下水环境污染途径，基本不会对地下水、土壤环境造成不利影响。</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6、生态</w:t>
            </w:r>
          </w:p>
          <w:p>
            <w:pPr>
              <w:pStyle w:val="30"/>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利用淄博新诚泰机械有限公司现有厂房进行建设，不新增用地，项目所在区域内无珍稀名贵物种，该建设项目的实施不会对生物栖息环境造成敏感影响。项目周围生态环境基本可维持现状，不会造成区域内生态环境的明显改变，对整个区域生态环境影响较小。</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7、环境风险</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（1）环境风险物质</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结合《危险化学品重大危险源辨识》（GB18218-2018）与《建设项目环境风险评价技术导则》（HJ169-2018）中辨识重大危险源的依据和方法，本项目所用原辅材料涉及环境风险限物质为丙烷，储量较低，环境风险潜势为Ⅰ。参照《建设项目环境风险评价技术导则》（HJ169-2018）表1评价工作等级划分，环境风险潜势为Ⅰ时，评价工作等级为简单分析。</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产污环节分析，项目生产过程中产生大气污染物为颗粒物。项目不构成重大危险源。项目原辅材料丙烷为易燃可燃物质；项目可能发生的风险为管理不当、电气设备及线路老化等引起的火灾事故及原料、危废仓库泄漏，火灾一旦发生，对周围环境影响严重。综合上述分析，本项目最大可信事故确定为原辅材料泄漏遇明火引发的火灾事故。火灾的影响主要表现在：在火灾过程中，物体燃烧后产生高温和烟雾可以使人体受到伤害，甚至危及人的生命；火灾会毁坏物资，造成经济损失；火灾中释放的烟气将对周围大气环境造成一定的污染。为了避免在生产过程中发生火灾事故，建设单位需</w:t>
            </w:r>
            <w:r>
              <w:rPr>
                <w:rFonts w:hint="eastAsia" w:cs="Times New Roman"/>
                <w:color w:val="auto"/>
                <w:sz w:val="24"/>
                <w:szCs w:val="24"/>
                <w:lang w:val="en-US" w:eastAsia="zh-CN"/>
              </w:rPr>
              <w:t>做出相应的</w:t>
            </w:r>
            <w:r>
              <w:rPr>
                <w:rFonts w:hint="default" w:ascii="Times New Roman" w:hAnsi="Times New Roman" w:eastAsia="宋体" w:cs="Times New Roman"/>
                <w:color w:val="auto"/>
                <w:sz w:val="24"/>
                <w:szCs w:val="24"/>
                <w:lang w:val="en-US" w:eastAsia="zh-CN"/>
              </w:rPr>
              <w:t>防范措施。</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严禁烟火，加强管理，严格操作规范，制定一系列的防火规章制度。</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严格执行劳动部《生产设备安全卫生设计总则》等有关法规。</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厂区按《建筑灭火器配置设计规范》配置手提式干粉灭火器和推车式干粉灭火器。</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操作人员必须经过专门培训，做到持证上岗，并且严格遵守操作规程。</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加强日常巡检工作，及时发现、处理故障，保证安全生产，严格落实各项安全与环保措施，防止事故造成的环境污染。</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各种生产设备应定期检修保养，确保设备正常运行。</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对安全及环保管理人员进行安全与环保知识培训，熟悉国家安全生产方针、政策、法规、标准，增强安全意识和法制观念，掌握安全卫生基本知识，具有一定的安全管理和决策能力。</w:t>
            </w:r>
          </w:p>
          <w:p>
            <w:pPr>
              <w:numPr>
                <w:ilvl w:val="0"/>
                <w:numId w:val="12"/>
              </w:num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发生火灾事故应立即上报企业负责人，切断火源，隔离现场，疏散周围群众。需要紧急撤离的情况，应按照统一的撤退信号和方法及时撤退。通过消防灭火，采用干粉、二氧化碳等灭火器灭火，降低燃烧强度。扑灭火灾后，应继续洒水降温、消灭余火，同时需对火灾现场进行保护，接受事故调查。为了避免事故状态下，消防废水排放对地表水体影响，建设单位应参照《事故状态下水体污染的预防与控制技术要求》（QSY1190-2013），建立水环境风险三级防控体系。</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在落实好本次环评提出的风险防范措施的前提下，项目存在的风险较小。该项目环境风险可以接受。</w:t>
            </w:r>
          </w:p>
          <w:p>
            <w:pPr>
              <w:shd w:val="clea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8、电磁辐射</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不属于广播电台、差转台、电视塔台、卫星地球上行站、雷达等电磁辐射类项目，本评价不再开展电磁环境影响分析</w:t>
            </w:r>
            <w:r>
              <w:rPr>
                <w:rFonts w:hint="default" w:ascii="Times New Roman" w:hAnsi="Times New Roman" w:eastAsia="宋体" w:cs="Times New Roman"/>
                <w:color w:val="auto"/>
                <w:sz w:val="24"/>
                <w:szCs w:val="24"/>
                <w:lang w:eastAsia="zh-CN"/>
              </w:rPr>
              <w:t>。</w:t>
            </w:r>
          </w:p>
          <w:p>
            <w:pPr>
              <w:shd w:val="clear"/>
              <w:adjustRightInd w:val="0"/>
              <w:snapToGrid w:val="0"/>
              <w:spacing w:line="360" w:lineRule="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9、环境管理与监测计划</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（1）环境管理</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1）环境保护机构的设置根据《建设项目环境保护设计规定》有关要求，应设置环境管理机构，定员1人。也可委托第三方进行日常监测，为环境管理提供可靠的依据。建设单位委托具有监测资质单位进行定期监测。</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2）环境管理要点</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①“三同时”验收</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根据《建设项目环境保护管理条例》及其修改决定（国务院令第682号），建设项目竣工后，建设单位应进行竣工验收，验收通过后项目方可正式投产运行。</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②制定环境管理文件及实施细则根据国家、地方政府对企业环境管理的基本要求，结合项目的具体情况，制定环境管理文件和实施细则。</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③信息公开</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根据《建设项目环境保护事中事后监督管理办法（试行）》要求，建设单位应当主动向社会公开建设项目环境影响评价文件、污染防治设施建设运行情况、污染物排放情况、突发环境事件应急预案及应对情况等环境信息。</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（2）环境监测</w:t>
            </w:r>
          </w:p>
          <w:p>
            <w:pPr>
              <w:shd w:val="clear"/>
              <w:spacing w:line="360" w:lineRule="auto"/>
              <w:ind w:firstLine="480" w:firstLineChars="200"/>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1）监测仪器的配备建议建设单位依托社会监测机构。</w:t>
            </w:r>
          </w:p>
          <w:p>
            <w:pPr>
              <w:shd w:val="clear"/>
              <w:spacing w:line="360" w:lineRule="auto"/>
              <w:ind w:firstLine="480" w:firstLineChars="200"/>
              <w:rPr>
                <w:rFonts w:hint="default" w:ascii="Times New Roman" w:hAnsi="Times New Roman" w:eastAsia="宋体" w:cs="Times New Roman"/>
                <w:color w:val="auto"/>
                <w:spacing w:val="0"/>
                <w:position w:val="0"/>
              </w:rPr>
            </w:pPr>
            <w:r>
              <w:rPr>
                <w:rFonts w:hint="default" w:ascii="Times New Roman" w:hAnsi="Times New Roman" w:eastAsia="宋体" w:cs="Times New Roman"/>
                <w:color w:val="auto"/>
                <w:spacing w:val="0"/>
                <w:position w:val="0"/>
                <w:sz w:val="24"/>
                <w:szCs w:val="24"/>
              </w:rPr>
              <w:t>2）监测计划根据项目特点拟定的监测计划见下表，监测方法采用国家标准测试方法。</w:t>
            </w:r>
          </w:p>
          <w:p>
            <w:pPr>
              <w:shd w:val="clear"/>
              <w:spacing w:line="360" w:lineRule="auto"/>
              <w:jc w:val="center"/>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表</w:t>
            </w:r>
            <w:r>
              <w:rPr>
                <w:rFonts w:hint="default" w:ascii="Times New Roman" w:hAnsi="Times New Roman" w:eastAsia="宋体" w:cs="Times New Roman"/>
                <w:b/>
                <w:bCs/>
                <w:color w:val="auto"/>
                <w:spacing w:val="0"/>
                <w:position w:val="0"/>
                <w:sz w:val="24"/>
                <w:szCs w:val="24"/>
                <w:lang w:val="en-US" w:eastAsia="zh-CN"/>
              </w:rPr>
              <w:t>4- 11</w:t>
            </w:r>
            <w:r>
              <w:rPr>
                <w:rFonts w:hint="default" w:ascii="Times New Roman" w:hAnsi="Times New Roman" w:eastAsia="宋体" w:cs="Times New Roman"/>
                <w:b/>
                <w:bCs/>
                <w:color w:val="auto"/>
                <w:spacing w:val="0"/>
                <w:position w:val="0"/>
                <w:sz w:val="24"/>
                <w:szCs w:val="24"/>
              </w:rPr>
              <w:t>污染源监测计划表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8"/>
              <w:gridCol w:w="1485"/>
              <w:gridCol w:w="683"/>
              <w:gridCol w:w="533"/>
              <w:gridCol w:w="610"/>
              <w:gridCol w:w="590"/>
              <w:gridCol w:w="781"/>
              <w:gridCol w:w="597"/>
              <w:gridCol w:w="76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4" w:type="pct"/>
                  <w:vAlign w:val="center"/>
                </w:tcPr>
                <w:p>
                  <w:pPr>
                    <w:shd w:val="clear"/>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w:t>
                  </w:r>
                </w:p>
              </w:tc>
              <w:tc>
                <w:tcPr>
                  <w:tcW w:w="372"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排放口</w:t>
                  </w:r>
                </w:p>
              </w:tc>
              <w:tc>
                <w:tcPr>
                  <w:tcW w:w="910"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地理坐标</w:t>
                  </w:r>
                </w:p>
              </w:tc>
              <w:tc>
                <w:tcPr>
                  <w:tcW w:w="475"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类型</w:t>
                  </w:r>
                </w:p>
              </w:tc>
              <w:tc>
                <w:tcPr>
                  <w:tcW w:w="383"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高度/m</w:t>
                  </w:r>
                </w:p>
              </w:tc>
              <w:tc>
                <w:tcPr>
                  <w:tcW w:w="430"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内径/m</w:t>
                  </w:r>
                </w:p>
              </w:tc>
              <w:tc>
                <w:tcPr>
                  <w:tcW w:w="418"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温度/℃</w:t>
                  </w:r>
                </w:p>
              </w:tc>
              <w:tc>
                <w:tcPr>
                  <w:tcW w:w="535"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监测因子</w:t>
                  </w:r>
                </w:p>
              </w:tc>
              <w:tc>
                <w:tcPr>
                  <w:tcW w:w="422" w:type="pct"/>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c>
                <w:tcPr>
                  <w:tcW w:w="739" w:type="pct"/>
                  <w:gridSpan w:val="2"/>
                  <w:vAlign w:val="center"/>
                </w:tcPr>
                <w:p>
                  <w:pPr>
                    <w:shd w:val="clea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排放标准</w:t>
                  </w:r>
                  <w:r>
                    <w:rPr>
                      <w:rFonts w:hint="default" w:ascii="Times New Roman" w:hAnsi="Times New Roman" w:eastAsia="宋体" w:cs="Times New Roman"/>
                      <w:b/>
                      <w:color w:val="auto"/>
                      <w:kern w:val="0"/>
                      <w:sz w:val="21"/>
                      <w:szCs w:val="21"/>
                    </w:rPr>
                    <w:t>/mg/m</w:t>
                  </w:r>
                  <w:r>
                    <w:rPr>
                      <w:rFonts w:hint="default" w:ascii="Times New Roman" w:hAnsi="Times New Roman" w:eastAsia="宋体" w:cs="Times New Roman"/>
                      <w:b/>
                      <w:color w:val="auto"/>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4" w:type="pct"/>
                  <w:vMerge w:val="restart"/>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废气</w:t>
                  </w:r>
                </w:p>
              </w:tc>
              <w:tc>
                <w:tcPr>
                  <w:tcW w:w="372"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P</w:t>
                  </w:r>
                  <w:r>
                    <w:rPr>
                      <w:rFonts w:hint="default" w:ascii="Times New Roman" w:hAnsi="Times New Roman" w:eastAsia="宋体" w:cs="Times New Roman"/>
                      <w:color w:val="auto"/>
                      <w:kern w:val="0"/>
                      <w:sz w:val="21"/>
                      <w:szCs w:val="21"/>
                    </w:rPr>
                    <w:t>1</w:t>
                  </w:r>
                </w:p>
              </w:tc>
              <w:tc>
                <w:tcPr>
                  <w:tcW w:w="910"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w:t>
                  </w:r>
                  <w:r>
                    <w:rPr>
                      <w:rFonts w:hint="default" w:ascii="Times New Roman" w:hAnsi="Times New Roman" w:eastAsia="宋体" w:cs="Times New Roman"/>
                      <w:color w:val="auto"/>
                      <w:kern w:val="0"/>
                      <w:sz w:val="21"/>
                      <w:szCs w:val="21"/>
                      <w:lang w:val="en-US" w:eastAsia="zh-CN"/>
                    </w:rPr>
                    <w:t>117.839183</w:t>
                  </w:r>
                  <w:r>
                    <w:rPr>
                      <w:rFonts w:hint="default" w:ascii="Times New Roman" w:hAnsi="Times New Roman" w:eastAsia="宋体" w:cs="Times New Roman"/>
                      <w:color w:val="auto"/>
                      <w:kern w:val="0"/>
                      <w:sz w:val="21"/>
                      <w:szCs w:val="21"/>
                    </w:rPr>
                    <w:t>°</w:t>
                  </w:r>
                </w:p>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val="en-US" w:eastAsia="zh-CN"/>
                    </w:rPr>
                    <w:t>36.735269</w:t>
                  </w:r>
                  <w:r>
                    <w:rPr>
                      <w:rFonts w:hint="default" w:ascii="Times New Roman" w:hAnsi="Times New Roman" w:eastAsia="宋体" w:cs="Times New Roman"/>
                      <w:color w:val="auto"/>
                      <w:kern w:val="0"/>
                      <w:sz w:val="21"/>
                      <w:szCs w:val="21"/>
                    </w:rPr>
                    <w:t>°</w:t>
                  </w:r>
                </w:p>
              </w:tc>
              <w:tc>
                <w:tcPr>
                  <w:tcW w:w="475"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一般排放口</w:t>
                  </w:r>
                </w:p>
              </w:tc>
              <w:tc>
                <w:tcPr>
                  <w:tcW w:w="383"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430"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w:t>
                  </w:r>
                </w:p>
              </w:tc>
              <w:tc>
                <w:tcPr>
                  <w:tcW w:w="418" w:type="pct"/>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535" w:type="pct"/>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422"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1次/年</w:t>
                  </w:r>
                </w:p>
              </w:tc>
              <w:tc>
                <w:tcPr>
                  <w:tcW w:w="739" w:type="pct"/>
                  <w:gridSpan w:val="2"/>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4" w:type="pct"/>
                  <w:vMerge w:val="continue"/>
                  <w:vAlign w:val="center"/>
                </w:tcPr>
                <w:p>
                  <w:pPr>
                    <w:shd w:val="clear"/>
                    <w:jc w:val="center"/>
                    <w:rPr>
                      <w:rFonts w:hint="default" w:ascii="Times New Roman" w:hAnsi="Times New Roman" w:eastAsia="宋体" w:cs="Times New Roman"/>
                      <w:color w:val="auto"/>
                      <w:kern w:val="0"/>
                      <w:sz w:val="21"/>
                      <w:szCs w:val="21"/>
                      <w:lang w:val="en-US" w:eastAsia="zh-CN"/>
                    </w:rPr>
                  </w:pPr>
                </w:p>
              </w:tc>
              <w:tc>
                <w:tcPr>
                  <w:tcW w:w="372" w:type="pct"/>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P2</w:t>
                  </w:r>
                </w:p>
              </w:tc>
              <w:tc>
                <w:tcPr>
                  <w:tcW w:w="910"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w:t>
                  </w:r>
                  <w:r>
                    <w:rPr>
                      <w:rFonts w:hint="default" w:ascii="Times New Roman" w:hAnsi="Times New Roman" w:eastAsia="宋体" w:cs="Times New Roman"/>
                      <w:color w:val="auto"/>
                      <w:kern w:val="0"/>
                      <w:sz w:val="21"/>
                      <w:szCs w:val="21"/>
                      <w:lang w:val="en-US" w:eastAsia="zh-CN"/>
                    </w:rPr>
                    <w:t>117.838958</w:t>
                  </w:r>
                  <w:r>
                    <w:rPr>
                      <w:rFonts w:hint="default" w:ascii="Times New Roman" w:hAnsi="Times New Roman" w:eastAsia="宋体" w:cs="Times New Roman"/>
                      <w:color w:val="auto"/>
                      <w:kern w:val="0"/>
                      <w:sz w:val="21"/>
                      <w:szCs w:val="21"/>
                    </w:rPr>
                    <w:t>°</w:t>
                  </w:r>
                </w:p>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val="en-US" w:eastAsia="zh-CN"/>
                    </w:rPr>
                    <w:t>36.735266</w:t>
                  </w:r>
                  <w:r>
                    <w:rPr>
                      <w:rFonts w:hint="default" w:ascii="Times New Roman" w:hAnsi="Times New Roman" w:eastAsia="宋体" w:cs="Times New Roman"/>
                      <w:color w:val="auto"/>
                      <w:kern w:val="0"/>
                      <w:sz w:val="21"/>
                      <w:szCs w:val="21"/>
                    </w:rPr>
                    <w:t>°</w:t>
                  </w:r>
                </w:p>
              </w:tc>
              <w:tc>
                <w:tcPr>
                  <w:tcW w:w="475"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一般排放口</w:t>
                  </w:r>
                </w:p>
              </w:tc>
              <w:tc>
                <w:tcPr>
                  <w:tcW w:w="383"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430"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w:t>
                  </w:r>
                </w:p>
              </w:tc>
              <w:tc>
                <w:tcPr>
                  <w:tcW w:w="418"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20</w:t>
                  </w:r>
                </w:p>
              </w:tc>
              <w:tc>
                <w:tcPr>
                  <w:tcW w:w="535"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VOCs</w:t>
                  </w:r>
                </w:p>
              </w:tc>
              <w:tc>
                <w:tcPr>
                  <w:tcW w:w="422" w:type="pct"/>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1次/年</w:t>
                  </w:r>
                </w:p>
              </w:tc>
              <w:tc>
                <w:tcPr>
                  <w:tcW w:w="739" w:type="pct"/>
                  <w:gridSpan w:val="2"/>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14"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2988" w:type="pct"/>
                  <w:gridSpan w:val="6"/>
                  <w:vMerge w:val="restar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w:t>
                  </w:r>
                </w:p>
              </w:tc>
              <w:tc>
                <w:tcPr>
                  <w:tcW w:w="535"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w:t>
                  </w:r>
                </w:p>
              </w:tc>
              <w:tc>
                <w:tcPr>
                  <w:tcW w:w="422"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1次/半年</w:t>
                  </w:r>
                </w:p>
              </w:tc>
              <w:tc>
                <w:tcPr>
                  <w:tcW w:w="739"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14"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2988" w:type="pct"/>
                  <w:gridSpan w:val="6"/>
                  <w:vMerge w:val="continue"/>
                  <w:vAlign w:val="center"/>
                </w:tcPr>
                <w:p>
                  <w:pPr>
                    <w:shd w:val="clear"/>
                    <w:jc w:val="center"/>
                    <w:rPr>
                      <w:rFonts w:hint="default" w:ascii="Times New Roman" w:hAnsi="Times New Roman" w:eastAsia="宋体" w:cs="Times New Roman"/>
                      <w:color w:val="auto"/>
                      <w:kern w:val="0"/>
                      <w:sz w:val="21"/>
                      <w:szCs w:val="21"/>
                    </w:rPr>
                  </w:pPr>
                </w:p>
              </w:tc>
              <w:tc>
                <w:tcPr>
                  <w:tcW w:w="535"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w:t>
                  </w:r>
                </w:p>
              </w:tc>
              <w:tc>
                <w:tcPr>
                  <w:tcW w:w="422"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1次/半年</w:t>
                  </w:r>
                </w:p>
              </w:tc>
              <w:tc>
                <w:tcPr>
                  <w:tcW w:w="739"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4"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2988" w:type="pct"/>
                  <w:gridSpan w:val="6"/>
                  <w:vMerge w:val="restar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厂区内</w:t>
                  </w:r>
                </w:p>
              </w:tc>
              <w:tc>
                <w:tcPr>
                  <w:tcW w:w="535" w:type="pct"/>
                  <w:vMerge w:val="restar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w:t>
                  </w:r>
                </w:p>
              </w:tc>
              <w:tc>
                <w:tcPr>
                  <w:tcW w:w="422" w:type="pct"/>
                  <w:vMerge w:val="restar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1次/季度</w:t>
                  </w:r>
                </w:p>
              </w:tc>
              <w:tc>
                <w:tcPr>
                  <w:tcW w:w="291"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448"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1h浓度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14"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2988" w:type="pct"/>
                  <w:gridSpan w:val="6"/>
                  <w:vMerge w:val="continue"/>
                  <w:vAlign w:val="center"/>
                </w:tcPr>
                <w:p>
                  <w:pPr>
                    <w:shd w:val="clear"/>
                    <w:jc w:val="center"/>
                    <w:rPr>
                      <w:rFonts w:hint="default" w:ascii="Times New Roman" w:hAnsi="Times New Roman" w:eastAsia="宋体" w:cs="Times New Roman"/>
                      <w:color w:val="auto"/>
                      <w:kern w:val="0"/>
                      <w:sz w:val="21"/>
                      <w:szCs w:val="21"/>
                    </w:rPr>
                  </w:pPr>
                </w:p>
              </w:tc>
              <w:tc>
                <w:tcPr>
                  <w:tcW w:w="535"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422" w:type="pct"/>
                  <w:vMerge w:val="continue"/>
                  <w:vAlign w:val="center"/>
                </w:tcPr>
                <w:p>
                  <w:pPr>
                    <w:shd w:val="clear"/>
                    <w:jc w:val="center"/>
                    <w:rPr>
                      <w:rFonts w:hint="default" w:ascii="Times New Roman" w:hAnsi="Times New Roman" w:eastAsia="宋体" w:cs="Times New Roman"/>
                      <w:color w:val="auto"/>
                      <w:kern w:val="0"/>
                      <w:sz w:val="21"/>
                      <w:szCs w:val="21"/>
                    </w:rPr>
                  </w:pPr>
                </w:p>
              </w:tc>
              <w:tc>
                <w:tcPr>
                  <w:tcW w:w="291"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448"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14" w:type="pct"/>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噪声</w:t>
                  </w:r>
                </w:p>
              </w:tc>
              <w:tc>
                <w:tcPr>
                  <w:tcW w:w="2988" w:type="pct"/>
                  <w:gridSpan w:val="6"/>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厂界外界（东、南、西、北厂界）1m处</w:t>
                  </w:r>
                </w:p>
              </w:tc>
              <w:tc>
                <w:tcPr>
                  <w:tcW w:w="535"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等效连续A声级</w:t>
                  </w:r>
                </w:p>
              </w:tc>
              <w:tc>
                <w:tcPr>
                  <w:tcW w:w="422" w:type="pct"/>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每季度1次</w:t>
                  </w:r>
                </w:p>
              </w:tc>
              <w:tc>
                <w:tcPr>
                  <w:tcW w:w="739" w:type="pct"/>
                  <w:gridSpan w:val="2"/>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《工业企业厂界环境噪声排放标准》（GB12348-2008）中2类标准</w:t>
                  </w:r>
                  <w:r>
                    <w:rPr>
                      <w:rFonts w:hint="default" w:ascii="Times New Roman" w:hAnsi="Times New Roman" w:eastAsia="宋体" w:cs="Times New Roman"/>
                      <w:color w:val="auto"/>
                      <w:kern w:val="0"/>
                      <w:sz w:val="21"/>
                      <w:szCs w:val="21"/>
                      <w:lang w:val="en-US" w:eastAsia="zh-CN"/>
                    </w:rPr>
                    <w:t xml:space="preserve"> 昼间60dB（A）夜间50dB（A）</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（3）环境保护图形标志</w:t>
            </w:r>
          </w:p>
          <w:p>
            <w:pPr>
              <w:shd w:val="clear"/>
              <w:spacing w:line="360" w:lineRule="auto"/>
              <w:ind w:firstLine="480" w:firstLineChars="200"/>
              <w:jc w:val="left"/>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在噪声排放源</w:t>
            </w:r>
            <w:r>
              <w:rPr>
                <w:rFonts w:hint="default" w:ascii="Times New Roman" w:hAnsi="Times New Roman" w:eastAsia="宋体" w:cs="Times New Roman"/>
                <w:color w:val="auto"/>
                <w:spacing w:val="0"/>
                <w:position w:val="0"/>
                <w:sz w:val="24"/>
                <w:szCs w:val="24"/>
                <w:lang w:eastAsia="zh-CN"/>
              </w:rPr>
              <w:t>、废气排放口</w:t>
            </w:r>
            <w:r>
              <w:rPr>
                <w:rFonts w:hint="default" w:ascii="Times New Roman" w:hAnsi="Times New Roman" w:eastAsia="宋体" w:cs="Times New Roman"/>
                <w:color w:val="auto"/>
                <w:spacing w:val="0"/>
                <w:position w:val="0"/>
                <w:sz w:val="24"/>
                <w:szCs w:val="24"/>
                <w:lang w:val="en-US" w:eastAsia="zh-CN"/>
              </w:rPr>
              <w:t>、一般固废间、危废暂存间</w:t>
            </w:r>
            <w:r>
              <w:rPr>
                <w:rFonts w:hint="default" w:ascii="Times New Roman" w:hAnsi="Times New Roman" w:eastAsia="宋体" w:cs="Times New Roman"/>
                <w:color w:val="auto"/>
                <w:spacing w:val="0"/>
                <w:position w:val="0"/>
                <w:sz w:val="24"/>
                <w:szCs w:val="24"/>
              </w:rPr>
              <w:t>应设置环境保护图形标志，图形符号分为提示图形和警告图形符号两种，分别按GB15562.1-1995、GB15562.2-1995</w:t>
            </w:r>
            <w:r>
              <w:rPr>
                <w:rFonts w:hint="default" w:ascii="Times New Roman" w:hAnsi="Times New Roman" w:eastAsia="宋体" w:cs="Times New Roman"/>
                <w:color w:val="auto"/>
                <w:spacing w:val="0"/>
                <w:position w:val="0"/>
                <w:sz w:val="24"/>
                <w:szCs w:val="24"/>
                <w:lang w:eastAsia="zh-CN"/>
              </w:rPr>
              <w:t>及其修改单</w:t>
            </w:r>
            <w:r>
              <w:rPr>
                <w:rFonts w:hint="default" w:ascii="Times New Roman" w:hAnsi="Times New Roman" w:eastAsia="宋体" w:cs="Times New Roman"/>
                <w:color w:val="auto"/>
                <w:spacing w:val="0"/>
                <w:position w:val="0"/>
                <w:sz w:val="24"/>
                <w:szCs w:val="24"/>
              </w:rPr>
              <w:t>执行。</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环境保护档案管理公司环保员负责项目的环境保护档案管理工作，环保档案实行专人管理责任到人。企业的所有环保资料应分类别整理、分类存档、科学管理，便于统计、查阅。在环境保护档案管理中，应建立如下文件档案：与拟建项目有关的法规、标准、规范和区域规划等；项目建设的有关环境保护的报告、设计方案及审查、审批文件；项目环保工程设施的设计、施工、安装的基础资料及验收资料；公司内部的环境保护管理制度、人员环保培训和考核记录；生态恢复工程、污染治理设施运行管理文件；环境监测记录技术文件；所有导致污染事件的分析报告和</w:t>
            </w:r>
            <w:r>
              <w:rPr>
                <w:rFonts w:hint="default" w:ascii="Times New Roman" w:hAnsi="Times New Roman" w:eastAsia="宋体" w:cs="Times New Roman"/>
                <w:color w:val="auto"/>
                <w:spacing w:val="0"/>
                <w:position w:val="0"/>
                <w:sz w:val="24"/>
                <w:szCs w:val="24"/>
                <w:lang w:eastAsia="zh-CN"/>
              </w:rPr>
              <w:t>监测数据</w:t>
            </w:r>
            <w:r>
              <w:rPr>
                <w:rFonts w:hint="default" w:ascii="Times New Roman" w:hAnsi="Times New Roman" w:eastAsia="宋体" w:cs="Times New Roman"/>
                <w:color w:val="auto"/>
                <w:spacing w:val="0"/>
                <w:position w:val="0"/>
                <w:sz w:val="24"/>
                <w:szCs w:val="24"/>
              </w:rPr>
              <w:t>资料等。</w:t>
            </w:r>
          </w:p>
          <w:p>
            <w:pPr>
              <w:shd w:val="clear"/>
              <w:adjustRightInd w:val="0"/>
              <w:snapToGrid w:val="0"/>
              <w:spacing w:line="360" w:lineRule="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10、以新带老</w:t>
            </w:r>
          </w:p>
          <w:p>
            <w:pPr>
              <w:shd w:val="clea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现有项目于2017年7月取得环评批复：现有项目颗粒物排放总量约为0.4458t/a。本项目+在建项目颗粒物总排放量为</w:t>
            </w:r>
            <w:r>
              <w:rPr>
                <w:rFonts w:hint="eastAsia" w:cs="Times New Roman"/>
                <w:color w:val="auto"/>
                <w:sz w:val="24"/>
                <w:szCs w:val="24"/>
                <w:lang w:val="en-US" w:eastAsia="zh-CN"/>
              </w:rPr>
              <w:t>0.3132</w:t>
            </w:r>
            <w:r>
              <w:rPr>
                <w:rFonts w:hint="default" w:ascii="Times New Roman" w:hAnsi="Times New Roman" w:eastAsia="宋体" w:cs="Times New Roman"/>
                <w:color w:val="auto"/>
                <w:sz w:val="24"/>
                <w:szCs w:val="24"/>
                <w:lang w:val="en-US" w:eastAsia="zh-CN"/>
              </w:rPr>
              <w:t>t/a，颗粒物以新带老削减量约为0.4458t/a；现有项目固废钢材下脚料总排放量约为2.0t/a，本项目+在建项目钢材下脚料总排放量约为3.78t/a，固废钢材下脚料以新带老削减量约为2.0t/a；现有项目废焊头和焊渣总排放量为0.05t/a，本项目+在建项目废焊头和焊渣总排放量约为0.35t/a，废焊头和焊渣以新带老削减量约为0.05t/a；</w:t>
            </w:r>
            <w:r>
              <w:rPr>
                <w:rFonts w:hint="default" w:ascii="Times New Roman" w:hAnsi="Times New Roman" w:eastAsia="宋体" w:cs="Times New Roman"/>
                <w:color w:val="auto"/>
                <w:lang w:val="en-US" w:eastAsia="zh-CN"/>
              </w:rPr>
              <w:t>现有项目金属碎屑总排放量为0</w:t>
            </w:r>
            <w:r>
              <w:rPr>
                <w:rFonts w:hint="default" w:ascii="Times New Roman" w:hAnsi="Times New Roman" w:eastAsia="宋体" w:cs="Times New Roman"/>
                <w:color w:val="auto"/>
                <w:sz w:val="24"/>
                <w:szCs w:val="24"/>
                <w:lang w:val="en-US" w:eastAsia="zh-CN"/>
              </w:rPr>
              <w:t>t/a，本项目+在建项目</w:t>
            </w:r>
            <w:r>
              <w:rPr>
                <w:rFonts w:hint="default" w:ascii="Times New Roman" w:hAnsi="Times New Roman" w:eastAsia="宋体" w:cs="Times New Roman"/>
                <w:color w:val="auto"/>
                <w:lang w:val="en-US" w:eastAsia="zh-CN"/>
              </w:rPr>
              <w:t>金属碎屑总排放量为0.074</w:t>
            </w:r>
            <w:r>
              <w:rPr>
                <w:rFonts w:hint="default" w:ascii="Times New Roman" w:hAnsi="Times New Roman" w:eastAsia="宋体" w:cs="Times New Roman"/>
                <w:color w:val="auto"/>
                <w:sz w:val="24"/>
                <w:szCs w:val="24"/>
                <w:lang w:val="en-US" w:eastAsia="zh-CN"/>
              </w:rPr>
              <w:t>t/a，金属碎屑以新带老削减量为</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sz w:val="24"/>
                <w:szCs w:val="24"/>
                <w:lang w:val="en-US" w:eastAsia="zh-CN"/>
              </w:rPr>
              <w:t>t/a；现有项目脉冲式布袋除尘器收尘总排放量为3.2t/a，本项目+在建项目脉冲式布袋除尘器收尘</w:t>
            </w:r>
            <w:r>
              <w:rPr>
                <w:rFonts w:hint="eastAsia" w:cs="Times New Roman"/>
                <w:color w:val="auto"/>
                <w:sz w:val="24"/>
                <w:szCs w:val="24"/>
                <w:lang w:val="en-US" w:eastAsia="zh-CN"/>
              </w:rPr>
              <w:t>总</w:t>
            </w:r>
            <w:r>
              <w:rPr>
                <w:rFonts w:hint="default" w:ascii="Times New Roman" w:hAnsi="Times New Roman" w:eastAsia="宋体" w:cs="Times New Roman"/>
                <w:color w:val="auto"/>
                <w:sz w:val="24"/>
                <w:szCs w:val="24"/>
                <w:lang w:val="en-US" w:eastAsia="zh-CN"/>
              </w:rPr>
              <w:t>排放量为1.8459t/a，</w:t>
            </w:r>
            <w:r>
              <w:rPr>
                <w:rFonts w:hint="default" w:ascii="Times New Roman" w:hAnsi="Times New Roman" w:eastAsia="宋体" w:cs="Times New Roman"/>
                <w:color w:val="auto"/>
                <w:kern w:val="0"/>
                <w:szCs w:val="21"/>
                <w:lang w:eastAsia="zh-CN"/>
              </w:rPr>
              <w:t>脉冲式布袋除尘器收尘</w:t>
            </w:r>
            <w:r>
              <w:rPr>
                <w:rFonts w:hint="default" w:ascii="Times New Roman" w:hAnsi="Times New Roman" w:eastAsia="宋体" w:cs="Times New Roman"/>
                <w:color w:val="auto"/>
                <w:kern w:val="0"/>
                <w:szCs w:val="21"/>
                <w:lang w:val="en-US" w:eastAsia="zh-CN"/>
              </w:rPr>
              <w:t>以新带老削减量为3.2t/a；</w:t>
            </w:r>
            <w:r>
              <w:rPr>
                <w:rFonts w:hint="default" w:ascii="Times New Roman" w:hAnsi="Times New Roman" w:eastAsia="宋体" w:cs="Times New Roman"/>
                <w:color w:val="auto"/>
                <w:sz w:val="24"/>
                <w:szCs w:val="24"/>
                <w:lang w:val="en-US" w:eastAsia="zh-CN"/>
              </w:rPr>
              <w:t>现有项目循环水池沉淀物总排放量为0.03t/a，本项目+在建项目循环水池沉淀物总排放量为0.03t/a，循环水池沉淀物以新带老削减量为0.03t/a；现有项目焊烟净化器收尘总排放量为0.15t/a，本项目+在建项目焊烟净化器收尘总排放量为0.1854t/a，焊烟净化器收尘以新带老削减量为0.15t/a；现有项目含油废手套抹布总排放量为0.55t/a，本项目+在建项目含油废手套抹布总排放量为0.07t/a，含油废手套抹布以新带老削减量为0.55t/a；现有项目废机油总排放量为0.06t/a，本项目+在建项目废机油总排放量为0.07t/a，废机油以新带老削减量为0.06t/a；现有项目废液压油总排放量为0.02t/a，本项目+在建项目废液压油总排放量为0.12t/a，废液压油以新带老削减量为0.02t/a；现有项目废油桶总排放量为0个/a，本项目+在建项目废油桶总排放量为10个/a，废油桶以新带老削减量为0个/a；现有项目生活垃圾总排放量为3.0t/a，本项目+在建项目生活垃圾总排放量为7.5t/a，生活垃圾以新带老削减量为增加3.0t/a；现有项目废活性炭总排放量为0t/a，本项目+在建项目废活性炭总排放量为0.01t/a，废活性炭以新带老削减量为0t/a；现有项目废滤芯总排放量为0t/a，本项目+在建项目废滤芯总排放量为0.233t/a，废滤芯以新带老削减量为0t/a；</w:t>
            </w:r>
          </w:p>
          <w:p>
            <w:pPr>
              <w:numPr>
                <w:ilvl w:val="0"/>
                <w:numId w:val="13"/>
              </w:numPr>
              <w:shd w:val="clear"/>
              <w:adjustRightInd w:val="0"/>
              <w:snapToGrid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本项目“三本账”核算</w:t>
            </w:r>
          </w:p>
          <w:p>
            <w:pPr>
              <w:shd w:val="clear"/>
              <w:adjustRightInd w:val="0"/>
              <w:snapToGrid w:val="0"/>
              <w:spacing w:line="360" w:lineRule="auto"/>
              <w:ind w:firstLine="48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本项目三本账核算如下表所示：</w:t>
            </w:r>
          </w:p>
          <w:p>
            <w:pPr>
              <w:pStyle w:val="2"/>
              <w:shd w:val="clear"/>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pacing w:val="0"/>
                <w:position w:val="0"/>
                <w:sz w:val="24"/>
                <w:szCs w:val="24"/>
              </w:rPr>
              <w:t>表</w:t>
            </w:r>
            <w:r>
              <w:rPr>
                <w:rFonts w:hint="default" w:ascii="Times New Roman" w:hAnsi="Times New Roman" w:eastAsia="宋体" w:cs="Times New Roman"/>
                <w:b/>
                <w:bCs/>
                <w:color w:val="auto"/>
                <w:spacing w:val="0"/>
                <w:position w:val="0"/>
                <w:sz w:val="24"/>
                <w:szCs w:val="24"/>
                <w:lang w:val="en-US" w:eastAsia="zh-CN"/>
              </w:rPr>
              <w:t>4- 12项目“三本账”核算一览表</w:t>
            </w:r>
          </w:p>
          <w:tbl>
            <w:tblPr>
              <w:tblStyle w:val="23"/>
              <w:tblW w:w="47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89"/>
              <w:gridCol w:w="1074"/>
              <w:gridCol w:w="903"/>
              <w:gridCol w:w="1127"/>
              <w:gridCol w:w="1127"/>
              <w:gridCol w:w="903"/>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8" w:type="pct"/>
                  <w:gridSpan w:val="2"/>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项目</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现有项目排放量t/a</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本项目排放量t/a</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在建项目排放量t/a</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“以新带老”削减量t/a</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预测排放总量t/a</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lang w:val="en-US" w:eastAsia="zh-CN"/>
                    </w:rPr>
                    <w:t>废气</w:t>
                  </w:r>
                </w:p>
              </w:tc>
              <w:tc>
                <w:tcPr>
                  <w:tcW w:w="635" w:type="pct"/>
                  <w:tcBorders>
                    <w:tl2br w:val="nil"/>
                    <w:tr2bl w:val="nil"/>
                  </w:tcBorders>
                  <w:vAlign w:val="center"/>
                </w:tcPr>
                <w:p>
                  <w:pPr>
                    <w:keepNext w:val="0"/>
                    <w:keepLines w:val="0"/>
                    <w:pageBreakBefore w:val="0"/>
                    <w:widowControl w:val="0"/>
                    <w:shd w:val="clear"/>
                    <w:tabs>
                      <w:tab w:val="center" w:pos="47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颗粒物</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0.4458</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0.1876</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snapToGrid w:val="0"/>
                      <w:color w:val="auto"/>
                      <w:kern w:val="0"/>
                      <w:szCs w:val="21"/>
                      <w:lang w:val="en-US" w:eastAsia="zh-CN"/>
                    </w:rPr>
                    <w:t>0.126</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0.4458</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0.3132</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-0.132</w:t>
                  </w:r>
                  <w:r>
                    <w:rPr>
                      <w:rFonts w:hint="eastAsia" w:cs="Times New Roman"/>
                      <w:bCs/>
                      <w:color w:val="auto"/>
                      <w:kern w:val="0"/>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p>
              </w:tc>
              <w:tc>
                <w:tcPr>
                  <w:tcW w:w="635" w:type="pct"/>
                  <w:tcBorders>
                    <w:tl2br w:val="nil"/>
                    <w:tr2bl w:val="nil"/>
                  </w:tcBorders>
                  <w:vAlign w:val="center"/>
                </w:tcPr>
                <w:p>
                  <w:pPr>
                    <w:keepNext w:val="0"/>
                    <w:keepLines w:val="0"/>
                    <w:pageBreakBefore w:val="0"/>
                    <w:widowControl w:val="0"/>
                    <w:shd w:val="clear"/>
                    <w:tabs>
                      <w:tab w:val="center" w:pos="47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VOCs</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0.00053</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0.00053</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废水</w:t>
                  </w: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COD</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氨氮</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一般固体废物</w:t>
                  </w: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钢材下脚料</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1.53</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2.25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3.78</w:t>
                  </w:r>
                </w:p>
              </w:tc>
              <w:tc>
                <w:tcPr>
                  <w:tcW w:w="661" w:type="pct"/>
                  <w:tcBorders>
                    <w:tl2br w:val="nil"/>
                    <w:tr2bl w:val="nil"/>
                  </w:tcBorders>
                  <w:vAlign w:val="center"/>
                </w:tcPr>
                <w:p>
                  <w:pPr>
                    <w:keepNext w:val="0"/>
                    <w:keepLines w:val="0"/>
                    <w:pageBreakBefore w:val="0"/>
                    <w:widowControl w:val="0"/>
                    <w:shd w:val="clear"/>
                    <w:tabs>
                      <w:tab w:val="left" w:pos="403"/>
                      <w:tab w:val="center" w:pos="579"/>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eastAsia="zh-CN"/>
                    </w:rPr>
                    <w:t>废焊</w:t>
                  </w:r>
                  <w:r>
                    <w:rPr>
                      <w:rFonts w:hint="default" w:ascii="Times New Roman" w:hAnsi="Times New Roman" w:eastAsia="宋体" w:cs="Times New Roman"/>
                      <w:color w:val="auto"/>
                      <w:kern w:val="0"/>
                      <w:szCs w:val="21"/>
                      <w:lang w:val="en-US" w:eastAsia="zh-CN"/>
                    </w:rPr>
                    <w:t>头</w:t>
                  </w:r>
                  <w:r>
                    <w:rPr>
                      <w:rFonts w:hint="default" w:ascii="Times New Roman" w:hAnsi="Times New Roman" w:eastAsia="宋体" w:cs="Times New Roman"/>
                      <w:color w:val="auto"/>
                      <w:kern w:val="0"/>
                      <w:szCs w:val="21"/>
                      <w:lang w:eastAsia="zh-CN"/>
                    </w:rPr>
                    <w:t>和焊渣</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0.3</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0.05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0.35</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金属碎屑</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0.024</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0.024</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0.05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0.074</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脉冲式布袋除尘器收尘</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3.2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1.4</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snapToGrid w:val="0"/>
                      <w:color w:val="auto"/>
                      <w:kern w:val="0"/>
                      <w:szCs w:val="21"/>
                      <w:lang w:val="en-US" w:eastAsia="zh-CN"/>
                    </w:rPr>
                    <w:t>0.4459</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3.2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1.8459</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-1.3541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rPr>
                    <w:t>循环水池沉淀物</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0.03</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0.03</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0.03</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0.03</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焊烟净化器收尘</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0.015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0.0354</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0.15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0.015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0.1854</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危险废物</w:t>
                  </w: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含油废手套抹布</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0.55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0.02</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0.55</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0.07</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废机油</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0.06</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0.06</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0.06</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0.07</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废液压油</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0.02</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0.02</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0.12</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废油桶</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5个</w:t>
                  </w:r>
                  <w:r>
                    <w:rPr>
                      <w:rFonts w:hint="default" w:ascii="Times New Roman" w:hAnsi="Times New Roman" w:eastAsia="宋体" w:cs="Times New Roman"/>
                      <w:color w:val="auto"/>
                      <w:kern w:val="0"/>
                      <w:szCs w:val="21"/>
                      <w:lang w:val="en-US" w:eastAsia="zh-CN"/>
                    </w:rPr>
                    <w:t>/a</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color w:val="auto"/>
                      <w:kern w:val="0"/>
                      <w:szCs w:val="21"/>
                      <w:lang w:val="en-US" w:eastAsia="zh-CN"/>
                    </w:rPr>
                    <w:t>5个/a</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10个</w:t>
                  </w:r>
                  <w:r>
                    <w:rPr>
                      <w:rFonts w:hint="default" w:ascii="Times New Roman" w:hAnsi="Times New Roman" w:eastAsia="宋体" w:cs="Times New Roman"/>
                      <w:color w:val="auto"/>
                      <w:kern w:val="0"/>
                      <w:szCs w:val="21"/>
                      <w:lang w:val="en-US" w:eastAsia="zh-CN"/>
                    </w:rPr>
                    <w:t>/a</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10个</w:t>
                  </w:r>
                  <w:r>
                    <w:rPr>
                      <w:rFonts w:hint="default" w:ascii="Times New Roman" w:hAnsi="Times New Roman" w:eastAsia="宋体" w:cs="Times New Roman"/>
                      <w:color w:val="auto"/>
                      <w:kern w:val="0"/>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废活性炭</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0.01</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0.01</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p>
              </w:tc>
              <w:tc>
                <w:tcPr>
                  <w:tcW w:w="635" w:type="pct"/>
                  <w:tcBorders>
                    <w:tl2br w:val="nil"/>
                    <w:tr2bl w:val="nil"/>
                  </w:tcBorders>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eastAsia="zh-CN"/>
                    </w:rPr>
                    <w:t>废滤芯</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w:t>
                  </w:r>
                </w:p>
              </w:tc>
              <w:tc>
                <w:tcPr>
                  <w:tcW w:w="724" w:type="pct"/>
                  <w:tcBorders>
                    <w:tl2br w:val="nil"/>
                    <w:tr2bl w:val="nil"/>
                  </w:tcBorders>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0.233</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0.233</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生活垃圾</w:t>
                  </w:r>
                </w:p>
              </w:tc>
              <w:tc>
                <w:tcPr>
                  <w:tcW w:w="63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生活垃圾</w:t>
                  </w:r>
                </w:p>
              </w:tc>
              <w:tc>
                <w:tcPr>
                  <w:tcW w:w="69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3.0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3.0</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4.5</w:t>
                  </w:r>
                </w:p>
              </w:tc>
              <w:tc>
                <w:tcPr>
                  <w:tcW w:w="72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3.0</w:t>
                  </w:r>
                </w:p>
              </w:tc>
              <w:tc>
                <w:tcPr>
                  <w:tcW w:w="58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7.5</w:t>
                  </w:r>
                </w:p>
              </w:tc>
              <w:tc>
                <w:tcPr>
                  <w:tcW w:w="6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4.5</w:t>
                  </w:r>
                </w:p>
              </w:tc>
            </w:tr>
          </w:tbl>
          <w:p>
            <w:pPr>
              <w:pStyle w:val="2"/>
              <w:shd w:val="clear"/>
              <w:rPr>
                <w:rFonts w:hint="default" w:ascii="Times New Roman" w:hAnsi="Times New Roman" w:eastAsia="宋体" w:cs="Times New Roman"/>
                <w:color w:val="auto"/>
                <w:lang w:val="en-US" w:eastAsia="zh-CN"/>
              </w:rPr>
            </w:pPr>
          </w:p>
        </w:tc>
      </w:tr>
    </w:tbl>
    <w:p>
      <w:pPr>
        <w:pStyle w:val="21"/>
        <w:shd w:val="clear"/>
        <w:jc w:val="center"/>
        <w:outlineLvl w:val="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br w:type="page"/>
      </w:r>
    </w:p>
    <w:p>
      <w:pPr>
        <w:pStyle w:val="21"/>
        <w:numPr>
          <w:ilvl w:val="0"/>
          <w:numId w:val="7"/>
        </w:numPr>
        <w:shd w:val="clear"/>
        <w:spacing w:line="240" w:lineRule="auto"/>
        <w:ind w:left="0" w:leftChars="0" w:firstLine="0" w:firstLineChars="0"/>
        <w:jc w:val="center"/>
        <w:outlineLvl w:val="0"/>
        <w:rPr>
          <w:rFonts w:hint="default" w:ascii="Times New Roman" w:hAnsi="Times New Roman" w:eastAsia="宋体" w:cs="Times New Roman"/>
          <w:b/>
          <w:bCs/>
          <w:snapToGrid w:val="0"/>
          <w:color w:val="auto"/>
          <w:sz w:val="30"/>
          <w:szCs w:val="30"/>
        </w:rPr>
      </w:pPr>
      <w:bookmarkStart w:id="3" w:name="_Hlk54167917"/>
      <w:r>
        <w:rPr>
          <w:rFonts w:hint="default" w:ascii="Times New Roman" w:hAnsi="Times New Roman" w:eastAsia="宋体" w:cs="Times New Roman"/>
          <w:b/>
          <w:bCs/>
          <w:snapToGrid w:val="0"/>
          <w:color w:val="auto"/>
          <w:sz w:val="30"/>
          <w:szCs w:val="30"/>
        </w:rPr>
        <w:t>环境保护措施监督检查清单</w:t>
      </w:r>
      <w:bookmarkEnd w:id="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30"/>
        <w:gridCol w:w="975"/>
        <w:gridCol w:w="1515"/>
        <w:gridCol w:w="3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tcBorders>
              <w:tl2br w:val="single" w:color="auto" w:sz="4" w:space="0"/>
            </w:tcBorders>
          </w:tcPr>
          <w:p>
            <w:pPr>
              <w:shd w:val="clear"/>
              <w:adjustRightInd w:val="0"/>
              <w:snapToGrid w:val="0"/>
              <w:jc w:val="right"/>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内容</w:t>
            </w:r>
          </w:p>
          <w:p>
            <w:pPr>
              <w:shd w:val="clear"/>
              <w:adjustRightInd w:val="0"/>
              <w:snapToGrid w:val="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要素</w:t>
            </w:r>
          </w:p>
        </w:tc>
        <w:tc>
          <w:tcPr>
            <w:tcW w:w="1530" w:type="dxa"/>
            <w:vAlign w:val="center"/>
          </w:tcPr>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排放口（编号、</w:t>
            </w:r>
          </w:p>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名称）/污染源</w:t>
            </w:r>
          </w:p>
        </w:tc>
        <w:tc>
          <w:tcPr>
            <w:tcW w:w="975" w:type="dxa"/>
            <w:vAlign w:val="center"/>
          </w:tcPr>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污染物项目</w:t>
            </w:r>
          </w:p>
        </w:tc>
        <w:tc>
          <w:tcPr>
            <w:tcW w:w="1515" w:type="dxa"/>
            <w:vAlign w:val="center"/>
          </w:tcPr>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环境保护措施</w:t>
            </w:r>
          </w:p>
        </w:tc>
        <w:tc>
          <w:tcPr>
            <w:tcW w:w="3717" w:type="dxa"/>
            <w:vAlign w:val="center"/>
          </w:tcPr>
          <w:p>
            <w:pPr>
              <w:shd w:val="clea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063" w:type="dxa"/>
            <w:vMerge w:val="restart"/>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大气环境</w:t>
            </w:r>
          </w:p>
        </w:tc>
        <w:tc>
          <w:tcPr>
            <w:tcW w:w="1530" w:type="dxa"/>
            <w:vAlign w:val="center"/>
          </w:tcPr>
          <w:p>
            <w:pPr>
              <w:shd w:val="clea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kern w:val="0"/>
                <w:szCs w:val="21"/>
              </w:rPr>
              <w:t>排气筒P1</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颗粒物</w:t>
            </w:r>
          </w:p>
        </w:tc>
        <w:tc>
          <w:tcPr>
            <w:tcW w:w="151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脉冲式布袋除尘器、</w:t>
            </w:r>
            <w:r>
              <w:rPr>
                <w:rFonts w:hint="default" w:ascii="Times New Roman" w:hAnsi="Times New Roman" w:eastAsia="宋体" w:cs="Times New Roman"/>
                <w:color w:val="auto"/>
                <w:kern w:val="0"/>
                <w:szCs w:val="21"/>
                <w:lang w:val="en-US" w:eastAsia="zh-CN"/>
              </w:rPr>
              <w:t>滤芯回收+滤芯除尘器+15m排气筒</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有组织排放浓度执行山东省《区域性大气污染物综合排放标准》（DB37/2376-2019）表1大气污染排放浓度限值中重点控制区限值要求，有组织排放速率执行《大气污染物综合排放标准》（GB16297-1996）表2新污染源大气污染物排放限值要求，颗粒物无组织排放浓度执行《大气污染物综合排放标准》（GB16297-1996）表2新污染源大气污染物排放限值中无组织排放监控浓度限值</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lang w:val="en-US" w:eastAsia="zh-CN"/>
              </w:rPr>
              <w:t>10</w:t>
            </w:r>
            <w:r>
              <w:rPr>
                <w:rFonts w:hint="default" w:ascii="Times New Roman" w:hAnsi="Times New Roman" w:eastAsia="宋体" w:cs="Times New Roman"/>
                <w:color w:val="auto"/>
                <w:kern w:val="0"/>
                <w:szCs w:val="21"/>
                <w:lang w:val="de-DE"/>
              </w:rPr>
              <w:t>mg/m³；</w:t>
            </w:r>
            <w:r>
              <w:rPr>
                <w:rFonts w:hint="default" w:ascii="Times New Roman" w:hAnsi="Times New Roman" w:eastAsia="宋体" w:cs="Times New Roman"/>
                <w:color w:val="auto"/>
                <w:kern w:val="0"/>
                <w:szCs w:val="21"/>
                <w:lang w:val="en-US" w:eastAsia="zh-CN"/>
              </w:rPr>
              <w:t>3.5</w:t>
            </w:r>
            <w:r>
              <w:rPr>
                <w:rFonts w:hint="default" w:ascii="Times New Roman" w:hAnsi="Times New Roman" w:eastAsia="宋体" w:cs="Times New Roman"/>
                <w:color w:val="auto"/>
                <w:kern w:val="0"/>
                <w:szCs w:val="21"/>
                <w:lang w:val="de-DE"/>
              </w:rPr>
              <w:t>kg/h</w:t>
            </w:r>
            <w:r>
              <w:rPr>
                <w:rFonts w:hint="default" w:ascii="Times New Roman" w:hAnsi="Times New Roman" w:eastAsia="宋体" w:cs="Times New Roman"/>
                <w:color w:val="auto"/>
                <w:kern w:val="0"/>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063" w:type="dxa"/>
            <w:vMerge w:val="continue"/>
            <w:vAlign w:val="center"/>
          </w:tcPr>
          <w:p>
            <w:pPr>
              <w:shd w:val="clear"/>
              <w:adjustRightInd w:val="0"/>
              <w:snapToGrid w:val="0"/>
              <w:jc w:val="center"/>
              <w:rPr>
                <w:rFonts w:hint="default" w:ascii="Times New Roman" w:hAnsi="Times New Roman" w:eastAsia="宋体" w:cs="Times New Roman"/>
                <w:color w:val="auto"/>
              </w:rPr>
            </w:pPr>
          </w:p>
        </w:tc>
        <w:tc>
          <w:tcPr>
            <w:tcW w:w="1530" w:type="dxa"/>
            <w:vAlign w:val="center"/>
          </w:tcPr>
          <w:p>
            <w:pPr>
              <w:shd w:val="clea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排气筒</w:t>
            </w:r>
            <w:r>
              <w:rPr>
                <w:rFonts w:hint="default" w:ascii="Times New Roman" w:hAnsi="Times New Roman" w:eastAsia="宋体" w:cs="Times New Roman"/>
                <w:color w:val="auto"/>
                <w:lang w:val="en-US" w:eastAsia="zh-CN"/>
              </w:rPr>
              <w:t>P2</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VOCs</w:t>
            </w:r>
          </w:p>
        </w:tc>
        <w:tc>
          <w:tcPr>
            <w:tcW w:w="1515" w:type="dxa"/>
            <w:vAlign w:val="center"/>
          </w:tcPr>
          <w:p>
            <w:pPr>
              <w:shd w:val="clea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两级活性炭吸附装置+15m排气筒</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《挥发性有机物排放标准 第5部分：表面涂装行业》</w:t>
            </w:r>
            <w:r>
              <w:rPr>
                <w:rFonts w:hint="default" w:ascii="Times New Roman" w:hAnsi="Times New Roman" w:eastAsia="宋体" w:cs="Times New Roman"/>
                <w:color w:val="auto"/>
                <w:kern w:val="0"/>
                <w:szCs w:val="21"/>
                <w:lang w:eastAsia="zh-CN"/>
              </w:rPr>
              <w:t>（DB37/2801.5-2018）表2新建表面涂装企业或生产设施涂装工序VOCs排放限值中</w:t>
            </w:r>
            <w:r>
              <w:rPr>
                <w:rFonts w:hint="default" w:ascii="Times New Roman" w:hAnsi="Times New Roman" w:eastAsia="宋体" w:cs="Times New Roman"/>
                <w:color w:val="auto"/>
                <w:kern w:val="0"/>
                <w:szCs w:val="21"/>
              </w:rPr>
              <w:t>相关要求</w:t>
            </w:r>
            <w:r>
              <w:rPr>
                <w:rFonts w:hint="default" w:ascii="Times New Roman" w:hAnsi="Times New Roman" w:eastAsia="宋体" w:cs="Times New Roman"/>
                <w:color w:val="auto"/>
                <w:kern w:val="0"/>
                <w:szCs w:val="21"/>
                <w:lang w:val="de-DE"/>
              </w:rPr>
              <w:t>（</w:t>
            </w: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kern w:val="0"/>
                <w:szCs w:val="21"/>
                <w:lang w:val="de-DE"/>
              </w:rPr>
              <w:t>0mg/m³；</w:t>
            </w:r>
            <w:r>
              <w:rPr>
                <w:rFonts w:hint="default" w:ascii="Times New Roman" w:hAnsi="Times New Roman" w:eastAsia="宋体" w:cs="Times New Roman"/>
                <w:color w:val="auto"/>
                <w:kern w:val="0"/>
                <w:szCs w:val="21"/>
              </w:rPr>
              <w:t>2</w:t>
            </w:r>
            <w:r>
              <w:rPr>
                <w:rFonts w:hint="default" w:ascii="Times New Roman" w:hAnsi="Times New Roman" w:eastAsia="宋体" w:cs="Times New Roman"/>
                <w:color w:val="auto"/>
                <w:kern w:val="0"/>
                <w:szCs w:val="21"/>
                <w:lang w:val="de-DE"/>
              </w:rPr>
              <w:t>.0kg/h）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continue"/>
            <w:vAlign w:val="center"/>
          </w:tcPr>
          <w:p>
            <w:pPr>
              <w:shd w:val="clear"/>
              <w:adjustRightInd w:val="0"/>
              <w:snapToGrid w:val="0"/>
              <w:jc w:val="center"/>
              <w:rPr>
                <w:rFonts w:hint="default" w:ascii="Times New Roman" w:hAnsi="Times New Roman" w:eastAsia="宋体" w:cs="Times New Roman"/>
                <w:color w:val="auto"/>
                <w:kern w:val="0"/>
                <w:szCs w:val="21"/>
              </w:rPr>
            </w:pPr>
          </w:p>
        </w:tc>
        <w:tc>
          <w:tcPr>
            <w:tcW w:w="1530" w:type="dxa"/>
            <w:vMerge w:val="restart"/>
            <w:vAlign w:val="center"/>
          </w:tcPr>
          <w:p>
            <w:pPr>
              <w:shd w:val="clea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厂界</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VOCs</w:t>
            </w:r>
          </w:p>
        </w:tc>
        <w:tc>
          <w:tcPr>
            <w:tcW w:w="1515" w:type="dxa"/>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加强管理，密闭车间</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de-DE"/>
              </w:rPr>
              <w:t>《挥发性有机物排放标准 第</w:t>
            </w: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kern w:val="0"/>
                <w:szCs w:val="21"/>
                <w:lang w:val="de-DE"/>
              </w:rPr>
              <w:t>部分 有机化工行业》（</w:t>
            </w:r>
            <w:r>
              <w:rPr>
                <w:rFonts w:hint="default" w:ascii="Times New Roman" w:hAnsi="Times New Roman" w:eastAsia="宋体" w:cs="Times New Roman"/>
                <w:color w:val="auto"/>
                <w:kern w:val="0"/>
                <w:szCs w:val="21"/>
                <w:lang w:val="de-DE" w:eastAsia="zh-CN"/>
              </w:rPr>
              <w:t>DB37/2801.5-2018</w:t>
            </w:r>
            <w:r>
              <w:rPr>
                <w:rFonts w:hint="default" w:ascii="Times New Roman" w:hAnsi="Times New Roman" w:eastAsia="宋体" w:cs="Times New Roman"/>
                <w:color w:val="auto"/>
                <w:kern w:val="0"/>
                <w:szCs w:val="21"/>
                <w:lang w:val="de-DE"/>
              </w:rPr>
              <w:t>）</w:t>
            </w:r>
            <w:r>
              <w:rPr>
                <w:rFonts w:hint="default" w:ascii="Times New Roman" w:hAnsi="Times New Roman" w:eastAsia="宋体" w:cs="Times New Roman"/>
                <w:color w:val="auto"/>
                <w:kern w:val="0"/>
                <w:szCs w:val="21"/>
              </w:rPr>
              <w:t>表3厂界监控点浓度限值（2.0mg/m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continue"/>
            <w:vAlign w:val="center"/>
          </w:tcPr>
          <w:p>
            <w:pPr>
              <w:shd w:val="clear"/>
              <w:adjustRightInd w:val="0"/>
              <w:snapToGrid w:val="0"/>
              <w:jc w:val="center"/>
              <w:rPr>
                <w:rFonts w:hint="default" w:ascii="Times New Roman" w:hAnsi="Times New Roman" w:eastAsia="宋体" w:cs="Times New Roman"/>
                <w:color w:val="auto"/>
                <w:kern w:val="0"/>
                <w:szCs w:val="21"/>
              </w:rPr>
            </w:pPr>
          </w:p>
        </w:tc>
        <w:tc>
          <w:tcPr>
            <w:tcW w:w="1530" w:type="dxa"/>
            <w:vMerge w:val="continue"/>
            <w:vAlign w:val="center"/>
          </w:tcPr>
          <w:p>
            <w:pPr>
              <w:shd w:val="clear"/>
              <w:adjustRightInd w:val="0"/>
              <w:snapToGrid w:val="0"/>
              <w:jc w:val="center"/>
              <w:rPr>
                <w:rFonts w:hint="default" w:ascii="Times New Roman" w:hAnsi="Times New Roman" w:eastAsia="宋体" w:cs="Times New Roman"/>
                <w:bCs/>
                <w:color w:val="auto"/>
                <w:kern w:val="0"/>
                <w:szCs w:val="21"/>
              </w:rPr>
            </w:pPr>
          </w:p>
        </w:tc>
        <w:tc>
          <w:tcPr>
            <w:tcW w:w="975" w:type="dxa"/>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kern w:val="0"/>
                <w:szCs w:val="21"/>
              </w:rPr>
              <w:t>颗粒物</w:t>
            </w:r>
          </w:p>
        </w:tc>
        <w:tc>
          <w:tcPr>
            <w:tcW w:w="1515" w:type="dxa"/>
            <w:vAlign w:val="center"/>
          </w:tcPr>
          <w:p>
            <w:pPr>
              <w:shd w:val="clea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eastAsia="zh-CN"/>
              </w:rPr>
              <w:t>移动式焊烟净化器</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加强管理，密闭车间</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《大气污染物综合排放标准》（GB16297-1996）表2新污染源大气污染物排放限值中无组织排放监控浓度限值（颗粒物：1.0mg/m</w:t>
            </w:r>
            <w:r>
              <w:rPr>
                <w:rFonts w:hint="default" w:ascii="Times New Roman" w:hAnsi="Times New Roman" w:eastAsia="宋体" w:cs="Times New Roman"/>
                <w:bCs/>
                <w:color w:val="auto"/>
                <w:kern w:val="0"/>
                <w:szCs w:val="21"/>
                <w:vertAlign w:val="superscript"/>
              </w:rPr>
              <w:t>3</w:t>
            </w:r>
            <w:r>
              <w:rPr>
                <w:rFonts w:hint="default" w:ascii="Times New Roman" w:hAnsi="Times New Roman" w:eastAsia="宋体" w:cs="Times New Roman"/>
                <w:bCs/>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continue"/>
            <w:vAlign w:val="center"/>
          </w:tcPr>
          <w:p>
            <w:pPr>
              <w:shd w:val="clear"/>
              <w:adjustRightInd w:val="0"/>
              <w:snapToGrid w:val="0"/>
              <w:jc w:val="center"/>
              <w:rPr>
                <w:rFonts w:hint="default" w:ascii="Times New Roman" w:hAnsi="Times New Roman" w:eastAsia="宋体" w:cs="Times New Roman"/>
                <w:color w:val="auto"/>
                <w:kern w:val="0"/>
                <w:szCs w:val="21"/>
              </w:rPr>
            </w:pPr>
          </w:p>
        </w:tc>
        <w:tc>
          <w:tcPr>
            <w:tcW w:w="1530"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厂区内</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VOCs</w:t>
            </w:r>
          </w:p>
        </w:tc>
        <w:tc>
          <w:tcPr>
            <w:tcW w:w="1515" w:type="dxa"/>
            <w:vAlign w:val="center"/>
          </w:tcPr>
          <w:p>
            <w:pPr>
              <w:shd w:val="clea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717" w:type="dxa"/>
            <w:vAlign w:val="center"/>
          </w:tcPr>
          <w:p>
            <w:pPr>
              <w:shd w:val="clea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《挥发性有机物无组织排放监控标准》（GB37822-2019）中表A.1特别排放限值要求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地表水环境</w:t>
            </w:r>
          </w:p>
        </w:tc>
        <w:tc>
          <w:tcPr>
            <w:tcW w:w="1530"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职工生活</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生活污水</w:t>
            </w:r>
          </w:p>
        </w:tc>
        <w:tc>
          <w:tcPr>
            <w:tcW w:w="151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经</w:t>
            </w:r>
            <w:r>
              <w:rPr>
                <w:rFonts w:hint="default" w:ascii="Times New Roman" w:hAnsi="Times New Roman" w:eastAsia="宋体" w:cs="Times New Roman"/>
                <w:color w:val="auto"/>
                <w:kern w:val="0"/>
                <w:szCs w:val="21"/>
                <w:lang w:eastAsia="zh-CN"/>
              </w:rPr>
              <w:t>化粪池</w:t>
            </w:r>
            <w:r>
              <w:rPr>
                <w:rFonts w:hint="default" w:ascii="Times New Roman" w:hAnsi="Times New Roman" w:eastAsia="宋体" w:cs="Times New Roman"/>
                <w:color w:val="auto"/>
                <w:kern w:val="0"/>
                <w:szCs w:val="21"/>
              </w:rPr>
              <w:t>暂存后用作周边农田农肥</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w:t>
            </w:r>
          </w:p>
        </w:tc>
        <w:tc>
          <w:tcPr>
            <w:tcW w:w="1530"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生产车间</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设备噪声</w:t>
            </w:r>
          </w:p>
        </w:tc>
        <w:tc>
          <w:tcPr>
            <w:tcW w:w="151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采取减振防噪措施</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满足《工业企业厂界环境噪声排放标准》（GB12348-2008）</w:t>
            </w:r>
          </w:p>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电磁辐射</w:t>
            </w:r>
          </w:p>
        </w:tc>
        <w:tc>
          <w:tcPr>
            <w:tcW w:w="1530"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97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1515"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3717"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固体废物</w:t>
            </w:r>
          </w:p>
        </w:tc>
        <w:tc>
          <w:tcPr>
            <w:tcW w:w="7737" w:type="dxa"/>
            <w:gridSpan w:val="4"/>
            <w:vAlign w:val="center"/>
          </w:tcPr>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设置一般固废暂存区1处、危废</w:t>
            </w:r>
            <w:r>
              <w:rPr>
                <w:rFonts w:hint="default" w:ascii="Times New Roman" w:hAnsi="Times New Roman" w:eastAsia="宋体" w:cs="Times New Roman"/>
                <w:color w:val="auto"/>
                <w:kern w:val="0"/>
                <w:szCs w:val="21"/>
                <w:lang w:eastAsia="zh-CN"/>
              </w:rPr>
              <w:t>暂存间</w:t>
            </w:r>
            <w:r>
              <w:rPr>
                <w:rFonts w:hint="default" w:ascii="Times New Roman" w:hAnsi="Times New Roman" w:eastAsia="宋体" w:cs="Times New Roman"/>
                <w:color w:val="auto"/>
                <w:kern w:val="0"/>
                <w:szCs w:val="21"/>
              </w:rPr>
              <w:t>1座，危险废物暂存库应严格按照《危险废物贮存污染控制标准》（GB18597-20</w:t>
            </w:r>
            <w:r>
              <w:rPr>
                <w:rFonts w:hint="default" w:ascii="Times New Roman" w:hAnsi="Times New Roman" w:eastAsia="宋体" w:cs="Times New Roman"/>
                <w:color w:val="auto"/>
                <w:kern w:val="0"/>
                <w:szCs w:val="21"/>
                <w:lang w:val="en-US" w:eastAsia="zh-CN"/>
              </w:rPr>
              <w:t>23</w:t>
            </w:r>
            <w:r>
              <w:rPr>
                <w:rFonts w:hint="default" w:ascii="Times New Roman" w:hAnsi="Times New Roman" w:eastAsia="宋体" w:cs="Times New Roman"/>
                <w:color w:val="auto"/>
                <w:kern w:val="0"/>
                <w:szCs w:val="21"/>
              </w:rPr>
              <w:t>）的要求设计；按照《危险废物产生单位管理计划制定指南》的规定，制定危险废物管理计划，原则上管理计划按年度制定，并存档5年以上，建立危险废物台账，如实记载产生危险废物的种类、数量、流向、贮存、利用处置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土壤及地下水污染防治措施</w:t>
            </w:r>
          </w:p>
        </w:tc>
        <w:tc>
          <w:tcPr>
            <w:tcW w:w="7737" w:type="dxa"/>
            <w:gridSpan w:val="4"/>
            <w:vAlign w:val="center"/>
          </w:tcPr>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采取分区防渗措施，危废</w:t>
            </w:r>
            <w:r>
              <w:rPr>
                <w:rFonts w:hint="default" w:ascii="Times New Roman" w:hAnsi="Times New Roman" w:eastAsia="宋体" w:cs="Times New Roman"/>
                <w:color w:val="auto"/>
                <w:kern w:val="0"/>
                <w:szCs w:val="21"/>
                <w:lang w:eastAsia="zh-CN"/>
              </w:rPr>
              <w:t>暂存间、化粪池</w:t>
            </w:r>
            <w:r>
              <w:rPr>
                <w:rFonts w:hint="default" w:ascii="Times New Roman" w:hAnsi="Times New Roman" w:eastAsia="宋体" w:cs="Times New Roman"/>
                <w:color w:val="auto"/>
                <w:kern w:val="0"/>
                <w:szCs w:val="21"/>
              </w:rPr>
              <w:t>按照重点污染防治区进行防渗，装置区、一般固废暂存区等按照一般污染防治区进行防渗。为防止项目建成运营后对周围地下水、土壤环境造成污染，企业应加强对生产设施的管理和维护；制定环境管理制度，强化风险防范意识，加强环境保护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生态保护措施</w:t>
            </w:r>
          </w:p>
        </w:tc>
        <w:tc>
          <w:tcPr>
            <w:tcW w:w="7737" w:type="dxa"/>
            <w:gridSpan w:val="4"/>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加强绿化带的绿化，建设整洁、优美的厂区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环境风险</w:t>
            </w:r>
          </w:p>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防范措施</w:t>
            </w:r>
          </w:p>
        </w:tc>
        <w:tc>
          <w:tcPr>
            <w:tcW w:w="7737" w:type="dxa"/>
            <w:gridSpan w:val="4"/>
            <w:vAlign w:val="center"/>
          </w:tcPr>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消除和控制明火源：在车间内，有醒目的严禁烟火标志，严禁动火吸烟；进入危险区的机动车辆，其排气管应戴防火帽；进入危险区的人员，按规定登记，严禁携带火柴、打火机等；使用气焊、电焊等设备时，采取防护措施，确保安全无误后，方可动火作业。动火过程中，必须遵守安全技术规程。</w:t>
            </w:r>
          </w:p>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（2）按照《建筑灭火器配置设计规范》（GB50140-2005）规定，配置相应类型和数量的灭火器（干粉灭火器等），并在火灾危险场所设置报警装置。</w:t>
            </w:r>
          </w:p>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（3）原料和产品的使用、储存、运输、管理要按照国家标准和要求，进行设计、施工、运行，设置卫生应急措施，减少对环境、人员产生影响。</w:t>
            </w:r>
          </w:p>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（4）总图布置严格执行国家有关部门现行的设计规范、规定及标准。各生产装置之间严格按防火防爆间距布置，厂房及建筑物按规定等级设计。</w:t>
            </w:r>
          </w:p>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（5）电气和仪表专业设计按照《爆炸危险环境电力装置设计规范》(GB5008-2014）执行，将能产生电火花的设备放在远离现场的配电室内，并采用密闭电器。</w:t>
            </w:r>
          </w:p>
          <w:p>
            <w:pPr>
              <w:shd w:val="clear"/>
              <w:adjustRightInd w:val="0"/>
              <w:snapToGrid w:val="0"/>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（6）全厂依据原料和产品的生产、输送、储存等环节分为重点污染防治区、一般污染防治区和非污染防治区。</w:t>
            </w:r>
          </w:p>
          <w:p>
            <w:pPr>
              <w:shd w:val="clear"/>
              <w:adjustRightInd w:val="0"/>
              <w:snapToGrid w:val="0"/>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（7）在开展环境风险评估与应急资源调查的基础上，编制环境风险应急预案，并定期演练。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其他环境</w:t>
            </w:r>
          </w:p>
          <w:p>
            <w:pPr>
              <w:shd w:val="clea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管理要求</w:t>
            </w:r>
          </w:p>
        </w:tc>
        <w:tc>
          <w:tcPr>
            <w:tcW w:w="7737" w:type="dxa"/>
            <w:gridSpan w:val="4"/>
            <w:vAlign w:val="center"/>
          </w:tcPr>
          <w:p>
            <w:pPr>
              <w:keepNext w:val="0"/>
              <w:keepLines w:val="0"/>
              <w:pageBreakBefore w:val="0"/>
              <w:numPr>
                <w:ilvl w:val="0"/>
                <w:numId w:val="14"/>
              </w:numPr>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环境保护管理体系</w:t>
            </w:r>
          </w:p>
          <w:p>
            <w:pPr>
              <w:keepNext w:val="0"/>
              <w:keepLines w:val="0"/>
              <w:pageBreakBefore w:val="0"/>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为做好环境管理工作，公司应建立环境管理体系，将环境管理工作自上而下地贯穿到公司的生产管理中。</w:t>
            </w:r>
          </w:p>
          <w:p>
            <w:pPr>
              <w:keepNext w:val="0"/>
              <w:keepLines w:val="0"/>
              <w:pageBreakBefore w:val="0"/>
              <w:numPr>
                <w:ilvl w:val="0"/>
                <w:numId w:val="14"/>
              </w:numPr>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环境管理规章制度</w:t>
            </w:r>
          </w:p>
          <w:p>
            <w:pPr>
              <w:keepNext w:val="0"/>
              <w:keepLines w:val="0"/>
              <w:pageBreakBefore w:val="0"/>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建立和完善环境管理制度，是公司环境管理体系的重要组成部分，需建立的环境管理制度。</w:t>
            </w:r>
          </w:p>
          <w:p>
            <w:pPr>
              <w:keepNext w:val="0"/>
              <w:keepLines w:val="0"/>
              <w:pageBreakBefore w:val="0"/>
              <w:numPr>
                <w:ilvl w:val="0"/>
                <w:numId w:val="14"/>
              </w:numPr>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设置环境保护标识企业应制定环境管理文件及实施细则，按照《排污口规范化整治技术要求（试行）</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关于开展排放口规范化整治工作的通知》等文件中有关规定设置与管理噪声与固废排放，噪声排放源、固体废物贮存（处置）场图形符号分别为提示图形符号和警告图形符号两种，图形符号的设置GB15562.1-1995、GB15562.2-1995执行。</w:t>
            </w:r>
          </w:p>
          <w:p>
            <w:pPr>
              <w:keepNext w:val="0"/>
              <w:keepLines w:val="0"/>
              <w:pageBreakBefore w:val="0"/>
              <w:numPr>
                <w:ilvl w:val="0"/>
                <w:numId w:val="14"/>
              </w:numPr>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建设项目竣工环境保护验收</w:t>
            </w:r>
          </w:p>
          <w:p>
            <w:pPr>
              <w:keepNext w:val="0"/>
              <w:keepLines w:val="0"/>
              <w:pageBreakBefore w:val="0"/>
              <w:shd w:val="clea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建设项目环境保护管理条例》要求，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表的建设项目，其配套建设的环境保护设施经验收合格，方可投入生产或者使用；未经验收或者验收不合格的，不得投入生产或者使用。</w:t>
            </w:r>
          </w:p>
          <w:p>
            <w:pPr>
              <w:keepNext w:val="0"/>
              <w:keepLines w:val="0"/>
              <w:widowControl/>
              <w:suppressLineNumbers w:val="0"/>
              <w:shd w:val="clear"/>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5、按照《排污许可管理条例</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山东省生态环境厅关于加强排污许可管理工作的通知》（鲁环函（2020）14号）和《固定污染源排污许可分类管理名录》（2019年版）要求，</w:t>
            </w:r>
            <w:r>
              <w:rPr>
                <w:rFonts w:hint="default" w:ascii="Times New Roman" w:hAnsi="Times New Roman" w:eastAsia="宋体" w:cs="Times New Roman"/>
                <w:color w:val="auto"/>
                <w:kern w:val="0"/>
                <w:szCs w:val="21"/>
                <w:lang w:val="en-US" w:eastAsia="zh-CN"/>
              </w:rPr>
              <w:t>淄博诚泰化工设备有限公司防腐搪玻璃搅拌器和管件</w:t>
            </w:r>
            <w:r>
              <w:rPr>
                <w:rFonts w:hint="default" w:ascii="Times New Roman" w:hAnsi="Times New Roman" w:eastAsia="宋体" w:cs="Times New Roman"/>
                <w:color w:val="auto"/>
                <w:kern w:val="0"/>
                <w:sz w:val="21"/>
                <w:szCs w:val="21"/>
              </w:rPr>
              <w:t>项目属于“</w:t>
            </w:r>
            <w:r>
              <w:rPr>
                <w:rFonts w:hint="default" w:ascii="Times New Roman" w:hAnsi="Times New Roman" w:eastAsia="宋体" w:cs="Times New Roman"/>
                <w:color w:val="auto"/>
                <w:kern w:val="0"/>
                <w:sz w:val="21"/>
                <w:szCs w:val="21"/>
                <w:lang w:val="en-US" w:eastAsia="zh-CN"/>
              </w:rPr>
              <w:t>三十</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金属制品业33</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其他</w:t>
            </w:r>
            <w:r>
              <w:rPr>
                <w:rFonts w:hint="default" w:ascii="Times New Roman" w:hAnsi="Times New Roman" w:eastAsia="宋体" w:cs="Times New Roman"/>
                <w:color w:val="auto"/>
                <w:kern w:val="0"/>
                <w:sz w:val="21"/>
                <w:szCs w:val="21"/>
              </w:rPr>
              <w:t>”类，</w:t>
            </w:r>
            <w:r>
              <w:rPr>
                <w:rFonts w:hint="default" w:ascii="Times New Roman" w:hAnsi="Times New Roman" w:eastAsia="宋体" w:cs="Times New Roman"/>
                <w:color w:val="auto"/>
                <w:kern w:val="0"/>
                <w:szCs w:val="21"/>
                <w:lang w:val="en-US" w:eastAsia="zh-CN"/>
              </w:rPr>
              <w:t>淄博新诚泰机械有限公司减速机和机械密封项目</w:t>
            </w:r>
            <w:r>
              <w:rPr>
                <w:rFonts w:hint="default" w:ascii="Times New Roman" w:hAnsi="Times New Roman" w:eastAsia="宋体" w:cs="Times New Roman"/>
                <w:color w:val="auto"/>
                <w:kern w:val="0"/>
                <w:szCs w:val="21"/>
              </w:rPr>
              <w:t>属于“二十</w:t>
            </w:r>
            <w:r>
              <w:rPr>
                <w:rFonts w:hint="default" w:ascii="Times New Roman" w:hAnsi="Times New Roman" w:eastAsia="宋体" w:cs="Times New Roman"/>
                <w:color w:val="auto"/>
                <w:kern w:val="0"/>
                <w:szCs w:val="21"/>
                <w:lang w:eastAsia="zh-CN"/>
              </w:rPr>
              <w:t>九</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Cs w:val="21"/>
                <w:lang w:eastAsia="zh-CN"/>
              </w:rPr>
              <w:t>通用设备制造业</w:t>
            </w:r>
            <w:r>
              <w:rPr>
                <w:rFonts w:hint="default" w:ascii="Times New Roman" w:hAnsi="Times New Roman" w:eastAsia="宋体" w:cs="Times New Roman"/>
                <w:color w:val="auto"/>
                <w:kern w:val="0"/>
                <w:szCs w:val="21"/>
                <w:lang w:val="en-US" w:eastAsia="zh-CN"/>
              </w:rPr>
              <w:t>34</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Cs w:val="21"/>
                <w:lang w:eastAsia="zh-CN"/>
              </w:rPr>
              <w:t>其他</w:t>
            </w:r>
            <w:r>
              <w:rPr>
                <w:rFonts w:hint="default" w:ascii="Times New Roman" w:hAnsi="Times New Roman" w:eastAsia="宋体" w:cs="Times New Roman"/>
                <w:color w:val="auto"/>
                <w:kern w:val="0"/>
                <w:szCs w:val="21"/>
              </w:rPr>
              <w:t>”类，属于</w:t>
            </w:r>
            <w:r>
              <w:rPr>
                <w:rFonts w:hint="default" w:ascii="Times New Roman" w:hAnsi="Times New Roman" w:eastAsia="宋体" w:cs="Times New Roman"/>
                <w:color w:val="auto"/>
                <w:kern w:val="0"/>
                <w:szCs w:val="21"/>
                <w:lang w:eastAsia="zh-CN"/>
              </w:rPr>
              <w:t>登记</w:t>
            </w:r>
            <w:r>
              <w:rPr>
                <w:rFonts w:hint="default" w:ascii="Times New Roman" w:hAnsi="Times New Roman" w:eastAsia="宋体" w:cs="Times New Roman"/>
                <w:color w:val="auto"/>
                <w:kern w:val="0"/>
                <w:szCs w:val="21"/>
              </w:rPr>
              <w:t>管理，企业应当在</w:t>
            </w:r>
            <w:r>
              <w:rPr>
                <w:rFonts w:hint="default" w:ascii="Times New Roman" w:hAnsi="Times New Roman" w:eastAsia="宋体" w:cs="Times New Roman"/>
                <w:color w:val="auto"/>
                <w:kern w:val="0"/>
                <w:szCs w:val="21"/>
                <w:lang w:eastAsia="zh-CN"/>
              </w:rPr>
              <w:t>新建项目</w:t>
            </w:r>
            <w:r>
              <w:rPr>
                <w:rFonts w:hint="default" w:ascii="Times New Roman" w:hAnsi="Times New Roman" w:eastAsia="宋体" w:cs="Times New Roman"/>
                <w:color w:val="auto"/>
                <w:kern w:val="0"/>
                <w:szCs w:val="21"/>
              </w:rPr>
              <w:t>投入生产或使用并产生实际排污行为之前完成排污许可证</w:t>
            </w:r>
            <w:r>
              <w:rPr>
                <w:rFonts w:hint="default" w:ascii="Times New Roman" w:hAnsi="Times New Roman" w:eastAsia="宋体" w:cs="Times New Roman"/>
                <w:color w:val="auto"/>
                <w:kern w:val="0"/>
                <w:szCs w:val="21"/>
                <w:lang w:eastAsia="zh-CN"/>
              </w:rPr>
              <w:t>登记</w:t>
            </w:r>
            <w:r>
              <w:rPr>
                <w:rFonts w:hint="default" w:ascii="Times New Roman" w:hAnsi="Times New Roman" w:eastAsia="宋体" w:cs="Times New Roman"/>
                <w:color w:val="auto"/>
                <w:kern w:val="0"/>
                <w:szCs w:val="21"/>
              </w:rPr>
              <w:t>。</w:t>
            </w:r>
          </w:p>
        </w:tc>
      </w:tr>
    </w:tbl>
    <w:p>
      <w:pPr>
        <w:pStyle w:val="21"/>
        <w:shd w:val="clear"/>
        <w:jc w:val="center"/>
        <w:outlineLvl w:val="0"/>
        <w:rPr>
          <w:rFonts w:hint="default" w:ascii="Times New Roman" w:hAnsi="Times New Roman" w:eastAsia="宋体" w:cs="Times New Roman"/>
          <w:snapToGrid w:val="0"/>
          <w:color w:val="auto"/>
        </w:rPr>
      </w:pPr>
    </w:p>
    <w:p>
      <w:pPr>
        <w:pStyle w:val="21"/>
        <w:shd w:val="clear"/>
        <w:jc w:val="center"/>
        <w:outlineLvl w:val="0"/>
        <w:rPr>
          <w:rFonts w:hint="default" w:ascii="Times New Roman" w:hAnsi="Times New Roman" w:eastAsia="宋体" w:cs="Times New Roman"/>
          <w:b/>
          <w:bCs/>
          <w:snapToGrid w:val="0"/>
          <w:color w:val="auto"/>
          <w:sz w:val="30"/>
          <w:szCs w:val="30"/>
        </w:rPr>
      </w:pPr>
    </w:p>
    <w:p>
      <w:pPr>
        <w:pStyle w:val="21"/>
        <w:shd w:val="clear"/>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hd w:val="clea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项目建成运行后，会对周围环境带来一定影响，通过落实报告表中提出的合理、有效环保措施，确保废气、固废得到合理处置，使得建设项目对周围环境影响程度可以接受，从环境保护角度分析，项目建设是可行的。</w:t>
            </w:r>
          </w:p>
        </w:tc>
      </w:tr>
    </w:tbl>
    <w:p>
      <w:pPr>
        <w:shd w:val="clea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shd w:val="clear"/>
        <w:adjustRightInd w:val="0"/>
        <w:snapToGrid w:val="0"/>
        <w:spacing w:before="0" w:beforeAutospacing="0" w:after="0" w:afterAutospacing="0"/>
        <w:outlineLvl w:val="0"/>
        <w:rPr>
          <w:rFonts w:hint="default" w:ascii="Times New Roman" w:hAnsi="Times New Roman" w:eastAsia="宋体" w:cs="Times New Roman"/>
          <w:snapToGrid w:val="0"/>
          <w:color w:val="auto"/>
          <w:kern w:val="0"/>
          <w:sz w:val="32"/>
          <w:szCs w:val="32"/>
        </w:rPr>
      </w:pPr>
      <w:r>
        <w:rPr>
          <w:rFonts w:hint="default" w:ascii="Times New Roman" w:hAnsi="Times New Roman" w:eastAsia="宋体" w:cs="Times New Roman"/>
          <w:snapToGrid w:val="0"/>
          <w:color w:val="auto"/>
          <w:kern w:val="0"/>
          <w:sz w:val="32"/>
          <w:szCs w:val="32"/>
        </w:rPr>
        <w:t>附表</w:t>
      </w:r>
    </w:p>
    <w:p>
      <w:pPr>
        <w:pStyle w:val="21"/>
        <w:shd w:val="clear"/>
        <w:adjustRightInd w:val="0"/>
        <w:snapToGrid w:val="0"/>
        <w:spacing w:before="0" w:beforeAutospacing="0" w:after="0" w:afterAutospacing="0"/>
        <w:jc w:val="center"/>
        <w:outlineLvl w:val="0"/>
        <w:rPr>
          <w:rFonts w:hint="default" w:ascii="Times New Roman" w:hAnsi="Times New Roman" w:eastAsia="宋体" w:cs="Times New Roman"/>
          <w:snapToGrid w:val="0"/>
          <w:color w:val="auto"/>
          <w:kern w:val="0"/>
          <w:sz w:val="38"/>
          <w:szCs w:val="38"/>
        </w:rPr>
      </w:pPr>
      <w:r>
        <w:rPr>
          <w:rFonts w:hint="default" w:ascii="Times New Roman" w:hAnsi="Times New Roman" w:eastAsia="宋体" w:cs="Times New Roman"/>
          <w:snapToGrid w:val="0"/>
          <w:color w:val="auto"/>
          <w:kern w:val="0"/>
          <w:sz w:val="38"/>
          <w:szCs w:val="38"/>
        </w:rPr>
        <w:t>建设项目污染物排放量汇总表</w:t>
      </w:r>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763"/>
        <w:gridCol w:w="766"/>
        <w:gridCol w:w="1302"/>
        <w:gridCol w:w="1226"/>
        <w:gridCol w:w="1893"/>
        <w:gridCol w:w="1896"/>
        <w:gridCol w:w="1834"/>
        <w:gridCol w:w="2109"/>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69" w:type="pct"/>
            <w:tcBorders>
              <w:tl2br w:val="single" w:color="auto" w:sz="4" w:space="0"/>
            </w:tcBorders>
            <w:tcMar>
              <w:left w:w="28" w:type="dxa"/>
              <w:right w:w="28" w:type="dxa"/>
            </w:tcMar>
            <w:vAlign w:val="center"/>
          </w:tcPr>
          <w:p>
            <w:pPr>
              <w:pStyle w:val="33"/>
              <w:shd w:val="clear"/>
              <w:spacing w:beforeLines="0" w:afterLines="0" w:line="240" w:lineRule="auto"/>
              <w:jc w:val="right"/>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项目</w:t>
            </w:r>
          </w:p>
          <w:p>
            <w:pPr>
              <w:pStyle w:val="33"/>
              <w:shd w:val="clear"/>
              <w:spacing w:beforeLines="0" w:afterLines="0" w:line="240" w:lineRule="auto"/>
              <w:jc w:val="left"/>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分类</w:t>
            </w:r>
          </w:p>
        </w:tc>
        <w:tc>
          <w:tcPr>
            <w:tcW w:w="545" w:type="pct"/>
            <w:gridSpan w:val="2"/>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污染物名称</w:t>
            </w:r>
          </w:p>
        </w:tc>
        <w:tc>
          <w:tcPr>
            <w:tcW w:w="464"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现有工程</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排放量（固体废物产生量）</w:t>
            </w: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1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①</w:t>
            </w:r>
            <w:r>
              <w:rPr>
                <w:rFonts w:hint="default" w:ascii="Times New Roman" w:hAnsi="Times New Roman" w:eastAsia="宋体" w:cs="Times New Roman"/>
                <w:b/>
                <w:bCs/>
                <w:snapToGrid w:val="0"/>
                <w:color w:val="auto"/>
                <w:kern w:val="0"/>
                <w:sz w:val="21"/>
                <w:szCs w:val="21"/>
              </w:rPr>
              <w:fldChar w:fldCharType="end"/>
            </w:r>
          </w:p>
        </w:tc>
        <w:tc>
          <w:tcPr>
            <w:tcW w:w="437"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现有工程</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许可排放量</w:t>
            </w:r>
          </w:p>
          <w:p>
            <w:pPr>
              <w:pStyle w:val="33"/>
              <w:shd w:val="clear"/>
              <w:spacing w:beforeLines="0" w:afterLines="0"/>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2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snapToGrid w:val="0"/>
                <w:color w:val="auto"/>
                <w:kern w:val="0"/>
                <w:sz w:val="21"/>
                <w:szCs w:val="21"/>
              </w:rPr>
              <w:t>②</w:t>
            </w:r>
            <w:r>
              <w:rPr>
                <w:rFonts w:hint="default" w:ascii="Times New Roman" w:hAnsi="Times New Roman" w:eastAsia="宋体" w:cs="Times New Roman"/>
                <w:b/>
                <w:bCs/>
                <w:snapToGrid w:val="0"/>
                <w:color w:val="auto"/>
                <w:kern w:val="0"/>
                <w:sz w:val="21"/>
                <w:szCs w:val="21"/>
              </w:rPr>
              <w:fldChar w:fldCharType="end"/>
            </w:r>
          </w:p>
        </w:tc>
        <w:tc>
          <w:tcPr>
            <w:tcW w:w="675"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在建工程</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排放量（固体废物产生量）</w:t>
            </w: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3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③</w:t>
            </w:r>
            <w:r>
              <w:rPr>
                <w:rFonts w:hint="default" w:ascii="Times New Roman" w:hAnsi="Times New Roman" w:eastAsia="宋体" w:cs="Times New Roman"/>
                <w:b/>
                <w:bCs/>
                <w:snapToGrid w:val="0"/>
                <w:color w:val="auto"/>
                <w:kern w:val="0"/>
                <w:sz w:val="21"/>
                <w:szCs w:val="21"/>
              </w:rPr>
              <w:fldChar w:fldCharType="end"/>
            </w:r>
          </w:p>
        </w:tc>
        <w:tc>
          <w:tcPr>
            <w:tcW w:w="676"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本项目</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排放量（固体废物产生量）</w:t>
            </w: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4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④</w:t>
            </w:r>
            <w:r>
              <w:rPr>
                <w:rFonts w:hint="default" w:ascii="Times New Roman" w:hAnsi="Times New Roman" w:eastAsia="宋体" w:cs="Times New Roman"/>
                <w:b/>
                <w:bCs/>
                <w:snapToGrid w:val="0"/>
                <w:color w:val="auto"/>
                <w:kern w:val="0"/>
                <w:sz w:val="21"/>
                <w:szCs w:val="21"/>
              </w:rPr>
              <w:fldChar w:fldCharType="end"/>
            </w:r>
          </w:p>
        </w:tc>
        <w:tc>
          <w:tcPr>
            <w:tcW w:w="654"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以新带老削减量</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（新建项目不填）</w:t>
            </w: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5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⑤</w:t>
            </w:r>
            <w:r>
              <w:rPr>
                <w:rFonts w:hint="default" w:ascii="Times New Roman" w:hAnsi="Times New Roman" w:eastAsia="宋体" w:cs="Times New Roman"/>
                <w:b/>
                <w:bCs/>
                <w:snapToGrid w:val="0"/>
                <w:color w:val="auto"/>
                <w:kern w:val="0"/>
                <w:sz w:val="21"/>
                <w:szCs w:val="21"/>
              </w:rPr>
              <w:fldChar w:fldCharType="end"/>
            </w:r>
          </w:p>
        </w:tc>
        <w:tc>
          <w:tcPr>
            <w:tcW w:w="752"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本项目建成后</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全厂排放量（固体废物产生量）</w:t>
            </w: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6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⑥</w:t>
            </w:r>
            <w:r>
              <w:rPr>
                <w:rFonts w:hint="default" w:ascii="Times New Roman" w:hAnsi="Times New Roman" w:eastAsia="宋体" w:cs="Times New Roman"/>
                <w:b/>
                <w:bCs/>
                <w:snapToGrid w:val="0"/>
                <w:color w:val="auto"/>
                <w:kern w:val="0"/>
                <w:sz w:val="21"/>
                <w:szCs w:val="21"/>
              </w:rPr>
              <w:fldChar w:fldCharType="end"/>
            </w:r>
          </w:p>
        </w:tc>
        <w:tc>
          <w:tcPr>
            <w:tcW w:w="524" w:type="pct"/>
            <w:tcMar>
              <w:left w:w="28" w:type="dxa"/>
              <w:right w:w="28" w:type="dxa"/>
            </w:tcMar>
            <w:vAlign w:val="center"/>
          </w:tcPr>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t>变化量</w:t>
            </w:r>
          </w:p>
          <w:p>
            <w:pPr>
              <w:pStyle w:val="33"/>
              <w:shd w:val="clear"/>
              <w:spacing w:beforeLines="0" w:afterLines="0" w:line="240" w:lineRule="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snapToGrid w:val="0"/>
                <w:color w:val="auto"/>
                <w:kern w:val="0"/>
                <w:sz w:val="21"/>
                <w:szCs w:val="21"/>
              </w:rPr>
              <w:fldChar w:fldCharType="begin"/>
            </w:r>
            <w:r>
              <w:rPr>
                <w:rFonts w:hint="default" w:ascii="Times New Roman" w:hAnsi="Times New Roman" w:eastAsia="宋体" w:cs="Times New Roman"/>
                <w:b/>
                <w:bCs/>
                <w:snapToGrid w:val="0"/>
                <w:color w:val="auto"/>
                <w:kern w:val="0"/>
                <w:sz w:val="21"/>
                <w:szCs w:val="21"/>
              </w:rPr>
              <w:instrText xml:space="preserve"> = 7 \* GB3 \* MERGEFORMAT </w:instrText>
            </w:r>
            <w:r>
              <w:rPr>
                <w:rFonts w:hint="default" w:ascii="Times New Roman" w:hAnsi="Times New Roman" w:eastAsia="宋体" w:cs="Times New Roman"/>
                <w:b/>
                <w:bCs/>
                <w:snapToGrid w:val="0"/>
                <w:color w:val="auto"/>
                <w:kern w:val="0"/>
                <w:sz w:val="21"/>
                <w:szCs w:val="21"/>
              </w:rPr>
              <w:fldChar w:fldCharType="separate"/>
            </w:r>
            <w:r>
              <w:rPr>
                <w:rFonts w:hint="default" w:ascii="Times New Roman" w:hAnsi="Times New Roman" w:eastAsia="宋体" w:cs="Times New Roman"/>
                <w:b/>
                <w:bCs/>
                <w:color w:val="auto"/>
                <w:kern w:val="0"/>
                <w:sz w:val="21"/>
                <w:szCs w:val="21"/>
              </w:rPr>
              <w:t>⑦</w:t>
            </w:r>
            <w:r>
              <w:rPr>
                <w:rFonts w:hint="default" w:ascii="Times New Roman" w:hAnsi="Times New Roman" w:eastAsia="宋体" w:cs="Times New Roman"/>
                <w:b/>
                <w:bCs/>
                <w:snapToGrid w:val="0"/>
                <w:color w:val="auto"/>
                <w:kern w:val="0"/>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69" w:type="pct"/>
            <w:vMerge w:val="restar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废气</w:t>
            </w:r>
          </w:p>
        </w:tc>
        <w:tc>
          <w:tcPr>
            <w:tcW w:w="545" w:type="pct"/>
            <w:gridSpan w:val="2"/>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颗粒物</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0.4458t/a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0.1256t/a</w:t>
            </w:r>
          </w:p>
        </w:tc>
        <w:tc>
          <w:tcPr>
            <w:tcW w:w="676" w:type="pct"/>
            <w:vAlign w:val="center"/>
          </w:tcPr>
          <w:p>
            <w:pPr>
              <w:pStyle w:val="33"/>
              <w:shd w:val="clear"/>
              <w:spacing w:beforeLines="0" w:afterLines="0" w:line="240" w:lineRule="auto"/>
              <w:rPr>
                <w:rFonts w:hint="default" w:ascii="Times New Roman" w:hAnsi="Times New Roman" w:eastAsia="宋体" w:cs="Times New Roman"/>
                <w:color w:val="auto"/>
                <w:kern w:val="0"/>
                <w:sz w:val="21"/>
                <w:szCs w:val="21"/>
              </w:rPr>
            </w:pPr>
            <w:r>
              <w:rPr>
                <w:rFonts w:hint="eastAsia" w:ascii="Times New Roman" w:cs="Times New Roman"/>
                <w:snapToGrid w:val="0"/>
                <w:color w:val="auto"/>
                <w:kern w:val="0"/>
                <w:sz w:val="21"/>
                <w:szCs w:val="21"/>
                <w:lang w:val="en-US" w:eastAsia="zh-CN"/>
              </w:rPr>
              <w:t>0.1876</w:t>
            </w:r>
            <w:r>
              <w:rPr>
                <w:rFonts w:hint="default" w:ascii="Times New Roman" w:hAnsi="Times New Roman" w:eastAsia="宋体" w:cs="Times New Roman"/>
                <w:snapToGrid w:val="0"/>
                <w:color w:val="auto"/>
                <w:kern w:val="0"/>
                <w:sz w:val="21"/>
                <w:szCs w:val="21"/>
                <w:lang w:val="en-US" w:eastAsia="zh-CN"/>
              </w:rPr>
              <w:t>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0.4458t/a</w:t>
            </w:r>
          </w:p>
        </w:tc>
        <w:tc>
          <w:tcPr>
            <w:tcW w:w="752" w:type="pct"/>
            <w:vAlign w:val="center"/>
          </w:tcPr>
          <w:p>
            <w:pPr>
              <w:pStyle w:val="33"/>
              <w:shd w:val="clear"/>
              <w:spacing w:beforeLines="0" w:afterLines="0" w:line="240" w:lineRule="auto"/>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val="en-US" w:eastAsia="zh-CN"/>
              </w:rPr>
              <w:t>0.3132</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pStyle w:val="33"/>
              <w:shd w:val="clear"/>
              <w:spacing w:beforeLines="0" w:afterLines="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-0.132</w:t>
            </w:r>
            <w:r>
              <w:rPr>
                <w:rFonts w:hint="eastAsia" w:ascii="Times New Roman" w:cs="Times New Roman"/>
                <w:color w:val="auto"/>
                <w:kern w:val="0"/>
                <w:sz w:val="21"/>
                <w:szCs w:val="21"/>
                <w:lang w:val="en-US" w:eastAsia="zh-CN" w:bidi="ar-SA"/>
              </w:rPr>
              <w:t>6</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VOCs</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0.00053t/a</w:t>
            </w:r>
          </w:p>
        </w:tc>
        <w:tc>
          <w:tcPr>
            <w:tcW w:w="676"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752"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0.00053t/a</w:t>
            </w:r>
          </w:p>
        </w:tc>
        <w:tc>
          <w:tcPr>
            <w:tcW w:w="524"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0.00053</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vMerge w:val="restar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废水</w:t>
            </w:r>
          </w:p>
        </w:tc>
        <w:tc>
          <w:tcPr>
            <w:tcW w:w="272" w:type="pct"/>
            <w:vMerge w:val="restar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生活污水</w:t>
            </w:r>
          </w:p>
        </w:tc>
        <w:tc>
          <w:tcPr>
            <w:tcW w:w="273"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COD</w:t>
            </w:r>
          </w:p>
        </w:tc>
        <w:tc>
          <w:tcPr>
            <w:tcW w:w="464"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6"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65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272" w:type="pct"/>
            <w:vMerge w:val="continue"/>
            <w:vAlign w:val="center"/>
          </w:tcPr>
          <w:p>
            <w:pPr>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273" w:type="pc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bidi="ar-SA"/>
              </w:rPr>
            </w:pPr>
            <w:r>
              <w:rPr>
                <w:rFonts w:hint="default" w:ascii="Times New Roman" w:hAnsi="Times New Roman" w:eastAsia="宋体" w:cs="Times New Roman"/>
                <w:bCs/>
                <w:color w:val="auto"/>
                <w:kern w:val="0"/>
                <w:sz w:val="21"/>
                <w:szCs w:val="21"/>
                <w:vertAlign w:val="baseline"/>
                <w:lang w:val="en-US" w:eastAsia="zh-CN"/>
              </w:rPr>
              <w:t>氨氮</w:t>
            </w:r>
          </w:p>
        </w:tc>
        <w:tc>
          <w:tcPr>
            <w:tcW w:w="464"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6"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65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9"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生活垃圾</w:t>
            </w:r>
          </w:p>
        </w:tc>
        <w:tc>
          <w:tcPr>
            <w:tcW w:w="545" w:type="pct"/>
            <w:gridSpan w:val="2"/>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生活垃圾</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3.0t/a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4.5t/a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snapToGrid w:val="0"/>
                <w:color w:val="auto"/>
                <w:kern w:val="0"/>
                <w:sz w:val="21"/>
                <w:szCs w:val="21"/>
                <w:lang w:val="en-US" w:eastAsia="zh-CN"/>
              </w:rPr>
              <w:t>3.0t/a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3.0t/a</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7.5</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4.5</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9" w:type="pct"/>
            <w:vMerge w:val="restar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一般工业</w:t>
            </w:r>
          </w:p>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固体废物</w:t>
            </w: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钢材下脚</w:t>
            </w:r>
            <w:r>
              <w:rPr>
                <w:rFonts w:hint="default" w:ascii="Times New Roman" w:hAnsi="Times New Roman" w:eastAsia="宋体" w:cs="Times New Roman"/>
                <w:color w:val="auto"/>
                <w:kern w:val="0"/>
                <w:sz w:val="21"/>
                <w:szCs w:val="21"/>
                <w:lang w:eastAsia="zh-CN"/>
              </w:rPr>
              <w:t>料</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rPr>
            </w:pPr>
            <w:r>
              <w:rPr>
                <w:rFonts w:hint="default" w:ascii="Times New Roman" w:hAnsi="Times New Roman" w:eastAsia="宋体" w:cs="Times New Roman"/>
                <w:snapToGrid w:val="0"/>
                <w:color w:val="auto"/>
                <w:kern w:val="0"/>
                <w:sz w:val="21"/>
                <w:szCs w:val="21"/>
                <w:lang w:val="en-US" w:eastAsia="zh-CN"/>
              </w:rPr>
              <w:t>2.25t/a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1.53t/a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2t/a</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3.78</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1.78</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废焊</w:t>
            </w:r>
            <w:r>
              <w:rPr>
                <w:rFonts w:hint="default" w:ascii="Times New Roman" w:hAnsi="Times New Roman" w:eastAsia="宋体" w:cs="Times New Roman"/>
                <w:color w:val="auto"/>
                <w:kern w:val="0"/>
                <w:sz w:val="21"/>
                <w:szCs w:val="21"/>
                <w:lang w:val="en-US" w:eastAsia="zh-CN"/>
              </w:rPr>
              <w:t>头</w:t>
            </w:r>
            <w:r>
              <w:rPr>
                <w:rFonts w:hint="default" w:ascii="Times New Roman" w:hAnsi="Times New Roman" w:eastAsia="宋体" w:cs="Times New Roman"/>
                <w:color w:val="auto"/>
                <w:kern w:val="0"/>
                <w:sz w:val="21"/>
                <w:szCs w:val="21"/>
                <w:lang w:eastAsia="zh-CN"/>
              </w:rPr>
              <w:t>和焊渣</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0.05t/a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rPr>
            </w:pPr>
            <w:r>
              <w:rPr>
                <w:rFonts w:hint="default" w:ascii="Times New Roman" w:hAnsi="Times New Roman" w:eastAsia="宋体" w:cs="Times New Roman"/>
                <w:snapToGrid w:val="0"/>
                <w:color w:val="auto"/>
                <w:kern w:val="0"/>
                <w:sz w:val="21"/>
                <w:szCs w:val="21"/>
                <w:lang w:val="en-US" w:eastAsia="zh-CN"/>
              </w:rPr>
              <w:t>0.3t/a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0.05t/a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0.05t/a</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0.35</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脉冲式布袋除尘器收尘</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3.2t/a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0.4459t/a</w:t>
            </w:r>
          </w:p>
        </w:tc>
        <w:tc>
          <w:tcPr>
            <w:tcW w:w="676"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1.4t/a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3.2t/a</w:t>
            </w:r>
          </w:p>
        </w:tc>
        <w:tc>
          <w:tcPr>
            <w:tcW w:w="752"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1.8459t/a</w:t>
            </w:r>
          </w:p>
        </w:tc>
        <w:tc>
          <w:tcPr>
            <w:tcW w:w="524"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-1.3541</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循环水池沉淀物</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0.03t/a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6"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0.03t/a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0.03t/a</w:t>
            </w:r>
          </w:p>
        </w:tc>
        <w:tc>
          <w:tcPr>
            <w:tcW w:w="752"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0.03t/a</w:t>
            </w:r>
          </w:p>
        </w:tc>
        <w:tc>
          <w:tcPr>
            <w:tcW w:w="524" w:type="pct"/>
            <w:vAlign w:val="center"/>
          </w:tcPr>
          <w:p>
            <w:pPr>
              <w:shd w:val="clea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焊烟净化器收尘</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0.015t/a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0.15t/a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0.0354t/a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0.015t/a</w:t>
            </w:r>
          </w:p>
        </w:tc>
        <w:tc>
          <w:tcPr>
            <w:tcW w:w="752"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0.1854</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0.0354</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金属碎屑</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0.024</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0.05t/a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0.024</w:t>
            </w:r>
            <w:r>
              <w:rPr>
                <w:rFonts w:hint="default" w:ascii="Times New Roman" w:hAnsi="Times New Roman" w:eastAsia="宋体" w:cs="Times New Roman"/>
                <w:snapToGrid w:val="0"/>
                <w:color w:val="auto"/>
                <w:kern w:val="0"/>
                <w:sz w:val="21"/>
                <w:szCs w:val="21"/>
                <w:lang w:val="en-US" w:eastAsia="zh-CN"/>
              </w:rPr>
              <w:t>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752"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0.074</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0.05</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废包装材料</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0.05t/a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752"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0.05</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0.05</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69" w:type="pct"/>
            <w:vMerge w:val="restar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危险废物</w:t>
            </w:r>
          </w:p>
        </w:tc>
        <w:tc>
          <w:tcPr>
            <w:tcW w:w="545"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含油废</w:t>
            </w:r>
            <w:r>
              <w:rPr>
                <w:rFonts w:hint="default" w:ascii="Times New Roman" w:hAnsi="Times New Roman" w:eastAsia="宋体" w:cs="Times New Roman"/>
                <w:color w:val="auto"/>
                <w:sz w:val="21"/>
                <w:szCs w:val="21"/>
                <w:lang w:val="en-US" w:eastAsia="zh-CN"/>
              </w:rPr>
              <w:t>手套</w:t>
            </w:r>
            <w:r>
              <w:rPr>
                <w:rFonts w:hint="default" w:ascii="Times New Roman" w:hAnsi="Times New Roman" w:eastAsia="宋体" w:cs="Times New Roman"/>
                <w:color w:val="auto"/>
                <w:sz w:val="21"/>
                <w:szCs w:val="21"/>
              </w:rPr>
              <w:t>抹布</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0.55t/a</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rPr>
            </w:pPr>
            <w:r>
              <w:rPr>
                <w:rFonts w:hint="default" w:ascii="Times New Roman" w:hAnsi="Times New Roman" w:eastAsia="宋体" w:cs="Times New Roman"/>
                <w:snapToGrid w:val="0"/>
                <w:color w:val="auto"/>
                <w:kern w:val="0"/>
                <w:sz w:val="21"/>
                <w:szCs w:val="21"/>
                <w:lang w:val="en-US" w:eastAsia="zh-CN"/>
              </w:rPr>
              <w:t>0.02t/a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0.05t/a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0.55t/a</w:t>
            </w:r>
          </w:p>
        </w:tc>
        <w:tc>
          <w:tcPr>
            <w:tcW w:w="752"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0.07</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-0.48</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废油桶</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0个</w:t>
            </w:r>
          </w:p>
        </w:tc>
        <w:tc>
          <w:tcPr>
            <w:tcW w:w="437" w:type="pct"/>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lang w:val="en-US" w:eastAsia="zh-CN"/>
              </w:rPr>
              <w:t>5个/a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5个/a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0个</w:t>
            </w:r>
          </w:p>
        </w:tc>
        <w:tc>
          <w:tcPr>
            <w:tcW w:w="752"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10个/a</w:t>
            </w:r>
          </w:p>
        </w:tc>
        <w:tc>
          <w:tcPr>
            <w:tcW w:w="52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废机油</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0.06t/a</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snapToGrid w:val="0"/>
                <w:color w:val="auto"/>
                <w:kern w:val="0"/>
                <w:sz w:val="21"/>
                <w:szCs w:val="21"/>
                <w:lang w:val="en-US" w:eastAsia="zh-CN"/>
              </w:rPr>
              <w:t>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0.06</w:t>
            </w:r>
            <w:r>
              <w:rPr>
                <w:rFonts w:hint="default" w:ascii="Times New Roman" w:hAnsi="Times New Roman" w:eastAsia="宋体" w:cs="Times New Roman"/>
                <w:snapToGrid w:val="0"/>
                <w:color w:val="auto"/>
                <w:kern w:val="0"/>
                <w:sz w:val="21"/>
                <w:szCs w:val="21"/>
                <w:lang w:val="en-US" w:eastAsia="zh-CN"/>
              </w:rPr>
              <w:t>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0.06t/a</w:t>
            </w:r>
          </w:p>
        </w:tc>
        <w:tc>
          <w:tcPr>
            <w:tcW w:w="752"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0.07</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废液压油</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0.02t/a</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r>
              <w:rPr>
                <w:rFonts w:hint="default" w:ascii="Times New Roman" w:hAnsi="Times New Roman" w:eastAsia="宋体" w:cs="Times New Roman"/>
                <w:snapToGrid w:val="0"/>
                <w:color w:val="auto"/>
                <w:kern w:val="0"/>
                <w:sz w:val="21"/>
                <w:szCs w:val="21"/>
                <w:lang w:val="en-US" w:eastAsia="zh-CN"/>
              </w:rPr>
              <w:t>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snapToGrid w:val="0"/>
                <w:color w:val="auto"/>
                <w:kern w:val="0"/>
                <w:sz w:val="21"/>
                <w:szCs w:val="21"/>
                <w:lang w:val="en-US" w:eastAsia="zh-CN"/>
              </w:rPr>
              <w:t>t/a</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0.02t/a</w:t>
            </w:r>
          </w:p>
        </w:tc>
        <w:tc>
          <w:tcPr>
            <w:tcW w:w="752"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0.12</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废活性炭</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snapToGrid w:val="0"/>
                <w:color w:val="auto"/>
                <w:kern w:val="0"/>
                <w:sz w:val="21"/>
                <w:szCs w:val="21"/>
                <w:lang w:val="en-US" w:eastAsia="zh-CN"/>
              </w:rPr>
              <w:t>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752"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0.01</w:t>
            </w:r>
            <w:r>
              <w:rPr>
                <w:rFonts w:hint="default" w:ascii="Times New Roman" w:hAnsi="Times New Roman" w:eastAsia="宋体" w:cs="Times New Roman"/>
                <w:snapToGrid w:val="0"/>
                <w:color w:val="auto"/>
                <w:kern w:val="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69" w:type="pct"/>
            <w:vMerge w:val="continue"/>
            <w:vAlign w:val="center"/>
          </w:tcPr>
          <w:p>
            <w:pPr>
              <w:pStyle w:val="33"/>
              <w:shd w:val="clear"/>
              <w:spacing w:beforeLines="0" w:afterLines="0" w:line="240" w:lineRule="auto"/>
              <w:rPr>
                <w:rFonts w:hint="default" w:ascii="Times New Roman" w:hAnsi="Times New Roman" w:eastAsia="宋体" w:cs="Times New Roman"/>
                <w:snapToGrid w:val="0"/>
                <w:color w:val="auto"/>
                <w:kern w:val="0"/>
                <w:sz w:val="21"/>
                <w:szCs w:val="21"/>
              </w:rPr>
            </w:pPr>
          </w:p>
        </w:tc>
        <w:tc>
          <w:tcPr>
            <w:tcW w:w="545" w:type="pct"/>
            <w:gridSpan w:val="2"/>
            <w:vAlign w:val="center"/>
          </w:tcPr>
          <w:p>
            <w:pPr>
              <w:shd w:val="clea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废滤芯</w:t>
            </w:r>
          </w:p>
        </w:tc>
        <w:tc>
          <w:tcPr>
            <w:tcW w:w="46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437"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w:t>
            </w:r>
          </w:p>
        </w:tc>
        <w:tc>
          <w:tcPr>
            <w:tcW w:w="675"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0.233</w:t>
            </w:r>
            <w:r>
              <w:rPr>
                <w:rFonts w:hint="default" w:ascii="Times New Roman" w:hAnsi="Times New Roman" w:eastAsia="宋体" w:cs="Times New Roman"/>
                <w:snapToGrid w:val="0"/>
                <w:color w:val="auto"/>
                <w:kern w:val="0"/>
                <w:sz w:val="21"/>
                <w:szCs w:val="21"/>
                <w:lang w:val="en-US" w:eastAsia="zh-CN"/>
              </w:rPr>
              <w:t>t/a</w:t>
            </w:r>
          </w:p>
        </w:tc>
        <w:tc>
          <w:tcPr>
            <w:tcW w:w="676" w:type="pct"/>
            <w:vAlign w:val="center"/>
          </w:tcPr>
          <w:p>
            <w:pPr>
              <w:shd w:val="clea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54" w:type="pct"/>
            <w:vAlign w:val="center"/>
          </w:tcPr>
          <w:p>
            <w:pPr>
              <w:shd w:val="clear"/>
              <w:spacing w:beforeLines="0" w:afterLines="0"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w:t>
            </w:r>
          </w:p>
        </w:tc>
        <w:tc>
          <w:tcPr>
            <w:tcW w:w="752"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0.233</w:t>
            </w:r>
            <w:r>
              <w:rPr>
                <w:rFonts w:hint="default" w:ascii="Times New Roman" w:hAnsi="Times New Roman" w:eastAsia="宋体" w:cs="Times New Roman"/>
                <w:snapToGrid w:val="0"/>
                <w:color w:val="auto"/>
                <w:kern w:val="0"/>
                <w:sz w:val="21"/>
                <w:szCs w:val="21"/>
                <w:lang w:val="en-US" w:eastAsia="zh-CN"/>
              </w:rPr>
              <w:t>t/a</w:t>
            </w:r>
          </w:p>
        </w:tc>
        <w:tc>
          <w:tcPr>
            <w:tcW w:w="524" w:type="pct"/>
            <w:vAlign w:val="center"/>
          </w:tcPr>
          <w:p>
            <w:pPr>
              <w:shd w:val="clear"/>
              <w:spacing w:beforeLines="0" w:afterLines="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0.233</w:t>
            </w:r>
            <w:r>
              <w:rPr>
                <w:rFonts w:hint="default" w:ascii="Times New Roman" w:hAnsi="Times New Roman" w:eastAsia="宋体" w:cs="Times New Roman"/>
                <w:snapToGrid w:val="0"/>
                <w:color w:val="auto"/>
                <w:kern w:val="0"/>
                <w:sz w:val="21"/>
                <w:szCs w:val="21"/>
                <w:lang w:val="en-US" w:eastAsia="zh-CN"/>
              </w:rPr>
              <w:t>t/a</w:t>
            </w:r>
          </w:p>
        </w:tc>
      </w:tr>
    </w:tbl>
    <w:p>
      <w:pPr>
        <w:pStyle w:val="33"/>
        <w:shd w:val="clear"/>
        <w:spacing w:before="255" w:beforeLines="80" w:after="31"/>
        <w:jc w:val="left"/>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注：</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6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⑥</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1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①</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3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③</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4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④</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5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⑤</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7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⑦</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6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⑥</w:t>
      </w:r>
      <w:r>
        <w:rPr>
          <w:rFonts w:hint="default" w:ascii="Times New Roman" w:hAnsi="Times New Roman" w:eastAsia="宋体" w:cs="Times New Roman"/>
          <w:snapToGrid w:val="0"/>
          <w:color w:val="auto"/>
          <w:kern w:val="0"/>
          <w:szCs w:val="21"/>
        </w:rPr>
        <w:fldChar w:fldCharType="end"/>
      </w:r>
      <w:r>
        <w:rPr>
          <w:rFonts w:hint="default" w:ascii="Times New Roman" w:hAnsi="Times New Roman" w:eastAsia="宋体" w:cs="Times New Roman"/>
          <w:snapToGrid w:val="0"/>
          <w:color w:val="auto"/>
          <w:kern w:val="0"/>
          <w:szCs w:val="21"/>
        </w:rPr>
        <w:t>-</w:t>
      </w:r>
      <w:r>
        <w:rPr>
          <w:rFonts w:hint="default" w:ascii="Times New Roman" w:hAnsi="Times New Roman" w:eastAsia="宋体" w:cs="Times New Roman"/>
          <w:snapToGrid w:val="0"/>
          <w:color w:val="auto"/>
          <w:kern w:val="0"/>
          <w:szCs w:val="21"/>
        </w:rPr>
        <w:fldChar w:fldCharType="begin"/>
      </w:r>
      <w:r>
        <w:rPr>
          <w:rFonts w:hint="default" w:ascii="Times New Roman" w:hAnsi="Times New Roman" w:eastAsia="宋体" w:cs="Times New Roman"/>
          <w:snapToGrid w:val="0"/>
          <w:color w:val="auto"/>
          <w:kern w:val="0"/>
          <w:szCs w:val="21"/>
        </w:rPr>
        <w:instrText xml:space="preserve"> = 1 \* GB3 \* MERGEFORMAT </w:instrText>
      </w:r>
      <w:r>
        <w:rPr>
          <w:rFonts w:hint="default" w:ascii="Times New Roman" w:hAnsi="Times New Roman" w:eastAsia="宋体" w:cs="Times New Roman"/>
          <w:snapToGrid w:val="0"/>
          <w:color w:val="auto"/>
          <w:kern w:val="0"/>
          <w:szCs w:val="21"/>
        </w:rPr>
        <w:fldChar w:fldCharType="separate"/>
      </w:r>
      <w:r>
        <w:rPr>
          <w:rFonts w:hint="default" w:ascii="Times New Roman" w:hAnsi="Times New Roman" w:eastAsia="宋体" w:cs="Times New Roman"/>
          <w:color w:val="auto"/>
          <w:kern w:val="0"/>
          <w:szCs w:val="21"/>
        </w:rPr>
        <w:t>①</w:t>
      </w:r>
      <w:r>
        <w:rPr>
          <w:rFonts w:hint="default" w:ascii="Times New Roman" w:hAnsi="Times New Roman" w:eastAsia="宋体" w:cs="Times New Roman"/>
          <w:snapToGrid w:val="0"/>
          <w:color w:val="auto"/>
          <w:kern w:val="0"/>
          <w:szCs w:val="21"/>
        </w:rPr>
        <w:fldChar w:fldCharType="end"/>
      </w:r>
    </w:p>
    <w:p>
      <w:pPr>
        <w:shd w:val="clear"/>
        <w:rPr>
          <w:rFonts w:hint="default" w:ascii="Times New Roman" w:hAnsi="Times New Roman" w:eastAsia="宋体" w:cs="Times New Roman"/>
          <w:snapToGrid w:val="0"/>
          <w:color w:val="auto"/>
          <w:kern w:val="0"/>
          <w:szCs w:val="21"/>
        </w:rPr>
      </w:pPr>
    </w:p>
    <w:p>
      <w:pPr>
        <w:pStyle w:val="2"/>
        <w:shd w:val="clear"/>
        <w:rPr>
          <w:rFonts w:hint="default" w:ascii="Times New Roman" w:hAnsi="Times New Roman" w:eastAsia="宋体" w:cs="Times New Roman"/>
          <w:snapToGrid w:val="0"/>
          <w:color w:val="auto"/>
          <w:kern w:val="0"/>
          <w:szCs w:val="21"/>
        </w:rPr>
      </w:pPr>
    </w:p>
    <w:p>
      <w:pPr>
        <w:shd w:val="clear"/>
        <w:rPr>
          <w:rFonts w:hint="default" w:ascii="Times New Roman" w:hAnsi="Times New Roman" w:eastAsia="宋体" w:cs="Times New Roman"/>
          <w:snapToGrid w:val="0"/>
          <w:color w:val="auto"/>
          <w:kern w:val="0"/>
          <w:szCs w:val="21"/>
        </w:rPr>
      </w:pPr>
    </w:p>
    <w:p>
      <w:pPr>
        <w:shd w:val="clear"/>
        <w:rPr>
          <w:rFonts w:hint="default" w:ascii="Times New Roman" w:hAnsi="Times New Roman" w:eastAsia="宋体" w:cs="Times New Roman"/>
          <w:b/>
          <w:bCs/>
          <w:color w:val="auto"/>
          <w:kern w:val="0"/>
          <w:szCs w:val="24"/>
        </w:rPr>
      </w:pPr>
      <w:r>
        <w:rPr>
          <w:rFonts w:hint="default" w:ascii="Times New Roman" w:hAnsi="Times New Roman" w:eastAsia="宋体" w:cs="Times New Roman"/>
          <w:b/>
          <w:bCs/>
          <w:color w:val="auto"/>
          <w:kern w:val="0"/>
          <w:szCs w:val="24"/>
        </w:rPr>
        <w:br w:type="page"/>
      </w:r>
    </w:p>
    <w:p>
      <w:pPr>
        <w:pStyle w:val="2"/>
        <w:shd w:val="clear"/>
        <w:ind w:left="0" w:leftChars="0" w:firstLine="0" w:firstLineChars="0"/>
        <w:rPr>
          <w:rFonts w:hint="default" w:ascii="Times New Roman" w:hAnsi="Times New Roman" w:eastAsia="宋体" w:cs="Times New Roman"/>
          <w:b/>
          <w:bCs/>
          <w:color w:val="auto"/>
          <w:kern w:val="0"/>
          <w:szCs w:val="24"/>
        </w:rPr>
        <w:sectPr>
          <w:footerReference r:id="rId8" w:type="default"/>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pStyle w:val="2"/>
        <w:shd w:val="clear"/>
        <w:ind w:left="0" w:leftChars="0" w:firstLine="0" w:firstLineChars="0"/>
        <w:rPr>
          <w:rFonts w:hint="default" w:ascii="Times New Roman" w:hAnsi="Times New Roman" w:eastAsia="宋体" w:cs="Times New Roman"/>
          <w:b/>
          <w:bCs/>
          <w:color w:val="auto"/>
          <w:kern w:val="0"/>
          <w:szCs w:val="24"/>
        </w:rPr>
      </w:pPr>
      <w:r>
        <w:rPr>
          <w:rFonts w:hint="default" w:ascii="Times New Roman" w:hAnsi="Times New Roman" w:eastAsia="宋体" w:cs="Times New Roman"/>
          <w:b/>
          <w:bCs/>
          <w:color w:val="auto"/>
          <w:kern w:val="0"/>
          <w:szCs w:val="24"/>
        </w:rPr>
        <w:t>附件1 立项批准文件</w:t>
      </w:r>
    </w:p>
    <w:p>
      <w:pPr>
        <w:shd w:val="clea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66690" cy="7022465"/>
            <wp:effectExtent l="0" t="0" r="10160" b="6985"/>
            <wp:docPr id="9" name="图片 9" descr="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立项"/>
                    <pic:cNvPicPr>
                      <a:picLocks noChangeAspect="1"/>
                    </pic:cNvPicPr>
                  </pic:nvPicPr>
                  <pic:blipFill>
                    <a:blip r:embed="rId19"/>
                    <a:stretch>
                      <a:fillRect/>
                    </a:stretch>
                  </pic:blipFill>
                  <pic:spPr>
                    <a:xfrm>
                      <a:off x="0" y="0"/>
                      <a:ext cx="5266690" cy="7022465"/>
                    </a:xfrm>
                    <a:prstGeom prst="rect">
                      <a:avLst/>
                    </a:prstGeom>
                  </pic:spPr>
                </pic:pic>
              </a:graphicData>
            </a:graphic>
          </wp:inline>
        </w:drawing>
      </w: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ind w:left="0" w:leftChars="0" w:firstLine="0" w:firstLineChars="0"/>
        <w:rPr>
          <w:rFonts w:hint="default" w:ascii="Times New Roman" w:hAnsi="Times New Roman" w:eastAsia="宋体" w:cs="Times New Roman"/>
          <w:b/>
          <w:bCs/>
          <w:color w:val="auto"/>
          <w:kern w:val="0"/>
          <w:sz w:val="28"/>
          <w:szCs w:val="28"/>
        </w:rPr>
      </w:pPr>
      <w:r>
        <w:rPr>
          <w:rFonts w:hint="default" w:ascii="Times New Roman" w:hAnsi="Times New Roman" w:eastAsia="宋体" w:cs="Times New Roman"/>
          <w:b/>
          <w:bCs/>
          <w:color w:val="auto"/>
          <w:kern w:val="0"/>
          <w:sz w:val="28"/>
          <w:szCs w:val="28"/>
        </w:rPr>
        <w:t>附件2 营业执照</w:t>
      </w:r>
    </w:p>
    <w:p>
      <w:pPr>
        <w:pStyle w:val="2"/>
        <w:shd w:val="clear"/>
        <w:ind w:left="0" w:leftChars="0"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snapToGrid w:val="0"/>
          <w:color w:val="auto"/>
          <w:w w:val="0"/>
          <w:sz w:val="16"/>
          <w:szCs w:val="0"/>
          <w:u w:val="none" w:color="000000"/>
          <w:shd w:val="clear" w:color="000000" w:fill="000000"/>
        </w:rPr>
        <w:drawing>
          <wp:inline distT="0" distB="0" distL="114300" distR="114300">
            <wp:extent cx="5394325" cy="7842250"/>
            <wp:effectExtent l="0" t="0" r="15875"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5394325" cy="7842250"/>
                    </a:xfrm>
                    <a:prstGeom prst="rect">
                      <a:avLst/>
                    </a:prstGeom>
                    <a:noFill/>
                    <a:ln>
                      <a:noFill/>
                    </a:ln>
                  </pic:spPr>
                </pic:pic>
              </a:graphicData>
            </a:graphic>
          </wp:inline>
        </w:drawing>
      </w: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b/>
          <w:bCs/>
          <w:color w:val="auto"/>
          <w:kern w:val="0"/>
          <w:sz w:val="28"/>
          <w:szCs w:val="28"/>
        </w:rPr>
      </w:pPr>
      <w:r>
        <w:rPr>
          <w:rFonts w:hint="default" w:ascii="Times New Roman" w:hAnsi="Times New Roman" w:eastAsia="宋体" w:cs="Times New Roman"/>
          <w:b/>
          <w:bCs/>
          <w:color w:val="auto"/>
          <w:kern w:val="0"/>
          <w:sz w:val="28"/>
          <w:szCs w:val="28"/>
        </w:rPr>
        <w:t>附件3 委托书</w:t>
      </w:r>
    </w:p>
    <w:p>
      <w:pPr>
        <w:shd w:val="clear"/>
        <w:tabs>
          <w:tab w:val="left" w:pos="1589"/>
          <w:tab w:val="center" w:pos="4213"/>
        </w:tabs>
        <w:adjustRightInd w:val="0"/>
        <w:spacing w:line="800" w:lineRule="exact"/>
        <w:ind w:firstLine="3092" w:firstLineChars="700"/>
        <w:jc w:val="left"/>
        <w:textAlignment w:val="baseline"/>
        <w:rPr>
          <w:rFonts w:hint="default" w:ascii="Times New Roman" w:hAnsi="Times New Roman" w:eastAsia="宋体" w:cs="Times New Roman"/>
          <w:b/>
          <w:color w:val="auto"/>
          <w:kern w:val="0"/>
          <w:sz w:val="44"/>
          <w:szCs w:val="44"/>
        </w:rPr>
      </w:pPr>
      <w:r>
        <w:rPr>
          <w:rFonts w:hint="default" w:ascii="Times New Roman" w:hAnsi="Times New Roman" w:eastAsia="宋体" w:cs="Times New Roman"/>
          <w:b/>
          <w:color w:val="auto"/>
          <w:kern w:val="0"/>
          <w:sz w:val="44"/>
          <w:szCs w:val="44"/>
        </w:rPr>
        <w:t>委  托  书</w:t>
      </w:r>
    </w:p>
    <w:p>
      <w:pPr>
        <w:shd w:val="clear"/>
        <w:adjustRightInd w:val="0"/>
        <w:spacing w:line="800" w:lineRule="exact"/>
        <w:textAlignment w:val="baseline"/>
        <w:rPr>
          <w:rFonts w:hint="default" w:ascii="Times New Roman" w:hAnsi="Times New Roman" w:eastAsia="宋体" w:cs="Times New Roman"/>
          <w:color w:val="auto"/>
          <w:kern w:val="0"/>
          <w:sz w:val="32"/>
          <w:szCs w:val="32"/>
        </w:rPr>
      </w:pPr>
    </w:p>
    <w:p>
      <w:pPr>
        <w:shd w:val="clear"/>
        <w:adjustRightInd w:val="0"/>
        <w:spacing w:line="800" w:lineRule="exact"/>
        <w:textAlignment w:val="baseline"/>
        <w:rPr>
          <w:rFonts w:hint="default" w:ascii="Times New Roman" w:hAnsi="Times New Roman" w:eastAsia="宋体" w:cs="Times New Roman"/>
          <w:b/>
          <w:color w:val="auto"/>
          <w:kern w:val="0"/>
          <w:sz w:val="32"/>
          <w:szCs w:val="32"/>
        </w:rPr>
      </w:pPr>
      <w:r>
        <w:rPr>
          <w:rFonts w:hint="default" w:ascii="Times New Roman" w:hAnsi="Times New Roman" w:eastAsia="宋体" w:cs="Times New Roman"/>
          <w:b/>
          <w:color w:val="auto"/>
          <w:kern w:val="0"/>
          <w:sz w:val="32"/>
          <w:szCs w:val="32"/>
        </w:rPr>
        <w:t>山东冠业环境技术有限公司：</w:t>
      </w:r>
    </w:p>
    <w:p>
      <w:pPr>
        <w:shd w:val="clear"/>
        <w:spacing w:line="800" w:lineRule="exact"/>
        <w:ind w:right="164" w:rightChars="78" w:firstLine="643" w:firstLineChars="200"/>
        <w:rPr>
          <w:rFonts w:hint="default" w:ascii="Times New Roman" w:hAnsi="Times New Roman" w:eastAsia="宋体" w:cs="Times New Roman"/>
          <w:b/>
          <w:color w:val="auto"/>
          <w:kern w:val="0"/>
          <w:sz w:val="32"/>
          <w:szCs w:val="32"/>
          <w:lang w:eastAsia="zh-CN"/>
        </w:rPr>
      </w:pPr>
      <w:r>
        <w:rPr>
          <w:rFonts w:hint="default" w:ascii="Times New Roman" w:hAnsi="Times New Roman" w:eastAsia="宋体" w:cs="Times New Roman"/>
          <w:b/>
          <w:color w:val="auto"/>
          <w:kern w:val="0"/>
          <w:sz w:val="32"/>
          <w:szCs w:val="32"/>
        </w:rPr>
        <w:t>根据国家《建设项目环境保护管理条例》和当地环保部门的要求，</w:t>
      </w:r>
      <w:r>
        <w:rPr>
          <w:rFonts w:hint="default" w:ascii="Times New Roman" w:hAnsi="Times New Roman" w:eastAsia="宋体" w:cs="Times New Roman"/>
          <w:b/>
          <w:color w:val="auto"/>
          <w:kern w:val="0"/>
          <w:sz w:val="32"/>
          <w:szCs w:val="32"/>
          <w:u w:val="single"/>
        </w:rPr>
        <w:t>淄博诚泰化工设备有限公司防腐搪玻璃搅拌器和管件项目</w:t>
      </w:r>
      <w:r>
        <w:rPr>
          <w:rFonts w:hint="default" w:ascii="Times New Roman" w:hAnsi="Times New Roman" w:eastAsia="宋体" w:cs="Times New Roman"/>
          <w:b/>
          <w:color w:val="auto"/>
          <w:kern w:val="0"/>
          <w:sz w:val="32"/>
          <w:szCs w:val="32"/>
        </w:rPr>
        <w:t xml:space="preserve">需执行环境影响评价制度，今委托贵公司承担该项目环境影响报告表的编制工作。 </w:t>
      </w:r>
    </w:p>
    <w:p>
      <w:pPr>
        <w:shd w:val="clear"/>
        <w:spacing w:line="800" w:lineRule="exact"/>
        <w:ind w:right="164" w:rightChars="78" w:firstLine="643" w:firstLineChars="200"/>
        <w:rPr>
          <w:rFonts w:hint="default" w:ascii="Times New Roman" w:hAnsi="Times New Roman" w:eastAsia="宋体" w:cs="Times New Roman"/>
          <w:b/>
          <w:color w:val="auto"/>
          <w:kern w:val="0"/>
          <w:sz w:val="32"/>
          <w:szCs w:val="32"/>
        </w:rPr>
      </w:pPr>
    </w:p>
    <w:p>
      <w:pPr>
        <w:shd w:val="clear"/>
        <w:adjustRightInd w:val="0"/>
        <w:spacing w:line="580" w:lineRule="exact"/>
        <w:ind w:firstLine="600" w:firstLineChars="200"/>
        <w:textAlignment w:val="baseline"/>
        <w:rPr>
          <w:rFonts w:hint="default" w:ascii="Times New Roman" w:hAnsi="Times New Roman" w:eastAsia="宋体" w:cs="Times New Roman"/>
          <w:color w:val="auto"/>
          <w:kern w:val="0"/>
          <w:sz w:val="30"/>
          <w:szCs w:val="20"/>
          <w:lang w:eastAsia="zh-CN"/>
        </w:rPr>
      </w:pPr>
    </w:p>
    <w:p>
      <w:pPr>
        <w:shd w:val="clear"/>
        <w:adjustRightInd w:val="0"/>
        <w:spacing w:line="800" w:lineRule="exact"/>
        <w:textAlignment w:val="baseline"/>
        <w:rPr>
          <w:rFonts w:hint="default" w:ascii="Times New Roman" w:hAnsi="Times New Roman" w:eastAsia="宋体" w:cs="Times New Roman"/>
          <w:color w:val="auto"/>
          <w:kern w:val="0"/>
          <w:sz w:val="32"/>
          <w:szCs w:val="32"/>
        </w:rPr>
      </w:pPr>
    </w:p>
    <w:p>
      <w:pPr>
        <w:shd w:val="clear"/>
        <w:spacing w:line="800" w:lineRule="exact"/>
        <w:ind w:right="164" w:rightChars="78" w:firstLine="643" w:firstLineChars="200"/>
        <w:jc w:val="right"/>
        <w:rPr>
          <w:rFonts w:hint="default" w:ascii="Times New Roman" w:hAnsi="Times New Roman" w:eastAsia="宋体" w:cs="Times New Roman"/>
          <w:b/>
          <w:color w:val="auto"/>
          <w:kern w:val="0"/>
          <w:sz w:val="32"/>
          <w:szCs w:val="32"/>
        </w:rPr>
      </w:pPr>
      <w:r>
        <w:rPr>
          <w:rFonts w:hint="default" w:ascii="Times New Roman" w:hAnsi="Times New Roman" w:eastAsia="宋体" w:cs="Times New Roman"/>
          <w:b/>
          <w:color w:val="auto"/>
          <w:kern w:val="0"/>
          <w:sz w:val="32"/>
          <w:szCs w:val="32"/>
        </w:rPr>
        <w:t>委托方：淄博诚泰化工设备有限公司</w:t>
      </w:r>
    </w:p>
    <w:p>
      <w:pPr>
        <w:shd w:val="clear"/>
        <w:spacing w:line="800" w:lineRule="exact"/>
        <w:ind w:right="164" w:rightChars="78" w:firstLine="643" w:firstLineChars="200"/>
        <w:jc w:val="right"/>
        <w:rPr>
          <w:rFonts w:hint="default" w:ascii="Times New Roman" w:hAnsi="Times New Roman" w:eastAsia="宋体" w:cs="Times New Roman"/>
          <w:b/>
          <w:color w:val="auto"/>
          <w:kern w:val="0"/>
          <w:sz w:val="32"/>
          <w:szCs w:val="32"/>
          <w:lang w:val="en-US" w:eastAsia="zh-CN"/>
        </w:rPr>
      </w:pPr>
      <w:r>
        <w:rPr>
          <w:rFonts w:hint="default" w:ascii="Times New Roman" w:hAnsi="Times New Roman" w:eastAsia="宋体" w:cs="Times New Roman"/>
          <w:b/>
          <w:color w:val="auto"/>
          <w:kern w:val="0"/>
          <w:sz w:val="32"/>
          <w:szCs w:val="32"/>
        </w:rPr>
        <w:t xml:space="preserve">         委托时间：     年    月</w:t>
      </w:r>
      <w:r>
        <w:rPr>
          <w:rFonts w:hint="default" w:ascii="Times New Roman" w:hAnsi="Times New Roman" w:eastAsia="宋体" w:cs="Times New Roman"/>
          <w:b/>
          <w:color w:val="auto"/>
          <w:kern w:val="0"/>
          <w:sz w:val="32"/>
          <w:szCs w:val="32"/>
          <w:lang w:val="en-US" w:eastAsia="zh-CN"/>
        </w:rPr>
        <w:t xml:space="preserve">    日</w:t>
      </w: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rPr>
      </w:pPr>
    </w:p>
    <w:p>
      <w:pPr>
        <w:shd w:val="clear"/>
        <w:rPr>
          <w:rFonts w:hint="default" w:ascii="Times New Roman" w:hAnsi="Times New Roman" w:eastAsia="宋体" w:cs="Times New Roman"/>
          <w:color w:val="auto"/>
        </w:rPr>
      </w:pPr>
    </w:p>
    <w:p>
      <w:pPr>
        <w:pStyle w:val="2"/>
        <w:shd w:val="clear"/>
        <w:rPr>
          <w:rFonts w:hint="default" w:ascii="Times New Roman" w:hAnsi="Times New Roman" w:eastAsia="宋体" w:cs="Times New Roman"/>
          <w:color w:val="auto"/>
        </w:rPr>
      </w:pPr>
    </w:p>
    <w:p>
      <w:pPr>
        <w:shd w:val="clear"/>
        <w:rPr>
          <w:rFonts w:hint="default" w:ascii="Times New Roman" w:hAnsi="Times New Roman" w:eastAsia="宋体" w:cs="Times New Roman"/>
          <w:color w:val="auto"/>
        </w:rPr>
      </w:pPr>
    </w:p>
    <w:p>
      <w:pPr>
        <w:pStyle w:val="2"/>
        <w:shd w:val="clear"/>
        <w:rPr>
          <w:rFonts w:hint="default" w:ascii="Times New Roman" w:hAnsi="Times New Roman" w:eastAsia="宋体" w:cs="Times New Roman"/>
          <w:color w:val="auto"/>
        </w:rPr>
      </w:pPr>
    </w:p>
    <w:p>
      <w:pPr>
        <w:shd w:val="clear"/>
        <w:rPr>
          <w:rFonts w:hint="default" w:ascii="Times New Roman" w:hAnsi="Times New Roman" w:eastAsia="宋体" w:cs="Times New Roman"/>
          <w:color w:val="auto"/>
        </w:rPr>
      </w:pPr>
    </w:p>
    <w:p>
      <w:pPr>
        <w:pStyle w:val="2"/>
        <w:shd w:val="clear"/>
        <w:rPr>
          <w:rFonts w:hint="default" w:ascii="Times New Roman" w:hAnsi="Times New Roman" w:eastAsia="宋体" w:cs="Times New Roman"/>
          <w:color w:val="auto"/>
        </w:rPr>
      </w:pPr>
    </w:p>
    <w:p>
      <w:pPr>
        <w:shd w:val="clear"/>
        <w:rPr>
          <w:rFonts w:hint="default" w:ascii="Times New Roman" w:hAnsi="Times New Roman" w:eastAsia="宋体" w:cs="Times New Roman"/>
          <w:color w:val="auto"/>
        </w:rPr>
      </w:pPr>
    </w:p>
    <w:p>
      <w:pPr>
        <w:pStyle w:val="2"/>
        <w:shd w:val="clear"/>
        <w:rPr>
          <w:rFonts w:hint="default" w:ascii="Times New Roman" w:hAnsi="Times New Roman" w:eastAsia="宋体" w:cs="Times New Roman"/>
          <w:color w:val="auto"/>
        </w:rPr>
      </w:pPr>
    </w:p>
    <w:p>
      <w:pPr>
        <w:pStyle w:val="2"/>
        <w:shd w:val="clear"/>
        <w:ind w:left="0" w:leftChars="0" w:firstLine="0" w:firstLineChars="0"/>
        <w:rPr>
          <w:rFonts w:hint="default" w:ascii="Times New Roman" w:hAnsi="Times New Roman" w:eastAsia="宋体" w:cs="Times New Roman"/>
          <w:b/>
          <w:bCs/>
          <w:color w:val="auto"/>
          <w:kern w:val="0"/>
          <w:sz w:val="28"/>
          <w:szCs w:val="28"/>
        </w:rPr>
      </w:pPr>
      <w:r>
        <w:rPr>
          <w:rFonts w:hint="default" w:ascii="Times New Roman" w:hAnsi="Times New Roman" w:eastAsia="宋体" w:cs="Times New Roman"/>
          <w:b/>
          <w:bCs/>
          <w:color w:val="auto"/>
          <w:kern w:val="0"/>
          <w:sz w:val="28"/>
          <w:szCs w:val="28"/>
        </w:rPr>
        <w:t>附件</w:t>
      </w:r>
      <w:r>
        <w:rPr>
          <w:rFonts w:hint="default" w:ascii="Times New Roman" w:hAnsi="Times New Roman" w:eastAsia="宋体" w:cs="Times New Roman"/>
          <w:b/>
          <w:bCs/>
          <w:color w:val="auto"/>
          <w:kern w:val="0"/>
          <w:sz w:val="28"/>
          <w:szCs w:val="28"/>
          <w:lang w:val="en-US" w:eastAsia="zh-CN"/>
        </w:rPr>
        <w:t>4</w:t>
      </w:r>
      <w:r>
        <w:rPr>
          <w:rFonts w:hint="default" w:ascii="Times New Roman" w:hAnsi="Times New Roman" w:eastAsia="宋体" w:cs="Times New Roman"/>
          <w:b/>
          <w:bCs/>
          <w:color w:val="auto"/>
          <w:kern w:val="0"/>
          <w:sz w:val="28"/>
          <w:szCs w:val="28"/>
        </w:rPr>
        <w:t>承诺书</w:t>
      </w:r>
    </w:p>
    <w:p>
      <w:pPr>
        <w:pStyle w:val="2"/>
        <w:shd w:val="clear"/>
        <w:spacing w:after="0" w:line="360" w:lineRule="auto"/>
        <w:ind w:left="0" w:leftChars="0" w:firstLine="0" w:firstLineChars="0"/>
        <w:rPr>
          <w:rFonts w:hint="default" w:ascii="Times New Roman" w:hAnsi="Times New Roman" w:eastAsia="宋体" w:cs="Times New Roman"/>
          <w:color w:val="auto"/>
          <w:kern w:val="0"/>
          <w:sz w:val="30"/>
          <w:szCs w:val="30"/>
        </w:rPr>
      </w:pPr>
    </w:p>
    <w:p>
      <w:pPr>
        <w:shd w:val="clear"/>
        <w:tabs>
          <w:tab w:val="left" w:pos="1589"/>
          <w:tab w:val="center" w:pos="4213"/>
        </w:tabs>
        <w:adjustRightInd w:val="0"/>
        <w:spacing w:line="800" w:lineRule="exact"/>
        <w:jc w:val="center"/>
        <w:textAlignment w:val="baseline"/>
        <w:rPr>
          <w:rFonts w:hint="default" w:ascii="Times New Roman" w:hAnsi="Times New Roman" w:eastAsia="宋体" w:cs="Times New Roman"/>
          <w:b/>
          <w:color w:val="auto"/>
          <w:kern w:val="0"/>
          <w:sz w:val="44"/>
          <w:szCs w:val="44"/>
        </w:rPr>
      </w:pPr>
      <w:r>
        <w:rPr>
          <w:rFonts w:hint="default" w:ascii="Times New Roman" w:hAnsi="Times New Roman" w:eastAsia="宋体" w:cs="Times New Roman"/>
          <w:b/>
          <w:color w:val="auto"/>
          <w:kern w:val="0"/>
          <w:sz w:val="44"/>
          <w:szCs w:val="44"/>
        </w:rPr>
        <w:t>关于资料提供和环评内容的确认承诺函</w:t>
      </w:r>
    </w:p>
    <w:p>
      <w:pPr>
        <w:shd w:val="clear"/>
        <w:adjustRightInd w:val="0"/>
        <w:snapToGrid w:val="0"/>
        <w:spacing w:line="360" w:lineRule="auto"/>
        <w:rPr>
          <w:rFonts w:hint="default" w:ascii="Times New Roman" w:hAnsi="Times New Roman" w:eastAsia="宋体" w:cs="Times New Roman"/>
          <w:color w:val="auto"/>
          <w:kern w:val="0"/>
          <w:sz w:val="24"/>
          <w:szCs w:val="22"/>
        </w:rPr>
      </w:pPr>
    </w:p>
    <w:p>
      <w:pPr>
        <w:shd w:val="clear"/>
        <w:adjustRightInd w:val="0"/>
        <w:snapToGrid w:val="0"/>
        <w:spacing w:line="360" w:lineRule="auto"/>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kern w:val="0"/>
          <w:sz w:val="28"/>
        </w:rPr>
        <w:t>山东冠业环境技术有限公司：</w:t>
      </w:r>
    </w:p>
    <w:p>
      <w:pPr>
        <w:shd w:val="clear"/>
        <w:adjustRightInd w:val="0"/>
        <w:snapToGrid w:val="0"/>
        <w:spacing w:line="360" w:lineRule="auto"/>
        <w:ind w:firstLine="560" w:firstLineChars="200"/>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kern w:val="0"/>
          <w:sz w:val="28"/>
        </w:rPr>
        <w:t>依据双方签订的《淄博诚泰化工设备有限公司防腐搪玻璃搅拌器和管件项目环境影响评价技术服务合同书》约定，我单位承诺提供给贵单位的材料均为真实、合法的。</w:t>
      </w:r>
    </w:p>
    <w:p>
      <w:pPr>
        <w:shd w:val="clear"/>
        <w:adjustRightInd w:val="0"/>
        <w:snapToGrid w:val="0"/>
        <w:spacing w:line="360" w:lineRule="auto"/>
        <w:ind w:firstLine="560" w:firstLineChars="200"/>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kern w:val="0"/>
          <w:sz w:val="28"/>
        </w:rPr>
        <w:t>由贵单位编制的《淄博诚泰化工设备有限公司防腐搪玻璃搅拌器和管件项目环境影响报告表》已收悉，经对报告内容认真核对，我单位确认相关技术资料及支撑性文件均为我方提供，环评内容符合本项目合同规定的要求，可以上报主管部门审查。由于我方提供资料的真实性、合法性引起的法律责任，由我方承担。</w:t>
      </w:r>
    </w:p>
    <w:p>
      <w:pPr>
        <w:shd w:val="clear"/>
        <w:adjustRightInd w:val="0"/>
        <w:snapToGrid w:val="0"/>
        <w:spacing w:line="360" w:lineRule="auto"/>
        <w:ind w:firstLine="560" w:firstLineChars="200"/>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kern w:val="0"/>
          <w:sz w:val="28"/>
        </w:rPr>
        <w:t>特此承诺！</w:t>
      </w:r>
    </w:p>
    <w:p>
      <w:pPr>
        <w:shd w:val="clear"/>
        <w:adjustRightInd w:val="0"/>
        <w:snapToGrid w:val="0"/>
        <w:spacing w:line="360" w:lineRule="auto"/>
        <w:rPr>
          <w:rFonts w:hint="default" w:ascii="Times New Roman" w:hAnsi="Times New Roman" w:eastAsia="宋体" w:cs="Times New Roman"/>
          <w:color w:val="auto"/>
          <w:kern w:val="0"/>
          <w:sz w:val="28"/>
        </w:rPr>
      </w:pPr>
    </w:p>
    <w:p>
      <w:pPr>
        <w:shd w:val="clear"/>
        <w:wordWrap w:val="0"/>
        <w:adjustRightInd w:val="0"/>
        <w:snapToGrid w:val="0"/>
        <w:spacing w:line="360" w:lineRule="auto"/>
        <w:ind w:right="1120"/>
        <w:rPr>
          <w:rFonts w:hint="default" w:ascii="Times New Roman" w:hAnsi="Times New Roman" w:eastAsia="宋体" w:cs="Times New Roman"/>
          <w:color w:val="auto"/>
          <w:kern w:val="0"/>
          <w:sz w:val="28"/>
        </w:rPr>
      </w:pPr>
    </w:p>
    <w:p>
      <w:pPr>
        <w:shd w:val="clear"/>
        <w:wordWrap w:val="0"/>
        <w:adjustRightInd w:val="0"/>
        <w:snapToGrid w:val="0"/>
        <w:spacing w:line="360" w:lineRule="auto"/>
        <w:jc w:val="right"/>
        <w:rPr>
          <w:rFonts w:hint="default" w:ascii="Times New Roman" w:hAnsi="Times New Roman" w:eastAsia="宋体" w:cs="Times New Roman"/>
          <w:color w:val="auto"/>
          <w:kern w:val="0"/>
          <w:sz w:val="28"/>
        </w:rPr>
      </w:pPr>
    </w:p>
    <w:p>
      <w:pPr>
        <w:shd w:val="clear"/>
        <w:adjustRightInd w:val="0"/>
        <w:snapToGrid w:val="0"/>
        <w:spacing w:line="360" w:lineRule="auto"/>
        <w:jc w:val="right"/>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kern w:val="0"/>
          <w:sz w:val="28"/>
        </w:rPr>
        <w:t>建设单位（公章）</w:t>
      </w:r>
    </w:p>
    <w:p>
      <w:pPr>
        <w:shd w:val="clear"/>
        <w:wordWrap w:val="0"/>
        <w:adjustRightInd w:val="0"/>
        <w:snapToGrid w:val="0"/>
        <w:spacing w:line="360" w:lineRule="auto"/>
        <w:jc w:val="right"/>
        <w:rPr>
          <w:rFonts w:hint="default" w:ascii="Times New Roman" w:hAnsi="Times New Roman" w:eastAsia="宋体" w:cs="Times New Roman"/>
          <w:color w:val="auto"/>
          <w:kern w:val="0"/>
          <w:sz w:val="28"/>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color w:val="auto"/>
          <w:kern w:val="0"/>
          <w:sz w:val="28"/>
        </w:rPr>
        <w:t xml:space="preserve">                                       年    月</w:t>
      </w:r>
      <w:r>
        <w:rPr>
          <w:rFonts w:hint="default" w:ascii="Times New Roman" w:hAnsi="Times New Roman" w:eastAsia="宋体" w:cs="Times New Roman"/>
          <w:color w:val="auto"/>
          <w:kern w:val="0"/>
          <w:sz w:val="28"/>
          <w:lang w:val="en-US" w:eastAsia="zh-CN"/>
        </w:rPr>
        <w:t xml:space="preserve">    日</w:t>
      </w:r>
    </w:p>
    <w:p>
      <w:pPr>
        <w:shd w:val="clear"/>
        <w:wordWrap w:val="0"/>
        <w:adjustRightInd w:val="0"/>
        <w:snapToGrid w:val="0"/>
        <w:spacing w:line="360" w:lineRule="auto"/>
        <w:jc w:val="both"/>
        <w:rPr>
          <w:rFonts w:hint="default" w:ascii="Times New Roman" w:hAnsi="Times New Roman" w:eastAsia="宋体" w:cs="Times New Roman"/>
          <w:b/>
          <w:bCs/>
          <w:color w:val="auto"/>
          <w:kern w:val="0"/>
          <w:sz w:val="28"/>
          <w:lang w:val="en-US" w:eastAsia="zh-CN"/>
        </w:rPr>
      </w:pPr>
      <w:r>
        <w:rPr>
          <w:rFonts w:hint="default" w:ascii="Times New Roman" w:hAnsi="Times New Roman" w:eastAsia="宋体" w:cs="Times New Roman"/>
          <w:b/>
          <w:bCs/>
          <w:color w:val="auto"/>
          <w:kern w:val="0"/>
          <w:sz w:val="28"/>
          <w:lang w:val="en-US" w:eastAsia="zh-CN"/>
        </w:rPr>
        <w:t>附件5资料真实性承诺书</w:t>
      </w:r>
    </w:p>
    <w:p>
      <w:pPr>
        <w:shd w:val="clear"/>
        <w:wordWrap w:val="0"/>
        <w:adjustRightInd w:val="0"/>
        <w:snapToGrid w:val="0"/>
        <w:spacing w:line="360" w:lineRule="auto"/>
        <w:jc w:val="both"/>
        <w:rPr>
          <w:rFonts w:hint="default" w:ascii="Times New Roman" w:hAnsi="Times New Roman" w:eastAsia="宋体" w:cs="Times New Roman"/>
          <w:color w:val="auto"/>
          <w:kern w:val="0"/>
          <w:sz w:val="28"/>
          <w:lang w:val="en-US" w:eastAsia="zh-CN"/>
        </w:rPr>
      </w:pPr>
      <w:r>
        <w:rPr>
          <w:rFonts w:hint="default" w:ascii="Times New Roman" w:hAnsi="Times New Roman" w:eastAsia="宋体" w:cs="Times New Roman"/>
          <w:color w:val="auto"/>
          <w:kern w:val="0"/>
          <w:sz w:val="28"/>
          <w:lang w:val="en-US" w:eastAsia="zh-CN"/>
        </w:rPr>
        <w:t xml:space="preserve">    </w:t>
      </w:r>
    </w:p>
    <w:p>
      <w:pPr>
        <w:shd w:val="clear"/>
        <w:jc w:val="center"/>
        <w:rPr>
          <w:rFonts w:hint="default" w:ascii="Times New Roman" w:hAnsi="Times New Roman" w:eastAsia="宋体" w:cs="Times New Roman"/>
          <w:b/>
          <w:color w:val="auto"/>
          <w:kern w:val="0"/>
          <w:sz w:val="36"/>
          <w:szCs w:val="36"/>
        </w:rPr>
      </w:pPr>
      <w:r>
        <w:rPr>
          <w:rFonts w:hint="default" w:ascii="Times New Roman" w:hAnsi="Times New Roman" w:eastAsia="宋体" w:cs="Times New Roman"/>
          <w:b/>
          <w:color w:val="auto"/>
          <w:kern w:val="0"/>
          <w:sz w:val="36"/>
          <w:szCs w:val="36"/>
        </w:rPr>
        <w:t>资料真实性承诺书</w:t>
      </w:r>
    </w:p>
    <w:p>
      <w:pPr>
        <w:shd w:val="clear"/>
        <w:spacing w:line="360" w:lineRule="auto"/>
        <w:rPr>
          <w:rFonts w:hint="default" w:ascii="Times New Roman" w:hAnsi="Times New Roman" w:eastAsia="宋体" w:cs="Times New Roman"/>
          <w:color w:val="auto"/>
          <w:kern w:val="0"/>
          <w:sz w:val="28"/>
          <w:szCs w:val="28"/>
          <w:lang w:eastAsia="zh-CN"/>
        </w:rPr>
      </w:pPr>
    </w:p>
    <w:p>
      <w:pPr>
        <w:shd w:val="clear"/>
        <w:autoSpaceDE w:val="0"/>
        <w:autoSpaceDN w:val="0"/>
        <w:adjustRightInd w:val="0"/>
        <w:spacing w:line="360" w:lineRule="auto"/>
        <w:jc w:val="left"/>
        <w:rPr>
          <w:rFonts w:hint="default" w:ascii="Times New Roman" w:hAnsi="Times New Roman" w:eastAsia="宋体" w:cs="Times New Roman"/>
          <w:color w:val="auto"/>
          <w:kern w:val="0"/>
          <w:sz w:val="32"/>
          <w:szCs w:val="32"/>
          <w:lang w:eastAsia="zh-CN"/>
        </w:rPr>
      </w:pPr>
      <w:r>
        <w:rPr>
          <w:rFonts w:hint="default" w:ascii="Times New Roman" w:hAnsi="Times New Roman" w:eastAsia="宋体" w:cs="Times New Roman"/>
          <w:color w:val="auto"/>
          <w:kern w:val="0"/>
          <w:sz w:val="32"/>
          <w:szCs w:val="32"/>
        </w:rPr>
        <w:t>淄博</w:t>
      </w:r>
      <w:r>
        <w:rPr>
          <w:rFonts w:hint="default" w:ascii="Times New Roman" w:hAnsi="Times New Roman" w:eastAsia="宋体" w:cs="Times New Roman"/>
          <w:color w:val="auto"/>
          <w:kern w:val="0"/>
          <w:sz w:val="32"/>
          <w:szCs w:val="32"/>
          <w:lang w:eastAsia="zh-CN"/>
        </w:rPr>
        <w:t>文昌湖省级旅游度假区安全生产监管和环境保护局：</w:t>
      </w:r>
    </w:p>
    <w:p>
      <w:pPr>
        <w:shd w:val="clear"/>
        <w:autoSpaceDE w:val="0"/>
        <w:autoSpaceDN w:val="0"/>
        <w:adjustRightInd w:val="0"/>
        <w:spacing w:line="360" w:lineRule="auto"/>
        <w:ind w:firstLine="640" w:firstLineChars="200"/>
        <w:jc w:val="both"/>
        <w:rPr>
          <w:rFonts w:hint="default" w:ascii="Times New Roman" w:hAnsi="Times New Roman" w:eastAsia="宋体" w:cs="Times New Roman"/>
          <w:color w:val="auto"/>
          <w:kern w:val="0"/>
          <w:sz w:val="32"/>
          <w:szCs w:val="32"/>
        </w:rPr>
      </w:pPr>
      <w:r>
        <w:rPr>
          <w:rFonts w:hint="default" w:ascii="Times New Roman" w:hAnsi="Times New Roman" w:eastAsia="宋体" w:cs="Times New Roman"/>
          <w:color w:val="auto"/>
          <w:kern w:val="0"/>
          <w:sz w:val="32"/>
          <w:szCs w:val="32"/>
        </w:rPr>
        <w:t>今我单位委托</w:t>
      </w:r>
      <w:r>
        <w:rPr>
          <w:rFonts w:hint="default" w:ascii="Times New Roman" w:hAnsi="Times New Roman" w:eastAsia="宋体" w:cs="Times New Roman"/>
          <w:color w:val="auto"/>
          <w:kern w:val="0"/>
          <w:sz w:val="32"/>
          <w:szCs w:val="32"/>
          <w:lang w:eastAsia="zh-CN"/>
        </w:rPr>
        <w:t>山东冠业环境技术有限公司</w:t>
      </w:r>
      <w:r>
        <w:rPr>
          <w:rFonts w:hint="default" w:ascii="Times New Roman" w:hAnsi="Times New Roman" w:eastAsia="宋体" w:cs="Times New Roman"/>
          <w:color w:val="auto"/>
          <w:kern w:val="0"/>
          <w:sz w:val="32"/>
          <w:szCs w:val="32"/>
        </w:rPr>
        <w:t>为我公司编制</w:t>
      </w:r>
      <w:r>
        <w:rPr>
          <w:rFonts w:hint="default" w:ascii="Times New Roman" w:hAnsi="Times New Roman" w:eastAsia="宋体" w:cs="Times New Roman"/>
          <w:color w:val="auto"/>
          <w:kern w:val="0"/>
          <w:sz w:val="32"/>
          <w:szCs w:val="32"/>
          <w:u w:val="single"/>
          <w:lang w:eastAsia="zh-CN"/>
        </w:rPr>
        <w:t>淄博诚泰化工设备有限公司防腐搪玻璃搅拌器和管件项目</w:t>
      </w:r>
      <w:r>
        <w:rPr>
          <w:rFonts w:hint="default" w:ascii="Times New Roman" w:hAnsi="Times New Roman" w:eastAsia="宋体" w:cs="Times New Roman"/>
          <w:color w:val="auto"/>
          <w:kern w:val="0"/>
          <w:sz w:val="32"/>
          <w:szCs w:val="32"/>
        </w:rPr>
        <w:t>环境影响报告表，在报告编制过程中该项目的生产工艺流程、物料平衡、原辅材料、附图附件、相关证明文件等基础资料均由我们提供，内容真实可靠，没有虚假，如存在瞒报、假报和造假等情况，我单位愿依法承担因此带来的一切后果。</w:t>
      </w:r>
    </w:p>
    <w:p>
      <w:pPr>
        <w:shd w:val="clear"/>
        <w:autoSpaceDE w:val="0"/>
        <w:autoSpaceDN w:val="0"/>
        <w:adjustRightInd w:val="0"/>
        <w:spacing w:line="360" w:lineRule="auto"/>
        <w:ind w:firstLine="640" w:firstLineChars="200"/>
        <w:jc w:val="left"/>
        <w:rPr>
          <w:rFonts w:hint="default" w:ascii="Times New Roman" w:hAnsi="Times New Roman" w:eastAsia="宋体" w:cs="Times New Roman"/>
          <w:color w:val="auto"/>
          <w:kern w:val="0"/>
          <w:sz w:val="32"/>
          <w:szCs w:val="32"/>
        </w:rPr>
      </w:pPr>
      <w:r>
        <w:rPr>
          <w:rFonts w:hint="default" w:ascii="Times New Roman" w:hAnsi="Times New Roman" w:eastAsia="宋体" w:cs="Times New Roman"/>
          <w:color w:val="auto"/>
          <w:kern w:val="0"/>
          <w:sz w:val="32"/>
          <w:szCs w:val="32"/>
        </w:rPr>
        <w:t>特此声明。</w:t>
      </w: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spacing w:line="360" w:lineRule="auto"/>
        <w:rPr>
          <w:rFonts w:hint="default" w:ascii="Times New Roman" w:hAnsi="Times New Roman" w:eastAsia="宋体" w:cs="Times New Roman"/>
          <w:color w:val="auto"/>
          <w:kern w:val="0"/>
        </w:rPr>
      </w:pPr>
    </w:p>
    <w:p>
      <w:pPr>
        <w:shd w:val="clear"/>
        <w:wordWrap w:val="0"/>
        <w:ind w:firstLine="3780" w:firstLineChars="1350"/>
        <w:jc w:val="right"/>
        <w:rPr>
          <w:rFonts w:hint="default" w:ascii="Times New Roman" w:hAnsi="Times New Roman" w:eastAsia="宋体" w:cs="Times New Roman"/>
          <w:color w:val="auto"/>
          <w:kern w:val="0"/>
          <w:sz w:val="28"/>
          <w:lang w:val="en-US" w:eastAsia="zh-CN"/>
        </w:rPr>
      </w:pPr>
      <w:r>
        <w:rPr>
          <w:rFonts w:hint="default" w:ascii="Times New Roman" w:hAnsi="Times New Roman" w:eastAsia="宋体" w:cs="Times New Roman"/>
          <w:color w:val="auto"/>
          <w:kern w:val="0"/>
          <w:sz w:val="28"/>
        </w:rPr>
        <w:t>委托单位（盖章）：</w:t>
      </w:r>
      <w:r>
        <w:rPr>
          <w:rFonts w:hint="default" w:ascii="Times New Roman" w:hAnsi="Times New Roman" w:eastAsia="宋体" w:cs="Times New Roman"/>
          <w:color w:val="auto"/>
          <w:kern w:val="0"/>
          <w:sz w:val="28"/>
          <w:lang w:val="en-US" w:eastAsia="zh-CN"/>
        </w:rPr>
        <w:t xml:space="preserve">      </w:t>
      </w:r>
    </w:p>
    <w:p>
      <w:pPr>
        <w:shd w:val="clear"/>
        <w:wordWrap w:val="0"/>
        <w:ind w:firstLine="3780" w:firstLineChars="1350"/>
        <w:jc w:val="right"/>
        <w:rPr>
          <w:rFonts w:hint="default" w:ascii="Times New Roman" w:hAnsi="Times New Roman" w:eastAsia="宋体" w:cs="Times New Roman"/>
          <w:color w:val="auto"/>
          <w:kern w:val="0"/>
          <w:sz w:val="28"/>
          <w:lang w:val="en-US" w:eastAsia="zh-CN"/>
        </w:rPr>
      </w:pPr>
      <w:r>
        <w:rPr>
          <w:rFonts w:hint="default" w:ascii="Times New Roman" w:hAnsi="Times New Roman" w:eastAsia="宋体" w:cs="Times New Roman"/>
          <w:color w:val="auto"/>
          <w:kern w:val="0"/>
          <w:sz w:val="28"/>
        </w:rPr>
        <w:t>法人代表（签字）：</w:t>
      </w:r>
      <w:r>
        <w:rPr>
          <w:rFonts w:hint="default" w:ascii="Times New Roman" w:hAnsi="Times New Roman" w:eastAsia="宋体" w:cs="Times New Roman"/>
          <w:color w:val="auto"/>
          <w:kern w:val="0"/>
          <w:sz w:val="28"/>
          <w:lang w:val="en-US" w:eastAsia="zh-CN"/>
        </w:rPr>
        <w:t xml:space="preserve">      </w:t>
      </w:r>
    </w:p>
    <w:p>
      <w:pPr>
        <w:pStyle w:val="2"/>
        <w:shd w:val="clear"/>
        <w:tabs>
          <w:tab w:val="left" w:pos="2659"/>
        </w:tabs>
        <w:wordWrap w:val="0"/>
        <w:spacing w:after="0"/>
        <w:ind w:left="0" w:leftChars="0" w:firstLine="0" w:firstLineChars="0"/>
        <w:jc w:val="right"/>
        <w:rPr>
          <w:rFonts w:hint="default" w:ascii="Times New Roman" w:hAnsi="Times New Roman" w:eastAsia="宋体" w:cs="Times New Roman"/>
          <w:color w:val="auto"/>
          <w:kern w:val="0"/>
          <w:sz w:val="28"/>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color w:val="auto"/>
          <w:kern w:val="0"/>
          <w:sz w:val="28"/>
        </w:rPr>
        <w:t xml:space="preserve">年 </w:t>
      </w:r>
      <w:r>
        <w:rPr>
          <w:rFonts w:hint="default" w:ascii="Times New Roman" w:hAnsi="Times New Roman" w:eastAsia="宋体" w:cs="Times New Roman"/>
          <w:color w:val="auto"/>
          <w:kern w:val="0"/>
          <w:sz w:val="28"/>
          <w:lang w:val="en-US" w:eastAsia="zh-CN"/>
        </w:rPr>
        <w:t xml:space="preserve">  </w:t>
      </w:r>
      <w:r>
        <w:rPr>
          <w:rFonts w:hint="default" w:ascii="Times New Roman" w:hAnsi="Times New Roman" w:eastAsia="宋体" w:cs="Times New Roman"/>
          <w:color w:val="auto"/>
          <w:kern w:val="0"/>
          <w:sz w:val="28"/>
        </w:rPr>
        <w:t xml:space="preserve"> 月</w:t>
      </w:r>
      <w:r>
        <w:rPr>
          <w:rFonts w:hint="default" w:ascii="Times New Roman" w:hAnsi="Times New Roman" w:eastAsia="宋体" w:cs="Times New Roman"/>
          <w:color w:val="auto"/>
          <w:kern w:val="0"/>
          <w:sz w:val="28"/>
          <w:lang w:val="en-US" w:eastAsia="zh-CN"/>
        </w:rPr>
        <w:t xml:space="preserve">    日          </w:t>
      </w:r>
    </w:p>
    <w:p>
      <w:pPr>
        <w:pStyle w:val="2"/>
        <w:shd w:val="clear"/>
        <w:tabs>
          <w:tab w:val="left" w:pos="2659"/>
        </w:tabs>
        <w:spacing w:after="0"/>
        <w:ind w:left="0" w:leftChars="0" w:firstLine="0" w:firstLineChars="0"/>
        <w:rPr>
          <w:rFonts w:hint="default" w:ascii="Times New Roman" w:hAnsi="Times New Roman" w:eastAsia="宋体" w:cs="Times New Roman"/>
          <w:b/>
          <w:bCs/>
          <w:color w:val="auto"/>
          <w:kern w:val="0"/>
          <w:sz w:val="28"/>
          <w:szCs w:val="28"/>
          <w:lang w:val="en-US" w:eastAsia="zh-CN"/>
        </w:rPr>
      </w:pPr>
      <w:r>
        <w:rPr>
          <w:rFonts w:hint="default" w:ascii="Times New Roman" w:hAnsi="Times New Roman" w:eastAsia="宋体" w:cs="Times New Roman"/>
          <w:b/>
          <w:bCs/>
          <w:color w:val="auto"/>
          <w:kern w:val="0"/>
          <w:sz w:val="28"/>
          <w:szCs w:val="28"/>
          <w:lang w:eastAsia="zh-CN"/>
        </w:rPr>
        <w:t>附件</w:t>
      </w:r>
      <w:r>
        <w:rPr>
          <w:rFonts w:hint="default" w:ascii="Times New Roman" w:hAnsi="Times New Roman" w:eastAsia="宋体" w:cs="Times New Roman"/>
          <w:b/>
          <w:bCs/>
          <w:color w:val="auto"/>
          <w:kern w:val="0"/>
          <w:sz w:val="28"/>
          <w:szCs w:val="28"/>
          <w:lang w:val="en-US" w:eastAsia="zh-CN"/>
        </w:rPr>
        <w:t>6环境影响评价信息公开承诺书</w:t>
      </w:r>
    </w:p>
    <w:p>
      <w:pPr>
        <w:shd w:val="clear"/>
        <w:rPr>
          <w:rFonts w:hint="default" w:ascii="Times New Roman" w:hAnsi="Times New Roman" w:eastAsia="宋体" w:cs="Times New Roman"/>
          <w:b/>
          <w:bCs/>
          <w:color w:val="auto"/>
          <w:kern w:val="0"/>
          <w:sz w:val="28"/>
          <w:szCs w:val="28"/>
          <w:lang w:val="en-US" w:eastAsia="zh-CN"/>
        </w:rPr>
      </w:pPr>
    </w:p>
    <w:p>
      <w:pPr>
        <w:shd w:val="clear"/>
        <w:autoSpaceDE w:val="0"/>
        <w:autoSpaceDN w:val="0"/>
        <w:adjustRightInd w:val="0"/>
        <w:jc w:val="center"/>
        <w:rPr>
          <w:rFonts w:hint="default" w:ascii="Times New Roman" w:hAnsi="Times New Roman" w:eastAsia="宋体" w:cs="Times New Roman"/>
          <w:color w:val="auto"/>
          <w:sz w:val="44"/>
          <w:szCs w:val="32"/>
        </w:rPr>
      </w:pPr>
      <w:r>
        <w:rPr>
          <w:rFonts w:hint="default" w:ascii="Times New Roman" w:hAnsi="Times New Roman" w:eastAsia="宋体" w:cs="Times New Roman"/>
          <w:color w:val="auto"/>
          <w:sz w:val="44"/>
          <w:szCs w:val="32"/>
        </w:rPr>
        <w:t>环境影响评价信息公开承诺书</w:t>
      </w:r>
    </w:p>
    <w:p>
      <w:pPr>
        <w:shd w:val="clear"/>
        <w:autoSpaceDE w:val="0"/>
        <w:autoSpaceDN w:val="0"/>
        <w:adjustRightInd w:val="0"/>
        <w:snapToGrid w:val="0"/>
        <w:spacing w:line="360" w:lineRule="auto"/>
        <w:jc w:val="center"/>
        <w:rPr>
          <w:rFonts w:hint="default" w:ascii="Times New Roman" w:hAnsi="Times New Roman" w:eastAsia="宋体" w:cs="Times New Roman"/>
          <w:color w:val="auto"/>
          <w:sz w:val="44"/>
          <w:szCs w:val="32"/>
        </w:rPr>
      </w:pPr>
    </w:p>
    <w:p>
      <w:pPr>
        <w:shd w:val="clear"/>
        <w:autoSpaceDE w:val="0"/>
        <w:autoSpaceDN w:val="0"/>
        <w:adjustRightInd w:val="0"/>
        <w:snapToGrid w:val="0"/>
        <w:spacing w:line="360" w:lineRule="auto"/>
        <w:jc w:val="left"/>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lang w:eastAsia="zh-CN"/>
        </w:rPr>
        <w:t>淄博市文昌湖省级旅游度假区经济发展局</w:t>
      </w:r>
      <w:r>
        <w:rPr>
          <w:rFonts w:hint="default" w:ascii="Times New Roman" w:hAnsi="Times New Roman" w:eastAsia="宋体" w:cs="Times New Roman"/>
          <w:color w:val="auto"/>
          <w:sz w:val="32"/>
          <w:szCs w:val="32"/>
        </w:rPr>
        <w:t>：</w:t>
      </w:r>
    </w:p>
    <w:p>
      <w:pPr>
        <w:shd w:val="clear"/>
        <w:autoSpaceDE w:val="0"/>
        <w:autoSpaceDN w:val="0"/>
        <w:adjustRightInd w:val="0"/>
        <w:snapToGrid w:val="0"/>
        <w:spacing w:line="360" w:lineRule="auto"/>
        <w:ind w:firstLine="640" w:firstLineChars="200"/>
        <w:rPr>
          <w:rFonts w:hint="default" w:ascii="Times New Roman" w:hAnsi="Times New Roman" w:eastAsia="宋体" w:cs="Times New Roman"/>
          <w:color w:val="auto"/>
          <w:kern w:val="0"/>
          <w:sz w:val="32"/>
          <w:szCs w:val="32"/>
        </w:rPr>
      </w:pPr>
      <w:r>
        <w:rPr>
          <w:rFonts w:hint="default" w:ascii="Times New Roman" w:hAnsi="Times New Roman" w:eastAsia="宋体" w:cs="Times New Roman"/>
          <w:color w:val="auto"/>
          <w:sz w:val="32"/>
          <w:szCs w:val="32"/>
        </w:rPr>
        <w:t>我单位</w:t>
      </w:r>
      <w:r>
        <w:rPr>
          <w:rFonts w:hint="default" w:ascii="Times New Roman" w:hAnsi="Times New Roman" w:eastAsia="宋体" w:cs="Times New Roman"/>
          <w:color w:val="auto"/>
          <w:sz w:val="32"/>
          <w:szCs w:val="32"/>
          <w:u w:val="single"/>
        </w:rPr>
        <w:t>淄博诚泰化工设备有限公司防腐搪玻璃搅拌器和管件项目</w:t>
      </w:r>
      <w:r>
        <w:rPr>
          <w:rFonts w:hint="default" w:ascii="Times New Roman" w:hAnsi="Times New Roman" w:eastAsia="宋体" w:cs="Times New Roman"/>
          <w:color w:val="auto"/>
          <w:sz w:val="32"/>
          <w:szCs w:val="32"/>
        </w:rPr>
        <w:t>已达到受理条件，按照环保部《建设项目环境影响评价政府信息公开指南（试行）》</w:t>
      </w:r>
      <w:r>
        <w:rPr>
          <w:rFonts w:hint="default" w:ascii="Times New Roman" w:hAnsi="Times New Roman" w:eastAsia="宋体" w:cs="Times New Roman"/>
          <w:color w:val="auto"/>
          <w:kern w:val="0"/>
          <w:sz w:val="32"/>
          <w:szCs w:val="32"/>
        </w:rPr>
        <w:t>（</w:t>
      </w:r>
      <w:r>
        <w:rPr>
          <w:rFonts w:hint="default" w:ascii="Times New Roman" w:hAnsi="Times New Roman" w:eastAsia="宋体" w:cs="Times New Roman"/>
          <w:color w:val="auto"/>
          <w:sz w:val="32"/>
          <w:szCs w:val="32"/>
        </w:rPr>
        <w:t>环办〔2013〕103号）文件要求，为认真履行企业职责，自愿</w:t>
      </w:r>
      <w:r>
        <w:rPr>
          <w:rFonts w:hint="default" w:ascii="Times New Roman" w:hAnsi="Times New Roman" w:eastAsia="宋体" w:cs="Times New Roman"/>
          <w:color w:val="auto"/>
          <w:kern w:val="0"/>
          <w:sz w:val="32"/>
          <w:szCs w:val="32"/>
        </w:rPr>
        <w:t>依法主动公开建设项目环境影响报告书、表全本信息（同时附删除涉及国家秘密、商业秘密等内容及删除依据和理由说明报告），并依法承担因信息公开带来的后果。</w:t>
      </w:r>
    </w:p>
    <w:p>
      <w:pPr>
        <w:shd w:val="clear"/>
        <w:autoSpaceDE w:val="0"/>
        <w:autoSpaceDN w:val="0"/>
        <w:adjustRightInd w:val="0"/>
        <w:snapToGrid w:val="0"/>
        <w:spacing w:line="360" w:lineRule="auto"/>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特此承诺！</w:t>
      </w:r>
    </w:p>
    <w:p>
      <w:pPr>
        <w:shd w:val="clear"/>
        <w:autoSpaceDE w:val="0"/>
        <w:autoSpaceDN w:val="0"/>
        <w:adjustRightInd w:val="0"/>
        <w:snapToGrid w:val="0"/>
        <w:spacing w:line="360" w:lineRule="auto"/>
        <w:ind w:firstLine="640" w:firstLineChars="200"/>
        <w:rPr>
          <w:rFonts w:hint="default" w:ascii="Times New Roman" w:hAnsi="Times New Roman" w:eastAsia="宋体" w:cs="Times New Roman"/>
          <w:color w:val="auto"/>
          <w:sz w:val="32"/>
          <w:szCs w:val="32"/>
        </w:rPr>
      </w:pPr>
    </w:p>
    <w:p>
      <w:pPr>
        <w:shd w:val="clear"/>
        <w:wordWrap w:val="0"/>
        <w:autoSpaceDE w:val="0"/>
        <w:autoSpaceDN w:val="0"/>
        <w:adjustRightInd w:val="0"/>
        <w:snapToGrid w:val="0"/>
        <w:spacing w:line="360" w:lineRule="auto"/>
        <w:ind w:firstLine="640" w:firstLineChars="200"/>
        <w:jc w:val="right"/>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 xml:space="preserve">（公章）       </w:t>
      </w:r>
    </w:p>
    <w:p>
      <w:pPr>
        <w:shd w:val="clear"/>
        <w:jc w:val="right"/>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eastAsia="宋体" w:cs="Times New Roman"/>
          <w:color w:val="auto"/>
          <w:sz w:val="32"/>
          <w:szCs w:val="32"/>
        </w:rPr>
        <w:t>年</w:t>
      </w: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eastAsia="宋体" w:cs="Times New Roman"/>
          <w:color w:val="auto"/>
          <w:sz w:val="32"/>
          <w:szCs w:val="32"/>
        </w:rPr>
        <w:t>月</w:t>
      </w: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eastAsia="宋体" w:cs="Times New Roman"/>
          <w:color w:val="auto"/>
          <w:sz w:val="32"/>
          <w:szCs w:val="32"/>
        </w:rPr>
        <w:t xml:space="preserve">日 </w:t>
      </w:r>
    </w:p>
    <w:p>
      <w:pPr>
        <w:pStyle w:val="2"/>
        <w:shd w:val="clear"/>
        <w:rPr>
          <w:rFonts w:hint="default" w:ascii="Times New Roman" w:hAnsi="Times New Roman" w:eastAsia="宋体" w:cs="Times New Roman"/>
          <w:color w:val="auto"/>
          <w:sz w:val="32"/>
          <w:szCs w:val="32"/>
        </w:rPr>
      </w:pPr>
    </w:p>
    <w:p>
      <w:pPr>
        <w:shd w:val="clear"/>
        <w:rPr>
          <w:rFonts w:hint="default" w:ascii="Times New Roman" w:hAnsi="Times New Roman" w:eastAsia="宋体" w:cs="Times New Roman"/>
          <w:color w:val="auto"/>
          <w:sz w:val="32"/>
          <w:szCs w:val="32"/>
        </w:rPr>
      </w:pPr>
    </w:p>
    <w:p>
      <w:pPr>
        <w:pStyle w:val="2"/>
        <w:shd w:val="clear"/>
        <w:rPr>
          <w:rFonts w:hint="default" w:ascii="Times New Roman" w:hAnsi="Times New Roman" w:eastAsia="宋体" w:cs="Times New Roman"/>
          <w:color w:val="auto"/>
          <w:sz w:val="32"/>
          <w:szCs w:val="32"/>
        </w:rPr>
      </w:pPr>
    </w:p>
    <w:p>
      <w:pPr>
        <w:shd w:val="clear"/>
        <w:rPr>
          <w:rFonts w:hint="default" w:ascii="Times New Roman" w:hAnsi="Times New Roman" w:eastAsia="宋体" w:cs="Times New Roman"/>
          <w:color w:val="auto"/>
          <w:sz w:val="32"/>
          <w:szCs w:val="32"/>
        </w:rPr>
      </w:pPr>
    </w:p>
    <w:p>
      <w:pPr>
        <w:pStyle w:val="2"/>
        <w:shd w:val="clear"/>
        <w:rPr>
          <w:rFonts w:hint="default" w:ascii="Times New Roman" w:hAnsi="Times New Roman" w:eastAsia="宋体" w:cs="Times New Roman"/>
          <w:color w:val="auto"/>
          <w:sz w:val="32"/>
          <w:szCs w:val="32"/>
        </w:rPr>
      </w:pPr>
    </w:p>
    <w:p>
      <w:pPr>
        <w:shd w:val="clear"/>
        <w:rPr>
          <w:rFonts w:hint="default" w:ascii="Times New Roman" w:hAnsi="Times New Roman" w:eastAsia="宋体" w:cs="Times New Roman"/>
          <w:b/>
          <w:bCs/>
          <w:color w:val="auto"/>
          <w:kern w:val="0"/>
          <w:sz w:val="28"/>
          <w:szCs w:val="28"/>
          <w:lang w:val="en-US" w:eastAsia="zh-CN"/>
        </w:rPr>
      </w:pPr>
      <w:r>
        <w:rPr>
          <w:rFonts w:hint="default" w:ascii="Times New Roman" w:hAnsi="Times New Roman" w:eastAsia="宋体" w:cs="Times New Roman"/>
          <w:b/>
          <w:bCs/>
          <w:color w:val="auto"/>
          <w:kern w:val="0"/>
          <w:sz w:val="28"/>
          <w:szCs w:val="28"/>
        </w:rPr>
        <w:t>附件</w:t>
      </w:r>
      <w:r>
        <w:rPr>
          <w:rFonts w:hint="default" w:ascii="Times New Roman" w:hAnsi="Times New Roman" w:eastAsia="宋体" w:cs="Times New Roman"/>
          <w:b/>
          <w:bCs/>
          <w:color w:val="auto"/>
          <w:kern w:val="0"/>
          <w:sz w:val="28"/>
          <w:szCs w:val="28"/>
          <w:lang w:val="en-US" w:eastAsia="zh-CN"/>
        </w:rPr>
        <w:t>7</w:t>
      </w:r>
      <w:r>
        <w:rPr>
          <w:rFonts w:hint="default" w:ascii="Times New Roman" w:hAnsi="Times New Roman" w:eastAsia="宋体" w:cs="Times New Roman"/>
          <w:b/>
          <w:bCs/>
          <w:color w:val="auto"/>
          <w:kern w:val="0"/>
          <w:sz w:val="28"/>
          <w:szCs w:val="28"/>
        </w:rPr>
        <w:t xml:space="preserve"> </w:t>
      </w:r>
      <w:r>
        <w:rPr>
          <w:rFonts w:hint="default" w:ascii="Times New Roman" w:hAnsi="Times New Roman" w:eastAsia="宋体" w:cs="Times New Roman"/>
          <w:b/>
          <w:bCs/>
          <w:color w:val="auto"/>
          <w:kern w:val="0"/>
          <w:sz w:val="28"/>
          <w:szCs w:val="28"/>
          <w:lang w:val="en-US" w:eastAsia="zh-CN"/>
        </w:rPr>
        <w:t>转让协议</w:t>
      </w:r>
    </w:p>
    <w:p>
      <w:pPr>
        <w:pStyle w:val="2"/>
        <w:shd w:val="clear"/>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65420" cy="6998970"/>
            <wp:effectExtent l="0" t="0" r="11430" b="1143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1"/>
                    <a:stretch>
                      <a:fillRect/>
                    </a:stretch>
                  </pic:blipFill>
                  <pic:spPr>
                    <a:xfrm>
                      <a:off x="0" y="0"/>
                      <a:ext cx="5265420" cy="6998970"/>
                    </a:xfrm>
                    <a:prstGeom prst="rect">
                      <a:avLst/>
                    </a:prstGeom>
                    <a:noFill/>
                    <a:ln>
                      <a:noFill/>
                    </a:ln>
                  </pic:spPr>
                </pic:pic>
              </a:graphicData>
            </a:graphic>
          </wp:inline>
        </w:drawing>
      </w:r>
    </w:p>
    <w:p>
      <w:pPr>
        <w:shd w:val="clea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pPr>
        <w:pStyle w:val="2"/>
        <w:shd w:val="clear"/>
        <w:ind w:left="0" w:leftChars="0" w:firstLine="0" w:firstLineChars="0"/>
        <w:rPr>
          <w:rFonts w:hint="default" w:ascii="Times New Roman" w:hAnsi="Times New Roman" w:eastAsia="宋体" w:cs="Times New Roman"/>
          <w:b/>
          <w:bCs/>
          <w:color w:val="auto"/>
          <w:kern w:val="0"/>
          <w:szCs w:val="24"/>
          <w:lang w:val="en-US" w:eastAsia="zh-CN"/>
        </w:rPr>
      </w:pPr>
      <w:r>
        <w:rPr>
          <w:rFonts w:hint="default" w:ascii="Times New Roman" w:hAnsi="Times New Roman" w:eastAsia="宋体" w:cs="Times New Roman"/>
          <w:b/>
          <w:bCs/>
          <w:color w:val="auto"/>
          <w:kern w:val="0"/>
          <w:szCs w:val="24"/>
        </w:rPr>
        <w:t>附件</w:t>
      </w:r>
      <w:r>
        <w:rPr>
          <w:rFonts w:hint="default" w:ascii="Times New Roman" w:hAnsi="Times New Roman" w:eastAsia="宋体" w:cs="Times New Roman"/>
          <w:b/>
          <w:bCs/>
          <w:color w:val="auto"/>
          <w:kern w:val="0"/>
          <w:szCs w:val="24"/>
          <w:lang w:val="en-US" w:eastAsia="zh-CN"/>
        </w:rPr>
        <w:t>8</w:t>
      </w:r>
      <w:r>
        <w:rPr>
          <w:rFonts w:hint="default" w:ascii="Times New Roman" w:hAnsi="Times New Roman" w:eastAsia="宋体" w:cs="Times New Roman"/>
          <w:b/>
          <w:bCs/>
          <w:color w:val="auto"/>
          <w:kern w:val="0"/>
          <w:szCs w:val="24"/>
        </w:rPr>
        <w:t xml:space="preserve"> </w:t>
      </w:r>
      <w:r>
        <w:rPr>
          <w:rFonts w:hint="default" w:ascii="Times New Roman" w:hAnsi="Times New Roman" w:eastAsia="宋体" w:cs="Times New Roman"/>
          <w:b/>
          <w:bCs/>
          <w:color w:val="auto"/>
          <w:kern w:val="0"/>
          <w:szCs w:val="24"/>
          <w:lang w:val="en-US" w:eastAsia="zh-CN"/>
        </w:rPr>
        <w:t>淄博新诚泰机械有限公司环评审批意见</w:t>
      </w:r>
    </w:p>
    <w:p>
      <w:pPr>
        <w:shd w:val="clea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4725035" cy="8400415"/>
            <wp:effectExtent l="0" t="0" r="18415" b="635"/>
            <wp:docPr id="3" name="图片 3" descr="201c74820acef178690ab20152d8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c74820acef178690ab20152d8d8b"/>
                    <pic:cNvPicPr>
                      <a:picLocks noChangeAspect="1"/>
                    </pic:cNvPicPr>
                  </pic:nvPicPr>
                  <pic:blipFill>
                    <a:blip r:embed="rId22"/>
                    <a:stretch>
                      <a:fillRect/>
                    </a:stretch>
                  </pic:blipFill>
                  <pic:spPr>
                    <a:xfrm>
                      <a:off x="0" y="0"/>
                      <a:ext cx="4725035" cy="8400415"/>
                    </a:xfrm>
                    <a:prstGeom prst="rect">
                      <a:avLst/>
                    </a:prstGeom>
                  </pic:spPr>
                </pic:pic>
              </a:graphicData>
            </a:graphic>
          </wp:inline>
        </w:drawing>
      </w:r>
    </w:p>
    <w:p>
      <w:pPr>
        <w:shd w:val="clear"/>
        <w:rPr>
          <w:rFonts w:hint="default" w:ascii="Times New Roman" w:hAnsi="Times New Roman" w:eastAsia="宋体" w:cs="Times New Roman"/>
          <w:b/>
          <w:bCs/>
          <w:color w:val="auto"/>
          <w:kern w:val="0"/>
          <w:szCs w:val="24"/>
        </w:rPr>
      </w:pPr>
      <w:r>
        <w:rPr>
          <w:rFonts w:hint="default" w:ascii="Times New Roman" w:hAnsi="Times New Roman" w:eastAsia="宋体" w:cs="Times New Roman"/>
          <w:b/>
          <w:bCs/>
          <w:color w:val="auto"/>
          <w:kern w:val="0"/>
          <w:szCs w:val="24"/>
        </w:rPr>
        <w:br w:type="page"/>
      </w:r>
    </w:p>
    <w:p>
      <w:pPr>
        <w:pStyle w:val="2"/>
        <w:shd w:val="clear"/>
        <w:ind w:left="0" w:leftChars="0" w:firstLine="0" w:firstLineChars="0"/>
        <w:rPr>
          <w:rFonts w:hint="default" w:ascii="Times New Roman" w:hAnsi="Times New Roman" w:eastAsia="宋体" w:cs="Times New Roman"/>
          <w:b/>
          <w:bCs/>
          <w:color w:val="auto"/>
          <w:kern w:val="0"/>
          <w:szCs w:val="24"/>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shd w:val="clear"/>
        <w:ind w:left="0" w:leftChars="0" w:firstLine="0" w:firstLineChars="0"/>
        <w:rPr>
          <w:rFonts w:hint="default" w:ascii="Times New Roman" w:hAnsi="Times New Roman" w:eastAsia="宋体" w:cs="Times New Roman"/>
          <w:b/>
          <w:bCs/>
          <w:color w:val="auto"/>
          <w:kern w:val="0"/>
          <w:szCs w:val="24"/>
        </w:rPr>
      </w:pPr>
      <w:r>
        <w:rPr>
          <w:rFonts w:hint="default" w:ascii="Times New Roman" w:hAnsi="Times New Roman" w:eastAsia="宋体" w:cs="Times New Roman"/>
          <w:color w:val="auto"/>
        </w:rPr>
        <w:drawing>
          <wp:anchor distT="0" distB="0" distL="114300" distR="114300" simplePos="0" relativeHeight="251671552" behindDoc="0" locked="0" layoutInCell="1" allowOverlap="1">
            <wp:simplePos x="0" y="0"/>
            <wp:positionH relativeFrom="column">
              <wp:posOffset>7717790</wp:posOffset>
            </wp:positionH>
            <wp:positionV relativeFrom="paragraph">
              <wp:posOffset>277495</wp:posOffset>
            </wp:positionV>
            <wp:extent cx="963930" cy="1038860"/>
            <wp:effectExtent l="0" t="0" r="7620" b="889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3"/>
                    <a:stretch>
                      <a:fillRect/>
                    </a:stretch>
                  </pic:blipFill>
                  <pic:spPr>
                    <a:xfrm>
                      <a:off x="0" y="0"/>
                      <a:ext cx="963930" cy="1038860"/>
                    </a:xfrm>
                    <a:prstGeom prst="rect">
                      <a:avLst/>
                    </a:prstGeom>
                    <a:noFill/>
                    <a:ln>
                      <a:noFill/>
                    </a:ln>
                  </pic:spPr>
                </pic:pic>
              </a:graphicData>
            </a:graphic>
          </wp:anchor>
        </w:drawing>
      </w:r>
      <w:r>
        <w:rPr>
          <w:rFonts w:hint="default" w:ascii="Times New Roman" w:hAnsi="Times New Roman" w:eastAsia="宋体" w:cs="Times New Roman"/>
          <w:b/>
          <w:bCs/>
          <w:color w:val="auto"/>
          <w:kern w:val="0"/>
          <w:szCs w:val="24"/>
        </w:rPr>
        <w:t>附图1 项目地理位置图（比例尺1:</w:t>
      </w:r>
      <w:r>
        <w:rPr>
          <w:rFonts w:hint="default" w:ascii="Times New Roman" w:hAnsi="Times New Roman" w:eastAsia="宋体" w:cs="Times New Roman"/>
          <w:b/>
          <w:bCs/>
          <w:color w:val="auto"/>
          <w:kern w:val="0"/>
          <w:szCs w:val="24"/>
          <w:lang w:val="en-US" w:eastAsia="zh-CN"/>
        </w:rPr>
        <w:t>28940</w:t>
      </w:r>
      <w:r>
        <w:rPr>
          <w:rFonts w:hint="default" w:ascii="Times New Roman" w:hAnsi="Times New Roman" w:eastAsia="宋体" w:cs="Times New Roman"/>
          <w:b/>
          <w:bCs/>
          <w:color w:val="auto"/>
          <w:kern w:val="0"/>
          <w:szCs w:val="24"/>
        </w:rPr>
        <w:t>）</w:t>
      </w:r>
    </w:p>
    <w:p>
      <w:pPr>
        <w:shd w:val="clear"/>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59264" behindDoc="0" locked="0" layoutInCell="1" allowOverlap="1">
                <wp:simplePos x="0" y="0"/>
                <wp:positionH relativeFrom="column">
                  <wp:posOffset>3566160</wp:posOffset>
                </wp:positionH>
                <wp:positionV relativeFrom="paragraph">
                  <wp:posOffset>1068070</wp:posOffset>
                </wp:positionV>
                <wp:extent cx="1104900" cy="552450"/>
                <wp:effectExtent l="6350" t="6350" r="12700" b="527050"/>
                <wp:wrapNone/>
                <wp:docPr id="11" name="矩形标注 11"/>
                <wp:cNvGraphicFramePr/>
                <a:graphic xmlns:a="http://schemas.openxmlformats.org/drawingml/2006/main">
                  <a:graphicData uri="http://schemas.microsoft.com/office/word/2010/wordprocessingShape">
                    <wps:wsp>
                      <wps:cNvSpPr/>
                      <wps:spPr>
                        <a:xfrm>
                          <a:off x="4994910" y="2996565"/>
                          <a:ext cx="1104900" cy="552450"/>
                        </a:xfrm>
                        <a:prstGeom prst="wedgeRectCallout">
                          <a:avLst>
                            <a:gd name="adj1" fmla="val 5919"/>
                            <a:gd name="adj2" fmla="val 14011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0.8pt;margin-top:84.1pt;height:43.5pt;width:87pt;z-index:251659264;v-text-anchor:middle;mso-width-relative:page;mso-height-relative:page;" fillcolor="#5B9BD5 [3204]" filled="t" stroked="t" coordsize="21600,21600" o:gfxdata="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kWra&#10;WdgAAAALAQAADwAAAAAAAAABACAAAAAiAAAAZHJzL2Rvd25yZXYueG1sUEsBAhQAFAAAAAgAh07i&#10;QCtBFsrNAgAAkQUAAA4AAAAAAAAAAQAgAAAAJwEAAGRycy9lMm9Eb2MueG1sUEsFBgAAAAAGAAYA&#10;WQEAAGYGAAAAAA==&#10;" adj="12079,41065">
                <v:fill on="t" focussize="0,0"/>
                <v:stroke weight="1pt" color="#41719C [3204]" miterlimit="8" joinstyle="miter"/>
                <v:imagedata o:title=""/>
                <o:lock v:ext="edit" aspectratio="f"/>
                <v:textbox>
                  <w:txbxContent>
                    <w:p>
                      <w:pPr>
                        <w:jc w:val="center"/>
                        <w:rPr>
                          <w:rFonts w:hint="default" w:eastAsia="宋体"/>
                          <w:lang w:val="en-US" w:eastAsia="zh-CN"/>
                        </w:rPr>
                      </w:pPr>
                      <w:r>
                        <w:rPr>
                          <w:rFonts w:hint="eastAsia"/>
                          <w:lang w:val="en-US" w:eastAsia="zh-CN"/>
                        </w:rPr>
                        <w:t>项目所在地</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4097020</wp:posOffset>
                </wp:positionH>
                <wp:positionV relativeFrom="paragraph">
                  <wp:posOffset>2019300</wp:posOffset>
                </wp:positionV>
                <wp:extent cx="171450" cy="181610"/>
                <wp:effectExtent l="48895" t="50800" r="65405" b="53340"/>
                <wp:wrapNone/>
                <wp:docPr id="18" name="五角星 18"/>
                <wp:cNvGraphicFramePr/>
                <a:graphic xmlns:a="http://schemas.openxmlformats.org/drawingml/2006/main">
                  <a:graphicData uri="http://schemas.microsoft.com/office/word/2010/wordprocessingShape">
                    <wps:wsp>
                      <wps:cNvSpPr/>
                      <wps:spPr>
                        <a:xfrm>
                          <a:off x="5087620" y="3500120"/>
                          <a:ext cx="171450" cy="181610"/>
                        </a:xfrm>
                        <a:prstGeom prst="star5">
                          <a:avLst>
                            <a:gd name="adj" fmla="val 4774"/>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2.6pt;margin-top:159pt;height:14.3pt;width:13.5pt;z-index:251665408;v-text-anchor:middle;mso-width-relative:page;mso-height-relative:page;" fillcolor="#5B9BD5 [3204]" filled="t" stroked="t" coordsize="171450,181610" o:gfxdata="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E4SjDWAAAACwEAAA8AAAAAAAAA&#10;AQAgAAAAIgAAAGRycy9kb3ducmV2LnhtbFBLAQIUABQAAAAIAIdO4kDPwc1YvgIAAJcFAAAOAAAA&#10;AAAAAAEAIAAAACUBAABkcnMvZTJvRG9jLnhtbFBLBQYAAAAABgAGAFkBAABVBgAAAAA=&#10;" path="m0,69368l80666,92636,85725,0,90783,92636,171449,69368,93910,103353,138705,181609,85725,109976,32744,181609,77539,103353xe">
                <v:path o:connectlocs="85725,0;0,69368;32744,181609;138705,181609;171449,69368" o:connectangles="247,164,82,82,0"/>
                <v:fill on="t" focussize="0,0"/>
                <v:stroke weight="1pt" color="#41719C [3204]" miterlimit="8" joinstyle="miter"/>
                <v:imagedata o:title=""/>
                <o:lock v:ext="edit" aspectratio="f"/>
              </v:shape>
            </w:pict>
          </mc:Fallback>
        </mc:AlternateContent>
      </w:r>
      <w:r>
        <w:rPr>
          <w:rFonts w:hint="default" w:ascii="Times New Roman" w:hAnsi="Times New Roman" w:eastAsia="宋体" w:cs="Times New Roman"/>
          <w:color w:val="auto"/>
        </w:rPr>
        <w:drawing>
          <wp:inline distT="0" distB="0" distL="114300" distR="114300">
            <wp:extent cx="8679815" cy="4847590"/>
            <wp:effectExtent l="0" t="0" r="698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8679815" cy="4847590"/>
                    </a:xfrm>
                    <a:prstGeom prst="rect">
                      <a:avLst/>
                    </a:prstGeom>
                    <a:noFill/>
                    <a:ln>
                      <a:noFill/>
                    </a:ln>
                  </pic:spPr>
                </pic:pic>
              </a:graphicData>
            </a:graphic>
          </wp:inline>
        </w:drawing>
      </w:r>
    </w:p>
    <w:p>
      <w:pPr>
        <w:shd w:val="clea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br w:type="page"/>
      </w:r>
    </w:p>
    <w:p>
      <w:pPr>
        <w:pStyle w:val="2"/>
        <w:shd w:val="clear"/>
        <w:ind w:left="0" w:leftChars="0" w:firstLine="0" w:firstLineChars="0"/>
        <w:rPr>
          <w:rFonts w:hint="default" w:ascii="Times New Roman" w:hAnsi="Times New Roman" w:eastAsia="宋体" w:cs="Times New Roman"/>
          <w:b/>
          <w:bCs/>
          <w:color w:val="auto"/>
          <w:kern w:val="0"/>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hd w:val="clear"/>
        <w:rPr>
          <w:rFonts w:hint="default" w:ascii="Times New Roman" w:hAnsi="Times New Roman" w:eastAsia="宋体" w:cs="Times New Roman"/>
          <w:color w:val="auto"/>
          <w:kern w:val="0"/>
        </w:rPr>
      </w:pPr>
      <w:r>
        <w:rPr>
          <w:rFonts w:hint="default" w:ascii="Times New Roman" w:hAnsi="Times New Roman" w:eastAsia="宋体" w:cs="Times New Roman"/>
          <w:b/>
          <w:bCs/>
          <w:color w:val="auto"/>
          <w:kern w:val="0"/>
        </w:rPr>
        <w:t>附图2 厂区总体平面布置图（1:</w:t>
      </w:r>
      <w:r>
        <w:rPr>
          <w:rFonts w:hint="default" w:ascii="Times New Roman" w:hAnsi="Times New Roman" w:eastAsia="宋体" w:cs="Times New Roman"/>
          <w:b/>
          <w:bCs/>
          <w:color w:val="auto"/>
          <w:kern w:val="0"/>
          <w:lang w:val="en-US" w:eastAsia="zh-CN"/>
        </w:rPr>
        <w:t>3</w:t>
      </w:r>
      <w:r>
        <w:rPr>
          <w:rFonts w:hint="default" w:ascii="Times New Roman" w:hAnsi="Times New Roman" w:eastAsia="宋体" w:cs="Times New Roman"/>
          <w:b/>
          <w:bCs/>
          <w:color w:val="auto"/>
          <w:kern w:val="0"/>
        </w:rPr>
        <w:t>00）</w:t>
      </w:r>
    </w:p>
    <w:p>
      <w:pPr>
        <w:pStyle w:val="2"/>
        <w:shd w:val="clea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7690485" cy="4951730"/>
            <wp:effectExtent l="0" t="0" r="5715"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5"/>
                    <a:stretch>
                      <a:fillRect/>
                    </a:stretch>
                  </pic:blipFill>
                  <pic:spPr>
                    <a:xfrm>
                      <a:off x="0" y="0"/>
                      <a:ext cx="7690485" cy="4951730"/>
                    </a:xfrm>
                    <a:prstGeom prst="rect">
                      <a:avLst/>
                    </a:prstGeom>
                    <a:noFill/>
                    <a:ln>
                      <a:noFill/>
                    </a:ln>
                  </pic:spPr>
                </pic:pic>
              </a:graphicData>
            </a:graphic>
          </wp:inline>
        </w:drawing>
      </w:r>
    </w:p>
    <w:p>
      <w:pPr>
        <w:shd w:val="clear"/>
        <w:rPr>
          <w:rFonts w:hint="default" w:ascii="Times New Roman" w:hAnsi="Times New Roman" w:eastAsia="宋体" w:cs="Times New Roman"/>
          <w:color w:val="auto"/>
        </w:rPr>
      </w:pPr>
    </w:p>
    <w:p>
      <w:pPr>
        <w:pStyle w:val="2"/>
        <w:shd w:val="clear"/>
        <w:ind w:left="0" w:leftChars="0" w:firstLine="0" w:firstLineChars="0"/>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附图3 分区防渗图（1:</w:t>
      </w:r>
      <w:r>
        <w:rPr>
          <w:rFonts w:hint="default" w:ascii="Times New Roman" w:hAnsi="Times New Roman" w:eastAsia="宋体" w:cs="Times New Roman"/>
          <w:b/>
          <w:bCs/>
          <w:color w:val="auto"/>
          <w:kern w:val="0"/>
          <w:lang w:val="en-US" w:eastAsia="zh-CN"/>
        </w:rPr>
        <w:t>3</w:t>
      </w:r>
      <w:r>
        <w:rPr>
          <w:rFonts w:hint="default" w:ascii="Times New Roman" w:hAnsi="Times New Roman" w:eastAsia="宋体" w:cs="Times New Roman"/>
          <w:b/>
          <w:bCs/>
          <w:color w:val="auto"/>
          <w:kern w:val="0"/>
        </w:rPr>
        <w:t>00）</w:t>
      </w:r>
    </w:p>
    <w:p>
      <w:pPr>
        <w:pStyle w:val="2"/>
        <w:shd w:val="clea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7142480" cy="4618990"/>
            <wp:effectExtent l="0" t="0" r="1270" b="1016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7142480" cy="4618990"/>
                    </a:xfrm>
                    <a:prstGeom prst="rect">
                      <a:avLst/>
                    </a:prstGeom>
                    <a:noFill/>
                    <a:ln>
                      <a:noFill/>
                    </a:ln>
                  </pic:spPr>
                </pic:pic>
              </a:graphicData>
            </a:graphic>
          </wp:inline>
        </w:drawing>
      </w:r>
    </w:p>
    <w:p>
      <w:pPr>
        <w:pStyle w:val="2"/>
        <w:shd w:val="clear"/>
        <w:ind w:left="0" w:leftChars="0" w:firstLine="0" w:firstLineChars="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附图4 环境保护目标分布图（比例尺1:723</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p>
    <w:p>
      <w:pPr>
        <w:pStyle w:val="2"/>
        <w:shd w:val="clea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anchor distT="0" distB="0" distL="114300" distR="114300" simplePos="0" relativeHeight="251666432" behindDoc="0" locked="0" layoutInCell="1" allowOverlap="1">
            <wp:simplePos x="0" y="0"/>
            <wp:positionH relativeFrom="column">
              <wp:posOffset>1019175</wp:posOffset>
            </wp:positionH>
            <wp:positionV relativeFrom="paragraph">
              <wp:posOffset>3566795</wp:posOffset>
            </wp:positionV>
            <wp:extent cx="2880360" cy="1268095"/>
            <wp:effectExtent l="0" t="0" r="15240" b="8255"/>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7"/>
                    <a:stretch>
                      <a:fillRect/>
                    </a:stretch>
                  </pic:blipFill>
                  <pic:spPr>
                    <a:xfrm>
                      <a:off x="0" y="0"/>
                      <a:ext cx="2880360" cy="1268095"/>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67456" behindDoc="0" locked="0" layoutInCell="1" allowOverlap="1">
            <wp:simplePos x="0" y="0"/>
            <wp:positionH relativeFrom="column">
              <wp:posOffset>6877050</wp:posOffset>
            </wp:positionH>
            <wp:positionV relativeFrom="paragraph">
              <wp:posOffset>7620</wp:posOffset>
            </wp:positionV>
            <wp:extent cx="963930" cy="1038860"/>
            <wp:effectExtent l="0" t="0" r="7620" b="889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3"/>
                    <a:stretch>
                      <a:fillRect/>
                    </a:stretch>
                  </pic:blipFill>
                  <pic:spPr>
                    <a:xfrm>
                      <a:off x="0" y="0"/>
                      <a:ext cx="963930" cy="1038860"/>
                    </a:xfrm>
                    <a:prstGeom prst="rect">
                      <a:avLst/>
                    </a:prstGeom>
                    <a:noFill/>
                    <a:ln>
                      <a:noFill/>
                    </a:ln>
                  </pic:spPr>
                </pic:pic>
              </a:graphicData>
            </a:graphic>
          </wp:anchor>
        </w:drawing>
      </w:r>
      <w:r>
        <w:rPr>
          <w:rFonts w:hint="default" w:ascii="Times New Roman" w:hAnsi="Times New Roman" w:eastAsia="宋体" w:cs="Times New Roman"/>
          <w:color w:val="auto"/>
        </w:rPr>
        <w:drawing>
          <wp:inline distT="0" distB="0" distL="114300" distR="114300">
            <wp:extent cx="6765925" cy="4813300"/>
            <wp:effectExtent l="0" t="0" r="1587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8"/>
                    <a:stretch>
                      <a:fillRect/>
                    </a:stretch>
                  </pic:blipFill>
                  <pic:spPr>
                    <a:xfrm>
                      <a:off x="0" y="0"/>
                      <a:ext cx="6765925" cy="4813300"/>
                    </a:xfrm>
                    <a:prstGeom prst="rect">
                      <a:avLst/>
                    </a:prstGeom>
                    <a:noFill/>
                    <a:ln>
                      <a:noFill/>
                    </a:ln>
                  </pic:spPr>
                </pic:pic>
              </a:graphicData>
            </a:graphic>
          </wp:inline>
        </w:drawing>
      </w:r>
    </w:p>
    <w:p>
      <w:pPr>
        <w:pStyle w:val="2"/>
        <w:shd w:val="clear"/>
        <w:ind w:left="0" w:leftChars="0" w:firstLine="0" w:firstLineChars="0"/>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附图5 项目周边关系图（比例尺1:9</w:t>
      </w:r>
      <w:r>
        <w:rPr>
          <w:rFonts w:hint="default" w:ascii="Times New Roman" w:hAnsi="Times New Roman" w:eastAsia="宋体" w:cs="Times New Roman"/>
          <w:b/>
          <w:bCs/>
          <w:color w:val="auto"/>
          <w:kern w:val="0"/>
          <w:lang w:val="en-US" w:eastAsia="zh-CN"/>
        </w:rPr>
        <w:t>04</w:t>
      </w:r>
      <w:r>
        <w:rPr>
          <w:rFonts w:hint="default" w:ascii="Times New Roman" w:hAnsi="Times New Roman" w:eastAsia="宋体" w:cs="Times New Roman"/>
          <w:b/>
          <w:bCs/>
          <w:color w:val="auto"/>
          <w:kern w:val="0"/>
        </w:rPr>
        <w:t>）</w:t>
      </w:r>
    </w:p>
    <w:p>
      <w:pPr>
        <w:shd w:val="clear"/>
        <w:jc w:val="center"/>
        <w:rPr>
          <w:rFonts w:hint="default" w:ascii="Times New Roman" w:hAnsi="Times New Roman" w:eastAsia="宋体" w:cs="Times New Roman"/>
          <w:b/>
          <w:bCs/>
          <w:color w:val="auto"/>
          <w:kern w:val="0"/>
        </w:rPr>
      </w:pPr>
      <w:r>
        <w:rPr>
          <w:rFonts w:hint="default" w:ascii="Times New Roman" w:hAnsi="Times New Roman" w:eastAsia="宋体" w:cs="Times New Roman"/>
          <w:color w:val="auto"/>
        </w:rPr>
        <w:drawing>
          <wp:anchor distT="0" distB="0" distL="114300" distR="114300" simplePos="0" relativeHeight="251668480" behindDoc="0" locked="0" layoutInCell="1" allowOverlap="1">
            <wp:simplePos x="0" y="0"/>
            <wp:positionH relativeFrom="column">
              <wp:posOffset>7648575</wp:posOffset>
            </wp:positionH>
            <wp:positionV relativeFrom="paragraph">
              <wp:posOffset>74295</wp:posOffset>
            </wp:positionV>
            <wp:extent cx="963930" cy="1038860"/>
            <wp:effectExtent l="0" t="0" r="7620" b="889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963930" cy="1038860"/>
                    </a:xfrm>
                    <a:prstGeom prst="rect">
                      <a:avLst/>
                    </a:prstGeom>
                    <a:noFill/>
                    <a:ln>
                      <a:noFill/>
                    </a:ln>
                  </pic:spPr>
                </pic:pic>
              </a:graphicData>
            </a:graphic>
          </wp:anchor>
        </w:drawing>
      </w:r>
      <w:r>
        <w:rPr>
          <w:rFonts w:hint="default" w:ascii="Times New Roman" w:hAnsi="Times New Roman" w:eastAsia="宋体" w:cs="Times New Roman"/>
          <w:color w:val="auto"/>
        </w:rPr>
        <w:drawing>
          <wp:inline distT="0" distB="0" distL="114300" distR="114300">
            <wp:extent cx="8383905" cy="4735195"/>
            <wp:effectExtent l="0" t="0" r="17145" b="825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9"/>
                    <a:stretch>
                      <a:fillRect/>
                    </a:stretch>
                  </pic:blipFill>
                  <pic:spPr>
                    <a:xfrm>
                      <a:off x="0" y="0"/>
                      <a:ext cx="8383905" cy="4735195"/>
                    </a:xfrm>
                    <a:prstGeom prst="rect">
                      <a:avLst/>
                    </a:prstGeom>
                    <a:noFill/>
                    <a:ln>
                      <a:noFill/>
                    </a:ln>
                  </pic:spPr>
                </pic:pic>
              </a:graphicData>
            </a:graphic>
          </wp:inline>
        </w:drawing>
      </w:r>
      <w:r>
        <w:rPr>
          <w:rFonts w:hint="default" w:ascii="Times New Roman" w:hAnsi="Times New Roman" w:eastAsia="宋体" w:cs="Times New Roman"/>
          <w:b/>
          <w:bCs/>
          <w:color w:val="auto"/>
          <w:kern w:val="0"/>
        </w:rPr>
        <w:br w:type="page"/>
      </w:r>
    </w:p>
    <w:p>
      <w:pPr>
        <w:pStyle w:val="2"/>
        <w:shd w:val="clear"/>
        <w:ind w:left="0" w:leftChars="0" w:firstLine="0" w:firstLineChars="0"/>
        <w:rPr>
          <w:rFonts w:hint="default" w:ascii="Times New Roman" w:hAnsi="Times New Roman" w:eastAsia="宋体" w:cs="Times New Roman"/>
          <w:b/>
          <w:bCs/>
          <w:color w:val="auto"/>
          <w:kern w:val="0"/>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shd w:val="clear"/>
        <w:ind w:left="0" w:leftChars="0" w:firstLine="0" w:firstLineChars="0"/>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附图6 淄博市省级生态保护红线图</w:t>
      </w:r>
    </w:p>
    <w:p>
      <w:pPr>
        <w:shd w:val="clea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anchor distT="0" distB="0" distL="114300" distR="114300" simplePos="0" relativeHeight="251670528" behindDoc="0" locked="0" layoutInCell="1" allowOverlap="1">
            <wp:simplePos x="0" y="0"/>
            <wp:positionH relativeFrom="column">
              <wp:posOffset>3410585</wp:posOffset>
            </wp:positionH>
            <wp:positionV relativeFrom="paragraph">
              <wp:posOffset>76835</wp:posOffset>
            </wp:positionV>
            <wp:extent cx="963930" cy="1038860"/>
            <wp:effectExtent l="0" t="0" r="7620" b="889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963930" cy="103886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1087755</wp:posOffset>
                </wp:positionH>
                <wp:positionV relativeFrom="paragraph">
                  <wp:posOffset>2414905</wp:posOffset>
                </wp:positionV>
                <wp:extent cx="210185" cy="210185"/>
                <wp:effectExtent l="1905" t="0" r="16510" b="18415"/>
                <wp:wrapNone/>
                <wp:docPr id="14" name="五角星 14"/>
                <wp:cNvGraphicFramePr/>
                <a:graphic xmlns:a="http://schemas.openxmlformats.org/drawingml/2006/main">
                  <a:graphicData uri="http://schemas.microsoft.com/office/word/2010/wordprocessingShape">
                    <wps:wsp>
                      <wps:cNvSpPr/>
                      <wps:spPr>
                        <a:xfrm>
                          <a:off x="2337435" y="3741420"/>
                          <a:ext cx="210185" cy="210185"/>
                        </a:xfrm>
                        <a:prstGeom prst="star5">
                          <a:avLst>
                            <a:gd name="adj" fmla="val 0"/>
                            <a:gd name="hf" fmla="val 105146"/>
                            <a:gd name="vf" fmla="val 110557"/>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5.65pt;margin-top:190.15pt;height:16.55pt;width:16.55pt;z-index:251663360;v-text-anchor:middle;mso-width-relative:page;mso-height-relative:page;" fillcolor="#5B9BD5 [3204]" filled="t" stroked="t" coordsize="210185,210185" o:gfxdata="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nsv/g2gAAAAsBAAAPAAAAAAAAAAEAIAAAACIA&#10;AABkcnMvZG93bnJldi54bWxQSwECFAAUAAAACACHTuJAcmqzGbICAABzBQAADgAAAAAAAAABACAA&#10;AAApAQAAZHJzL2Uyb0RvYy54bWxQSwUGAAAAAAYABgBZAQAATQYAAAAA&#10;" path="m0,80283l105092,116187,105092,0,105092,116187,210184,80283,105092,116187,170043,210184,105092,116187,40141,210184,105092,116187xe">
                <v:path o:connectlocs="105092,0;0,80283;40141,210184;170043,210184;210184,80283" o:connectangles="247,164,82,82,0"/>
                <v:fill on="t" focussize="0,0"/>
                <v:stroke weight="1pt" color="#00B0F0 [3204]" miterlimit="8" joinstyle="miter"/>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1312" behindDoc="0" locked="0" layoutInCell="1" allowOverlap="1">
                <wp:simplePos x="0" y="0"/>
                <wp:positionH relativeFrom="column">
                  <wp:posOffset>340995</wp:posOffset>
                </wp:positionH>
                <wp:positionV relativeFrom="paragraph">
                  <wp:posOffset>1527175</wp:posOffset>
                </wp:positionV>
                <wp:extent cx="704215" cy="495300"/>
                <wp:effectExtent l="6350" t="6350" r="184785" b="565150"/>
                <wp:wrapNone/>
                <wp:docPr id="36" name="矩形标注 36"/>
                <wp:cNvGraphicFramePr/>
                <a:graphic xmlns:a="http://schemas.openxmlformats.org/drawingml/2006/main">
                  <a:graphicData uri="http://schemas.microsoft.com/office/word/2010/wordprocessingShape">
                    <wps:wsp>
                      <wps:cNvSpPr/>
                      <wps:spPr>
                        <a:xfrm>
                          <a:off x="2361565" y="3577590"/>
                          <a:ext cx="704215" cy="495300"/>
                        </a:xfrm>
                        <a:prstGeom prst="wedgeRectCallout">
                          <a:avLst>
                            <a:gd name="adj1" fmla="val 71635"/>
                            <a:gd name="adj2" fmla="val 154871"/>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85pt;margin-top:120.25pt;height:39pt;width:55.45pt;z-index:251661312;v-text-anchor:middle;mso-width-relative:page;mso-height-relative:page;" fillcolor="#FFFFFF [3201]" filled="t" stroked="t" coordsize="21600,21600" o:gfxdata="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9n5TDaAAAACgEAAA8AAAAA&#10;AAAAAQAgAAAAIgAAAGRycy9kb3ducmV2LnhtbFBLAQIUABQAAAAIAIdO4kBORkJ8vQIAAHAFAAAO&#10;AAAAAAAAAAEAIAAAACkBAABkcnMvZTJvRG9jLnhtbFBLBQYAAAAABgAGAFkBAABYBgAAAAA=&#10;" adj="26273,44252">
                <v:fill on="t" focussize="0,0"/>
                <v:stroke weight="1pt" color="#70AD47 [3209]" miterlimit="8" joinstyle="miter"/>
                <v:imagedata o:title=""/>
                <o:lock v:ext="edit" aspectratio="f"/>
                <v:textbox>
                  <w:txbxContent>
                    <w:p>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rFonts w:hint="default" w:ascii="Times New Roman" w:hAnsi="Times New Roman" w:eastAsia="宋体" w:cs="Times New Roman"/>
          <w:color w:val="auto"/>
          <w:lang w:eastAsia="zh-CN"/>
        </w:rPr>
        <w:drawing>
          <wp:inline distT="0" distB="0" distL="114300" distR="114300">
            <wp:extent cx="4381500" cy="5876925"/>
            <wp:effectExtent l="0" t="0" r="0" b="9525"/>
            <wp:docPr id="35" name="图片 35" descr="淄博市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淄博市生态红线图"/>
                    <pic:cNvPicPr>
                      <a:picLocks noChangeAspect="1"/>
                    </pic:cNvPicPr>
                  </pic:nvPicPr>
                  <pic:blipFill>
                    <a:blip r:embed="rId30"/>
                    <a:stretch>
                      <a:fillRect/>
                    </a:stretch>
                  </pic:blipFill>
                  <pic:spPr>
                    <a:xfrm>
                      <a:off x="0" y="0"/>
                      <a:ext cx="4381500" cy="5876925"/>
                    </a:xfrm>
                    <a:prstGeom prst="rect">
                      <a:avLst/>
                    </a:prstGeom>
                  </pic:spPr>
                </pic:pic>
              </a:graphicData>
            </a:graphic>
          </wp:inline>
        </w:drawing>
      </w: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rPr>
          <w:rFonts w:hint="default" w:ascii="Times New Roman" w:hAnsi="Times New Roman" w:eastAsia="宋体" w:cs="Times New Roman"/>
          <w:color w:val="auto"/>
          <w:lang w:eastAsia="zh-CN"/>
        </w:rPr>
      </w:pPr>
    </w:p>
    <w:p>
      <w:pPr>
        <w:shd w:val="clear"/>
        <w:rPr>
          <w:rFonts w:hint="default" w:ascii="Times New Roman" w:hAnsi="Times New Roman" w:eastAsia="宋体" w:cs="Times New Roman"/>
          <w:color w:val="auto"/>
          <w:lang w:eastAsia="zh-CN"/>
        </w:rPr>
      </w:pPr>
    </w:p>
    <w:p>
      <w:pPr>
        <w:pStyle w:val="2"/>
        <w:shd w:val="clear"/>
        <w:ind w:left="0" w:leftChars="0" w:firstLine="0" w:firstLineChars="0"/>
        <w:rPr>
          <w:rFonts w:hint="default" w:ascii="Times New Roman" w:hAnsi="Times New Roman" w:eastAsia="宋体" w:cs="Times New Roman"/>
          <w:b/>
          <w:bCs/>
          <w:color w:val="auto"/>
          <w:kern w:val="0"/>
          <w:sz w:val="24"/>
          <w:szCs w:val="32"/>
          <w:lang w:val="en-US" w:eastAsia="zh-CN"/>
        </w:rPr>
      </w:pPr>
      <w:r>
        <w:rPr>
          <w:rFonts w:hint="default" w:ascii="Times New Roman" w:hAnsi="Times New Roman" w:eastAsia="宋体" w:cs="Times New Roman"/>
          <w:b/>
          <w:bCs/>
          <w:color w:val="auto"/>
          <w:kern w:val="0"/>
          <w:sz w:val="24"/>
          <w:szCs w:val="32"/>
          <w:lang w:eastAsia="zh-CN"/>
        </w:rPr>
        <w:t>附件</w:t>
      </w:r>
      <w:r>
        <w:rPr>
          <w:rFonts w:hint="default" w:ascii="Times New Roman" w:hAnsi="Times New Roman" w:eastAsia="宋体" w:cs="Times New Roman"/>
          <w:b/>
          <w:bCs/>
          <w:color w:val="auto"/>
          <w:kern w:val="0"/>
          <w:sz w:val="24"/>
          <w:szCs w:val="32"/>
          <w:lang w:val="en-US" w:eastAsia="zh-CN"/>
        </w:rPr>
        <w:t>7淄博市环境管控单元图</w:t>
      </w:r>
    </w:p>
    <w:p>
      <w:pPr>
        <w:shd w:val="clear"/>
        <w:rPr>
          <w:rFonts w:hint="default" w:ascii="Times New Roman" w:hAnsi="Times New Roman" w:eastAsia="宋体" w:cs="Times New Roman"/>
          <w:color w:val="auto"/>
          <w:kern w:val="0"/>
        </w:rPr>
      </w:pPr>
      <w:r>
        <w:rPr>
          <w:rFonts w:hint="default" w:ascii="Times New Roman" w:hAnsi="Times New Roman" w:eastAsia="宋体" w:cs="Times New Roman"/>
          <w:color w:val="auto"/>
        </w:rPr>
        <w:drawing>
          <wp:anchor distT="0" distB="0" distL="114300" distR="114300" simplePos="0" relativeHeight="251669504" behindDoc="0" locked="0" layoutInCell="1" allowOverlap="1">
            <wp:simplePos x="0" y="0"/>
            <wp:positionH relativeFrom="column">
              <wp:posOffset>4124960</wp:posOffset>
            </wp:positionH>
            <wp:positionV relativeFrom="paragraph">
              <wp:posOffset>76835</wp:posOffset>
            </wp:positionV>
            <wp:extent cx="963930" cy="1038860"/>
            <wp:effectExtent l="0" t="0" r="7620" b="889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963930" cy="103886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1942465</wp:posOffset>
                </wp:positionH>
                <wp:positionV relativeFrom="paragraph">
                  <wp:posOffset>3587750</wp:posOffset>
                </wp:positionV>
                <wp:extent cx="181610" cy="219075"/>
                <wp:effectExtent l="2540" t="0" r="6350" b="9525"/>
                <wp:wrapNone/>
                <wp:docPr id="16" name="五角星 16"/>
                <wp:cNvGraphicFramePr/>
                <a:graphic xmlns:a="http://schemas.openxmlformats.org/drawingml/2006/main">
                  <a:graphicData uri="http://schemas.microsoft.com/office/word/2010/wordprocessingShape">
                    <wps:wsp>
                      <wps:cNvSpPr/>
                      <wps:spPr>
                        <a:xfrm>
                          <a:off x="3173095" y="4904740"/>
                          <a:ext cx="181610" cy="219075"/>
                        </a:xfrm>
                        <a:prstGeom prst="star5">
                          <a:avLst>
                            <a:gd name="adj" fmla="val 0"/>
                            <a:gd name="hf" fmla="val 105146"/>
                            <a:gd name="vf" fmla="val 110557"/>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95pt;margin-top:282.5pt;height:17.25pt;width:14.3pt;z-index:251664384;v-text-anchor:middle;mso-width-relative:page;mso-height-relative:page;" fillcolor="#5B9BD5 [3204]" filled="t" stroked="t" coordsize="181610,219075" o:gfxdata="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dl1zzaAAAACwEAAA8AAAAAAAAAAQAg&#10;AAAAIgAAAGRycy9kb3ducmV2LnhtbFBLAQIUABQAAAAIAIdO4kDzrRlBtwIAAHMFAAAOAAAAAAAA&#10;AAEAIAAAACkBAABkcnMvZTJvRG9jLnhtbFBLBQYAAAAABgAGAFkBAABSBgAAAAA=&#10;" path="m0,83678l90805,121101,90805,0,90805,121101,181609,83678,90805,121101,146925,219074,90805,121101,34684,219074,90805,121101xe">
                <v:path o:connectlocs="90805,0;0,83678;34684,219074;146925,219074;181609,83678" o:connectangles="247,164,82,82,0"/>
                <v:fill on="t" focussize="0,0"/>
                <v:stroke weight="1pt" color="#00B0F0 [3204]" miterlimit="8" joinstyle="miter"/>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1169670</wp:posOffset>
                </wp:positionH>
                <wp:positionV relativeFrom="paragraph">
                  <wp:posOffset>2698750</wp:posOffset>
                </wp:positionV>
                <wp:extent cx="704215" cy="495300"/>
                <wp:effectExtent l="6350" t="6350" r="184785" b="565150"/>
                <wp:wrapNone/>
                <wp:docPr id="38" name="矩形标注 38"/>
                <wp:cNvGraphicFramePr/>
                <a:graphic xmlns:a="http://schemas.openxmlformats.org/drawingml/2006/main">
                  <a:graphicData uri="http://schemas.microsoft.com/office/word/2010/wordprocessingShape">
                    <wps:wsp>
                      <wps:cNvSpPr/>
                      <wps:spPr>
                        <a:xfrm>
                          <a:off x="0" y="0"/>
                          <a:ext cx="704215" cy="495300"/>
                        </a:xfrm>
                        <a:prstGeom prst="wedgeRectCallout">
                          <a:avLst>
                            <a:gd name="adj1" fmla="val 71635"/>
                            <a:gd name="adj2" fmla="val 154871"/>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2.1pt;margin-top:212.5pt;height:39pt;width:55.45pt;z-index:251662336;v-text-anchor:middle;mso-width-relative:page;mso-height-relative:page;" fillcolor="#FFFFFF [3201]" filled="t" stroked="t" coordsize="21600,21600" o:gfxdata="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8ozkNkAAAALAQAADwAAAAAAAAABACAAAAAiAAAA&#10;ZHJzL2Rvd25yZXYueG1sUEsBAhQAFAAAAAgAh07iQNOh7xixAgAAZAUAAA4AAAAAAAAAAQAgAAAA&#10;KAEAAGRycy9lMm9Eb2MueG1sUEsFBgAAAAAGAAYAWQEAAEsGAAAAAA==&#10;" adj="26273,44252">
                <v:fill on="t" focussize="0,0"/>
                <v:stroke weight="1pt" color="#70AD47 [3209]" miterlimit="8" joinstyle="miter"/>
                <v:imagedata o:title=""/>
                <o:lock v:ext="edit" aspectratio="f"/>
                <v:textbox>
                  <w:txbxContent>
                    <w:p>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rFonts w:hint="default" w:ascii="Times New Roman" w:hAnsi="Times New Roman" w:eastAsia="宋体" w:cs="Times New Roman"/>
          <w:color w:val="auto"/>
          <w:kern w:val="0"/>
        </w:rPr>
        <w:drawing>
          <wp:inline distT="0" distB="0" distL="114300" distR="114300">
            <wp:extent cx="5087620" cy="7559675"/>
            <wp:effectExtent l="0" t="0" r="17780" b="3175"/>
            <wp:docPr id="37" name="图片 37" descr="《淄博市“三线一单”生态环境准入清单》（淄环委办〔2021〕24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淄博市“三线一单”生态环境准入清单》（淄环委办〔2021〕24号）_00"/>
                    <pic:cNvPicPr>
                      <a:picLocks noChangeAspect="1"/>
                    </pic:cNvPicPr>
                  </pic:nvPicPr>
                  <pic:blipFill>
                    <a:blip r:embed="rId31"/>
                    <a:srcRect l="17488" t="15192" r="16104" b="14993"/>
                    <a:stretch>
                      <a:fillRect/>
                    </a:stretch>
                  </pic:blipFill>
                  <pic:spPr>
                    <a:xfrm>
                      <a:off x="0" y="0"/>
                      <a:ext cx="5087620" cy="7559675"/>
                    </a:xfrm>
                    <a:prstGeom prst="rect">
                      <a:avLst/>
                    </a:prstGeom>
                  </pic:spPr>
                </pic:pic>
              </a:graphicData>
            </a:graphic>
          </wp:inline>
        </w:drawing>
      </w:r>
    </w:p>
    <w:p>
      <w:pPr>
        <w:shd w:val="clea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br w:type="page"/>
      </w:r>
    </w:p>
    <w:p>
      <w:pPr>
        <w:pStyle w:val="2"/>
        <w:shd w:val="clear"/>
        <w:rPr>
          <w:rFonts w:hint="default" w:ascii="Times New Roman" w:hAnsi="Times New Roman" w:eastAsia="宋体" w:cs="Times New Roman"/>
          <w:color w:val="auto"/>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shd w:val="clear"/>
        <w:ind w:left="0" w:leftChars="0" w:firstLine="0" w:firstLineChars="0"/>
        <w:rPr>
          <w:rFonts w:hint="default" w:ascii="Times New Roman" w:hAnsi="Times New Roman" w:eastAsia="宋体" w:cs="Times New Roman"/>
          <w:b/>
          <w:bCs/>
          <w:color w:val="auto"/>
          <w:kern w:val="0"/>
          <w:sz w:val="24"/>
          <w:szCs w:val="32"/>
          <w:lang w:val="en-US" w:eastAsia="zh-CN"/>
        </w:rPr>
      </w:pPr>
      <w:r>
        <w:rPr>
          <w:rFonts w:hint="default" w:ascii="Times New Roman" w:hAnsi="Times New Roman" w:eastAsia="宋体" w:cs="Times New Roman"/>
          <w:b/>
          <w:bCs/>
          <w:color w:val="auto"/>
          <w:kern w:val="0"/>
          <w:sz w:val="24"/>
          <w:szCs w:val="32"/>
          <w:lang w:eastAsia="zh-CN"/>
        </w:rPr>
        <w:t>附件</w:t>
      </w:r>
      <w:r>
        <w:rPr>
          <w:rFonts w:hint="default" w:ascii="Times New Roman" w:hAnsi="Times New Roman" w:eastAsia="宋体" w:cs="Times New Roman"/>
          <w:b/>
          <w:bCs/>
          <w:color w:val="auto"/>
          <w:kern w:val="0"/>
          <w:sz w:val="24"/>
          <w:szCs w:val="32"/>
          <w:lang w:val="en-US" w:eastAsia="zh-CN"/>
        </w:rPr>
        <w:t>7淄博市文昌湖区土地利用总体规划</w:t>
      </w:r>
    </w:p>
    <w:p>
      <w:pPr>
        <w:shd w:val="clea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drawing>
          <wp:inline distT="0" distB="0" distL="114300" distR="114300">
            <wp:extent cx="6155055" cy="4871720"/>
            <wp:effectExtent l="0" t="0" r="17145" b="5080"/>
            <wp:docPr id="2" name="图片 2" descr="萌水镇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萌水镇规划图"/>
                    <pic:cNvPicPr>
                      <a:picLocks noChangeAspect="1"/>
                    </pic:cNvPicPr>
                  </pic:nvPicPr>
                  <pic:blipFill>
                    <a:blip r:embed="rId32"/>
                    <a:stretch>
                      <a:fillRect/>
                    </a:stretch>
                  </pic:blipFill>
                  <pic:spPr>
                    <a:xfrm>
                      <a:off x="0" y="0"/>
                      <a:ext cx="6155055" cy="4871720"/>
                    </a:xfrm>
                    <a:prstGeom prst="rect">
                      <a:avLst/>
                    </a:prstGeom>
                  </pic:spPr>
                </pic:pic>
              </a:graphicData>
            </a:graphic>
          </wp:inline>
        </w:drawing>
      </w: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2588260</wp:posOffset>
                </wp:positionH>
                <wp:positionV relativeFrom="paragraph">
                  <wp:posOffset>962660</wp:posOffset>
                </wp:positionV>
                <wp:extent cx="781685" cy="354965"/>
                <wp:effectExtent l="6350" t="6350" r="221615" b="19685"/>
                <wp:wrapNone/>
                <wp:docPr id="5" name="矩形标注 5"/>
                <wp:cNvGraphicFramePr/>
                <a:graphic xmlns:a="http://schemas.openxmlformats.org/drawingml/2006/main">
                  <a:graphicData uri="http://schemas.microsoft.com/office/word/2010/wordprocessingShape">
                    <wps:wsp>
                      <wps:cNvSpPr/>
                      <wps:spPr>
                        <a:xfrm>
                          <a:off x="4055745" y="2425065"/>
                          <a:ext cx="781685" cy="354965"/>
                        </a:xfrm>
                        <a:prstGeom prst="wedgeRectCallout">
                          <a:avLst>
                            <a:gd name="adj1" fmla="val 73958"/>
                            <a:gd name="adj2" fmla="val 43769"/>
                          </a:avLst>
                        </a:prstGeom>
                        <a:solidFill>
                          <a:schemeClr val="accent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auto"/>
                                <w:lang w:val="en-US" w:eastAsia="zh-CN"/>
                              </w:rPr>
                            </w:pPr>
                            <w:r>
                              <w:rPr>
                                <w:rFonts w:hint="eastAsia"/>
                                <w:color w:val="auto"/>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3.8pt;margin-top:75.8pt;height:27.95pt;width:61.55pt;z-index:251672576;v-text-anchor:middle;mso-width-relative:page;mso-height-relative:page;" fillcolor="#5B9BD5 [3204]" filled="t" stroked="t" coordsize="21600,21600" o:gfxdata="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7epH5doAAAALAQAADwAAAAAA&#10;AAABACAAAAAiAAAAZHJzL2Rvd25yZXYueG1sUEsBAhQAFAAAAAgAh07iQMloXgu8AgAAbQUAAA4A&#10;AAAAAAAAAQAgAAAAKQEAAGRycy9lMm9Eb2MueG1sUEsFBgAAAAAGAAYAWQEAAFcGAAAAAA==&#10;" adj="26775,20254">
                <v:fill on="t" focussize="0,0"/>
                <v:stroke weight="1pt" color="#000000 [3213]"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本项目</w:t>
                      </w:r>
                    </w:p>
                  </w:txbxContent>
                </v:textbox>
              </v:shape>
            </w:pict>
          </mc:Fallback>
        </mc:AlternateContent>
      </w:r>
    </w:p>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ons" w:date="2024-01-18T10:18:36Z" w:initials="">
    <w:p w14:paraId="487F3ED0">
      <w:pPr>
        <w:pStyle w:val="10"/>
        <w:rPr>
          <w:rFonts w:hint="default" w:eastAsia="宋体"/>
          <w:lang w:val="en-US" w:eastAsia="zh-CN"/>
        </w:rPr>
      </w:pPr>
      <w:r>
        <w:rPr>
          <w:rFonts w:hint="eastAsia"/>
          <w:lang w:val="en-US" w:eastAsia="zh-CN"/>
        </w:rPr>
        <w:t>搬迁前后产品关系情况说明</w:t>
      </w:r>
    </w:p>
  </w:comment>
  <w:comment w:id="1" w:author="Cons" w:date="2024-01-18T10:39:28Z" w:initials="">
    <w:p w14:paraId="659D3F7C">
      <w:pPr>
        <w:pStyle w:val="10"/>
        <w:rPr>
          <w:rFonts w:hint="default"/>
          <w:lang w:val="en-US"/>
        </w:rPr>
      </w:pPr>
      <w:r>
        <w:rPr>
          <w:rFonts w:hint="eastAsia"/>
          <w:lang w:val="en-US" w:eastAsia="zh-CN"/>
        </w:rPr>
        <w:t>转让后公司两项目颗粒物共用一根排气筒P1，VOCS用P2排放</w:t>
      </w:r>
    </w:p>
  </w:comment>
  <w:comment w:id="2" w:author="Cons" w:date="2024-01-17T16:18:02Z" w:initials="">
    <w:p w14:paraId="5D4C3C61">
      <w:pPr>
        <w:pStyle w:val="10"/>
        <w:rPr>
          <w:rFonts w:hint="default" w:eastAsia="宋体"/>
          <w:lang w:val="en-US" w:eastAsia="zh-CN"/>
        </w:rPr>
      </w:pPr>
      <w:r>
        <w:rPr>
          <w:rFonts w:hint="eastAsia"/>
          <w:lang w:val="en-US" w:eastAsia="zh-CN"/>
        </w:rPr>
        <w:t>原有项目</w:t>
      </w:r>
    </w:p>
  </w:comment>
  <w:comment w:id="3" w:author="Cons" w:date="2024-01-18T11:11:45Z" w:initials="">
    <w:p w14:paraId="218148D8">
      <w:pPr>
        <w:pStyle w:val="10"/>
        <w:rPr>
          <w:rFonts w:hint="default" w:eastAsia="宋体"/>
          <w:lang w:val="en-US" w:eastAsia="zh-CN"/>
        </w:rPr>
      </w:pPr>
      <w:r>
        <w:rPr>
          <w:rFonts w:hint="eastAsia"/>
          <w:lang w:val="en-US" w:eastAsia="zh-CN"/>
        </w:rPr>
        <w:t>原有项目与本项目关系</w:t>
      </w:r>
    </w:p>
  </w:comment>
  <w:comment w:id="4" w:author="Cons" w:date="2024-01-17T16:18:15Z" w:initials="">
    <w:p w14:paraId="2375730F">
      <w:pPr>
        <w:pStyle w:val="10"/>
        <w:rPr>
          <w:rFonts w:hint="default" w:eastAsia="宋体"/>
          <w:lang w:val="en-US" w:eastAsia="zh-CN"/>
        </w:rPr>
      </w:pPr>
      <w:r>
        <w:rPr>
          <w:rFonts w:hint="eastAsia"/>
          <w:lang w:val="en-US" w:eastAsia="zh-CN"/>
        </w:rPr>
        <w:t>现有项目</w:t>
      </w:r>
    </w:p>
  </w:comment>
  <w:comment w:id="5" w:author="Cons" w:date="2024-01-17T16:19:09Z" w:initials="">
    <w:p w14:paraId="6A5A3C00">
      <w:pPr>
        <w:pStyle w:val="10"/>
        <w:rPr>
          <w:rFonts w:hint="default" w:eastAsia="宋体"/>
          <w:lang w:val="en-US" w:eastAsia="zh-CN"/>
        </w:rPr>
      </w:pPr>
      <w:r>
        <w:rPr>
          <w:rFonts w:hint="eastAsia"/>
          <w:lang w:val="en-US" w:eastAsia="zh-CN"/>
        </w:rPr>
        <w:t>不是租赁</w:t>
      </w:r>
    </w:p>
  </w:comment>
  <w:comment w:id="6" w:author="Cons" w:date="2024-01-17T16:20:58Z" w:initials="">
    <w:p w14:paraId="44CF57C4">
      <w:pPr>
        <w:pStyle w:val="10"/>
        <w:rPr>
          <w:rFonts w:hint="default" w:eastAsia="宋体"/>
          <w:lang w:val="en-US" w:eastAsia="zh-CN"/>
        </w:rPr>
      </w:pPr>
      <w:r>
        <w:rPr>
          <w:rFonts w:hint="eastAsia"/>
          <w:lang w:val="en-US" w:eastAsia="zh-CN"/>
        </w:rPr>
        <w:t>删掉设备原材料等描述</w:t>
      </w:r>
    </w:p>
  </w:comment>
  <w:comment w:id="7" w:author="Cons" w:date="2024-01-29T15:22:27Z" w:initials="">
    <w:p w14:paraId="12CA41C6">
      <w:pPr>
        <w:pStyle w:val="10"/>
        <w:rPr>
          <w:rFonts w:hint="default" w:eastAsia="宋体"/>
          <w:lang w:val="en-US" w:eastAsia="zh-CN"/>
        </w:rPr>
      </w:pPr>
      <w:r>
        <w:rPr>
          <w:rFonts w:hint="eastAsia"/>
          <w:lang w:val="en-US" w:eastAsia="zh-CN"/>
        </w:rPr>
        <w:t>原有项目，原有诚泰，不是本次新上的防腐搪玻璃项目</w:t>
      </w:r>
    </w:p>
  </w:comment>
  <w:comment w:id="8" w:author="Cons" w:date="2024-01-18T10:34:18Z" w:initials="">
    <w:p w14:paraId="541A4B70">
      <w:pPr>
        <w:pStyle w:val="10"/>
        <w:rPr>
          <w:rFonts w:hint="default" w:eastAsia="宋体"/>
          <w:lang w:val="en-US" w:eastAsia="zh-CN"/>
        </w:rPr>
      </w:pPr>
      <w:r>
        <w:rPr>
          <w:rFonts w:hint="eastAsia"/>
          <w:lang w:val="en-US" w:eastAsia="zh-CN"/>
        </w:rPr>
        <w:t>总量申请包括三个产品</w:t>
      </w:r>
    </w:p>
  </w:comment>
  <w:comment w:id="9" w:author="Cons" w:date="2024-01-17T16:24:55Z" w:initials="">
    <w:p w14:paraId="47AD413A">
      <w:pPr>
        <w:pStyle w:val="10"/>
        <w:rPr>
          <w:rFonts w:hint="default" w:eastAsia="宋体"/>
          <w:lang w:val="en-US" w:eastAsia="zh-CN"/>
        </w:rPr>
      </w:pPr>
      <w:r>
        <w:rPr>
          <w:rFonts w:hint="eastAsia"/>
          <w:lang w:val="en-US" w:eastAsia="zh-CN"/>
        </w:rPr>
        <w:t>重新来</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7F3ED0" w15:done="0"/>
  <w15:commentEx w15:paraId="659D3F7C" w15:done="0"/>
  <w15:commentEx w15:paraId="5D4C3C61" w15:done="0"/>
  <w15:commentEx w15:paraId="218148D8" w15:done="0"/>
  <w15:commentEx w15:paraId="2375730F" w15:done="0"/>
  <w15:commentEx w15:paraId="6A5A3C00" w15:done="0"/>
  <w15:commentEx w15:paraId="44CF57C4" w15:done="0"/>
  <w15:commentEx w15:paraId="12CA41C6" w15:done="0"/>
  <w15:commentEx w15:paraId="541A4B70" w15:done="0"/>
  <w15:commentEx w15:paraId="47AD413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Noto Sans CJK JP Regular">
    <w:altName w:val="Arial"/>
    <w:panose1 w:val="00000000000000000000"/>
    <w:charset w:val="00"/>
    <w:family w:val="auto"/>
    <w:pitch w:val="default"/>
    <w:sig w:usb0="00000000" w:usb1="00000000" w:usb2="00000000" w:usb3="00000000" w:csb0="00040001" w:csb1="00000000"/>
  </w:font>
  <w:font w:name="Verdana">
    <w:panose1 w:val="020B0604030504040204"/>
    <w:charset w:val="00"/>
    <w:family w:val="auto"/>
    <w:pitch w:val="default"/>
    <w:sig w:usb0="A00006FF" w:usb1="4000205B" w:usb2="00000010" w:usb3="00000000" w:csb0="2000019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- 57 -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28F73"/>
    <w:multiLevelType w:val="singleLevel"/>
    <w:tmpl w:val="8B528F73"/>
    <w:lvl w:ilvl="0" w:tentative="0">
      <w:start w:val="5"/>
      <w:numFmt w:val="decimal"/>
      <w:suff w:val="nothing"/>
      <w:lvlText w:val="%1、"/>
      <w:lvlJc w:val="left"/>
    </w:lvl>
  </w:abstractNum>
  <w:abstractNum w:abstractNumId="1">
    <w:nsid w:val="8CE0F383"/>
    <w:multiLevelType w:val="singleLevel"/>
    <w:tmpl w:val="8CE0F383"/>
    <w:lvl w:ilvl="0" w:tentative="0">
      <w:start w:val="1"/>
      <w:numFmt w:val="decimal"/>
      <w:suff w:val="nothing"/>
      <w:lvlText w:val="（%1）"/>
      <w:lvlJc w:val="left"/>
    </w:lvl>
  </w:abstractNum>
  <w:abstractNum w:abstractNumId="2">
    <w:nsid w:val="A4D47BB4"/>
    <w:multiLevelType w:val="singleLevel"/>
    <w:tmpl w:val="A4D47BB4"/>
    <w:lvl w:ilvl="0" w:tentative="0">
      <w:start w:val="1"/>
      <w:numFmt w:val="chineseCounting"/>
      <w:suff w:val="nothing"/>
      <w:lvlText w:val="%1、"/>
      <w:lvlJc w:val="left"/>
      <w:rPr>
        <w:rFonts w:hint="eastAsia"/>
      </w:rPr>
    </w:lvl>
  </w:abstractNum>
  <w:abstractNum w:abstractNumId="3">
    <w:nsid w:val="BB883715"/>
    <w:multiLevelType w:val="singleLevel"/>
    <w:tmpl w:val="BB883715"/>
    <w:lvl w:ilvl="0" w:tentative="0">
      <w:start w:val="2"/>
      <w:numFmt w:val="decimal"/>
      <w:suff w:val="nothing"/>
      <w:lvlText w:val="%1、"/>
      <w:lvlJc w:val="left"/>
    </w:lvl>
  </w:abstractNum>
  <w:abstractNum w:abstractNumId="4">
    <w:nsid w:val="BB9792BA"/>
    <w:multiLevelType w:val="singleLevel"/>
    <w:tmpl w:val="BB9792BA"/>
    <w:lvl w:ilvl="0" w:tentative="0">
      <w:start w:val="1"/>
      <w:numFmt w:val="chineseCounting"/>
      <w:suff w:val="nothing"/>
      <w:lvlText w:val="%1、"/>
      <w:lvlJc w:val="left"/>
      <w:rPr>
        <w:rFonts w:hint="eastAsia"/>
      </w:rPr>
    </w:lvl>
  </w:abstractNum>
  <w:abstractNum w:abstractNumId="5">
    <w:nsid w:val="BBB67C0B"/>
    <w:multiLevelType w:val="singleLevel"/>
    <w:tmpl w:val="BBB67C0B"/>
    <w:lvl w:ilvl="0" w:tentative="0">
      <w:start w:val="4"/>
      <w:numFmt w:val="decimal"/>
      <w:suff w:val="nothing"/>
      <w:lvlText w:val="%1、"/>
      <w:lvlJc w:val="left"/>
    </w:lvl>
  </w:abstractNum>
  <w:abstractNum w:abstractNumId="6">
    <w:nsid w:val="C9D7778E"/>
    <w:multiLevelType w:val="singleLevel"/>
    <w:tmpl w:val="C9D7778E"/>
    <w:lvl w:ilvl="0" w:tentative="0">
      <w:start w:val="2"/>
      <w:numFmt w:val="decimal"/>
      <w:suff w:val="nothing"/>
      <w:lvlText w:val="（%1）"/>
      <w:lvlJc w:val="left"/>
    </w:lvl>
  </w:abstractNum>
  <w:abstractNum w:abstractNumId="7">
    <w:nsid w:val="D8BA75F5"/>
    <w:multiLevelType w:val="singleLevel"/>
    <w:tmpl w:val="D8BA75F5"/>
    <w:lvl w:ilvl="0" w:tentative="0">
      <w:start w:val="1"/>
      <w:numFmt w:val="decimal"/>
      <w:suff w:val="nothing"/>
      <w:lvlText w:val="%1、"/>
      <w:lvlJc w:val="left"/>
    </w:lvl>
  </w:abstractNum>
  <w:abstractNum w:abstractNumId="8">
    <w:nsid w:val="ECAD0992"/>
    <w:multiLevelType w:val="singleLevel"/>
    <w:tmpl w:val="ECAD0992"/>
    <w:lvl w:ilvl="0" w:tentative="0">
      <w:start w:val="1"/>
      <w:numFmt w:val="decimal"/>
      <w:suff w:val="nothing"/>
      <w:lvlText w:val="%1）"/>
      <w:lvlJc w:val="left"/>
    </w:lvl>
  </w:abstractNum>
  <w:abstractNum w:abstractNumId="9">
    <w:nsid w:val="F2CBF4A3"/>
    <w:multiLevelType w:val="singleLevel"/>
    <w:tmpl w:val="F2CBF4A3"/>
    <w:lvl w:ilvl="0" w:tentative="0">
      <w:start w:val="11"/>
      <w:numFmt w:val="decimal"/>
      <w:suff w:val="nothing"/>
      <w:lvlText w:val="%1、"/>
      <w:lvlJc w:val="left"/>
    </w:lvl>
  </w:abstractNum>
  <w:abstractNum w:abstractNumId="10">
    <w:nsid w:val="FCCFD2FC"/>
    <w:multiLevelType w:val="singleLevel"/>
    <w:tmpl w:val="FCCFD2FC"/>
    <w:lvl w:ilvl="0" w:tentative="0">
      <w:start w:val="1"/>
      <w:numFmt w:val="decimal"/>
      <w:suff w:val="nothing"/>
      <w:lvlText w:val="（%1）"/>
      <w:lvlJc w:val="left"/>
    </w:lvl>
  </w:abstractNum>
  <w:abstractNum w:abstractNumId="11">
    <w:nsid w:val="250220CC"/>
    <w:multiLevelType w:val="singleLevel"/>
    <w:tmpl w:val="250220CC"/>
    <w:lvl w:ilvl="0" w:tentative="0">
      <w:start w:val="2"/>
      <w:numFmt w:val="decimal"/>
      <w:suff w:val="nothing"/>
      <w:lvlText w:val="（%1）"/>
      <w:lvlJc w:val="left"/>
    </w:lvl>
  </w:abstractNum>
  <w:abstractNum w:abstractNumId="12">
    <w:nsid w:val="252AD134"/>
    <w:multiLevelType w:val="singleLevel"/>
    <w:tmpl w:val="252AD134"/>
    <w:lvl w:ilvl="0" w:tentative="0">
      <w:start w:val="2"/>
      <w:numFmt w:val="chineseCounting"/>
      <w:suff w:val="nothing"/>
      <w:lvlText w:val="%1、"/>
      <w:lvlJc w:val="left"/>
      <w:rPr>
        <w:rFonts w:hint="eastAsia"/>
      </w:rPr>
    </w:lvl>
  </w:abstractNum>
  <w:abstractNum w:abstractNumId="13">
    <w:nsid w:val="7A39515D"/>
    <w:multiLevelType w:val="singleLevel"/>
    <w:tmpl w:val="7A39515D"/>
    <w:lvl w:ilvl="0" w:tentative="0">
      <w:start w:val="1"/>
      <w:numFmt w:val="decimal"/>
      <w:suff w:val="nothing"/>
      <w:lvlText w:val="%1、"/>
      <w:lvlJc w:val="left"/>
    </w:lvl>
  </w:abstractNum>
  <w:num w:numId="1">
    <w:abstractNumId w:val="3"/>
  </w:num>
  <w:num w:numId="2">
    <w:abstractNumId w:val="11"/>
  </w:num>
  <w:num w:numId="3">
    <w:abstractNumId w:val="0"/>
  </w:num>
  <w:num w:numId="4">
    <w:abstractNumId w:val="12"/>
  </w:num>
  <w:num w:numId="5">
    <w:abstractNumId w:val="6"/>
  </w:num>
  <w:num w:numId="6">
    <w:abstractNumId w:val="5"/>
  </w:num>
  <w:num w:numId="7">
    <w:abstractNumId w:val="4"/>
  </w:num>
  <w:num w:numId="8">
    <w:abstractNumId w:val="13"/>
  </w:num>
  <w:num w:numId="9">
    <w:abstractNumId w:val="1"/>
  </w:num>
  <w:num w:numId="10">
    <w:abstractNumId w:val="2"/>
  </w:num>
  <w:num w:numId="11">
    <w:abstractNumId w:val="10"/>
  </w:num>
  <w:num w:numId="12">
    <w:abstractNumId w:val="8"/>
  </w:num>
  <w:num w:numId="13">
    <w:abstractNumId w:val="9"/>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ons">
    <w15:presenceInfo w15:providerId="WPS Office" w15:userId="4175582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xM2NlZTg5NGVjYWZhMTQxZWJkYmNlODQ3NThmZDkifQ=="/>
  </w:docVars>
  <w:rsids>
    <w:rsidRoot w:val="38B82F92"/>
    <w:rsid w:val="00065C30"/>
    <w:rsid w:val="000E7B1F"/>
    <w:rsid w:val="00215AA4"/>
    <w:rsid w:val="00253D80"/>
    <w:rsid w:val="003A6B66"/>
    <w:rsid w:val="003C290E"/>
    <w:rsid w:val="005957B4"/>
    <w:rsid w:val="005D1C90"/>
    <w:rsid w:val="008A3CF3"/>
    <w:rsid w:val="00A9133B"/>
    <w:rsid w:val="00D044A0"/>
    <w:rsid w:val="00E765DA"/>
    <w:rsid w:val="011D6B51"/>
    <w:rsid w:val="014143F1"/>
    <w:rsid w:val="016338CC"/>
    <w:rsid w:val="01633E9B"/>
    <w:rsid w:val="01683551"/>
    <w:rsid w:val="018D13BD"/>
    <w:rsid w:val="01991368"/>
    <w:rsid w:val="01CF7782"/>
    <w:rsid w:val="02157842"/>
    <w:rsid w:val="022A54E8"/>
    <w:rsid w:val="026223A4"/>
    <w:rsid w:val="027C3A1E"/>
    <w:rsid w:val="02BD74F1"/>
    <w:rsid w:val="02D1669F"/>
    <w:rsid w:val="030A4DBF"/>
    <w:rsid w:val="03801E76"/>
    <w:rsid w:val="03911FB6"/>
    <w:rsid w:val="03C6461E"/>
    <w:rsid w:val="03E80687"/>
    <w:rsid w:val="03FC3C28"/>
    <w:rsid w:val="042C2C6A"/>
    <w:rsid w:val="043C4097"/>
    <w:rsid w:val="04427480"/>
    <w:rsid w:val="046823FC"/>
    <w:rsid w:val="04693B13"/>
    <w:rsid w:val="047040DB"/>
    <w:rsid w:val="04EF6E98"/>
    <w:rsid w:val="05044F32"/>
    <w:rsid w:val="0506170D"/>
    <w:rsid w:val="05205D9C"/>
    <w:rsid w:val="052A5DF4"/>
    <w:rsid w:val="056915A2"/>
    <w:rsid w:val="059C54B5"/>
    <w:rsid w:val="05A87A03"/>
    <w:rsid w:val="05EF1D0A"/>
    <w:rsid w:val="05FB6D97"/>
    <w:rsid w:val="06496D3E"/>
    <w:rsid w:val="064B6477"/>
    <w:rsid w:val="06D849E3"/>
    <w:rsid w:val="06DD024B"/>
    <w:rsid w:val="072D11D3"/>
    <w:rsid w:val="073E1093"/>
    <w:rsid w:val="07800411"/>
    <w:rsid w:val="07D16002"/>
    <w:rsid w:val="07E51AAD"/>
    <w:rsid w:val="082223BA"/>
    <w:rsid w:val="08631393"/>
    <w:rsid w:val="09151F1E"/>
    <w:rsid w:val="091C4F8C"/>
    <w:rsid w:val="0992531D"/>
    <w:rsid w:val="09BE77B4"/>
    <w:rsid w:val="09DB6AF9"/>
    <w:rsid w:val="0A5B490F"/>
    <w:rsid w:val="0A8D41A9"/>
    <w:rsid w:val="0AA479FE"/>
    <w:rsid w:val="0AB319EF"/>
    <w:rsid w:val="0AEC4F01"/>
    <w:rsid w:val="0AF50259"/>
    <w:rsid w:val="0B1F7C20"/>
    <w:rsid w:val="0B4C0897"/>
    <w:rsid w:val="0BFA18BB"/>
    <w:rsid w:val="0BFA53FB"/>
    <w:rsid w:val="0C1E21AC"/>
    <w:rsid w:val="0C30706F"/>
    <w:rsid w:val="0C31588B"/>
    <w:rsid w:val="0C6236CC"/>
    <w:rsid w:val="0CE73BD2"/>
    <w:rsid w:val="0D110EEC"/>
    <w:rsid w:val="0D3337D2"/>
    <w:rsid w:val="0D5C1D95"/>
    <w:rsid w:val="0DB923B0"/>
    <w:rsid w:val="0DFC36AD"/>
    <w:rsid w:val="0E1A2709"/>
    <w:rsid w:val="0E3F4559"/>
    <w:rsid w:val="0E4946FF"/>
    <w:rsid w:val="0E57732E"/>
    <w:rsid w:val="0E722A85"/>
    <w:rsid w:val="0E794CFD"/>
    <w:rsid w:val="0E9953A0"/>
    <w:rsid w:val="0EBD088D"/>
    <w:rsid w:val="0ECE0DAB"/>
    <w:rsid w:val="0EF820C6"/>
    <w:rsid w:val="0F122BD5"/>
    <w:rsid w:val="0F2F1143"/>
    <w:rsid w:val="0F8D40DF"/>
    <w:rsid w:val="0FB56209"/>
    <w:rsid w:val="0FC36A98"/>
    <w:rsid w:val="0FC71A98"/>
    <w:rsid w:val="0FC93A62"/>
    <w:rsid w:val="0FD81C43"/>
    <w:rsid w:val="103510F8"/>
    <w:rsid w:val="10352FC3"/>
    <w:rsid w:val="10383187"/>
    <w:rsid w:val="1042718C"/>
    <w:rsid w:val="106F4303"/>
    <w:rsid w:val="1097590F"/>
    <w:rsid w:val="10A163D5"/>
    <w:rsid w:val="10AF548D"/>
    <w:rsid w:val="10B94258"/>
    <w:rsid w:val="10C55FD8"/>
    <w:rsid w:val="10DD6035"/>
    <w:rsid w:val="10FD12FB"/>
    <w:rsid w:val="11457119"/>
    <w:rsid w:val="115B4B8E"/>
    <w:rsid w:val="11847627"/>
    <w:rsid w:val="11C366EC"/>
    <w:rsid w:val="11FA2661"/>
    <w:rsid w:val="12174F59"/>
    <w:rsid w:val="124473D0"/>
    <w:rsid w:val="125E66E4"/>
    <w:rsid w:val="12687563"/>
    <w:rsid w:val="12695089"/>
    <w:rsid w:val="128872A8"/>
    <w:rsid w:val="12B564BD"/>
    <w:rsid w:val="12DB66FD"/>
    <w:rsid w:val="12DD1CFF"/>
    <w:rsid w:val="12DE0FC1"/>
    <w:rsid w:val="13581E29"/>
    <w:rsid w:val="135B2C24"/>
    <w:rsid w:val="13637D2A"/>
    <w:rsid w:val="13707438"/>
    <w:rsid w:val="138844B0"/>
    <w:rsid w:val="140D33D6"/>
    <w:rsid w:val="1418316F"/>
    <w:rsid w:val="14B7018E"/>
    <w:rsid w:val="14D26690"/>
    <w:rsid w:val="14EA7485"/>
    <w:rsid w:val="150F0169"/>
    <w:rsid w:val="151F16BB"/>
    <w:rsid w:val="154230DC"/>
    <w:rsid w:val="154C6145"/>
    <w:rsid w:val="15925469"/>
    <w:rsid w:val="15943D6D"/>
    <w:rsid w:val="15FC24DE"/>
    <w:rsid w:val="163D4862"/>
    <w:rsid w:val="1640398D"/>
    <w:rsid w:val="164D5ECE"/>
    <w:rsid w:val="165C44CD"/>
    <w:rsid w:val="16817906"/>
    <w:rsid w:val="16930783"/>
    <w:rsid w:val="169D3653"/>
    <w:rsid w:val="16A42B33"/>
    <w:rsid w:val="16C34659"/>
    <w:rsid w:val="17420B09"/>
    <w:rsid w:val="17546308"/>
    <w:rsid w:val="176432ED"/>
    <w:rsid w:val="176B1F46"/>
    <w:rsid w:val="17AC2AB5"/>
    <w:rsid w:val="17BA5C8E"/>
    <w:rsid w:val="17E37CAB"/>
    <w:rsid w:val="17E434FA"/>
    <w:rsid w:val="184B4A92"/>
    <w:rsid w:val="18C94AD3"/>
    <w:rsid w:val="18E3448D"/>
    <w:rsid w:val="190B692E"/>
    <w:rsid w:val="190E24E6"/>
    <w:rsid w:val="192343FD"/>
    <w:rsid w:val="19252FC1"/>
    <w:rsid w:val="193006AE"/>
    <w:rsid w:val="196D36B1"/>
    <w:rsid w:val="197117AA"/>
    <w:rsid w:val="19A075E2"/>
    <w:rsid w:val="19BD5E3E"/>
    <w:rsid w:val="19C41307"/>
    <w:rsid w:val="19DB3BBC"/>
    <w:rsid w:val="1A420BBD"/>
    <w:rsid w:val="1A4E34E2"/>
    <w:rsid w:val="1A5B49DF"/>
    <w:rsid w:val="1AA71D52"/>
    <w:rsid w:val="1ACF3895"/>
    <w:rsid w:val="1B4955A1"/>
    <w:rsid w:val="1BBD77D0"/>
    <w:rsid w:val="1BEA723A"/>
    <w:rsid w:val="1C212CA9"/>
    <w:rsid w:val="1C475D40"/>
    <w:rsid w:val="1C63577B"/>
    <w:rsid w:val="1C821221"/>
    <w:rsid w:val="1C8A519E"/>
    <w:rsid w:val="1CDE2D47"/>
    <w:rsid w:val="1D291034"/>
    <w:rsid w:val="1D4C1650"/>
    <w:rsid w:val="1D4E0EE7"/>
    <w:rsid w:val="1D5F1562"/>
    <w:rsid w:val="1D752284"/>
    <w:rsid w:val="1DBD6B7E"/>
    <w:rsid w:val="1DD12460"/>
    <w:rsid w:val="1DDF2555"/>
    <w:rsid w:val="1DF151D4"/>
    <w:rsid w:val="1DF919B7"/>
    <w:rsid w:val="1E151769"/>
    <w:rsid w:val="1E4C1AE7"/>
    <w:rsid w:val="1E581BAA"/>
    <w:rsid w:val="1E591216"/>
    <w:rsid w:val="1E727B00"/>
    <w:rsid w:val="1E774220"/>
    <w:rsid w:val="1E7F7648"/>
    <w:rsid w:val="1E94348E"/>
    <w:rsid w:val="1EFE79EE"/>
    <w:rsid w:val="1F5D6CF5"/>
    <w:rsid w:val="1F695F97"/>
    <w:rsid w:val="1FAD4E0E"/>
    <w:rsid w:val="201D239C"/>
    <w:rsid w:val="20256EAF"/>
    <w:rsid w:val="2073290B"/>
    <w:rsid w:val="20E701EC"/>
    <w:rsid w:val="2100305C"/>
    <w:rsid w:val="215324A5"/>
    <w:rsid w:val="216B4BF9"/>
    <w:rsid w:val="2183476B"/>
    <w:rsid w:val="21A854BF"/>
    <w:rsid w:val="21AB121A"/>
    <w:rsid w:val="22105521"/>
    <w:rsid w:val="22842783"/>
    <w:rsid w:val="228A0B82"/>
    <w:rsid w:val="22955A62"/>
    <w:rsid w:val="22E91FFA"/>
    <w:rsid w:val="2325198C"/>
    <w:rsid w:val="2326005A"/>
    <w:rsid w:val="23381E58"/>
    <w:rsid w:val="234436D4"/>
    <w:rsid w:val="23800D7A"/>
    <w:rsid w:val="24211F54"/>
    <w:rsid w:val="24332DB1"/>
    <w:rsid w:val="24A8655D"/>
    <w:rsid w:val="256A05A8"/>
    <w:rsid w:val="2580651A"/>
    <w:rsid w:val="25894F3B"/>
    <w:rsid w:val="258B7398"/>
    <w:rsid w:val="25A93CC2"/>
    <w:rsid w:val="25E807A0"/>
    <w:rsid w:val="2627413E"/>
    <w:rsid w:val="2684238D"/>
    <w:rsid w:val="269B7C70"/>
    <w:rsid w:val="27A55D9F"/>
    <w:rsid w:val="27CB7F20"/>
    <w:rsid w:val="27D61213"/>
    <w:rsid w:val="27F356C9"/>
    <w:rsid w:val="2826784C"/>
    <w:rsid w:val="288E2A8B"/>
    <w:rsid w:val="28F50211"/>
    <w:rsid w:val="28FE4325"/>
    <w:rsid w:val="29042C5A"/>
    <w:rsid w:val="294957BD"/>
    <w:rsid w:val="297B189A"/>
    <w:rsid w:val="298606B3"/>
    <w:rsid w:val="298A7CD0"/>
    <w:rsid w:val="29C739A3"/>
    <w:rsid w:val="29D4746F"/>
    <w:rsid w:val="29FC577C"/>
    <w:rsid w:val="2A151EB5"/>
    <w:rsid w:val="2A171952"/>
    <w:rsid w:val="2A257AC6"/>
    <w:rsid w:val="2A6603D4"/>
    <w:rsid w:val="2A904C33"/>
    <w:rsid w:val="2A923404"/>
    <w:rsid w:val="2A9F6179"/>
    <w:rsid w:val="2AE607B9"/>
    <w:rsid w:val="2B1B2F6C"/>
    <w:rsid w:val="2B3202B6"/>
    <w:rsid w:val="2B3260B1"/>
    <w:rsid w:val="2B4869A9"/>
    <w:rsid w:val="2B756A6A"/>
    <w:rsid w:val="2B7B5C15"/>
    <w:rsid w:val="2BB533C1"/>
    <w:rsid w:val="2BBD7E21"/>
    <w:rsid w:val="2BEE242F"/>
    <w:rsid w:val="2BFF3E51"/>
    <w:rsid w:val="2C661A6E"/>
    <w:rsid w:val="2C6A4CBD"/>
    <w:rsid w:val="2C985FF2"/>
    <w:rsid w:val="2CE51A84"/>
    <w:rsid w:val="2CF63173"/>
    <w:rsid w:val="2D0C47A9"/>
    <w:rsid w:val="2D3D7324"/>
    <w:rsid w:val="2D545B11"/>
    <w:rsid w:val="2DF329D4"/>
    <w:rsid w:val="2DFA155F"/>
    <w:rsid w:val="2E142DEE"/>
    <w:rsid w:val="2E1A13F5"/>
    <w:rsid w:val="2E3E0EEF"/>
    <w:rsid w:val="2E59791A"/>
    <w:rsid w:val="2E7438D7"/>
    <w:rsid w:val="2E9432CC"/>
    <w:rsid w:val="2EA92CD5"/>
    <w:rsid w:val="2EBF4557"/>
    <w:rsid w:val="2EC578E2"/>
    <w:rsid w:val="2EE060D7"/>
    <w:rsid w:val="2EE44E0D"/>
    <w:rsid w:val="2F156A98"/>
    <w:rsid w:val="2F391C13"/>
    <w:rsid w:val="2F667D22"/>
    <w:rsid w:val="2FCD4489"/>
    <w:rsid w:val="303348B4"/>
    <w:rsid w:val="309C3263"/>
    <w:rsid w:val="30A41B4C"/>
    <w:rsid w:val="30AB5B03"/>
    <w:rsid w:val="31476E7E"/>
    <w:rsid w:val="318E37C6"/>
    <w:rsid w:val="319E48F7"/>
    <w:rsid w:val="31BC2E00"/>
    <w:rsid w:val="31E72504"/>
    <w:rsid w:val="31F07FF6"/>
    <w:rsid w:val="320329AC"/>
    <w:rsid w:val="328C7A69"/>
    <w:rsid w:val="32AC7161"/>
    <w:rsid w:val="32EC2A98"/>
    <w:rsid w:val="32FC0CB9"/>
    <w:rsid w:val="3366594A"/>
    <w:rsid w:val="33E0100F"/>
    <w:rsid w:val="344D6161"/>
    <w:rsid w:val="348F6779"/>
    <w:rsid w:val="34915393"/>
    <w:rsid w:val="34FC748E"/>
    <w:rsid w:val="35006EE6"/>
    <w:rsid w:val="35521C81"/>
    <w:rsid w:val="35AC38F8"/>
    <w:rsid w:val="35B2271F"/>
    <w:rsid w:val="35FC7771"/>
    <w:rsid w:val="36084310"/>
    <w:rsid w:val="360A7BC8"/>
    <w:rsid w:val="36366643"/>
    <w:rsid w:val="36384C5D"/>
    <w:rsid w:val="36914A2B"/>
    <w:rsid w:val="37281D37"/>
    <w:rsid w:val="3769735A"/>
    <w:rsid w:val="377B149B"/>
    <w:rsid w:val="37906A90"/>
    <w:rsid w:val="37BA58BB"/>
    <w:rsid w:val="37FD59B1"/>
    <w:rsid w:val="383063EE"/>
    <w:rsid w:val="38AC67B8"/>
    <w:rsid w:val="38B82F92"/>
    <w:rsid w:val="38B86F38"/>
    <w:rsid w:val="38C06F01"/>
    <w:rsid w:val="39087725"/>
    <w:rsid w:val="392507EE"/>
    <w:rsid w:val="39357B42"/>
    <w:rsid w:val="393F6278"/>
    <w:rsid w:val="39796ACA"/>
    <w:rsid w:val="398012BA"/>
    <w:rsid w:val="39D223FA"/>
    <w:rsid w:val="39F5707E"/>
    <w:rsid w:val="3A0E0140"/>
    <w:rsid w:val="3A246398"/>
    <w:rsid w:val="3A396439"/>
    <w:rsid w:val="3A5D5479"/>
    <w:rsid w:val="3A695377"/>
    <w:rsid w:val="3A752BA6"/>
    <w:rsid w:val="3ABF1297"/>
    <w:rsid w:val="3B6F388E"/>
    <w:rsid w:val="3B9878DF"/>
    <w:rsid w:val="3BAA140B"/>
    <w:rsid w:val="3BC9097D"/>
    <w:rsid w:val="3BCB62E9"/>
    <w:rsid w:val="3BD31641"/>
    <w:rsid w:val="3BE53A85"/>
    <w:rsid w:val="3BF20FFD"/>
    <w:rsid w:val="3BFE0E38"/>
    <w:rsid w:val="3C063BDE"/>
    <w:rsid w:val="3C1200E6"/>
    <w:rsid w:val="3C254F57"/>
    <w:rsid w:val="3C3876BF"/>
    <w:rsid w:val="3C666012"/>
    <w:rsid w:val="3C781008"/>
    <w:rsid w:val="3C8C09FE"/>
    <w:rsid w:val="3CAA2774"/>
    <w:rsid w:val="3CCF4FA4"/>
    <w:rsid w:val="3D1837B0"/>
    <w:rsid w:val="3D1C3DB4"/>
    <w:rsid w:val="3D6A1B31"/>
    <w:rsid w:val="3D806446"/>
    <w:rsid w:val="3D820C29"/>
    <w:rsid w:val="3DC72AE0"/>
    <w:rsid w:val="3E04232A"/>
    <w:rsid w:val="3EA719A5"/>
    <w:rsid w:val="3EF20030"/>
    <w:rsid w:val="3F36293E"/>
    <w:rsid w:val="3F3B0DEB"/>
    <w:rsid w:val="3F636838"/>
    <w:rsid w:val="3FB47094"/>
    <w:rsid w:val="3FE1257F"/>
    <w:rsid w:val="402D09AC"/>
    <w:rsid w:val="40C33CF0"/>
    <w:rsid w:val="40DF083B"/>
    <w:rsid w:val="40F41E3E"/>
    <w:rsid w:val="41200E85"/>
    <w:rsid w:val="41D12194"/>
    <w:rsid w:val="41D4474E"/>
    <w:rsid w:val="423C09BB"/>
    <w:rsid w:val="427E23B9"/>
    <w:rsid w:val="429531AD"/>
    <w:rsid w:val="42AF7B59"/>
    <w:rsid w:val="42D40179"/>
    <w:rsid w:val="430E3B7E"/>
    <w:rsid w:val="434B7F9C"/>
    <w:rsid w:val="43E02B4D"/>
    <w:rsid w:val="441F2D6D"/>
    <w:rsid w:val="442B5FE8"/>
    <w:rsid w:val="442D18F9"/>
    <w:rsid w:val="444529B0"/>
    <w:rsid w:val="44630D8A"/>
    <w:rsid w:val="44C53681"/>
    <w:rsid w:val="44D52377"/>
    <w:rsid w:val="4523390C"/>
    <w:rsid w:val="455F7AA2"/>
    <w:rsid w:val="457E2FEE"/>
    <w:rsid w:val="45B614EA"/>
    <w:rsid w:val="45D95B41"/>
    <w:rsid w:val="45E12387"/>
    <w:rsid w:val="462056FE"/>
    <w:rsid w:val="46951935"/>
    <w:rsid w:val="46F25897"/>
    <w:rsid w:val="46F32149"/>
    <w:rsid w:val="46F83FBB"/>
    <w:rsid w:val="47262F6D"/>
    <w:rsid w:val="473F5AEB"/>
    <w:rsid w:val="477F61D9"/>
    <w:rsid w:val="47837AA8"/>
    <w:rsid w:val="47842040"/>
    <w:rsid w:val="47C50090"/>
    <w:rsid w:val="48137BA3"/>
    <w:rsid w:val="481543AC"/>
    <w:rsid w:val="488001D3"/>
    <w:rsid w:val="48AE479D"/>
    <w:rsid w:val="48C04CFB"/>
    <w:rsid w:val="48F61D81"/>
    <w:rsid w:val="49016A01"/>
    <w:rsid w:val="491110C7"/>
    <w:rsid w:val="4928311F"/>
    <w:rsid w:val="49332B57"/>
    <w:rsid w:val="49484323"/>
    <w:rsid w:val="497D46C4"/>
    <w:rsid w:val="49D15412"/>
    <w:rsid w:val="49E65D32"/>
    <w:rsid w:val="4A722025"/>
    <w:rsid w:val="4A7A09B6"/>
    <w:rsid w:val="4A934476"/>
    <w:rsid w:val="4ACA1E61"/>
    <w:rsid w:val="4ACA36BE"/>
    <w:rsid w:val="4AE53EA8"/>
    <w:rsid w:val="4AEE5B50"/>
    <w:rsid w:val="4B3A5A54"/>
    <w:rsid w:val="4B544579"/>
    <w:rsid w:val="4BA32DDE"/>
    <w:rsid w:val="4BAE1B66"/>
    <w:rsid w:val="4BB54F6D"/>
    <w:rsid w:val="4BC72031"/>
    <w:rsid w:val="4BE13907"/>
    <w:rsid w:val="4BFB27A3"/>
    <w:rsid w:val="4C0E3A80"/>
    <w:rsid w:val="4C15535E"/>
    <w:rsid w:val="4C5679C7"/>
    <w:rsid w:val="4C6C37B1"/>
    <w:rsid w:val="4CBE7ED8"/>
    <w:rsid w:val="4CC528E0"/>
    <w:rsid w:val="4D3F6B37"/>
    <w:rsid w:val="4E085940"/>
    <w:rsid w:val="4E191EB5"/>
    <w:rsid w:val="4E4168DE"/>
    <w:rsid w:val="4E6F16B1"/>
    <w:rsid w:val="4E86158E"/>
    <w:rsid w:val="4E8B1908"/>
    <w:rsid w:val="4E976EE5"/>
    <w:rsid w:val="4EBE0CA6"/>
    <w:rsid w:val="4ECF5C98"/>
    <w:rsid w:val="4F19364B"/>
    <w:rsid w:val="4F3124AF"/>
    <w:rsid w:val="4F5217CF"/>
    <w:rsid w:val="4F844CD5"/>
    <w:rsid w:val="4FA53FA0"/>
    <w:rsid w:val="506019B6"/>
    <w:rsid w:val="509644A1"/>
    <w:rsid w:val="50C64E79"/>
    <w:rsid w:val="50D61560"/>
    <w:rsid w:val="512A65E6"/>
    <w:rsid w:val="5142769C"/>
    <w:rsid w:val="516A04A6"/>
    <w:rsid w:val="517A0D9B"/>
    <w:rsid w:val="51AC67CE"/>
    <w:rsid w:val="51BD44CE"/>
    <w:rsid w:val="520105CC"/>
    <w:rsid w:val="5217561C"/>
    <w:rsid w:val="522A1187"/>
    <w:rsid w:val="5231045D"/>
    <w:rsid w:val="523B00DB"/>
    <w:rsid w:val="525D2B7C"/>
    <w:rsid w:val="527403FA"/>
    <w:rsid w:val="52807F88"/>
    <w:rsid w:val="52974D1F"/>
    <w:rsid w:val="52BD5D69"/>
    <w:rsid w:val="52DE46FC"/>
    <w:rsid w:val="53230BE9"/>
    <w:rsid w:val="53281B44"/>
    <w:rsid w:val="53B53006"/>
    <w:rsid w:val="53E111BF"/>
    <w:rsid w:val="53FB5EAC"/>
    <w:rsid w:val="54166790"/>
    <w:rsid w:val="543C45B1"/>
    <w:rsid w:val="545A693A"/>
    <w:rsid w:val="54620978"/>
    <w:rsid w:val="549A69C9"/>
    <w:rsid w:val="54B06B59"/>
    <w:rsid w:val="54DA74BF"/>
    <w:rsid w:val="556076CC"/>
    <w:rsid w:val="55614629"/>
    <w:rsid w:val="55630EE8"/>
    <w:rsid w:val="557D552A"/>
    <w:rsid w:val="55AE2AAB"/>
    <w:rsid w:val="55B21658"/>
    <w:rsid w:val="55E4027B"/>
    <w:rsid w:val="560721BC"/>
    <w:rsid w:val="56146EF8"/>
    <w:rsid w:val="56180C0B"/>
    <w:rsid w:val="5635787C"/>
    <w:rsid w:val="56441CA8"/>
    <w:rsid w:val="568E0A75"/>
    <w:rsid w:val="56E17546"/>
    <w:rsid w:val="56E37952"/>
    <w:rsid w:val="56EE7365"/>
    <w:rsid w:val="572C2C5B"/>
    <w:rsid w:val="57527466"/>
    <w:rsid w:val="577044C9"/>
    <w:rsid w:val="57996E43"/>
    <w:rsid w:val="57E5652D"/>
    <w:rsid w:val="57E83927"/>
    <w:rsid w:val="57EE2499"/>
    <w:rsid w:val="5817169A"/>
    <w:rsid w:val="58337298"/>
    <w:rsid w:val="583D694A"/>
    <w:rsid w:val="587E1CFC"/>
    <w:rsid w:val="58A5294C"/>
    <w:rsid w:val="58B24FBD"/>
    <w:rsid w:val="58CC771B"/>
    <w:rsid w:val="58D238D9"/>
    <w:rsid w:val="59242017"/>
    <w:rsid w:val="59300DA5"/>
    <w:rsid w:val="593150A8"/>
    <w:rsid w:val="59653481"/>
    <w:rsid w:val="59A72923"/>
    <w:rsid w:val="59F7105C"/>
    <w:rsid w:val="5A0C7DA1"/>
    <w:rsid w:val="5A1B664C"/>
    <w:rsid w:val="5A6F10DB"/>
    <w:rsid w:val="5AB16EE4"/>
    <w:rsid w:val="5AC361D4"/>
    <w:rsid w:val="5ACC2DEC"/>
    <w:rsid w:val="5AEC2211"/>
    <w:rsid w:val="5B5B01D5"/>
    <w:rsid w:val="5B610E32"/>
    <w:rsid w:val="5B680E7B"/>
    <w:rsid w:val="5B8E126F"/>
    <w:rsid w:val="5B955B74"/>
    <w:rsid w:val="5B995664"/>
    <w:rsid w:val="5BCE5938"/>
    <w:rsid w:val="5BFD1256"/>
    <w:rsid w:val="5C14737D"/>
    <w:rsid w:val="5C1E059C"/>
    <w:rsid w:val="5CF64305"/>
    <w:rsid w:val="5D2D69AC"/>
    <w:rsid w:val="5D2E42FF"/>
    <w:rsid w:val="5D3E7DFF"/>
    <w:rsid w:val="5D4F07BC"/>
    <w:rsid w:val="5D573A29"/>
    <w:rsid w:val="5DAD3767"/>
    <w:rsid w:val="5DD95C79"/>
    <w:rsid w:val="5E154310"/>
    <w:rsid w:val="5E4F0730"/>
    <w:rsid w:val="5E515961"/>
    <w:rsid w:val="5EA03F12"/>
    <w:rsid w:val="5F0F3ABF"/>
    <w:rsid w:val="5F1D0330"/>
    <w:rsid w:val="5F21300D"/>
    <w:rsid w:val="5F4678B1"/>
    <w:rsid w:val="5F83500A"/>
    <w:rsid w:val="5FCD1D80"/>
    <w:rsid w:val="5FE47741"/>
    <w:rsid w:val="60A63A47"/>
    <w:rsid w:val="60DB3736"/>
    <w:rsid w:val="60E2185B"/>
    <w:rsid w:val="61211E95"/>
    <w:rsid w:val="613D6A07"/>
    <w:rsid w:val="6151078F"/>
    <w:rsid w:val="616B7CB8"/>
    <w:rsid w:val="61815573"/>
    <w:rsid w:val="618500E4"/>
    <w:rsid w:val="6197498E"/>
    <w:rsid w:val="61BC4805"/>
    <w:rsid w:val="61CB4BC6"/>
    <w:rsid w:val="62065A1D"/>
    <w:rsid w:val="62127F1E"/>
    <w:rsid w:val="624F1172"/>
    <w:rsid w:val="62DB1C63"/>
    <w:rsid w:val="62DE1246"/>
    <w:rsid w:val="62F94071"/>
    <w:rsid w:val="6317530F"/>
    <w:rsid w:val="63202908"/>
    <w:rsid w:val="63515D30"/>
    <w:rsid w:val="63A45A60"/>
    <w:rsid w:val="63BC635B"/>
    <w:rsid w:val="63CE156A"/>
    <w:rsid w:val="647F5B7B"/>
    <w:rsid w:val="64D205F2"/>
    <w:rsid w:val="64D9507F"/>
    <w:rsid w:val="64F10102"/>
    <w:rsid w:val="64FE4814"/>
    <w:rsid w:val="650F6997"/>
    <w:rsid w:val="653D3504"/>
    <w:rsid w:val="65432F03"/>
    <w:rsid w:val="65932960"/>
    <w:rsid w:val="65B20A43"/>
    <w:rsid w:val="65D23BEE"/>
    <w:rsid w:val="66134C10"/>
    <w:rsid w:val="66196268"/>
    <w:rsid w:val="6651507B"/>
    <w:rsid w:val="6654555B"/>
    <w:rsid w:val="666C3F3C"/>
    <w:rsid w:val="66890422"/>
    <w:rsid w:val="668F2158"/>
    <w:rsid w:val="66974E96"/>
    <w:rsid w:val="669F7E0E"/>
    <w:rsid w:val="67453479"/>
    <w:rsid w:val="67D54327"/>
    <w:rsid w:val="68047D09"/>
    <w:rsid w:val="68137638"/>
    <w:rsid w:val="684D7F02"/>
    <w:rsid w:val="685426BE"/>
    <w:rsid w:val="68680C6F"/>
    <w:rsid w:val="68897FE4"/>
    <w:rsid w:val="68BA4E6C"/>
    <w:rsid w:val="68E81CF6"/>
    <w:rsid w:val="696857DB"/>
    <w:rsid w:val="69F05A5E"/>
    <w:rsid w:val="6A000E1A"/>
    <w:rsid w:val="6A6332F3"/>
    <w:rsid w:val="6A6E4160"/>
    <w:rsid w:val="6AC23DB2"/>
    <w:rsid w:val="6ACD70D8"/>
    <w:rsid w:val="6AD16B04"/>
    <w:rsid w:val="6AE84594"/>
    <w:rsid w:val="6AF34358"/>
    <w:rsid w:val="6AFB0F5B"/>
    <w:rsid w:val="6B743A88"/>
    <w:rsid w:val="6B843AB4"/>
    <w:rsid w:val="6BD605AD"/>
    <w:rsid w:val="6BE5251C"/>
    <w:rsid w:val="6BE744F4"/>
    <w:rsid w:val="6C24541E"/>
    <w:rsid w:val="6C3753A7"/>
    <w:rsid w:val="6C951940"/>
    <w:rsid w:val="6C9D09A8"/>
    <w:rsid w:val="6CED3A62"/>
    <w:rsid w:val="6D0D63F9"/>
    <w:rsid w:val="6D424ECA"/>
    <w:rsid w:val="6DBA30B1"/>
    <w:rsid w:val="6DF3686F"/>
    <w:rsid w:val="6E276AFF"/>
    <w:rsid w:val="6E875871"/>
    <w:rsid w:val="6EC42294"/>
    <w:rsid w:val="6EFA7002"/>
    <w:rsid w:val="6F5943C2"/>
    <w:rsid w:val="6F72024E"/>
    <w:rsid w:val="6F92269E"/>
    <w:rsid w:val="6FF670D1"/>
    <w:rsid w:val="70801393"/>
    <w:rsid w:val="709C4BFB"/>
    <w:rsid w:val="70A87FB1"/>
    <w:rsid w:val="71723A5B"/>
    <w:rsid w:val="71AB27F8"/>
    <w:rsid w:val="71E705A2"/>
    <w:rsid w:val="72005FE5"/>
    <w:rsid w:val="72356AD7"/>
    <w:rsid w:val="726F4F19"/>
    <w:rsid w:val="728A395D"/>
    <w:rsid w:val="729767D3"/>
    <w:rsid w:val="72B96D93"/>
    <w:rsid w:val="72D35B43"/>
    <w:rsid w:val="72DA4A88"/>
    <w:rsid w:val="72DC01C1"/>
    <w:rsid w:val="730C2768"/>
    <w:rsid w:val="733E6E64"/>
    <w:rsid w:val="73433818"/>
    <w:rsid w:val="73557A14"/>
    <w:rsid w:val="735858C4"/>
    <w:rsid w:val="7358775B"/>
    <w:rsid w:val="73C82B32"/>
    <w:rsid w:val="73D43285"/>
    <w:rsid w:val="74324450"/>
    <w:rsid w:val="7443172F"/>
    <w:rsid w:val="7460720F"/>
    <w:rsid w:val="74982505"/>
    <w:rsid w:val="749D166F"/>
    <w:rsid w:val="74B9011A"/>
    <w:rsid w:val="751976CB"/>
    <w:rsid w:val="752913AF"/>
    <w:rsid w:val="753C5586"/>
    <w:rsid w:val="75D25571"/>
    <w:rsid w:val="75D561E8"/>
    <w:rsid w:val="75E11C8A"/>
    <w:rsid w:val="75E63744"/>
    <w:rsid w:val="761A5C6C"/>
    <w:rsid w:val="76312C11"/>
    <w:rsid w:val="763533BF"/>
    <w:rsid w:val="763D3D03"/>
    <w:rsid w:val="76AD7C09"/>
    <w:rsid w:val="76CF41D8"/>
    <w:rsid w:val="76DB492B"/>
    <w:rsid w:val="771578B7"/>
    <w:rsid w:val="7717575E"/>
    <w:rsid w:val="77183FA5"/>
    <w:rsid w:val="77505319"/>
    <w:rsid w:val="78943F6D"/>
    <w:rsid w:val="78C43955"/>
    <w:rsid w:val="793024DA"/>
    <w:rsid w:val="795A0A38"/>
    <w:rsid w:val="796503A4"/>
    <w:rsid w:val="799650EA"/>
    <w:rsid w:val="79B5488A"/>
    <w:rsid w:val="79DA711C"/>
    <w:rsid w:val="7A6510DB"/>
    <w:rsid w:val="7A6F1F5A"/>
    <w:rsid w:val="7A767744"/>
    <w:rsid w:val="7A8323D7"/>
    <w:rsid w:val="7AAA326B"/>
    <w:rsid w:val="7AB10FD4"/>
    <w:rsid w:val="7AD17158"/>
    <w:rsid w:val="7AE348E2"/>
    <w:rsid w:val="7B113011"/>
    <w:rsid w:val="7B5C6B24"/>
    <w:rsid w:val="7B9A6923"/>
    <w:rsid w:val="7C6C5726"/>
    <w:rsid w:val="7C745605"/>
    <w:rsid w:val="7CC145C3"/>
    <w:rsid w:val="7CE17AAD"/>
    <w:rsid w:val="7CF6138D"/>
    <w:rsid w:val="7D0B7C23"/>
    <w:rsid w:val="7D377BC1"/>
    <w:rsid w:val="7DA976A6"/>
    <w:rsid w:val="7DB639FC"/>
    <w:rsid w:val="7DD86068"/>
    <w:rsid w:val="7DDF61DF"/>
    <w:rsid w:val="7DE37E91"/>
    <w:rsid w:val="7DE844FD"/>
    <w:rsid w:val="7E27263C"/>
    <w:rsid w:val="7E8458A8"/>
    <w:rsid w:val="7ED45273"/>
    <w:rsid w:val="7ED607F9"/>
    <w:rsid w:val="7EF44A7E"/>
    <w:rsid w:val="7F110F28"/>
    <w:rsid w:val="7F362331"/>
    <w:rsid w:val="7F392F8A"/>
    <w:rsid w:val="7F927B87"/>
    <w:rsid w:val="7FAE25BF"/>
    <w:rsid w:val="7FE81248"/>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24">
    <w:name w:val="Default Paragraph Font"/>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spacing w:after="120"/>
      <w:ind w:left="420" w:leftChars="200" w:firstLine="420" w:firstLineChars="200"/>
    </w:pPr>
    <w:rPr>
      <w:rFonts w:ascii="Times New Roman" w:hAnsi="Times New Roman"/>
      <w:szCs w:val="20"/>
      <w:u w:val="none"/>
    </w:rPr>
  </w:style>
  <w:style w:type="paragraph" w:styleId="3">
    <w:name w:val="Body Text Indent"/>
    <w:basedOn w:val="1"/>
    <w:next w:val="4"/>
    <w:autoRedefine/>
    <w:qFormat/>
    <w:uiPriority w:val="0"/>
    <w:pPr>
      <w:spacing w:after="120"/>
      <w:ind w:left="420" w:leftChars="200"/>
    </w:pPr>
    <w:rPr>
      <w:kern w:val="0"/>
      <w:sz w:val="24"/>
      <w:szCs w:val="20"/>
    </w:rPr>
  </w:style>
  <w:style w:type="paragraph" w:customStyle="1" w:styleId="4">
    <w:name w:val="样式 正文文本缩进 + 行距: 1.5 倍行距"/>
    <w:basedOn w:val="5"/>
    <w:next w:val="1"/>
    <w:autoRedefine/>
    <w:qFormat/>
    <w:uiPriority w:val="0"/>
    <w:pPr>
      <w:spacing w:after="120" w:line="360" w:lineRule="auto"/>
      <w:ind w:left="90" w:leftChars="32" w:firstLine="560" w:firstLineChars="200"/>
    </w:pPr>
    <w:rPr>
      <w:rFonts w:cs="宋体"/>
    </w:rPr>
  </w:style>
  <w:style w:type="paragraph" w:customStyle="1" w:styleId="5">
    <w:name w:val="Body Text Indent"/>
    <w:basedOn w:val="1"/>
    <w:next w:val="4"/>
    <w:autoRedefine/>
    <w:qFormat/>
    <w:uiPriority w:val="0"/>
    <w:pPr>
      <w:spacing w:after="120" w:afterLines="0"/>
      <w:ind w:left="420" w:leftChars="200"/>
    </w:pPr>
    <w:rPr>
      <w:rFonts w:ascii="Times New Roman" w:hAnsi="Times New Roman" w:eastAsia="宋体"/>
      <w:sz w:val="24"/>
    </w:rPr>
  </w:style>
  <w:style w:type="paragraph" w:styleId="7">
    <w:name w:val="table of authorities"/>
    <w:basedOn w:val="1"/>
    <w:next w:val="1"/>
    <w:autoRedefine/>
    <w:qFormat/>
    <w:uiPriority w:val="0"/>
    <w:pPr>
      <w:ind w:left="420" w:leftChars="200"/>
    </w:pPr>
  </w:style>
  <w:style w:type="paragraph" w:styleId="8">
    <w:name w:val="Normal Indent"/>
    <w:basedOn w:val="1"/>
    <w:next w:val="7"/>
    <w:autoRedefine/>
    <w:qFormat/>
    <w:uiPriority w:val="0"/>
    <w:pPr>
      <w:ind w:firstLine="200" w:firstLineChars="200"/>
    </w:pPr>
    <w:rPr>
      <w:sz w:val="28"/>
    </w:rPr>
  </w:style>
  <w:style w:type="paragraph" w:styleId="9">
    <w:name w:val="index 5"/>
    <w:basedOn w:val="1"/>
    <w:next w:val="1"/>
    <w:autoRedefine/>
    <w:unhideWhenUsed/>
    <w:qFormat/>
    <w:uiPriority w:val="99"/>
    <w:pPr>
      <w:ind w:left="800" w:leftChars="800"/>
    </w:pPr>
  </w:style>
  <w:style w:type="paragraph" w:styleId="10">
    <w:name w:val="annotation text"/>
    <w:basedOn w:val="1"/>
    <w:autoRedefine/>
    <w:qFormat/>
    <w:uiPriority w:val="0"/>
    <w:pPr>
      <w:jc w:val="left"/>
    </w:pPr>
  </w:style>
  <w:style w:type="paragraph" w:styleId="11">
    <w:name w:val="Body Text"/>
    <w:basedOn w:val="1"/>
    <w:next w:val="12"/>
    <w:autoRedefine/>
    <w:qFormat/>
    <w:uiPriority w:val="0"/>
    <w:rPr>
      <w:rFonts w:ascii="仿宋_GB2312" w:eastAsia="仿宋_GB2312"/>
    </w:rPr>
  </w:style>
  <w:style w:type="paragraph" w:customStyle="1" w:styleId="12">
    <w:name w:val="Date1"/>
    <w:basedOn w:val="1"/>
    <w:next w:val="1"/>
    <w:autoRedefine/>
    <w:qFormat/>
    <w:uiPriority w:val="0"/>
    <w:rPr>
      <w:szCs w:val="20"/>
    </w:rPr>
  </w:style>
  <w:style w:type="paragraph" w:styleId="13">
    <w:name w:val="Plain Text"/>
    <w:basedOn w:val="1"/>
    <w:autoRedefine/>
    <w:qFormat/>
    <w:uiPriority w:val="0"/>
    <w:rPr>
      <w:rFonts w:ascii="宋体" w:hAnsi="Courier New"/>
      <w:szCs w:val="20"/>
    </w:rPr>
  </w:style>
  <w:style w:type="paragraph" w:styleId="14">
    <w:name w:val="endnote text"/>
    <w:basedOn w:val="1"/>
    <w:autoRedefine/>
    <w:qFormat/>
    <w:uiPriority w:val="0"/>
    <w:pPr>
      <w:autoSpaceDE w:val="0"/>
      <w:autoSpaceDN w:val="0"/>
      <w:snapToGrid w:val="0"/>
      <w:jc w:val="left"/>
    </w:pPr>
    <w:rPr>
      <w:rFonts w:ascii="Noto Sans CJK JP Regular" w:hAnsi="Noto Sans CJK JP Regular" w:eastAsia="Noto Sans CJK JP Regular" w:cs="Noto Sans CJK JP Regular"/>
      <w:kern w:val="0"/>
      <w:sz w:val="22"/>
      <w:szCs w:val="22"/>
      <w:lang w:eastAsia="en-US"/>
    </w:rPr>
  </w:style>
  <w:style w:type="paragraph" w:styleId="15">
    <w:name w:val="footer"/>
    <w:basedOn w:val="1"/>
    <w:autoRedefine/>
    <w:qFormat/>
    <w:uiPriority w:val="99"/>
    <w:pPr>
      <w:tabs>
        <w:tab w:val="center" w:pos="4153"/>
        <w:tab w:val="right" w:pos="8306"/>
      </w:tabs>
      <w:snapToGrid w:val="0"/>
      <w:jc w:val="left"/>
    </w:pPr>
    <w:rPr>
      <w:kern w:val="0"/>
      <w:sz w:val="18"/>
      <w:szCs w:val="20"/>
    </w:rPr>
  </w:style>
  <w:style w:type="paragraph" w:styleId="16">
    <w:name w:val="header"/>
    <w:basedOn w:val="1"/>
    <w:next w:val="17"/>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7">
    <w:name w:val="样式5"/>
    <w:basedOn w:val="18"/>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basedOn w:val="19"/>
    <w:next w:val="1"/>
    <w:autoRedefine/>
    <w:qFormat/>
    <w:uiPriority w:val="0"/>
    <w:pPr>
      <w:adjustRightInd w:val="0"/>
      <w:snapToGrid w:val="0"/>
      <w:spacing w:line="500" w:lineRule="atLeast"/>
      <w:ind w:firstLine="567"/>
    </w:pPr>
    <w:rPr>
      <w:sz w:val="28"/>
    </w:rPr>
  </w:style>
  <w:style w:type="paragraph" w:customStyle="1" w:styleId="19">
    <w:name w:val="正文11"/>
    <w:basedOn w:val="1"/>
    <w:autoRedefine/>
    <w:qFormat/>
    <w:uiPriority w:val="0"/>
    <w:pPr>
      <w:widowControl/>
      <w:spacing w:line="360" w:lineRule="auto"/>
      <w:ind w:firstLine="200" w:firstLineChars="200"/>
      <w:jc w:val="left"/>
    </w:pPr>
    <w:rPr>
      <w:rFonts w:cs="宋体"/>
      <w:kern w:val="0"/>
      <w:sz w:val="24"/>
    </w:rPr>
  </w:style>
  <w:style w:type="paragraph" w:styleId="20">
    <w:name w:val="Body Text Indent 3"/>
    <w:basedOn w:val="1"/>
    <w:autoRedefine/>
    <w:qFormat/>
    <w:uiPriority w:val="0"/>
    <w:pPr>
      <w:spacing w:after="120" w:afterLines="0" w:afterAutospacing="0"/>
      <w:ind w:left="420" w:leftChars="200"/>
    </w:pPr>
    <w:rPr>
      <w:sz w:val="16"/>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page number"/>
    <w:basedOn w:val="24"/>
    <w:autoRedefine/>
    <w:qFormat/>
    <w:uiPriority w:val="0"/>
  </w:style>
  <w:style w:type="character" w:styleId="27">
    <w:name w:val="Hyperlink"/>
    <w:basedOn w:val="24"/>
    <w:autoRedefine/>
    <w:qFormat/>
    <w:uiPriority w:val="0"/>
    <w:rPr>
      <w:color w:val="0000FF"/>
      <w:u w:val="single"/>
    </w:rPr>
  </w:style>
  <w:style w:type="character" w:styleId="28">
    <w:name w:val="annotation reference"/>
    <w:basedOn w:val="24"/>
    <w:autoRedefine/>
    <w:qFormat/>
    <w:uiPriority w:val="0"/>
    <w:rPr>
      <w:sz w:val="21"/>
      <w:szCs w:val="21"/>
    </w:rPr>
  </w:style>
  <w:style w:type="paragraph" w:customStyle="1" w:styleId="29">
    <w:name w:val="正文文本缩进1"/>
    <w:basedOn w:val="1"/>
    <w:next w:val="4"/>
    <w:autoRedefine/>
    <w:qFormat/>
    <w:uiPriority w:val="0"/>
    <w:pPr>
      <w:ind w:left="420" w:leftChars="200"/>
    </w:pPr>
    <w:rPr>
      <w:rFonts w:ascii="Times New Roman" w:hAnsi="Times New Roman" w:eastAsia="宋体"/>
      <w:sz w:val="24"/>
    </w:rPr>
  </w:style>
  <w:style w:type="paragraph" w:customStyle="1" w:styleId="30">
    <w:name w:val="Table Paragraph"/>
    <w:basedOn w:val="1"/>
    <w:autoRedefine/>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31">
    <w:name w:val="Default"/>
    <w:basedOn w:val="32"/>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4">
    <w:name w:val="表格内容"/>
    <w:basedOn w:val="1"/>
    <w:autoRedefine/>
    <w:qFormat/>
    <w:uiPriority w:val="0"/>
    <w:pPr>
      <w:adjustRightInd w:val="0"/>
      <w:spacing w:line="240" w:lineRule="auto"/>
      <w:jc w:val="center"/>
      <w:textAlignment w:val="baseline"/>
    </w:pPr>
    <w:rPr>
      <w:sz w:val="21"/>
      <w:szCs w:val="21"/>
    </w:rPr>
  </w:style>
  <w:style w:type="paragraph" w:customStyle="1" w:styleId="35">
    <w:name w:val="表格标题"/>
    <w:basedOn w:val="1"/>
    <w:next w:val="1"/>
    <w:autoRedefine/>
    <w:qFormat/>
    <w:uiPriority w:val="0"/>
    <w:pPr>
      <w:spacing w:line="240" w:lineRule="auto"/>
      <w:ind w:firstLine="0" w:firstLineChars="0"/>
      <w:jc w:val="center"/>
    </w:pPr>
    <w:rPr>
      <w:b/>
      <w:sz w:val="21"/>
    </w:rPr>
  </w:style>
  <w:style w:type="paragraph" w:customStyle="1" w:styleId="36">
    <w:name w:val="表内文字"/>
    <w:basedOn w:val="35"/>
    <w:next w:val="1"/>
    <w:autoRedefine/>
    <w:qFormat/>
    <w:uiPriority w:val="0"/>
    <w:pPr>
      <w:spacing w:line="240" w:lineRule="auto"/>
      <w:ind w:firstLine="0" w:firstLineChars="0"/>
      <w:jc w:val="center"/>
    </w:pPr>
    <w:rPr>
      <w:rFonts w:ascii="Times New Roman" w:hAnsi="Times New Roman"/>
      <w:b w:val="0"/>
    </w:rPr>
  </w:style>
  <w:style w:type="paragraph" w:customStyle="1" w:styleId="37">
    <w:name w:val="大表格内"/>
    <w:basedOn w:val="1"/>
    <w:autoRedefine/>
    <w:qFormat/>
    <w:uiPriority w:val="0"/>
    <w:pPr>
      <w:spacing w:line="360" w:lineRule="auto"/>
      <w:ind w:firstLine="480" w:firstLineChars="200"/>
    </w:pPr>
    <w:rPr>
      <w:kern w:val="24"/>
      <w:sz w:val="24"/>
    </w:rPr>
  </w:style>
  <w:style w:type="paragraph" w:customStyle="1" w:styleId="38">
    <w:name w:val="环保表内字（五号）"/>
    <w:basedOn w:val="1"/>
    <w:autoRedefine/>
    <w:qFormat/>
    <w:uiPriority w:val="0"/>
    <w:pPr>
      <w:adjustRightInd w:val="0"/>
      <w:snapToGrid w:val="0"/>
      <w:spacing w:line="360" w:lineRule="auto"/>
    </w:pPr>
    <w:rPr>
      <w:snapToGrid w:val="0"/>
      <w:kern w:val="0"/>
    </w:rPr>
  </w:style>
  <w:style w:type="character" w:customStyle="1" w:styleId="39">
    <w:name w:val="样式 小四"/>
    <w:autoRedefine/>
    <w:qFormat/>
    <w:uiPriority w:val="99"/>
    <w:rPr>
      <w:sz w:val="24"/>
    </w:rPr>
  </w:style>
  <w:style w:type="character" w:customStyle="1" w:styleId="40">
    <w:name w:val="font11"/>
    <w:basedOn w:val="24"/>
    <w:autoRedefine/>
    <w:qFormat/>
    <w:uiPriority w:val="0"/>
    <w:rPr>
      <w:rFonts w:hint="eastAsia" w:ascii="宋体" w:hAnsi="宋体" w:eastAsia="宋体" w:cs="宋体"/>
      <w:color w:val="000000"/>
      <w:sz w:val="20"/>
      <w:szCs w:val="20"/>
      <w:u w:val="none"/>
    </w:rPr>
  </w:style>
  <w:style w:type="character" w:customStyle="1" w:styleId="41">
    <w:name w:val="font21"/>
    <w:basedOn w:val="24"/>
    <w:autoRedefine/>
    <w:qFormat/>
    <w:uiPriority w:val="0"/>
    <w:rPr>
      <w:rFonts w:hint="default" w:ascii="Times New Roman" w:hAnsi="Times New Roman" w:cs="Times New Roman"/>
      <w:color w:val="000000"/>
      <w:sz w:val="20"/>
      <w:szCs w:val="20"/>
      <w:u w:val="none"/>
    </w:rPr>
  </w:style>
  <w:style w:type="character" w:customStyle="1" w:styleId="42">
    <w:name w:val="font31"/>
    <w:basedOn w:val="24"/>
    <w:autoRedefine/>
    <w:qFormat/>
    <w:uiPriority w:val="0"/>
    <w:rPr>
      <w:rFonts w:hint="default" w:ascii="Verdana" w:hAnsi="Verdana" w:cs="Verdana"/>
      <w:b/>
      <w:bCs/>
      <w:color w:val="E7E7FF"/>
      <w:sz w:val="18"/>
      <w:szCs w:val="18"/>
      <w:u w:val="none"/>
    </w:rPr>
  </w:style>
  <w:style w:type="character" w:customStyle="1" w:styleId="43">
    <w:name w:val="font01"/>
    <w:basedOn w:val="24"/>
    <w:autoRedefine/>
    <w:qFormat/>
    <w:uiPriority w:val="0"/>
    <w:rPr>
      <w:rFonts w:hint="default" w:ascii="Verdana" w:hAnsi="Verdana" w:cs="Verdana"/>
      <w:b/>
      <w:bCs/>
      <w:color w:val="E7E7FF"/>
      <w:sz w:val="18"/>
      <w:szCs w:val="18"/>
      <w:u w:val="none"/>
      <w:vertAlign w:val="superscript"/>
    </w:rPr>
  </w:style>
  <w:style w:type="character" w:customStyle="1" w:styleId="44">
    <w:name w:val="font41"/>
    <w:basedOn w:val="24"/>
    <w:autoRedefine/>
    <w:qFormat/>
    <w:uiPriority w:val="0"/>
    <w:rPr>
      <w:rFonts w:hint="default" w:ascii="Verdana" w:hAnsi="Verdana" w:cs="Verdana"/>
      <w:b/>
      <w:bCs/>
      <w:color w:val="000000"/>
      <w:sz w:val="18"/>
      <w:szCs w:val="18"/>
      <w:u w:val="none"/>
      <w:vertAlign w:val="superscript"/>
    </w:rPr>
  </w:style>
  <w:style w:type="paragraph" w:customStyle="1" w:styleId="45">
    <w:name w:val="格"/>
    <w:basedOn w:val="1"/>
    <w:autoRedefine/>
    <w:qFormat/>
    <w:uiPriority w:val="0"/>
    <w:pPr>
      <w:widowControl/>
      <w:spacing w:line="240" w:lineRule="auto"/>
      <w:ind w:firstLine="0" w:firstLineChars="0"/>
      <w:jc w:val="center"/>
    </w:pPr>
    <w:rPr>
      <w:bCs/>
      <w:snapToGrid w:val="0"/>
      <w:kern w:val="0"/>
    </w:rPr>
  </w:style>
  <w:style w:type="paragraph" w:customStyle="1" w:styleId="46">
    <w:name w:val="表、图标题"/>
    <w:basedOn w:val="1"/>
    <w:autoRedefine/>
    <w:qFormat/>
    <w:uiPriority w:val="0"/>
    <w:pPr>
      <w:topLinePunct/>
      <w:adjustRightInd w:val="0"/>
      <w:snapToGrid w:val="0"/>
      <w:spacing w:line="480" w:lineRule="exact"/>
      <w:jc w:val="center"/>
    </w:pPr>
    <w:rPr>
      <w:b/>
      <w:caps/>
      <w:kern w:val="16"/>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36293</Words>
  <Characters>40849</Characters>
  <Lines>0</Lines>
  <Paragraphs>0</Paragraphs>
  <TotalTime>61</TotalTime>
  <ScaleCrop>false</ScaleCrop>
  <LinksUpToDate>false</LinksUpToDate>
  <CharactersWithSpaces>41025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2023-07-27T00:13:00Z</dcterms:created>
  <dc:creator>旭日东升</dc:creator>
  <cp:lastModifiedBy>Cons</cp:lastModifiedBy>
  <cp:lastPrinted>2023-12-26T07:41:00Z</cp:lastPrinted>
  <dcterms:modified xsi:type="dcterms:W3CDTF">2024-01-30T01:39:09Z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EF97D02A5F4446B59A4926D80AB1B735_13</vt:lpwstr>
  </property>
</Properties>
</file>